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adjustRightInd/>
        <w:spacing w:line="360" w:lineRule="auto"/>
        <w:jc w:val="center"/>
        <w:rPr>
          <w:rFonts w:hint="default" w:ascii="仿宋" w:hAnsi="仿宋" w:eastAsia="仿宋" w:cs="仿宋"/>
          <w:b/>
          <w:bCs/>
          <w:color w:val="auto"/>
          <w:sz w:val="56"/>
          <w:szCs w:val="56"/>
          <w:lang w:val="en-US" w:eastAsia="zh-CN"/>
        </w:rPr>
      </w:pPr>
      <w:r>
        <w:rPr>
          <w:rFonts w:hint="eastAsia" w:ascii="仿宋" w:hAnsi="仿宋" w:eastAsia="仿宋" w:cs="仿宋"/>
          <w:b/>
          <w:bCs/>
          <w:color w:val="auto"/>
          <w:sz w:val="56"/>
          <w:szCs w:val="56"/>
          <w:lang w:val="en-US" w:eastAsia="zh-CN"/>
        </w:rPr>
        <w:t>线上政务宣传服务项目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SXTSGC2024-002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绍兴市综合行政执法局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748976109"/>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绍兴市天时工程造价咨询有限公司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474" w:right="1474" w:bottom="1474" w:left="1474" w:header="851" w:footer="992" w:gutter="0"/>
          <w:pgNumType w:fmt="decimal"/>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134" w:bottom="1474" w:left="1474" w:header="851" w:footer="992" w:gutter="0"/>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线上政务宣传服务项目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08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一、项目基本情况</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val="en-US" w:eastAsia="zh-CN"/>
        </w:rPr>
        <w:t>SXTSGC2024-002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val="en-US" w:eastAsia="zh-CN"/>
        </w:rPr>
        <w:t>线上政务宣传服务项目</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lang w:eastAsia="zh-CN"/>
        </w:rPr>
        <w:t>采购方式：分散采购</w:t>
      </w:r>
      <w:r>
        <w:rPr>
          <w:rFonts w:hint="eastAsia" w:ascii="仿宋" w:hAnsi="仿宋" w:eastAsia="仿宋" w:cs="仿宋"/>
          <w:b/>
          <w:color w:val="auto"/>
          <w:sz w:val="24"/>
          <w:lang w:val="en-US" w:eastAsia="zh-CN"/>
        </w:rPr>
        <w:t>-公开招标</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230000</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230000</w:t>
      </w:r>
    </w:p>
    <w:p>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标项名称：线上政务宣传服务项目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预算金额：230000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主要内容：简要规格描述、项目基本概况介绍、用途详见采购文件。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标项 1，自合同签订之日起至</w:t>
      </w:r>
      <w:r>
        <w:rPr>
          <w:rFonts w:hint="eastAsia" w:ascii="仿宋" w:hAnsi="仿宋" w:eastAsia="仿宋" w:cs="仿宋"/>
          <w:color w:val="auto"/>
          <w:sz w:val="24"/>
          <w:u w:val="single"/>
          <w:lang w:val="en-US" w:eastAsia="zh-CN"/>
        </w:rPr>
        <w:t>2024年12月31日</w:t>
      </w:r>
      <w:r>
        <w:rPr>
          <w:rFonts w:hint="eastAsia" w:ascii="仿宋" w:hAnsi="仿宋" w:eastAsia="仿宋" w:cs="仿宋"/>
          <w:color w:val="auto"/>
          <w:sz w:val="24"/>
          <w:u w:val="single"/>
        </w:rPr>
        <w:t>。</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仿宋"/>
          <w:b/>
          <w:color w:val="auto"/>
          <w:sz w:val="24"/>
        </w:rPr>
        <w:sym w:font="Wingdings" w:char="00FE"/>
      </w:r>
      <w:r>
        <w:rPr>
          <w:rFonts w:hint="eastAsia" w:ascii="仿宋" w:hAnsi="仿宋" w:eastAsia="仿宋" w:cs="仿宋"/>
          <w:b/>
          <w:color w:val="auto"/>
          <w:sz w:val="24"/>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sym w:font="Wingdings" w:char="00FE"/>
      </w:r>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4.本项目的特定资格要求：无；</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35393806"/>
      <w:bookmarkStart w:id="7" w:name="_Toc2835909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 xml:space="preserve"> 绍兴市综合行政执法局</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地    址： </w:t>
      </w:r>
      <w:r>
        <w:rPr>
          <w:rFonts w:hint="eastAsia" w:ascii="仿宋" w:hAnsi="仿宋" w:eastAsia="仿宋" w:cs="仿宋"/>
          <w:color w:val="auto"/>
          <w:sz w:val="24"/>
          <w:lang w:val="en-US" w:eastAsia="zh-CN"/>
        </w:rPr>
        <w:t>绍兴市越城区洋江西路278号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项目联系人（询问）：金耀东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项目联系方式（询问）：0575-88719895</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质疑联系人：徐舒超</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质疑联系方式：0575-88718790</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35393638"/>
      <w:bookmarkStart w:id="11" w:name="_Toc2835909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名称：绍兴市天时工程造价咨询有限公司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地址：绍兴市越城区迪荡街道昆仑商务中心2幢802室</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传真：0575-85127242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项目联系人（询问）：骆王海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项目联系方式（询问）：0575-88129860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马佳娣</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15868873348</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传真：0575-85209697</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联系人 ：张婷婷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监督投诉电话：0575-85209806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keepNext w:val="0"/>
        <w:keepLines w:val="0"/>
        <w:pageBreakBefore w:val="0"/>
        <w:widowControl w:val="0"/>
        <w:kinsoku/>
        <w:wordWrap/>
        <w:overflowPunct/>
        <w:topLinePunct w:val="0"/>
        <w:autoSpaceDE/>
        <w:autoSpaceDN/>
        <w:bidi w:val="0"/>
        <w:adjustRightInd/>
        <w:snapToGrid/>
        <w:spacing w:line="240" w:lineRule="auto"/>
        <w:ind w:firstLine="3845" w:firstLineChars="1197"/>
        <w:textAlignment w:val="auto"/>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w:t>
            </w:r>
            <w:r>
              <w:rPr>
                <w:rFonts w:hint="eastAsia" w:ascii="仿宋" w:hAnsi="仿宋" w:eastAsia="仿宋" w:cs="仿宋"/>
                <w:b/>
                <w:sz w:val="24"/>
                <w:lang w:val="en-US" w:eastAsia="zh-CN"/>
              </w:rPr>
              <w:t xml:space="preserve"> </w:t>
            </w:r>
            <w:r>
              <w:rPr>
                <w:rFonts w:hint="eastAsia" w:ascii="仿宋" w:hAnsi="仿宋" w:eastAsia="仿宋" w:cs="仿宋"/>
                <w:b/>
                <w:sz w:val="24"/>
              </w:rPr>
              <w:t>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sym w:font="Wingdings" w:char="00FE"/>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01标</w:t>
            </w:r>
            <w:r>
              <w:rPr>
                <w:rFonts w:hint="eastAsia" w:ascii="仿宋" w:hAnsi="仿宋" w:eastAsia="仿宋" w:cs="仿宋"/>
                <w:kern w:val="0"/>
                <w:sz w:val="24"/>
                <w:u w:val="single"/>
              </w:rPr>
              <w:t xml:space="preserve"> </w:t>
            </w:r>
            <w:r>
              <w:rPr>
                <w:rFonts w:hint="eastAsia" w:ascii="仿宋" w:hAnsi="仿宋" w:eastAsia="仿宋" w:cs="仿宋"/>
                <w:kern w:val="0"/>
                <w:sz w:val="24"/>
              </w:rPr>
              <w:t>，</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租赁和商务服务</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Lines w:val="0"/>
              <w:kinsoku/>
              <w:wordWrap/>
              <w:overflowPunct/>
              <w:topLinePunct w:val="0"/>
              <w:bidi w:val="0"/>
              <w:spacing w:line="288" w:lineRule="auto"/>
              <w:rPr>
                <w:rFonts w:eastAsia="仿宋" w:cs="仿宋"/>
                <w:color w:val="000000"/>
                <w:sz w:val="24"/>
                <w:highlight w:val="none"/>
              </w:rPr>
            </w:pPr>
            <w:r>
              <w:rPr>
                <w:rFonts w:hint="eastAsia" w:ascii="仿宋" w:hAnsi="仿宋" w:eastAsia="仿宋"/>
                <w:b/>
                <w:color w:val="000000"/>
                <w:sz w:val="24"/>
                <w:highlight w:val="none"/>
              </w:rPr>
              <w:t>中标单位需支付以下费用，并在投标报价中自行考虑：</w:t>
            </w:r>
          </w:p>
          <w:p>
            <w:pPr>
              <w:keepLines w:val="0"/>
              <w:kinsoku/>
              <w:wordWrap/>
              <w:overflowPunct/>
              <w:topLinePunct w:val="0"/>
              <w:bidi w:val="0"/>
              <w:spacing w:line="288"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r>
              <w:rPr>
                <w:rFonts w:hint="eastAsia" w:ascii="仿宋" w:hAnsi="仿宋" w:eastAsia="仿宋" w:cs="仿宋"/>
                <w:color w:val="000000"/>
                <w:sz w:val="24"/>
                <w:highlight w:val="none"/>
                <w:lang w:val="en-US" w:eastAsia="zh-CN"/>
              </w:rPr>
              <w:t>代理服务费：</w:t>
            </w:r>
            <w:r>
              <w:rPr>
                <w:rFonts w:hint="eastAsia" w:hAnsi="仿宋" w:eastAsia="仿宋" w:cs="仿宋"/>
                <w:color w:val="000000"/>
                <w:sz w:val="24"/>
                <w:highlight w:val="none"/>
              </w:rPr>
              <w:t>以中标通知中确定的中标总金额作为服务费的计算基数，具体比例参照《国</w:t>
            </w:r>
            <w:r>
              <w:rPr>
                <w:rFonts w:hint="eastAsia" w:ascii="仿宋" w:hAnsi="仿宋" w:eastAsia="仿宋" w:cs="仿宋"/>
                <w:color w:val="000000"/>
                <w:sz w:val="24"/>
                <w:highlight w:val="none"/>
              </w:rPr>
              <w:t>家计委关于印发&lt;招标代理服务收费管理暂行办法&gt;的通知》（计价格[2002]1980号）文件规定的收费基准价格执行。收费标准：</w:t>
            </w:r>
            <w:r>
              <w:rPr>
                <w:rFonts w:hint="eastAsia" w:ascii="仿宋" w:hAnsi="仿宋" w:eastAsia="仿宋" w:cs="仿宋"/>
                <w:color w:val="000000"/>
                <w:sz w:val="24"/>
                <w:szCs w:val="24"/>
                <w:highlight w:val="none"/>
              </w:rPr>
              <w:t>中标金额在中标金额在100万以下部分为1.5%</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100-500万部分为0.8%</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500万元以上至1000万元部分为0.45%</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1000</w:t>
            </w:r>
            <w:r>
              <w:rPr>
                <w:rFonts w:hint="eastAsia" w:ascii="仿宋" w:hAnsi="仿宋" w:eastAsia="仿宋" w:cs="仿宋"/>
                <w:color w:val="000000"/>
                <w:sz w:val="24"/>
                <w:szCs w:val="24"/>
                <w:highlight w:val="none"/>
              </w:rPr>
              <w:t>万元以上至</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000万元部分为0.</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5%。</w:t>
            </w:r>
          </w:p>
          <w:p>
            <w:pPr>
              <w:keepLines w:val="0"/>
              <w:kinsoku/>
              <w:wordWrap/>
              <w:overflowPunct/>
              <w:topLinePunct w:val="0"/>
              <w:bidi w:val="0"/>
              <w:spacing w:line="288"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2.代理服务费的交纳方式：</w:t>
            </w:r>
          </w:p>
          <w:p>
            <w:pPr>
              <w:keepLines w:val="0"/>
              <w:kinsoku/>
              <w:wordWrap/>
              <w:overflowPunct/>
              <w:topLinePunct w:val="0"/>
              <w:bidi w:val="0"/>
              <w:spacing w:line="288"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用银行支票、汇票、电汇、现金等付款方式直接交纳代理服务费。</w:t>
            </w:r>
          </w:p>
          <w:p>
            <w:pPr>
              <w:spacing w:line="288" w:lineRule="auto"/>
              <w:rPr>
                <w:rFonts w:hint="eastAsia" w:ascii="仿宋" w:hAnsi="仿宋" w:eastAsia="仿宋" w:cs="仿宋"/>
                <w:sz w:val="24"/>
                <w:szCs w:val="24"/>
              </w:rPr>
            </w:pPr>
            <w:r>
              <w:rPr>
                <w:rFonts w:hint="eastAsia" w:ascii="仿宋" w:hAnsi="仿宋" w:eastAsia="仿宋" w:cs="仿宋"/>
                <w:sz w:val="24"/>
                <w:szCs w:val="24"/>
              </w:rPr>
              <w:t>公司名称：</w:t>
            </w:r>
            <w:r>
              <w:rPr>
                <w:rFonts w:hint="eastAsia" w:ascii="仿宋" w:hAnsi="仿宋" w:eastAsia="仿宋" w:cs="仿宋"/>
                <w:sz w:val="24"/>
                <w:szCs w:val="24"/>
                <w:lang w:eastAsia="zh-CN"/>
              </w:rPr>
              <w:t>绍兴市天时工程造价咨询有限公司</w:t>
            </w:r>
          </w:p>
          <w:p>
            <w:pPr>
              <w:spacing w:line="288" w:lineRule="auto"/>
              <w:rPr>
                <w:rFonts w:hint="eastAsia" w:ascii="仿宋" w:hAnsi="仿宋" w:eastAsia="仿宋" w:cs="仿宋"/>
                <w:sz w:val="24"/>
                <w:szCs w:val="24"/>
              </w:rPr>
            </w:pPr>
            <w:r>
              <w:rPr>
                <w:rFonts w:hint="eastAsia" w:ascii="仿宋" w:hAnsi="仿宋" w:eastAsia="仿宋" w:cs="仿宋"/>
                <w:sz w:val="24"/>
                <w:szCs w:val="24"/>
              </w:rPr>
              <w:t>账    号：201000089829552</w:t>
            </w:r>
          </w:p>
          <w:p>
            <w:pPr>
              <w:keepLines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开 户 行：浙江绍兴恒信农村</w:t>
            </w:r>
            <w:r>
              <w:rPr>
                <w:rFonts w:hint="eastAsia" w:ascii="仿宋" w:hAnsi="仿宋" w:eastAsia="仿宋" w:cs="仿宋"/>
                <w:sz w:val="24"/>
                <w:szCs w:val="24"/>
                <w:lang w:val="en-US" w:eastAsia="zh-CN"/>
              </w:rPr>
              <w:t>商业</w:t>
            </w:r>
            <w:r>
              <w:rPr>
                <w:rFonts w:hint="eastAsia" w:ascii="仿宋" w:hAnsi="仿宋" w:eastAsia="仿宋" w:cs="仿宋"/>
                <w:sz w:val="24"/>
                <w:szCs w:val="24"/>
              </w:rPr>
              <w:t>银行</w:t>
            </w:r>
            <w:r>
              <w:rPr>
                <w:rFonts w:hint="eastAsia" w:ascii="仿宋" w:hAnsi="仿宋" w:eastAsia="仿宋" w:cs="仿宋"/>
                <w:sz w:val="24"/>
                <w:szCs w:val="24"/>
                <w:lang w:val="en-US" w:eastAsia="zh-CN"/>
              </w:rPr>
              <w:t>股份有限公司</w:t>
            </w:r>
            <w:r>
              <w:rPr>
                <w:rFonts w:hint="eastAsia" w:ascii="仿宋" w:hAnsi="仿宋" w:eastAsia="仿宋" w:cs="仿宋"/>
                <w:sz w:val="24"/>
                <w:szCs w:val="24"/>
              </w:rPr>
              <w:t>迪荡支行</w:t>
            </w:r>
          </w:p>
          <w:p>
            <w:pPr>
              <w:keepLines w:val="0"/>
              <w:kinsoku/>
              <w:wordWrap/>
              <w:overflowPunct/>
              <w:topLinePunct w:val="0"/>
              <w:bidi w:val="0"/>
              <w:spacing w:line="288" w:lineRule="auto"/>
              <w:rPr>
                <w:rFonts w:hint="eastAsia" w:hAnsi="仿宋" w:eastAsia="仿宋" w:cs="仿宋"/>
                <w:color w:val="000000"/>
                <w:sz w:val="24"/>
                <w:highlight w:val="none"/>
              </w:rPr>
            </w:pPr>
            <w:r>
              <w:rPr>
                <w:rFonts w:hint="eastAsia" w:ascii="仿宋" w:hAnsi="仿宋" w:eastAsia="仿宋" w:cs="仿宋"/>
                <w:color w:val="000000"/>
                <w:sz w:val="24"/>
                <w:highlight w:val="none"/>
              </w:rPr>
              <w:t>3.</w:t>
            </w:r>
            <w:r>
              <w:rPr>
                <w:rFonts w:hint="eastAsia" w:hAnsi="仿宋" w:eastAsia="仿宋" w:cs="仿宋"/>
                <w:color w:val="000000"/>
                <w:sz w:val="24"/>
                <w:highlight w:val="none"/>
              </w:rPr>
              <w:t>领取中标通知书前交纳。</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color w:val="000000"/>
                <w:sz w:val="24"/>
                <w:highlight w:val="none"/>
                <w:lang w:val="en-US" w:eastAsia="zh-CN" w:bidi="ar-SA"/>
              </w:rPr>
              <w:t>4.其他：专</w:t>
            </w:r>
            <w:r>
              <w:rPr>
                <w:rFonts w:hint="eastAsia" w:ascii="仿宋" w:hAnsi="仿宋" w:eastAsia="仿宋" w:cs="仿宋"/>
                <w:bCs/>
                <w:sz w:val="24"/>
                <w:highlight w:val="none"/>
              </w:rPr>
              <w:t>家评审费按《绍兴市公共资源交易评审费支付标准》进行支付</w:t>
            </w:r>
            <w:r>
              <w:rPr>
                <w:rFonts w:hint="eastAsia" w:ascii="仿宋" w:hAnsi="仿宋" w:eastAsia="仿宋" w:cs="仿宋"/>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3" w:name="_Toc164416483"/>
      <w:bookmarkStart w:id="14"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5"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5"/>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16" w:name="_Hlt68072998"/>
      <w:bookmarkEnd w:id="16"/>
      <w:bookmarkStart w:id="17" w:name="_Hlt68072990"/>
      <w:bookmarkEnd w:id="17"/>
      <w:bookmarkStart w:id="18" w:name="_Hlt75236101"/>
      <w:bookmarkEnd w:id="18"/>
      <w:bookmarkStart w:id="19" w:name="_Hlt74730295"/>
      <w:bookmarkEnd w:id="19"/>
      <w:bookmarkStart w:id="20" w:name="_Hlt74707468"/>
      <w:bookmarkEnd w:id="20"/>
      <w:bookmarkStart w:id="21" w:name="_Hlt74729768"/>
      <w:bookmarkEnd w:id="21"/>
      <w:bookmarkStart w:id="22" w:name="_Hlt68073093"/>
      <w:bookmarkEnd w:id="22"/>
      <w:bookmarkStart w:id="23" w:name="_Hlt74714665"/>
      <w:bookmarkEnd w:id="23"/>
      <w:bookmarkStart w:id="24" w:name="_Hlt68403820"/>
      <w:bookmarkEnd w:id="24"/>
      <w:bookmarkStart w:id="25" w:name="_Hlt75236011"/>
      <w:bookmarkEnd w:id="25"/>
      <w:bookmarkStart w:id="26" w:name="_Hlt75236290"/>
      <w:bookmarkEnd w:id="26"/>
      <w:bookmarkStart w:id="27" w:name="_Hlt68057669"/>
      <w:bookmarkEnd w:id="27"/>
      <w:bookmarkStart w:id="28" w:name="_Toc81372776"/>
      <w:bookmarkStart w:id="29" w:name="_Toc81372953"/>
      <w:bookmarkStart w:id="30" w:name="_Toc84325929"/>
      <w:r>
        <w:rPr>
          <w:rFonts w:hint="eastAsia" w:ascii="仿宋" w:hAnsi="仿宋" w:eastAsia="仿宋" w:cs="仿宋"/>
          <w:b/>
          <w:sz w:val="32"/>
          <w:szCs w:val="32"/>
        </w:rPr>
        <w:t>五、授予合同</w:t>
      </w:r>
    </w:p>
    <w:bookmarkEnd w:id="28"/>
    <w:bookmarkEnd w:id="29"/>
    <w:bookmarkEnd w:id="30"/>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134" w:bottom="1474" w:left="1474" w:header="851" w:footer="992" w:gutter="0"/>
          <w:pgNumType w:fmt="decimal" w:start="1"/>
          <w:cols w:space="720" w:num="1"/>
          <w:docGrid w:linePitch="312" w:charSpace="0"/>
        </w:sectPr>
      </w:pPr>
    </w:p>
    <w:bookmarkEnd w:id="13"/>
    <w:bookmarkEnd w:id="14"/>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1" w:name="第四部分"/>
      <w:r>
        <w:rPr>
          <w:rFonts w:hint="eastAsia" w:ascii="仿宋" w:hAnsi="仿宋" w:eastAsia="仿宋" w:cs="仿宋"/>
          <w:b/>
          <w:sz w:val="36"/>
          <w:szCs w:val="36"/>
        </w:rPr>
        <w:t>第三部分   招标项目范围及要求</w:t>
      </w:r>
    </w:p>
    <w:bookmarkEnd w:id="31"/>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bCs w:val="0"/>
          <w:color w:val="auto"/>
          <w:sz w:val="24"/>
          <w:lang w:val="en-US" w:eastAsia="zh-CN"/>
        </w:rPr>
      </w:pPr>
      <w:bookmarkStart w:id="32" w:name="第五部分"/>
      <w:bookmarkStart w:id="33" w:name="_Toc86217003"/>
      <w:r>
        <w:rPr>
          <w:rFonts w:hint="eastAsia" w:ascii="仿宋_GB2312" w:hAnsi="仿宋_GB2312" w:eastAsia="仿宋_GB2312" w:cs="仿宋_GB2312"/>
          <w:b/>
          <w:bCs/>
          <w:sz w:val="24"/>
          <w:szCs w:val="24"/>
          <w:highlight w:val="none"/>
          <w:bdr w:val="single" w:color="auto" w:sz="4" w:space="0"/>
        </w:rPr>
        <w:t>01标</w:t>
      </w:r>
      <w:r>
        <w:rPr>
          <w:rFonts w:hint="eastAsia" w:ascii="仿宋" w:hAnsi="仿宋" w:eastAsia="仿宋" w:cs="仿宋"/>
          <w:b/>
          <w:bCs w:val="0"/>
          <w:color w:val="auto"/>
          <w:sz w:val="24"/>
          <w:lang w:val="en-US" w:eastAsia="zh-CN"/>
        </w:rPr>
        <w:t>线上政务宣传服务项目</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outlineLvl w:val="0"/>
        <w:rPr>
          <w:rFonts w:hint="default" w:ascii="仿宋" w:hAnsi="仿宋" w:eastAsia="仿宋" w:cs="仿宋"/>
          <w:b/>
          <w:bCs w:val="0"/>
          <w:color w:val="auto"/>
          <w:sz w:val="24"/>
          <w:lang w:val="en-US" w:eastAsia="zh-CN"/>
        </w:rPr>
      </w:pPr>
      <w:r>
        <w:rPr>
          <w:rFonts w:hint="default" w:ascii="仿宋" w:hAnsi="仿宋" w:eastAsia="仿宋" w:cs="仿宋"/>
          <w:b/>
          <w:bCs w:val="0"/>
          <w:color w:val="auto"/>
          <w:sz w:val="24"/>
          <w:lang w:val="en-US" w:eastAsia="zh-CN"/>
        </w:rPr>
        <w:t>1.服务内容</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拥有专业团队，具备基于微信公众号为主的线上政务宣传服务能力和丰富经验，能按绍兴市综合行政执法局需求提供相关技术性支持。</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outlineLvl w:val="0"/>
        <w:rPr>
          <w:rFonts w:hint="default" w:ascii="仿宋" w:hAnsi="仿宋" w:eastAsia="仿宋" w:cs="仿宋"/>
          <w:b/>
          <w:bCs w:val="0"/>
          <w:color w:val="auto"/>
          <w:sz w:val="24"/>
          <w:lang w:val="en-US" w:eastAsia="zh-CN"/>
        </w:rPr>
      </w:pPr>
      <w:r>
        <w:rPr>
          <w:rFonts w:hint="default" w:ascii="仿宋" w:hAnsi="仿宋" w:eastAsia="仿宋" w:cs="仿宋"/>
          <w:b/>
          <w:bCs w:val="0"/>
          <w:color w:val="auto"/>
          <w:sz w:val="24"/>
          <w:lang w:val="en-US" w:eastAsia="zh-CN"/>
        </w:rPr>
        <w:t>2.服务时间</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合同签订之日起至2024年12月31日。</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outlineLvl w:val="0"/>
        <w:rPr>
          <w:rFonts w:hint="default" w:ascii="仿宋" w:hAnsi="仿宋" w:eastAsia="仿宋" w:cs="仿宋"/>
          <w:b/>
          <w:bCs w:val="0"/>
          <w:color w:val="auto"/>
          <w:sz w:val="24"/>
          <w:lang w:val="en-US" w:eastAsia="zh-CN"/>
        </w:rPr>
      </w:pPr>
      <w:r>
        <w:rPr>
          <w:rFonts w:hint="default" w:ascii="仿宋" w:hAnsi="仿宋" w:eastAsia="仿宋" w:cs="仿宋"/>
          <w:b/>
          <w:bCs w:val="0"/>
          <w:color w:val="auto"/>
          <w:sz w:val="24"/>
          <w:lang w:val="en-US" w:eastAsia="zh-CN"/>
        </w:rPr>
        <w:t>3.具体服务要求</w:t>
      </w:r>
    </w:p>
    <w:tbl>
      <w:tblPr>
        <w:tblStyle w:val="62"/>
        <w:tblW w:w="5000" w:type="pct"/>
        <w:tblInd w:w="0" w:type="dxa"/>
        <w:tblLayout w:type="autofit"/>
        <w:tblCellMar>
          <w:top w:w="0" w:type="dxa"/>
          <w:left w:w="108" w:type="dxa"/>
          <w:bottom w:w="0" w:type="dxa"/>
          <w:right w:w="108" w:type="dxa"/>
        </w:tblCellMar>
      </w:tblPr>
      <w:tblGrid>
        <w:gridCol w:w="1782"/>
        <w:gridCol w:w="2230"/>
        <w:gridCol w:w="5558"/>
      </w:tblGrid>
      <w:tr>
        <w:tblPrEx>
          <w:tblCellMar>
            <w:top w:w="0" w:type="dxa"/>
            <w:left w:w="108" w:type="dxa"/>
            <w:bottom w:w="0" w:type="dxa"/>
            <w:right w:w="108" w:type="dxa"/>
          </w:tblCellMar>
        </w:tblPrEx>
        <w:trPr>
          <w:trHeight w:val="390" w:hRule="atLeast"/>
        </w:trPr>
        <w:tc>
          <w:tcPr>
            <w:tcW w:w="931" w:type="pct"/>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类别</w:t>
            </w:r>
          </w:p>
        </w:tc>
        <w:tc>
          <w:tcPr>
            <w:tcW w:w="1165" w:type="pct"/>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项目</w:t>
            </w:r>
          </w:p>
        </w:tc>
        <w:tc>
          <w:tcPr>
            <w:tcW w:w="2903"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内容</w:t>
            </w:r>
          </w:p>
        </w:tc>
      </w:tr>
      <w:tr>
        <w:tblPrEx>
          <w:tblCellMar>
            <w:top w:w="0" w:type="dxa"/>
            <w:left w:w="108" w:type="dxa"/>
            <w:bottom w:w="0" w:type="dxa"/>
            <w:right w:w="108" w:type="dxa"/>
          </w:tblCellMar>
        </w:tblPrEx>
        <w:trPr>
          <w:trHeight w:val="689" w:hRule="exact"/>
        </w:trPr>
        <w:tc>
          <w:tcPr>
            <w:tcW w:w="93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综合宣传服务</w:t>
            </w:r>
          </w:p>
        </w:tc>
        <w:tc>
          <w:tcPr>
            <w:tcW w:w="116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技术支持</w:t>
            </w: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重要节气、节假日单配图（不少于10张/年）</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专题图文策划及图文形式不少于10次</w:t>
            </w:r>
          </w:p>
        </w:tc>
      </w:tr>
      <w:tr>
        <w:tblPrEx>
          <w:tblCellMar>
            <w:top w:w="0" w:type="dxa"/>
            <w:left w:w="108" w:type="dxa"/>
            <w:bottom w:w="0" w:type="dxa"/>
            <w:right w:w="108" w:type="dxa"/>
          </w:tblCellMar>
        </w:tblPrEx>
        <w:trPr>
          <w:trHeight w:val="962"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条漫长图（如城市管理Q&amp;A、事项划转、节点宣传等）不少于4次</w:t>
            </w:r>
          </w:p>
        </w:tc>
      </w:tr>
      <w:tr>
        <w:tblPrEx>
          <w:tblCellMar>
            <w:top w:w="0" w:type="dxa"/>
            <w:left w:w="108" w:type="dxa"/>
            <w:bottom w:w="0" w:type="dxa"/>
            <w:right w:w="108" w:type="dxa"/>
          </w:tblCellMar>
        </w:tblPrEx>
        <w:trPr>
          <w:trHeight w:val="929"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功能服务维护、优化，版面界面美化创新，确保配置与体验稳步提升</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驻点支持</w:t>
            </w: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常驻工作人员1名</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专业图文美化编排支持</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会议、活动专业拍摄支持</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日常宣传信息、资料收集、整理等</w:t>
            </w:r>
          </w:p>
        </w:tc>
      </w:tr>
      <w:tr>
        <w:tblPrEx>
          <w:tblCellMar>
            <w:top w:w="0" w:type="dxa"/>
            <w:left w:w="108" w:type="dxa"/>
            <w:bottom w:w="0" w:type="dxa"/>
            <w:right w:w="108" w:type="dxa"/>
          </w:tblCellMar>
        </w:tblPrEx>
        <w:trPr>
          <w:trHeight w:val="1003"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活动支持</w:t>
            </w: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答题、问卷、投票、积分兑换等线上</w:t>
            </w:r>
            <w:r>
              <w:rPr>
                <w:rFonts w:hint="eastAsia" w:ascii="仿宋" w:hAnsi="仿宋" w:eastAsia="仿宋" w:cs="仿宋"/>
                <w:b w:val="0"/>
                <w:bCs/>
                <w:color w:val="auto"/>
                <w:sz w:val="24"/>
                <w:lang w:val="en-US" w:eastAsia="zh-CN"/>
              </w:rPr>
              <w:t>线下</w:t>
            </w:r>
            <w:r>
              <w:rPr>
                <w:rFonts w:hint="default" w:ascii="仿宋" w:hAnsi="仿宋" w:eastAsia="仿宋" w:cs="仿宋"/>
                <w:b w:val="0"/>
                <w:bCs/>
                <w:color w:val="auto"/>
                <w:sz w:val="24"/>
                <w:lang w:val="en-US" w:eastAsia="zh-CN"/>
              </w:rPr>
              <w:t>活动</w:t>
            </w:r>
            <w:r>
              <w:rPr>
                <w:rFonts w:hint="eastAsia" w:ascii="仿宋" w:hAnsi="仿宋" w:eastAsia="仿宋" w:cs="仿宋"/>
                <w:b w:val="0"/>
                <w:bCs/>
                <w:color w:val="auto"/>
                <w:sz w:val="24"/>
                <w:lang w:val="en-US" w:eastAsia="zh-CN"/>
              </w:rPr>
              <w:t>策划</w:t>
            </w:r>
            <w:r>
              <w:rPr>
                <w:rFonts w:hint="default" w:ascii="仿宋" w:hAnsi="仿宋" w:eastAsia="仿宋" w:cs="仿宋"/>
                <w:b w:val="0"/>
                <w:bCs/>
                <w:color w:val="auto"/>
                <w:sz w:val="24"/>
                <w:lang w:val="en-US" w:eastAsia="zh-CN"/>
              </w:rPr>
              <w:t>设计开发，不少于6次/年</w:t>
            </w:r>
          </w:p>
        </w:tc>
      </w:tr>
      <w:tr>
        <w:tblPrEx>
          <w:tblCellMar>
            <w:top w:w="0" w:type="dxa"/>
            <w:left w:w="108" w:type="dxa"/>
            <w:bottom w:w="0" w:type="dxa"/>
            <w:right w:w="108" w:type="dxa"/>
          </w:tblCellMar>
        </w:tblPrEx>
        <w:trPr>
          <w:trHeight w:val="919" w:hRule="exact"/>
        </w:trPr>
        <w:tc>
          <w:tcPr>
            <w:tcW w:w="931" w:type="pct"/>
            <w:vMerge w:val="continue"/>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基于设计开发的线上活动，提供前期策划及后期执行配套保障</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outlineLvl w:val="0"/>
        <w:rPr>
          <w:rFonts w:hint="default"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4.</w:t>
      </w:r>
      <w:r>
        <w:rPr>
          <w:rFonts w:hint="default" w:ascii="仿宋" w:hAnsi="仿宋" w:eastAsia="仿宋" w:cs="仿宋"/>
          <w:b/>
          <w:bCs w:val="0"/>
          <w:color w:val="auto"/>
          <w:sz w:val="24"/>
          <w:lang w:val="en-US" w:eastAsia="zh-CN"/>
        </w:rPr>
        <w:t>其他要求</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4.1中标供应商应保证提供服务过程中不会侵犯任何第三方的知识产权。保障版权无任何风险。</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4.2提供全面的本地化技术支持服务。</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4.3中标供应商应尽职尽责为采购人提供服务，按时、按质、按量完成采购人委托的业务。</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4.4本采购需求未明示的相关需求及服务，在经费范围内，按采购人要求执行。</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outlineLvl w:val="0"/>
        <w:rPr>
          <w:rFonts w:hint="default" w:ascii="仿宋" w:hAnsi="仿宋" w:eastAsia="仿宋" w:cs="仿宋"/>
          <w:b/>
          <w:bCs w:val="0"/>
          <w:color w:val="auto"/>
          <w:sz w:val="24"/>
          <w:lang w:val="en-US" w:eastAsia="zh-CN"/>
        </w:rPr>
      </w:pPr>
      <w:r>
        <w:rPr>
          <w:rFonts w:hint="default" w:ascii="仿宋" w:hAnsi="仿宋" w:eastAsia="仿宋" w:cs="仿宋"/>
          <w:b/>
          <w:bCs w:val="0"/>
          <w:color w:val="auto"/>
          <w:sz w:val="24"/>
          <w:lang w:val="en-US" w:eastAsia="zh-CN"/>
        </w:rPr>
        <w:t>5.付款方式</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采购人在合同生效</w:t>
      </w:r>
      <w:r>
        <w:rPr>
          <w:rFonts w:hint="eastAsia" w:ascii="仿宋" w:hAnsi="仿宋" w:eastAsia="仿宋" w:cs="仿宋"/>
          <w:b w:val="0"/>
          <w:bCs/>
          <w:color w:val="auto"/>
          <w:sz w:val="24"/>
          <w:lang w:val="en-US" w:eastAsia="zh-CN"/>
        </w:rPr>
        <w:t>及具备实条件后7个工作日内，</w:t>
      </w:r>
      <w:r>
        <w:rPr>
          <w:rFonts w:hint="default" w:ascii="仿宋" w:hAnsi="仿宋" w:eastAsia="仿宋" w:cs="仿宋"/>
          <w:b w:val="0"/>
          <w:bCs/>
          <w:color w:val="auto"/>
          <w:sz w:val="24"/>
          <w:lang w:val="en-US" w:eastAsia="zh-CN"/>
        </w:rPr>
        <w:t>支付乙方合同总金额的40%；后续与合同执行进度同步再分两次支付40%、20%款项。</w:t>
      </w:r>
    </w:p>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ind w:right="-210" w:rightChars="-100"/>
        <w:rPr>
          <w:rFonts w:hint="eastAsia" w:eastAsia="黑体"/>
          <w:sz w:val="28"/>
          <w:szCs w:val="28"/>
        </w:rPr>
      </w:pPr>
    </w:p>
    <w:p>
      <w:pPr>
        <w:ind w:right="-210" w:rightChars="-100"/>
        <w:rPr>
          <w:rFonts w:eastAsia="黑体"/>
          <w:sz w:val="28"/>
          <w:szCs w:val="28"/>
        </w:rPr>
      </w:pPr>
      <w:r>
        <w:rPr>
          <w:rFonts w:hint="eastAsia" w:eastAsia="黑体"/>
          <w:sz w:val="28"/>
          <w:szCs w:val="28"/>
        </w:rPr>
        <w:t>合同编号：</w:t>
      </w:r>
    </w:p>
    <w:p>
      <w:pPr>
        <w:jc w:val="center"/>
        <w:rPr>
          <w:rFonts w:eastAsia="黑体"/>
          <w:sz w:val="28"/>
          <w:szCs w:val="28"/>
        </w:rPr>
      </w:pPr>
    </w:p>
    <w:p>
      <w:pPr>
        <w:jc w:val="center"/>
        <w:rPr>
          <w:rFonts w:eastAsia="黑体"/>
          <w:sz w:val="28"/>
          <w:szCs w:val="28"/>
        </w:rPr>
      </w:pPr>
    </w:p>
    <w:p>
      <w:pPr>
        <w:jc w:val="center"/>
        <w:rPr>
          <w:rFonts w:eastAsia="黑体"/>
          <w:b/>
          <w:bCs/>
          <w:sz w:val="28"/>
          <w:szCs w:val="28"/>
        </w:rPr>
      </w:pPr>
      <w:r>
        <w:rPr>
          <w:rFonts w:hint="eastAsia" w:eastAsia="黑体"/>
          <w:b/>
          <w:bCs/>
          <w:sz w:val="28"/>
          <w:szCs w:val="28"/>
        </w:rPr>
        <w:t>服务合同</w:t>
      </w:r>
    </w:p>
    <w:p>
      <w:pPr>
        <w:jc w:val="center"/>
        <w:rPr>
          <w:rFonts w:eastAsia="黑体"/>
          <w:sz w:val="28"/>
          <w:szCs w:val="28"/>
        </w:rPr>
      </w:pPr>
    </w:p>
    <w:p>
      <w:pPr>
        <w:jc w:val="center"/>
        <w:rPr>
          <w:rFonts w:eastAsia="黑体"/>
          <w:sz w:val="28"/>
          <w:szCs w:val="28"/>
        </w:rPr>
      </w:pPr>
    </w:p>
    <w:p>
      <w:pPr>
        <w:spacing w:line="840" w:lineRule="exact"/>
        <w:ind w:firstLine="562" w:firstLineChars="200"/>
        <w:jc w:val="both"/>
        <w:rPr>
          <w:rFonts w:hint="eastAsia" w:ascii="仿宋_GB2312" w:eastAsia="仿宋_GB2312"/>
          <w:bCs/>
          <w:sz w:val="28"/>
          <w:szCs w:val="28"/>
          <w:u w:val="single"/>
          <w:lang w:eastAsia="zh-CN"/>
        </w:rPr>
      </w:pPr>
      <w:r>
        <w:rPr>
          <w:rFonts w:hint="eastAsia" w:ascii="仿宋_GB2312" w:eastAsia="仿宋_GB2312"/>
          <w:b/>
          <w:bCs/>
          <w:sz w:val="28"/>
          <w:szCs w:val="28"/>
        </w:rPr>
        <w:t>合同名称：</w:t>
      </w:r>
      <w:bookmarkStart w:id="34" w:name="_Hlk53477701"/>
      <w:r>
        <w:rPr>
          <w:rFonts w:hint="eastAsia" w:ascii="仿宋_GB2312" w:eastAsia="仿宋_GB2312"/>
          <w:bCs/>
          <w:sz w:val="28"/>
          <w:szCs w:val="28"/>
          <w:u w:val="single"/>
          <w:lang w:eastAsia="zh-CN"/>
        </w:rPr>
        <w:t>线上政务宣传服务项目</w:t>
      </w:r>
    </w:p>
    <w:bookmarkEnd w:id="34"/>
    <w:p>
      <w:pPr>
        <w:spacing w:line="840" w:lineRule="exact"/>
        <w:ind w:firstLine="562" w:firstLineChars="200"/>
        <w:jc w:val="both"/>
        <w:rPr>
          <w:rFonts w:hint="default" w:ascii="仿宋_GB2312" w:eastAsia="仿宋_GB2312"/>
          <w:bCs/>
          <w:sz w:val="28"/>
          <w:szCs w:val="28"/>
          <w:lang w:val="en-US" w:eastAsia="zh-CN"/>
        </w:rPr>
      </w:pPr>
      <w:r>
        <w:rPr>
          <w:rFonts w:hint="eastAsia" w:ascii="仿宋_GB2312" w:eastAsia="仿宋_GB2312"/>
          <w:b/>
          <w:bCs/>
          <w:sz w:val="28"/>
          <w:szCs w:val="28"/>
        </w:rPr>
        <w:t>委托方（甲方）</w:t>
      </w:r>
      <w:r>
        <w:rPr>
          <w:rFonts w:hint="eastAsia" w:ascii="仿宋_GB2312" w:eastAsia="仿宋_GB2312"/>
          <w:bCs/>
          <w:sz w:val="28"/>
          <w:szCs w:val="28"/>
        </w:rPr>
        <w:t>：</w:t>
      </w:r>
      <w:r>
        <w:rPr>
          <w:rFonts w:hint="eastAsia" w:ascii="仿宋_GB2312" w:eastAsia="仿宋_GB2312"/>
          <w:bCs/>
          <w:sz w:val="28"/>
          <w:szCs w:val="28"/>
          <w:u w:val="single"/>
        </w:rPr>
        <w:t xml:space="preserve"> </w:t>
      </w:r>
      <w:r>
        <w:rPr>
          <w:rFonts w:ascii="仿宋_GB2312" w:eastAsia="仿宋_GB2312"/>
          <w:bCs/>
          <w:sz w:val="28"/>
          <w:szCs w:val="28"/>
          <w:u w:val="single"/>
        </w:rPr>
        <w:t xml:space="preserve">     </w:t>
      </w:r>
      <w:r>
        <w:rPr>
          <w:rFonts w:hint="eastAsia" w:ascii="仿宋_GB2312" w:eastAsia="仿宋_GB2312"/>
          <w:bCs/>
          <w:sz w:val="28"/>
          <w:szCs w:val="28"/>
          <w:u w:val="single"/>
        </w:rPr>
        <w:t>绍兴市综合行政执法局</w:t>
      </w:r>
      <w:r>
        <w:rPr>
          <w:rFonts w:hint="eastAsia" w:ascii="仿宋_GB2312" w:eastAsia="仿宋_GB2312"/>
          <w:bCs/>
          <w:sz w:val="28"/>
          <w:szCs w:val="28"/>
          <w:u w:val="single"/>
          <w:lang w:val="en-US" w:eastAsia="zh-CN"/>
        </w:rPr>
        <w:t xml:space="preserve">   </w:t>
      </w:r>
    </w:p>
    <w:p>
      <w:pPr>
        <w:spacing w:line="840" w:lineRule="exact"/>
        <w:ind w:firstLine="562" w:firstLineChars="200"/>
        <w:jc w:val="both"/>
        <w:rPr>
          <w:rFonts w:hint="eastAsia" w:ascii="仿宋_GB2312" w:eastAsia="仿宋_GB2312"/>
          <w:bCs/>
          <w:sz w:val="28"/>
          <w:szCs w:val="28"/>
          <w:lang w:val="en-US" w:eastAsia="zh-CN"/>
        </w:rPr>
      </w:pPr>
      <w:r>
        <w:rPr>
          <w:rFonts w:hint="eastAsia" w:ascii="仿宋_GB2312" w:eastAsia="仿宋_GB2312"/>
          <w:b/>
          <w:bCs/>
          <w:sz w:val="28"/>
          <w:szCs w:val="28"/>
        </w:rPr>
        <w:t>受托方（乙方）</w:t>
      </w:r>
      <w:r>
        <w:rPr>
          <w:rFonts w:hint="eastAsia" w:ascii="仿宋_GB2312" w:eastAsia="仿宋_GB2312"/>
          <w:bCs/>
          <w:sz w:val="28"/>
          <w:szCs w:val="28"/>
        </w:rPr>
        <w:t>：</w:t>
      </w:r>
      <w:r>
        <w:rPr>
          <w:rFonts w:hint="eastAsia" w:ascii="仿宋_GB2312" w:eastAsia="仿宋_GB2312"/>
          <w:bCs/>
          <w:sz w:val="28"/>
          <w:szCs w:val="28"/>
          <w:u w:val="single"/>
        </w:rPr>
        <w:t xml:space="preserve"> </w:t>
      </w:r>
      <w:r>
        <w:rPr>
          <w:rFonts w:ascii="仿宋_GB2312" w:eastAsia="仿宋_GB2312"/>
          <w:bCs/>
          <w:sz w:val="28"/>
          <w:szCs w:val="28"/>
          <w:u w:val="single"/>
        </w:rPr>
        <w:t xml:space="preserve"> </w:t>
      </w:r>
      <w:r>
        <w:rPr>
          <w:rFonts w:hint="eastAsia" w:ascii="仿宋_GB2312" w:eastAsia="仿宋_GB2312"/>
          <w:bCs/>
          <w:sz w:val="28"/>
          <w:szCs w:val="28"/>
          <w:u w:val="single"/>
          <w:lang w:val="en-US" w:eastAsia="zh-CN"/>
        </w:rPr>
        <w:t xml:space="preserve">                               </w:t>
      </w:r>
    </w:p>
    <w:p>
      <w:pPr>
        <w:spacing w:line="840" w:lineRule="exact"/>
        <w:rPr>
          <w:rFonts w:ascii="仿宋_GB2312" w:eastAsia="仿宋_GB2312"/>
          <w:bCs/>
          <w:sz w:val="32"/>
          <w:szCs w:val="32"/>
        </w:rPr>
      </w:pPr>
    </w:p>
    <w:p>
      <w:pPr>
        <w:snapToGrid w:val="0"/>
        <w:spacing w:line="840" w:lineRule="exact"/>
        <w:ind w:right="-483" w:rightChars="-230"/>
        <w:jc w:val="center"/>
        <w:rPr>
          <w:rFonts w:ascii="仿宋_GB2312" w:hAnsi="宋体" w:eastAsia="仿宋_GB2312"/>
          <w:sz w:val="24"/>
        </w:rPr>
      </w:pPr>
    </w:p>
    <w:p>
      <w:pPr>
        <w:snapToGrid w:val="0"/>
        <w:spacing w:line="840" w:lineRule="exact"/>
        <w:ind w:right="-483" w:rightChars="-230"/>
        <w:jc w:val="center"/>
        <w:rPr>
          <w:rFonts w:ascii="仿宋_GB2312" w:hAnsi="宋体" w:eastAsia="仿宋_GB2312"/>
          <w:sz w:val="24"/>
        </w:rPr>
      </w:pPr>
    </w:p>
    <w:p>
      <w:pPr>
        <w:snapToGrid w:val="0"/>
        <w:spacing w:line="840" w:lineRule="exact"/>
        <w:ind w:right="-483" w:rightChars="-230"/>
        <w:jc w:val="center"/>
        <w:rPr>
          <w:rFonts w:ascii="仿宋_GB2312" w:hAnsi="宋体" w:eastAsia="仿宋_GB2312"/>
          <w:sz w:val="24"/>
        </w:rPr>
      </w:pPr>
    </w:p>
    <w:p>
      <w:pPr>
        <w:snapToGrid w:val="0"/>
        <w:spacing w:line="240" w:lineRule="auto"/>
        <w:ind w:right="0" w:rightChars="0"/>
        <w:jc w:val="center"/>
        <w:rPr>
          <w:sz w:val="32"/>
          <w:szCs w:val="32"/>
        </w:rPr>
      </w:pPr>
      <w:r>
        <w:rPr>
          <w:sz w:val="32"/>
          <w:szCs w:val="32"/>
        </w:rPr>
        <w:br w:type="page"/>
      </w:r>
    </w:p>
    <w:p>
      <w:pPr>
        <w:snapToGrid w:val="0"/>
        <w:spacing w:line="240" w:lineRule="auto"/>
        <w:ind w:right="0" w:rightChars="0"/>
        <w:jc w:val="center"/>
        <w:rPr>
          <w:sz w:val="32"/>
          <w:szCs w:val="32"/>
        </w:rPr>
      </w:pPr>
    </w:p>
    <w:p>
      <w:pPr>
        <w:snapToGrid w:val="0"/>
        <w:spacing w:line="240" w:lineRule="auto"/>
        <w:ind w:right="0" w:rightChars="0"/>
        <w:jc w:val="center"/>
        <w:rPr>
          <w:rFonts w:ascii="黑体" w:hAnsi="黑体" w:eastAsia="黑体" w:cs="黑体"/>
          <w:b/>
          <w:bCs/>
          <w:sz w:val="32"/>
          <w:szCs w:val="32"/>
        </w:rPr>
      </w:pPr>
      <w:r>
        <w:rPr>
          <w:rFonts w:hint="eastAsia" w:ascii="黑体" w:hAnsi="黑体" w:eastAsia="黑体" w:cs="黑体"/>
          <w:b/>
          <w:bCs/>
          <w:sz w:val="32"/>
          <w:szCs w:val="32"/>
          <w:lang w:eastAsia="zh-CN"/>
        </w:rPr>
        <w:t>线上政务宣传服务项目</w:t>
      </w:r>
      <w:r>
        <w:rPr>
          <w:rFonts w:hint="eastAsia" w:ascii="黑体" w:hAnsi="黑体" w:eastAsia="黑体" w:cs="黑体"/>
          <w:b/>
          <w:bCs/>
          <w:sz w:val="32"/>
          <w:szCs w:val="32"/>
        </w:rPr>
        <w:t>协议</w:t>
      </w:r>
    </w:p>
    <w:p>
      <w:pPr>
        <w:spacing w:line="530" w:lineRule="exact"/>
        <w:rPr>
          <w:rFonts w:ascii="宋体" w:cs="黑体"/>
          <w:kern w:val="28"/>
          <w:sz w:val="24"/>
          <w:szCs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kern w:val="28"/>
          <w:sz w:val="28"/>
          <w:szCs w:val="28"/>
        </w:rPr>
      </w:pPr>
      <w:r>
        <w:rPr>
          <w:rFonts w:hint="eastAsia" w:ascii="仿宋" w:hAnsi="仿宋" w:eastAsia="仿宋" w:cs="仿宋"/>
          <w:bCs/>
          <w:kern w:val="28"/>
          <w:sz w:val="28"/>
          <w:szCs w:val="28"/>
        </w:rPr>
        <w:t>甲方：绍兴市综合行政执法局</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kern w:val="28"/>
          <w:sz w:val="28"/>
          <w:szCs w:val="28"/>
        </w:rPr>
      </w:pPr>
      <w:r>
        <w:rPr>
          <w:rFonts w:hint="eastAsia" w:ascii="仿宋" w:hAnsi="仿宋" w:eastAsia="仿宋" w:cs="仿宋"/>
          <w:bCs/>
          <w:kern w:val="28"/>
          <w:sz w:val="28"/>
          <w:szCs w:val="28"/>
        </w:rPr>
        <w:t>乙方：</w:t>
      </w:r>
    </w:p>
    <w:p>
      <w:pPr>
        <w:pStyle w:val="61"/>
        <w:rPr>
          <w:rFonts w:hint="eastAsia"/>
        </w:rPr>
      </w:pPr>
    </w:p>
    <w:p>
      <w:pPr>
        <w:pStyle w:val="6"/>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乙双方本着互惠互利、共同发展的原则，经友好协商，就甲方</w:t>
      </w:r>
      <w:r>
        <w:rPr>
          <w:rFonts w:hint="eastAsia" w:ascii="仿宋" w:hAnsi="仿宋" w:eastAsia="仿宋" w:cs="仿宋"/>
          <w:sz w:val="28"/>
          <w:szCs w:val="28"/>
          <w:lang w:eastAsia="zh-CN"/>
        </w:rPr>
        <w:t>线上政务宣传服务项目</w:t>
      </w:r>
      <w:r>
        <w:rPr>
          <w:rFonts w:hint="eastAsia" w:ascii="仿宋" w:hAnsi="仿宋" w:eastAsia="仿宋" w:cs="仿宋"/>
          <w:sz w:val="28"/>
          <w:szCs w:val="28"/>
        </w:rPr>
        <w:t>的合作达成本约定及相关附件约定。双方都已理解并认可本协议的所有内容，同意接受各自相应的权利和义务，并忠实地履行本协议（以下简称本合同）。</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一、服务内容</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乙方为甲方绍兴市综合行政执法局提供线上政务宣传服务。</w:t>
      </w:r>
    </w:p>
    <w:tbl>
      <w:tblPr>
        <w:tblStyle w:val="62"/>
        <w:tblW w:w="5000" w:type="pct"/>
        <w:tblInd w:w="0" w:type="dxa"/>
        <w:tblLayout w:type="autofit"/>
        <w:tblCellMar>
          <w:top w:w="0" w:type="dxa"/>
          <w:left w:w="108" w:type="dxa"/>
          <w:bottom w:w="0" w:type="dxa"/>
          <w:right w:w="108" w:type="dxa"/>
        </w:tblCellMar>
      </w:tblPr>
      <w:tblGrid>
        <w:gridCol w:w="1782"/>
        <w:gridCol w:w="2230"/>
        <w:gridCol w:w="5558"/>
      </w:tblGrid>
      <w:tr>
        <w:tblPrEx>
          <w:tblCellMar>
            <w:top w:w="0" w:type="dxa"/>
            <w:left w:w="108" w:type="dxa"/>
            <w:bottom w:w="0" w:type="dxa"/>
            <w:right w:w="108" w:type="dxa"/>
          </w:tblCellMar>
        </w:tblPrEx>
        <w:trPr>
          <w:trHeight w:val="717" w:hRule="atLeast"/>
        </w:trPr>
        <w:tc>
          <w:tcPr>
            <w:tcW w:w="931" w:type="pct"/>
            <w:tcBorders>
              <w:top w:val="single" w:color="auto" w:sz="8" w:space="0"/>
              <w:left w:val="single" w:color="auto" w:sz="8" w:space="0"/>
              <w:bottom w:val="single" w:color="auto" w:sz="4"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类别</w:t>
            </w:r>
          </w:p>
        </w:tc>
        <w:tc>
          <w:tcPr>
            <w:tcW w:w="1165" w:type="pct"/>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项目</w:t>
            </w:r>
          </w:p>
        </w:tc>
        <w:tc>
          <w:tcPr>
            <w:tcW w:w="2903" w:type="pct"/>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内容</w:t>
            </w:r>
          </w:p>
        </w:tc>
      </w:tr>
      <w:tr>
        <w:tblPrEx>
          <w:tblCellMar>
            <w:top w:w="0" w:type="dxa"/>
            <w:left w:w="108" w:type="dxa"/>
            <w:bottom w:w="0" w:type="dxa"/>
            <w:right w:w="108" w:type="dxa"/>
          </w:tblCellMar>
        </w:tblPrEx>
        <w:trPr>
          <w:trHeight w:val="689" w:hRule="exact"/>
        </w:trPr>
        <w:tc>
          <w:tcPr>
            <w:tcW w:w="93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综合宣传服务</w:t>
            </w:r>
          </w:p>
        </w:tc>
        <w:tc>
          <w:tcPr>
            <w:tcW w:w="116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技术支持</w:t>
            </w: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重要节气、节假日单配图（不少于10张/年）</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专题图文策划及图文形式不少于10次</w:t>
            </w:r>
          </w:p>
        </w:tc>
      </w:tr>
      <w:tr>
        <w:tblPrEx>
          <w:tblCellMar>
            <w:top w:w="0" w:type="dxa"/>
            <w:left w:w="108" w:type="dxa"/>
            <w:bottom w:w="0" w:type="dxa"/>
            <w:right w:w="108" w:type="dxa"/>
          </w:tblCellMar>
        </w:tblPrEx>
        <w:trPr>
          <w:trHeight w:val="962"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条漫长图（如城市管理Q&amp;A、事项划转、节点宣传等）不少于4次</w:t>
            </w:r>
          </w:p>
        </w:tc>
      </w:tr>
      <w:tr>
        <w:tblPrEx>
          <w:tblCellMar>
            <w:top w:w="0" w:type="dxa"/>
            <w:left w:w="108" w:type="dxa"/>
            <w:bottom w:w="0" w:type="dxa"/>
            <w:right w:w="108" w:type="dxa"/>
          </w:tblCellMar>
        </w:tblPrEx>
        <w:trPr>
          <w:trHeight w:val="929"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nil"/>
              <w:left w:val="single" w:color="auto" w:sz="4" w:space="0"/>
              <w:bottom w:val="single" w:color="auto" w:sz="8"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功能服务维护、优化，版面界面美化创新，确保配置与体验稳步提升</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驻点支持</w:t>
            </w: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常驻工作人员1名</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专业图文美化编排支持</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会议、活动专业拍摄支持</w:t>
            </w:r>
          </w:p>
        </w:tc>
      </w:tr>
      <w:tr>
        <w:tblPrEx>
          <w:tblCellMar>
            <w:top w:w="0" w:type="dxa"/>
            <w:left w:w="108" w:type="dxa"/>
            <w:bottom w:w="0" w:type="dxa"/>
            <w:right w:w="108" w:type="dxa"/>
          </w:tblCellMar>
        </w:tblPrEx>
        <w:trPr>
          <w:trHeight w:val="590"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日常宣传信息、资料收集、整理等</w:t>
            </w:r>
          </w:p>
        </w:tc>
      </w:tr>
      <w:tr>
        <w:tblPrEx>
          <w:tblCellMar>
            <w:top w:w="0" w:type="dxa"/>
            <w:left w:w="108" w:type="dxa"/>
            <w:bottom w:w="0" w:type="dxa"/>
            <w:right w:w="108" w:type="dxa"/>
          </w:tblCellMar>
        </w:tblPrEx>
        <w:trPr>
          <w:trHeight w:val="1003" w:hRule="exact"/>
        </w:trPr>
        <w:tc>
          <w:tcPr>
            <w:tcW w:w="93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活动支持</w:t>
            </w: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答题、问卷、投票、积分兑换等线上</w:t>
            </w:r>
            <w:r>
              <w:rPr>
                <w:rFonts w:hint="eastAsia" w:ascii="仿宋" w:hAnsi="仿宋" w:eastAsia="仿宋" w:cs="仿宋"/>
                <w:b w:val="0"/>
                <w:bCs/>
                <w:color w:val="auto"/>
                <w:sz w:val="24"/>
                <w:lang w:val="en-US" w:eastAsia="zh-CN"/>
              </w:rPr>
              <w:t>线下</w:t>
            </w:r>
            <w:r>
              <w:rPr>
                <w:rFonts w:hint="default" w:ascii="仿宋" w:hAnsi="仿宋" w:eastAsia="仿宋" w:cs="仿宋"/>
                <w:b w:val="0"/>
                <w:bCs/>
                <w:color w:val="auto"/>
                <w:sz w:val="24"/>
                <w:lang w:val="en-US" w:eastAsia="zh-CN"/>
              </w:rPr>
              <w:t>活动</w:t>
            </w:r>
            <w:r>
              <w:rPr>
                <w:rFonts w:hint="eastAsia" w:ascii="仿宋" w:hAnsi="仿宋" w:eastAsia="仿宋" w:cs="仿宋"/>
                <w:b w:val="0"/>
                <w:bCs/>
                <w:color w:val="auto"/>
                <w:sz w:val="24"/>
                <w:lang w:val="en-US" w:eastAsia="zh-CN"/>
              </w:rPr>
              <w:t>策划</w:t>
            </w:r>
            <w:r>
              <w:rPr>
                <w:rFonts w:hint="default" w:ascii="仿宋" w:hAnsi="仿宋" w:eastAsia="仿宋" w:cs="仿宋"/>
                <w:b w:val="0"/>
                <w:bCs/>
                <w:color w:val="auto"/>
                <w:sz w:val="24"/>
                <w:lang w:val="en-US" w:eastAsia="zh-CN"/>
              </w:rPr>
              <w:t>设计开发，不少于6次/年</w:t>
            </w:r>
          </w:p>
        </w:tc>
      </w:tr>
      <w:tr>
        <w:tblPrEx>
          <w:tblCellMar>
            <w:top w:w="0" w:type="dxa"/>
            <w:left w:w="108" w:type="dxa"/>
            <w:bottom w:w="0" w:type="dxa"/>
            <w:right w:w="108" w:type="dxa"/>
          </w:tblCellMar>
        </w:tblPrEx>
        <w:trPr>
          <w:trHeight w:val="919" w:hRule="exact"/>
        </w:trPr>
        <w:tc>
          <w:tcPr>
            <w:tcW w:w="931" w:type="pct"/>
            <w:vMerge w:val="continue"/>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116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仿宋" w:hAnsi="仿宋" w:eastAsia="仿宋" w:cs="仿宋"/>
                <w:b w:val="0"/>
                <w:bCs/>
                <w:color w:val="auto"/>
                <w:sz w:val="24"/>
                <w:lang w:val="en-US" w:eastAsia="zh-CN"/>
              </w:rPr>
            </w:pPr>
          </w:p>
        </w:tc>
        <w:tc>
          <w:tcPr>
            <w:tcW w:w="2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val="0"/>
                <w:bCs/>
                <w:color w:val="auto"/>
                <w:sz w:val="24"/>
                <w:lang w:val="en-US" w:eastAsia="zh-CN"/>
              </w:rPr>
            </w:pPr>
            <w:r>
              <w:rPr>
                <w:rFonts w:hint="default" w:ascii="仿宋" w:hAnsi="仿宋" w:eastAsia="仿宋" w:cs="仿宋"/>
                <w:b w:val="0"/>
                <w:bCs/>
                <w:color w:val="auto"/>
                <w:sz w:val="24"/>
                <w:lang w:val="en-US" w:eastAsia="zh-CN"/>
              </w:rPr>
              <w:t>基于设计开发的线上活动，提供前期策划及后期执行配套保障</w:t>
            </w:r>
          </w:p>
        </w:tc>
      </w:tr>
    </w:tbl>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二、合同期限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本合同服务有效期至202</w:t>
      </w:r>
      <w:r>
        <w:rPr>
          <w:rFonts w:hint="eastAsia" w:ascii="仿宋" w:hAnsi="仿宋" w:eastAsia="仿宋" w:cs="仿宋"/>
          <w:sz w:val="28"/>
          <w:szCs w:val="28"/>
          <w:lang w:val="en-US" w:eastAsia="zh-CN"/>
        </w:rPr>
        <w:t>4</w:t>
      </w:r>
      <w:r>
        <w:rPr>
          <w:rFonts w:hint="eastAsia" w:ascii="仿宋" w:hAnsi="仿宋" w:eastAsia="仿宋" w:cs="仿宋"/>
          <w:sz w:val="28"/>
          <w:szCs w:val="28"/>
        </w:rPr>
        <w:t>年12月31日。</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三、甲方的权利和义务</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1．甲方委派专人（姓名：</w:t>
      </w:r>
      <w:r>
        <w:rPr>
          <w:rFonts w:hint="eastAsia" w:ascii="仿宋" w:hAnsi="仿宋" w:eastAsia="仿宋" w:cs="仿宋"/>
          <w:sz w:val="28"/>
          <w:szCs w:val="28"/>
          <w:u w:val="single"/>
        </w:rPr>
        <w:t xml:space="preserve">       </w:t>
      </w:r>
      <w:r>
        <w:rPr>
          <w:rFonts w:hint="eastAsia" w:ascii="仿宋" w:hAnsi="仿宋" w:eastAsia="仿宋" w:cs="仿宋"/>
          <w:sz w:val="28"/>
          <w:szCs w:val="28"/>
        </w:rPr>
        <w:t>、联系方式：</w:t>
      </w:r>
      <w:r>
        <w:rPr>
          <w:rFonts w:hint="eastAsia" w:ascii="仿宋" w:hAnsi="仿宋" w:eastAsia="仿宋" w:cs="仿宋"/>
          <w:sz w:val="28"/>
          <w:szCs w:val="28"/>
          <w:u w:val="single"/>
        </w:rPr>
        <w:t xml:space="preserve">             </w:t>
      </w:r>
      <w:r>
        <w:rPr>
          <w:rFonts w:hint="eastAsia" w:ascii="仿宋" w:hAnsi="仿宋" w:eastAsia="仿宋" w:cs="仿宋"/>
          <w:sz w:val="28"/>
          <w:szCs w:val="28"/>
        </w:rPr>
        <w:t>）就</w:t>
      </w:r>
      <w:r>
        <w:rPr>
          <w:rFonts w:hint="eastAsia" w:ascii="仿宋" w:hAnsi="仿宋" w:eastAsia="仿宋" w:cs="仿宋"/>
          <w:bCs/>
          <w:kern w:val="28"/>
          <w:sz w:val="28"/>
          <w:szCs w:val="28"/>
          <w:lang w:eastAsia="zh-CN"/>
        </w:rPr>
        <w:t>线上政务宣传服务项目</w:t>
      </w:r>
      <w:r>
        <w:rPr>
          <w:rFonts w:hint="eastAsia" w:ascii="仿宋" w:hAnsi="仿宋" w:eastAsia="仿宋" w:cs="仿宋"/>
          <w:bCs/>
          <w:kern w:val="28"/>
          <w:sz w:val="28"/>
          <w:szCs w:val="28"/>
        </w:rPr>
        <w:t>中所涉</w:t>
      </w:r>
      <w:r>
        <w:rPr>
          <w:rFonts w:hint="eastAsia" w:ascii="仿宋" w:hAnsi="仿宋" w:eastAsia="仿宋" w:cs="仿宋"/>
          <w:sz w:val="28"/>
          <w:szCs w:val="28"/>
        </w:rPr>
        <w:t>及的相关事务与乙方进行对接（包括但不限于：活动策划、需求对接、进度汇报等）。</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2．甲方</w:t>
      </w:r>
      <w:r>
        <w:rPr>
          <w:rFonts w:hint="eastAsia" w:ascii="仿宋" w:hAnsi="仿宋" w:eastAsia="仿宋" w:cs="仿宋"/>
          <w:sz w:val="28"/>
          <w:szCs w:val="28"/>
          <w:lang w:eastAsia="zh-CN"/>
        </w:rPr>
        <w:t>对</w:t>
      </w:r>
      <w:r>
        <w:rPr>
          <w:rFonts w:hint="eastAsia" w:ascii="仿宋" w:hAnsi="仿宋" w:eastAsia="仿宋" w:cs="仿宋"/>
          <w:sz w:val="28"/>
          <w:szCs w:val="28"/>
        </w:rPr>
        <w:t>宣传内容</w:t>
      </w:r>
      <w:r>
        <w:rPr>
          <w:rFonts w:hint="eastAsia" w:ascii="仿宋" w:hAnsi="仿宋" w:eastAsia="仿宋" w:cs="仿宋"/>
          <w:sz w:val="28"/>
          <w:szCs w:val="28"/>
          <w:lang w:eastAsia="zh-CN"/>
        </w:rPr>
        <w:t>有最终决定权。</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3．</w:t>
      </w:r>
      <w:r>
        <w:rPr>
          <w:rFonts w:hint="eastAsia" w:ascii="仿宋" w:hAnsi="仿宋" w:eastAsia="仿宋" w:cs="仿宋"/>
          <w:sz w:val="28"/>
          <w:szCs w:val="28"/>
          <w:lang w:eastAsia="zh-CN"/>
        </w:rPr>
        <w:t>因乙方失误而造成相关工作错误、纰漏、偏差等，情节严重的，甲方有权向乙方追究责任。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sz w:val="28"/>
          <w:szCs w:val="28"/>
        </w:rPr>
        <w:t>4．甲方应按照本合同</w:t>
      </w:r>
      <w:r>
        <w:rPr>
          <w:rFonts w:hint="eastAsia" w:ascii="仿宋" w:hAnsi="仿宋" w:eastAsia="仿宋" w:cs="仿宋"/>
          <w:color w:val="auto"/>
          <w:sz w:val="28"/>
          <w:szCs w:val="28"/>
        </w:rPr>
        <w:t>约定</w:t>
      </w:r>
      <w:r>
        <w:rPr>
          <w:rFonts w:hint="eastAsia" w:ascii="仿宋" w:hAnsi="仿宋" w:eastAsia="仿宋" w:cs="仿宋"/>
          <w:color w:val="auto"/>
          <w:sz w:val="28"/>
          <w:szCs w:val="28"/>
          <w:lang w:eastAsia="zh-CN"/>
        </w:rPr>
        <w:t>方式</w:t>
      </w:r>
      <w:r>
        <w:rPr>
          <w:rFonts w:hint="eastAsia" w:ascii="仿宋" w:hAnsi="仿宋" w:eastAsia="仿宋" w:cs="仿宋"/>
          <w:color w:val="auto"/>
          <w:sz w:val="28"/>
          <w:szCs w:val="28"/>
        </w:rPr>
        <w:t>支付合同所涉款项。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5．甲方</w:t>
      </w:r>
      <w:r>
        <w:rPr>
          <w:rFonts w:hint="eastAsia" w:ascii="仿宋" w:hAnsi="仿宋" w:eastAsia="仿宋" w:cs="仿宋"/>
          <w:sz w:val="28"/>
          <w:szCs w:val="28"/>
          <w:lang w:eastAsia="zh-CN"/>
        </w:rPr>
        <w:t>负责宣传内容</w:t>
      </w:r>
      <w:r>
        <w:rPr>
          <w:rFonts w:hint="eastAsia" w:ascii="仿宋" w:hAnsi="仿宋" w:eastAsia="仿宋" w:cs="仿宋"/>
          <w:sz w:val="28"/>
          <w:szCs w:val="28"/>
        </w:rPr>
        <w:t>的提供及审核。</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6．甲方未经乙方书面同意不得将乙方技术转租或转让给第三方。</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7. </w:t>
      </w:r>
      <w:r>
        <w:rPr>
          <w:rFonts w:hint="eastAsia" w:ascii="仿宋" w:hAnsi="仿宋" w:eastAsia="仿宋" w:cs="仿宋"/>
          <w:sz w:val="28"/>
          <w:szCs w:val="28"/>
        </w:rPr>
        <w:t>在乙方实施过程中，若需要第三方</w:t>
      </w:r>
      <w:r>
        <w:rPr>
          <w:rFonts w:hint="eastAsia" w:ascii="仿宋" w:hAnsi="仿宋" w:eastAsia="仿宋" w:cs="仿宋"/>
          <w:sz w:val="28"/>
          <w:szCs w:val="28"/>
          <w:lang w:eastAsia="zh-CN"/>
        </w:rPr>
        <w:t>配合</w:t>
      </w:r>
      <w:r>
        <w:rPr>
          <w:rFonts w:hint="eastAsia" w:ascii="仿宋" w:hAnsi="仿宋" w:eastAsia="仿宋" w:cs="仿宋"/>
          <w:sz w:val="28"/>
          <w:szCs w:val="28"/>
        </w:rPr>
        <w:t>，甲方</w:t>
      </w:r>
      <w:r>
        <w:rPr>
          <w:rFonts w:hint="eastAsia" w:ascii="仿宋" w:hAnsi="仿宋" w:eastAsia="仿宋" w:cs="仿宋"/>
          <w:sz w:val="28"/>
          <w:szCs w:val="28"/>
          <w:lang w:eastAsia="zh-CN"/>
        </w:rPr>
        <w:t>可以</w:t>
      </w:r>
      <w:r>
        <w:rPr>
          <w:rFonts w:hint="eastAsia" w:ascii="仿宋" w:hAnsi="仿宋" w:eastAsia="仿宋" w:cs="仿宋"/>
          <w:sz w:val="28"/>
          <w:szCs w:val="28"/>
        </w:rPr>
        <w:t>为乙方提供</w:t>
      </w:r>
      <w:r>
        <w:rPr>
          <w:rFonts w:hint="eastAsia" w:ascii="仿宋" w:hAnsi="仿宋" w:eastAsia="仿宋" w:cs="仿宋"/>
          <w:sz w:val="28"/>
          <w:szCs w:val="28"/>
          <w:lang w:eastAsia="zh-CN"/>
        </w:rPr>
        <w:t>必要支持</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四、乙方的权利和义务</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1．乙方在本合同约定</w:t>
      </w:r>
      <w:r>
        <w:rPr>
          <w:rFonts w:hint="eastAsia" w:ascii="仿宋" w:hAnsi="仿宋" w:eastAsia="仿宋" w:cs="仿宋"/>
          <w:sz w:val="28"/>
          <w:szCs w:val="28"/>
          <w:lang w:eastAsia="zh-CN"/>
        </w:rPr>
        <w:t>期限内</w:t>
      </w:r>
      <w:r>
        <w:rPr>
          <w:rFonts w:hint="eastAsia" w:ascii="仿宋" w:hAnsi="仿宋" w:eastAsia="仿宋" w:cs="仿宋"/>
          <w:sz w:val="28"/>
          <w:szCs w:val="28"/>
        </w:rPr>
        <w:t>完成</w:t>
      </w:r>
      <w:r>
        <w:rPr>
          <w:rFonts w:hint="eastAsia" w:ascii="仿宋" w:hAnsi="仿宋" w:eastAsia="仿宋" w:cs="仿宋"/>
          <w:sz w:val="28"/>
          <w:szCs w:val="28"/>
          <w:lang w:eastAsia="zh-CN"/>
        </w:rPr>
        <w:t>线上政务宣传服务项目服务内容</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2．乙方委派专人（姓名：</w:t>
      </w:r>
      <w:r>
        <w:rPr>
          <w:rFonts w:hint="eastAsia" w:ascii="仿宋" w:hAnsi="仿宋" w:eastAsia="仿宋" w:cs="仿宋"/>
          <w:sz w:val="28"/>
          <w:szCs w:val="28"/>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、联系方式：</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）就</w:t>
      </w:r>
      <w:r>
        <w:rPr>
          <w:rFonts w:hint="eastAsia" w:ascii="仿宋" w:hAnsi="仿宋" w:eastAsia="仿宋" w:cs="仿宋"/>
          <w:sz w:val="28"/>
          <w:szCs w:val="28"/>
          <w:lang w:eastAsia="zh-CN"/>
        </w:rPr>
        <w:t>线上政务宣传服务项目</w:t>
      </w:r>
      <w:r>
        <w:rPr>
          <w:rFonts w:hint="eastAsia" w:ascii="仿宋" w:hAnsi="仿宋" w:eastAsia="仿宋" w:cs="仿宋"/>
          <w:bCs/>
          <w:kern w:val="28"/>
          <w:sz w:val="28"/>
          <w:szCs w:val="28"/>
        </w:rPr>
        <w:t>中</w:t>
      </w:r>
      <w:r>
        <w:rPr>
          <w:rFonts w:hint="eastAsia" w:ascii="仿宋" w:hAnsi="仿宋" w:eastAsia="仿宋" w:cs="仿宋"/>
          <w:sz w:val="28"/>
          <w:szCs w:val="28"/>
        </w:rPr>
        <w:t>涉及的相关事务与甲方进行对接（包括但不限于：活动策划、需求对接、进度汇报等）。</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3．乙方确保按甲方要求及本合同相关约定，为甲方提供线上政务宣传</w:t>
      </w:r>
      <w:r>
        <w:rPr>
          <w:rFonts w:hint="eastAsia" w:ascii="仿宋" w:hAnsi="仿宋" w:eastAsia="仿宋" w:cs="仿宋"/>
          <w:sz w:val="28"/>
          <w:szCs w:val="28"/>
          <w:lang w:eastAsia="zh-CN"/>
        </w:rPr>
        <w:t>工作</w:t>
      </w:r>
      <w:r>
        <w:rPr>
          <w:rFonts w:hint="eastAsia" w:ascii="仿宋" w:hAnsi="仿宋" w:eastAsia="仿宋" w:cs="仿宋"/>
          <w:sz w:val="28"/>
          <w:szCs w:val="28"/>
        </w:rPr>
        <w:t xml:space="preserve">必要的技术服务与咨询指导，并保证服务内容中相关应用、链接等完好使用与操作。 </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4．乙方提供线上政务宣传服务中如遇设计、开发等不能满足甲方要求的，乙方应无偿予以修复或解决，如造成相关应用不能正常使用的，乙方应相应延长服务期限。</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5．</w:t>
      </w:r>
      <w:r>
        <w:rPr>
          <w:rFonts w:hint="eastAsia" w:ascii="仿宋" w:hAnsi="仿宋" w:eastAsia="仿宋" w:cs="仿宋"/>
          <w:sz w:val="28"/>
          <w:szCs w:val="28"/>
          <w:lang w:eastAsia="zh-CN"/>
        </w:rPr>
        <w:t>乙方有责任保障与服务内容相关的系统、平台、账号、信息等环节的安全性。</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如乙方发生包括且不限于股权变更、名称变更、资产重组，转包经营等情况时，由乙方变更后的继承人或转包承接方继续本合同的履行。</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五、费用与结算方式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1．服务费用：RMB</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元（大写人民币：</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2．结算方式：</w:t>
      </w:r>
    </w:p>
    <w:p>
      <w:pPr>
        <w:pStyle w:val="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rPr>
        <w:t>2.1</w:t>
      </w:r>
      <w:r>
        <w:rPr>
          <w:rFonts w:hint="default" w:ascii="仿宋" w:hAnsi="仿宋" w:eastAsia="仿宋" w:cs="仿宋"/>
          <w:kern w:val="2"/>
          <w:sz w:val="28"/>
          <w:szCs w:val="28"/>
          <w:lang w:val="en-US" w:eastAsia="zh-CN" w:bidi="ar-SA"/>
        </w:rPr>
        <w:t>采购人在合同生效</w:t>
      </w:r>
      <w:r>
        <w:rPr>
          <w:rFonts w:hint="eastAsia" w:ascii="仿宋" w:hAnsi="仿宋" w:eastAsia="仿宋" w:cs="仿宋"/>
          <w:kern w:val="2"/>
          <w:sz w:val="28"/>
          <w:szCs w:val="28"/>
          <w:lang w:val="en-US" w:eastAsia="zh-CN" w:bidi="ar-SA"/>
        </w:rPr>
        <w:t>及具备实条件后7个工作日内，甲方支付合同金额40%的项目款费用。</w:t>
      </w:r>
    </w:p>
    <w:p>
      <w:pPr>
        <w:pStyle w:val="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2.2后期按合同执行进度，以合同金额40%、20%的比例分次付款。</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注：甲方若有超出本合同或补充约定的其他定制化需求的，则费用由甲、乙双方另行协商约定。</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六、不可抗力及其它情况</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1</w:t>
      </w:r>
      <w:r>
        <w:rPr>
          <w:rFonts w:hint="eastAsia" w:ascii="仿宋" w:hAnsi="仿宋" w:eastAsia="仿宋" w:cs="仿宋"/>
          <w:sz w:val="28"/>
          <w:szCs w:val="28"/>
          <w:lang w:val="en-US" w:eastAsia="zh-CN"/>
        </w:rPr>
        <w:t>.</w:t>
      </w:r>
      <w:r>
        <w:rPr>
          <w:rFonts w:hint="eastAsia" w:ascii="仿宋" w:hAnsi="仿宋" w:eastAsia="仿宋" w:cs="仿宋"/>
          <w:sz w:val="28"/>
          <w:szCs w:val="28"/>
        </w:rPr>
        <w:t>“不可抗力”是指合同双方不能合理控制、不可预见或即使预见亦无法避免的事件，该事件妨碍、影响或延误任何一方根据合同履行其全部或部分义务。</w:t>
      </w:r>
      <w:r>
        <w:rPr>
          <w:rFonts w:hint="eastAsia" w:ascii="仿宋" w:hAnsi="仿宋" w:eastAsia="仿宋" w:cs="仿宋"/>
          <w:kern w:val="2"/>
          <w:sz w:val="28"/>
          <w:szCs w:val="28"/>
          <w:lang w:val="en-US" w:eastAsia="zh-CN" w:bidi="ar-SA"/>
        </w:rPr>
        <w:t>本合同中规定的不可抗力包括：地震、台风、洪水等自然灾害；战争、罢工、停电、政府行为。</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出现不可抗力事件时，知情方应及时、充分地向对方以书面形式发通知，并告知对方该类事件对本合同可能产生的影响，并应当在合理期限内提供相关证明。</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w:t>
      </w:r>
      <w:r>
        <w:rPr>
          <w:rFonts w:hint="eastAsia" w:ascii="仿宋" w:hAnsi="仿宋" w:eastAsia="仿宋" w:cs="仿宋"/>
          <w:sz w:val="28"/>
          <w:szCs w:val="28"/>
        </w:rPr>
        <w:t>由于以上所述不可抗力事件致使合同的部分或全部不能履行或延迟履行，则双方于彼此间不承担任何违约责任。</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4</w:t>
      </w:r>
      <w:r>
        <w:rPr>
          <w:rFonts w:hint="eastAsia" w:ascii="仿宋" w:hAnsi="仿宋" w:eastAsia="仿宋" w:cs="仿宋"/>
          <w:sz w:val="28"/>
          <w:szCs w:val="28"/>
          <w:lang w:val="en-US" w:eastAsia="zh-CN"/>
        </w:rPr>
        <w:t>.</w:t>
      </w:r>
      <w:r>
        <w:rPr>
          <w:rFonts w:hint="eastAsia" w:ascii="仿宋" w:hAnsi="仿宋" w:eastAsia="仿宋" w:cs="仿宋"/>
          <w:sz w:val="28"/>
          <w:szCs w:val="28"/>
        </w:rPr>
        <w:t>遭受不可抗力事件时，双方均应当努力减轻其负面影响。若不可抗力致使本合同目的不能实现的，双方均可解除本合同，合同解除自书面解除通知到达对方时生效。</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七、保密义务</w:t>
      </w:r>
    </w:p>
    <w:p>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甲、乙双方对在本合同签订、履行以及争议解决过程中所知悉的合同双方的相关信息、证照等，除因政府及法律强制性规定必须披露外，未经合同对方书面同意，在合同履行过程中和合同履行后都不得向任何第三方披露，否则应向另一方承担法律及违约责任，如造成另一方损失的应予全额赔偿。</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八、违约责任</w:t>
      </w:r>
    </w:p>
    <w:p>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1．甲方违反本合同第五条第2款“结算方式”中的规定逾期超过30日仍未足额支付相关费用的，将视甲方单方面提前终止本协议。</w:t>
      </w:r>
    </w:p>
    <w:p>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2．乙方违反本合同第四条第1款的规定导致逾期超过30日仍不能满足正常使用的，将视乙方单方面提前终止本协议。</w:t>
      </w:r>
    </w:p>
    <w:p>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3．任何一方未能按本合同约定履行各自相关义务的，经守约方书面通知后15天内仍未能弥补改正的，则守约方有权提出终止本合同或提出赔偿要求。</w:t>
      </w:r>
    </w:p>
    <w:p>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4．本合同生效后的履行有效期内，任何一方不能单方面提前终止本协议，如一方单方面终止本合同的将被视为违约。</w:t>
      </w:r>
    </w:p>
    <w:p>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5．任何一方违反本合同或补充条款相关约定的，将被视为违约，违约方应向守约方支付违约金，违约金为合同款的10%，如违约金不能弥补损失的则应予另行支付赔偿。</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九、争议的解决</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1.凡有关本合同或执行本合同发生的争议，应经过友好协商解决；若不能协商解决，任何一方均有权向甲方所在地法院提起诉讼。</w:t>
      </w:r>
    </w:p>
    <w:p>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2.本合同的订立、执行、解释及争议的解决均应适用中华人民共和国法律法规。</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eastAsia="zh-CN"/>
        </w:rPr>
        <w:t>十</w:t>
      </w:r>
      <w:r>
        <w:rPr>
          <w:rFonts w:hint="eastAsia" w:ascii="仿宋" w:hAnsi="仿宋" w:eastAsia="仿宋" w:cs="仿宋"/>
          <w:b/>
          <w:bCs/>
          <w:sz w:val="28"/>
          <w:szCs w:val="28"/>
        </w:rPr>
        <w:t>、合同的生效以及效力</w:t>
      </w:r>
    </w:p>
    <w:p>
      <w:pPr>
        <w:pStyle w:val="6"/>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1．本合同自双方授权代表签字或盖章之日起生效。</w:t>
      </w:r>
    </w:p>
    <w:p>
      <w:pPr>
        <w:pStyle w:val="6"/>
        <w:keepNext w:val="0"/>
        <w:keepLines w:val="0"/>
        <w:pageBreakBefore w:val="0"/>
        <w:widowControl w:val="0"/>
        <w:kinsoku/>
        <w:wordWrap/>
        <w:overflowPunct/>
        <w:topLinePunct w:val="0"/>
        <w:autoSpaceDE/>
        <w:autoSpaceDN/>
        <w:bidi w:val="0"/>
        <w:adjustRightInd/>
        <w:snapToGrid/>
        <w:spacing w:after="0" w:line="440" w:lineRule="exact"/>
        <w:ind w:left="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2．对本合同的任何修改必须由甲、乙双方签订书面补充合同，补充合同与本合同具有同等法律效力。</w:t>
      </w:r>
    </w:p>
    <w:p>
      <w:pPr>
        <w:pStyle w:val="6"/>
        <w:keepNext w:val="0"/>
        <w:keepLines w:val="0"/>
        <w:pageBreakBefore w:val="0"/>
        <w:widowControl w:val="0"/>
        <w:kinsoku/>
        <w:wordWrap/>
        <w:overflowPunct/>
        <w:topLinePunct w:val="0"/>
        <w:autoSpaceDE/>
        <w:autoSpaceDN/>
        <w:bidi w:val="0"/>
        <w:adjustRightInd/>
        <w:snapToGrid/>
        <w:spacing w:after="0" w:line="440" w:lineRule="exact"/>
        <w:ind w:left="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3．本合同一式肆份，甲、乙双方各执贰份，均具同等法律效力。</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十</w:t>
      </w:r>
      <w:r>
        <w:rPr>
          <w:rFonts w:hint="eastAsia" w:ascii="仿宋" w:hAnsi="仿宋" w:eastAsia="仿宋" w:cs="仿宋"/>
          <w:b/>
          <w:bCs/>
          <w:sz w:val="28"/>
          <w:szCs w:val="28"/>
          <w:lang w:eastAsia="zh-CN"/>
        </w:rPr>
        <w:t>一</w:t>
      </w:r>
      <w:r>
        <w:rPr>
          <w:rFonts w:hint="eastAsia" w:ascii="仿宋" w:hAnsi="仿宋" w:eastAsia="仿宋" w:cs="仿宋"/>
          <w:b/>
          <w:bCs/>
          <w:sz w:val="28"/>
          <w:szCs w:val="28"/>
        </w:rPr>
        <w:t>、其他约定</w:t>
      </w:r>
    </w:p>
    <w:p>
      <w:pPr>
        <w:pStyle w:val="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本合同所采用的货币种类均为人民币。</w:t>
      </w:r>
    </w:p>
    <w:p>
      <w:pPr>
        <w:pStyle w:val="6"/>
        <w:keepNext w:val="0"/>
        <w:keepLines w:val="0"/>
        <w:pageBreakBefore w:val="0"/>
        <w:widowControl w:val="0"/>
        <w:kinsoku/>
        <w:wordWrap/>
        <w:overflowPunct/>
        <w:topLinePunct w:val="0"/>
        <w:autoSpaceDE/>
        <w:autoSpaceDN/>
        <w:bidi w:val="0"/>
        <w:adjustRightInd/>
        <w:snapToGrid/>
        <w:spacing w:after="0" w:line="240" w:lineRule="auto"/>
        <w:ind w:left="0" w:firstLine="560" w:firstLineChars="200"/>
        <w:textAlignment w:val="auto"/>
        <w:rPr>
          <w:rFonts w:hint="eastAsia" w:ascii="仿宋" w:hAnsi="仿宋" w:eastAsia="仿宋" w:cs="仿宋"/>
          <w:kern w:val="2"/>
          <w:sz w:val="28"/>
          <w:szCs w:val="28"/>
          <w:lang w:val="en-US" w:eastAsia="zh-CN" w:bidi="ar-SA"/>
        </w:rPr>
      </w:pPr>
    </w:p>
    <w:p>
      <w:pPr>
        <w:tabs>
          <w:tab w:val="left" w:pos="4680"/>
        </w:tabs>
        <w:spacing w:line="520" w:lineRule="exact"/>
        <w:rPr>
          <w:rFonts w:hint="eastAsia" w:ascii="仿宋" w:hAnsi="仿宋" w:eastAsia="仿宋" w:cs="仿宋"/>
          <w:sz w:val="28"/>
          <w:szCs w:val="28"/>
        </w:rPr>
      </w:pPr>
    </w:p>
    <w:p>
      <w:pPr>
        <w:tabs>
          <w:tab w:val="left" w:pos="4680"/>
        </w:tabs>
        <w:spacing w:line="520" w:lineRule="exact"/>
        <w:rPr>
          <w:rFonts w:hint="eastAsia" w:ascii="仿宋" w:hAnsi="仿宋" w:eastAsia="仿宋" w:cs="仿宋"/>
          <w:sz w:val="28"/>
          <w:szCs w:val="28"/>
        </w:rPr>
      </w:pPr>
      <w:r>
        <w:rPr>
          <w:rFonts w:hint="eastAsia" w:ascii="仿宋" w:hAnsi="仿宋" w:eastAsia="仿宋" w:cs="仿宋"/>
          <w:sz w:val="28"/>
          <w:szCs w:val="28"/>
        </w:rPr>
        <w:t>甲方：绍兴市综合行政执法局         乙方：</w:t>
      </w:r>
    </w:p>
    <w:p>
      <w:pPr>
        <w:tabs>
          <w:tab w:val="left" w:pos="4680"/>
        </w:tabs>
        <w:spacing w:line="520" w:lineRule="exact"/>
        <w:rPr>
          <w:rFonts w:hint="eastAsia" w:ascii="仿宋" w:hAnsi="仿宋" w:eastAsia="仿宋" w:cs="仿宋"/>
          <w:sz w:val="28"/>
          <w:szCs w:val="28"/>
        </w:rPr>
      </w:pPr>
    </w:p>
    <w:p>
      <w:pPr>
        <w:tabs>
          <w:tab w:val="left" w:pos="4680"/>
        </w:tabs>
        <w:spacing w:line="520" w:lineRule="exact"/>
        <w:rPr>
          <w:rFonts w:hint="eastAsia" w:ascii="仿宋" w:hAnsi="仿宋" w:eastAsia="仿宋" w:cs="仿宋"/>
          <w:sz w:val="28"/>
          <w:szCs w:val="28"/>
        </w:rPr>
      </w:pPr>
    </w:p>
    <w:p>
      <w:pPr>
        <w:tabs>
          <w:tab w:val="left" w:pos="4680"/>
        </w:tabs>
        <w:spacing w:line="520" w:lineRule="exact"/>
        <w:rPr>
          <w:rFonts w:hint="eastAsia" w:ascii="仿宋" w:hAnsi="仿宋" w:eastAsia="仿宋" w:cs="仿宋"/>
          <w:sz w:val="28"/>
          <w:szCs w:val="28"/>
        </w:rPr>
      </w:pPr>
      <w:r>
        <w:rPr>
          <w:rFonts w:hint="eastAsia" w:ascii="仿宋" w:hAnsi="仿宋" w:eastAsia="仿宋" w:cs="仿宋"/>
          <w:sz w:val="28"/>
          <w:szCs w:val="28"/>
        </w:rPr>
        <w:t>授权代表（签字）：</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授权代表（签字）：</w:t>
      </w:r>
    </w:p>
    <w:p>
      <w:pPr>
        <w:pStyle w:val="61"/>
        <w:rPr>
          <w:rFonts w:hint="eastAsia" w:ascii="仿宋" w:hAnsi="仿宋" w:eastAsia="仿宋" w:cs="仿宋"/>
          <w:sz w:val="28"/>
          <w:szCs w:val="28"/>
        </w:rPr>
      </w:pPr>
    </w:p>
    <w:p>
      <w:pPr>
        <w:tabs>
          <w:tab w:val="left" w:pos="4680"/>
        </w:tabs>
        <w:spacing w:line="520" w:lineRule="exact"/>
        <w:ind w:firstLine="5040" w:firstLineChars="1800"/>
        <w:rPr>
          <w:rFonts w:hint="eastAsia" w:ascii="仿宋" w:hAnsi="仿宋" w:eastAsia="仿宋" w:cs="仿宋"/>
          <w:sz w:val="28"/>
          <w:szCs w:val="28"/>
          <w:lang w:val="en-US" w:eastAsia="zh-CN"/>
        </w:rPr>
      </w:pPr>
      <w:r>
        <w:rPr>
          <w:rFonts w:hint="eastAsia" w:ascii="仿宋" w:hAnsi="仿宋" w:eastAsia="仿宋" w:cs="仿宋"/>
          <w:sz w:val="28"/>
          <w:szCs w:val="28"/>
        </w:rPr>
        <w:t>签约日期：    年      月     日</w:t>
      </w:r>
    </w:p>
    <w:p/>
    <w:p>
      <w:pPr>
        <w:pStyle w:val="61"/>
      </w:pPr>
    </w:p>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80</w:t>
      </w:r>
      <w:r>
        <w:rPr>
          <w:rFonts w:hint="eastAsia" w:ascii="仿宋" w:hAnsi="仿宋" w:eastAsia="仿宋" w:cs="仿宋"/>
          <w:sz w:val="24"/>
        </w:rPr>
        <w:t>分，价格分</w:t>
      </w:r>
      <w:r>
        <w:rPr>
          <w:rFonts w:hint="eastAsia" w:ascii="仿宋" w:hAnsi="仿宋" w:eastAsia="仿宋" w:cs="仿宋"/>
          <w:sz w:val="24"/>
          <w:u w:val="single"/>
          <w:lang w:val="en-US" w:eastAsia="zh-CN"/>
        </w:rPr>
        <w:t>20</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62"/>
        <w:tblW w:w="9486" w:type="dxa"/>
        <w:jc w:val="center"/>
        <w:tblLayout w:type="fixed"/>
        <w:tblCellMar>
          <w:top w:w="0" w:type="dxa"/>
          <w:left w:w="108" w:type="dxa"/>
          <w:bottom w:w="0" w:type="dxa"/>
          <w:right w:w="108" w:type="dxa"/>
        </w:tblCellMar>
      </w:tblPr>
      <w:tblGrid>
        <w:gridCol w:w="662"/>
        <w:gridCol w:w="1292"/>
        <w:gridCol w:w="6569"/>
        <w:gridCol w:w="963"/>
      </w:tblGrid>
      <w:tr>
        <w:tblPrEx>
          <w:tblCellMar>
            <w:top w:w="0" w:type="dxa"/>
            <w:left w:w="108" w:type="dxa"/>
            <w:bottom w:w="0" w:type="dxa"/>
            <w:right w:w="108" w:type="dxa"/>
          </w:tblCellMar>
        </w:tblPrEx>
        <w:trPr>
          <w:trHeight w:val="561"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5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tblPrEx>
          <w:tblCellMar>
            <w:top w:w="0" w:type="dxa"/>
            <w:left w:w="108" w:type="dxa"/>
            <w:bottom w:w="0" w:type="dxa"/>
            <w:right w:w="108" w:type="dxa"/>
          </w:tblCellMar>
        </w:tblPrEx>
        <w:trPr>
          <w:trHeight w:val="1134"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92" w:type="dxa"/>
            <w:tcBorders>
              <w:top w:val="single" w:color="auto" w:sz="4" w:space="0"/>
              <w:left w:val="single" w:color="auto" w:sz="4" w:space="0"/>
              <w:bottom w:val="single" w:color="auto" w:sz="4" w:space="0"/>
              <w:right w:val="single" w:color="auto" w:sz="4" w:space="0"/>
            </w:tcBorders>
            <w:vAlign w:val="center"/>
          </w:tcPr>
          <w:p>
            <w:pPr>
              <w:spacing w:line="320" w:lineRule="exact"/>
              <w:ind w:left="-92" w:leftChars="-44" w:right="-107" w:rightChars="-51"/>
              <w:jc w:val="cente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t>企业实力</w:t>
            </w:r>
          </w:p>
        </w:tc>
        <w:tc>
          <w:tcPr>
            <w:tcW w:w="6569" w:type="dxa"/>
            <w:tcBorders>
              <w:top w:val="single" w:color="auto" w:sz="4" w:space="0"/>
              <w:left w:val="single" w:color="auto" w:sz="4" w:space="0"/>
              <w:bottom w:val="single" w:color="auto" w:sz="4" w:space="0"/>
              <w:right w:val="single" w:color="auto" w:sz="4" w:space="0"/>
            </w:tcBorders>
            <w:vAlign w:val="center"/>
          </w:tcPr>
          <w:p>
            <w:pPr>
              <w:spacing w:line="320" w:lineRule="exact"/>
              <w:ind w:left="-92" w:leftChars="-44" w:right="-107" w:rightChars="-51"/>
              <w:jc w:val="left"/>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t>投标人具有计算机软件著作权的，每一项得3分，最高得6分；</w:t>
            </w:r>
          </w:p>
          <w:p>
            <w:pPr>
              <w:spacing w:line="320" w:lineRule="exact"/>
              <w:ind w:left="-92" w:leftChars="-44" w:right="-107" w:rightChars="-51"/>
              <w:jc w:val="left"/>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t>具有ISO9001质量管理体系认证证书得2分。</w:t>
            </w:r>
          </w:p>
          <w:p>
            <w:pPr>
              <w:spacing w:line="320" w:lineRule="exact"/>
              <w:ind w:left="-92" w:leftChars="-44" w:right="-107" w:rightChars="-51"/>
              <w:jc w:val="left"/>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t>（提供证明材料扫描件加盖投标人公章）</w:t>
            </w:r>
          </w:p>
        </w:tc>
        <w:tc>
          <w:tcPr>
            <w:tcW w:w="963" w:type="dxa"/>
            <w:tcBorders>
              <w:top w:val="single" w:color="auto" w:sz="4" w:space="0"/>
              <w:left w:val="single" w:color="auto" w:sz="4" w:space="0"/>
              <w:bottom w:val="single" w:color="auto" w:sz="4" w:space="0"/>
              <w:right w:val="single" w:color="auto" w:sz="4" w:space="0"/>
            </w:tcBorders>
            <w:vAlign w:val="center"/>
          </w:tcPr>
          <w:p>
            <w:pPr>
              <w:spacing w:line="320" w:lineRule="exact"/>
              <w:ind w:left="-92" w:leftChars="-44" w:right="-107" w:rightChars="-51"/>
              <w:jc w:val="cente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t>8</w:t>
            </w:r>
          </w:p>
        </w:tc>
      </w:tr>
      <w:tr>
        <w:tblPrEx>
          <w:tblCellMar>
            <w:top w:w="0" w:type="dxa"/>
            <w:left w:w="108" w:type="dxa"/>
            <w:bottom w:w="0" w:type="dxa"/>
            <w:right w:w="108" w:type="dxa"/>
          </w:tblCellMar>
        </w:tblPrEx>
        <w:trPr>
          <w:trHeight w:val="1134"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textAlignment w:val="auto"/>
              <w:rPr>
                <w:rFonts w:hint="eastAsia" w:ascii="仿宋" w:hAnsi="仿宋" w:eastAsia="仿宋" w:cs="仿宋"/>
                <w:kern w:val="0"/>
                <w:sz w:val="24"/>
                <w:szCs w:val="24"/>
              </w:rPr>
            </w:pPr>
            <w:r>
              <w:rPr>
                <w:rFonts w:hint="eastAsia" w:ascii="仿宋_GB2312" w:eastAsia="仿宋_GB2312"/>
                <w:color w:val="000000" w:themeColor="text1"/>
                <w:sz w:val="24"/>
                <w:highlight w:val="none"/>
                <w:lang w:val="en-US" w:eastAsia="zh-CN"/>
                <w14:textFill>
                  <w14:solidFill>
                    <w14:schemeClr w14:val="tx1"/>
                  </w14:solidFill>
                </w14:textFill>
              </w:rPr>
              <w:t>业绩案例</w:t>
            </w:r>
          </w:p>
        </w:tc>
        <w:tc>
          <w:tcPr>
            <w:tcW w:w="6569" w:type="dxa"/>
            <w:tcBorders>
              <w:top w:val="single" w:color="auto" w:sz="4" w:space="0"/>
              <w:left w:val="single" w:color="auto" w:sz="4" w:space="0"/>
              <w:bottom w:val="single" w:color="auto" w:sz="4" w:space="0"/>
              <w:right w:val="single" w:color="auto" w:sz="4" w:space="0"/>
            </w:tcBorders>
            <w:vAlign w:val="center"/>
          </w:tcPr>
          <w:p>
            <w:pPr>
              <w:spacing w:line="320" w:lineRule="exact"/>
              <w:ind w:left="-92" w:leftChars="-44" w:right="-107" w:rightChars="-51"/>
              <w:jc w:val="left"/>
              <w:rPr>
                <w:rFonts w:hint="eastAsia" w:ascii="仿宋_GB2312" w:eastAsia="仿宋_GB2312"/>
                <w:color w:val="000000" w:themeColor="text1"/>
                <w:sz w:val="24"/>
                <w:highlight w:val="none"/>
                <w:lang w:val="en-US" w:eastAsia="zh-CN"/>
                <w14:textFill>
                  <w14:solidFill>
                    <w14:schemeClr w14:val="tx1"/>
                  </w14:solidFill>
                </w14:textFill>
              </w:rPr>
            </w:pPr>
            <w:r>
              <w:rPr>
                <w:rFonts w:hint="eastAsia" w:ascii="仿宋_GB2312" w:eastAsia="仿宋_GB2312"/>
                <w:color w:val="000000" w:themeColor="text1"/>
                <w:sz w:val="24"/>
                <w:highlight w:val="none"/>
                <w:lang w:val="en-US" w:eastAsia="zh-CN"/>
                <w14:textFill>
                  <w14:solidFill>
                    <w14:schemeClr w14:val="tx1"/>
                  </w14:solidFill>
                </w14:textFill>
              </w:rPr>
              <w:t>投标人自2021年1月1日以来（以合同签订时间为准）完成的同类案例，每有一个得1分，最高得2分。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lang w:eastAsia="zh-CN"/>
              </w:rPr>
            </w:pPr>
            <w:r>
              <w:rPr>
                <w:rFonts w:hint="eastAsia" w:ascii="仿宋_GB2312" w:eastAsia="仿宋_GB2312"/>
                <w:color w:val="000000" w:themeColor="text1"/>
                <w:sz w:val="24"/>
                <w:highlight w:val="none"/>
                <w:lang w:val="en-US" w:eastAsia="zh-CN"/>
                <w14:textFill>
                  <w14:solidFill>
                    <w14:schemeClr w14:val="tx1"/>
                  </w14:solidFill>
                </w14:textFill>
              </w:rPr>
              <w:t>注：每个案例提供合同复印件加盖投标人公章。</w:t>
            </w:r>
          </w:p>
        </w:tc>
        <w:tc>
          <w:tcPr>
            <w:tcW w:w="9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r>
      <w:tr>
        <w:tblPrEx>
          <w:tblCellMar>
            <w:top w:w="0" w:type="dxa"/>
            <w:left w:w="108" w:type="dxa"/>
            <w:bottom w:w="0" w:type="dxa"/>
            <w:right w:w="108" w:type="dxa"/>
          </w:tblCellMar>
        </w:tblPrEx>
        <w:trPr>
          <w:trHeight w:val="1134"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pPr>
            <w: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t>项目团队能力</w:t>
            </w:r>
          </w:p>
        </w:tc>
        <w:tc>
          <w:tcPr>
            <w:tcW w:w="65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textAlignment w:val="auto"/>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pPr>
            <w:r>
              <w:rPr>
                <w:rFonts w:hint="eastAsia" w:ascii="仿宋_GB2312" w:eastAsia="仿宋_GB2312" w:cs="Times New Roman"/>
                <w:color w:val="000000" w:themeColor="text1"/>
                <w:sz w:val="24"/>
                <w:highlight w:val="none"/>
                <w:lang w:val="en-US" w:eastAsia="zh-CN"/>
                <w14:textFill>
                  <w14:solidFill>
                    <w14:schemeClr w14:val="tx1"/>
                  </w14:solidFill>
                </w14:textFill>
              </w:rPr>
              <w:t>1）</w:t>
            </w:r>
            <w:r>
              <w:rPr>
                <w:rFonts w:hint="eastAsia" w:ascii="仿宋_GB2312" w:hAnsi="Times New Roman" w:eastAsia="仿宋_GB2312" w:cs="Times New Roman"/>
                <w:color w:val="000000" w:themeColor="text1"/>
                <w:sz w:val="24"/>
                <w:highlight w:val="none"/>
                <w:lang w:val="en-US" w:eastAsia="zh-CN"/>
                <w14:textFill>
                  <w14:solidFill>
                    <w14:schemeClr w14:val="tx1"/>
                  </w14:solidFill>
                </w14:textFill>
              </w:rPr>
              <w:t>项目团队负责人有较为专业的业务能力或新媒体从业经验，参与过类似项目管理、宣传推广及营销活动的成功案例者，提供从业履历、专业学历、合同扫描件及业主证明材料等加盖投标人公章。优8.1-10分，良4.1-8分，一般0-4分，不提供不得分。</w:t>
            </w:r>
          </w:p>
          <w:p>
            <w:pPr>
              <w:pStyle w:val="37"/>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baseline"/>
              <w:rPr>
                <w:rFonts w:hint="default"/>
                <w:lang w:val="en-US" w:eastAsia="zh-CN"/>
              </w:rPr>
            </w:pPr>
            <w:r>
              <w:rPr>
                <w:rFonts w:hint="eastAsia" w:ascii="仿宋_GB2312" w:hAnsi="Times New Roman" w:eastAsia="仿宋_GB2312" w:cs="Times New Roman"/>
                <w:color w:val="000000" w:themeColor="text1"/>
                <w:kern w:val="2"/>
                <w:sz w:val="24"/>
                <w:szCs w:val="24"/>
                <w:highlight w:val="none"/>
                <w:lang w:val="en-US" w:eastAsia="zh-CN" w:bidi="ar-SA"/>
                <w14:textFill>
                  <w14:solidFill>
                    <w14:schemeClr w14:val="tx1"/>
                  </w14:solidFill>
                </w14:textFill>
              </w:rPr>
              <w:t>2）团队整体具有较强支撑能力，人员配置全面，分工合理，能力突出，具有较为丰富的从业经验、突出的专业技能或优秀业绩。（参考履历表、社保及相关资料、证书等）。优8.1-10分，良4.1-8分，一般0-4分，不提供不得分。</w:t>
            </w:r>
          </w:p>
        </w:tc>
        <w:tc>
          <w:tcPr>
            <w:tcW w:w="9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20</w:t>
            </w:r>
          </w:p>
        </w:tc>
      </w:tr>
      <w:tr>
        <w:tblPrEx>
          <w:tblCellMar>
            <w:top w:w="0" w:type="dxa"/>
            <w:left w:w="108" w:type="dxa"/>
            <w:bottom w:w="0" w:type="dxa"/>
            <w:right w:w="108" w:type="dxa"/>
          </w:tblCellMar>
        </w:tblPrEx>
        <w:trPr>
          <w:trHeight w:val="1561"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服务方案</w:t>
            </w:r>
          </w:p>
        </w:tc>
        <w:tc>
          <w:tcPr>
            <w:tcW w:w="65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根据招标人需求，投标人拟定具体服务方案（包含但不限于招标人需求），根据方案的针对性、全面性、丰富性、细致性、可行性等比较打分（对于现有功能、服务的维持须明确说明），优20.1-30分，良10.1-20分，一般5-10分，不提供不得分。</w:t>
            </w:r>
          </w:p>
        </w:tc>
        <w:tc>
          <w:tcPr>
            <w:tcW w:w="9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30</w:t>
            </w:r>
          </w:p>
        </w:tc>
      </w:tr>
      <w:tr>
        <w:tblPrEx>
          <w:tblCellMar>
            <w:top w:w="0" w:type="dxa"/>
            <w:left w:w="108" w:type="dxa"/>
            <w:bottom w:w="0" w:type="dxa"/>
            <w:right w:w="108" w:type="dxa"/>
          </w:tblCellMar>
        </w:tblPrEx>
        <w:trPr>
          <w:trHeight w:val="1134"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应急预案</w:t>
            </w:r>
          </w:p>
        </w:tc>
        <w:tc>
          <w:tcPr>
            <w:tcW w:w="65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根据招标人要求，结合本项目特点，分析可能出现的各种紧急情况，包括但不限于项目前期策划阶段、项目服务阶段及项目后期保障阶段，投标人需提出切实有效的应急预案，根据投标人提供应急预案的全面性、合理性、完整性进行打分，优6.1-10分，良3.1-6分，一般0-3分，不提供不得分。</w:t>
            </w:r>
          </w:p>
        </w:tc>
        <w:tc>
          <w:tcPr>
            <w:tcW w:w="9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r>
      <w:tr>
        <w:tblPrEx>
          <w:tblCellMar>
            <w:top w:w="0" w:type="dxa"/>
            <w:left w:w="108" w:type="dxa"/>
            <w:bottom w:w="0" w:type="dxa"/>
            <w:right w:w="108" w:type="dxa"/>
          </w:tblCellMar>
        </w:tblPrEx>
        <w:trPr>
          <w:trHeight w:val="1134"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售后服务</w:t>
            </w:r>
          </w:p>
        </w:tc>
        <w:tc>
          <w:tcPr>
            <w:tcW w:w="65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根据是否具有较强的快速响应能力、技术支撑能力，是否定期提供驻点人员业务培训，是否提供专人对接等要素提供相关方案及承诺。优6.1-10分，良3.1-6分，一般0-3分，不提供不得分。</w:t>
            </w:r>
          </w:p>
        </w:tc>
        <w:tc>
          <w:tcPr>
            <w:tcW w:w="9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20</w:t>
      </w:r>
      <w:r>
        <w:rPr>
          <w:rFonts w:hint="eastAsia" w:ascii="仿宋" w:hAnsi="仿宋" w:eastAsia="仿宋" w:cs="仿宋"/>
          <w:b/>
          <w:bCs/>
          <w:iCs/>
          <w:sz w:val="24"/>
        </w:rPr>
        <w:t>分）</w:t>
      </w:r>
      <w:bookmarkStart w:id="40" w:name="_GoBack"/>
      <w:bookmarkEnd w:id="40"/>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20</w:t>
      </w:r>
    </w:p>
    <w:p>
      <w:pPr>
        <w:pStyle w:val="6"/>
        <w:snapToGrid w:val="0"/>
        <w:spacing w:line="360" w:lineRule="auto"/>
        <w:ind w:firstLine="0" w:firstLineChars="0"/>
        <w:rPr>
          <w:rFonts w:hint="eastAsia" w:ascii="仿宋" w:hAnsi="仿宋" w:eastAsia="仿宋" w:cs="仿宋"/>
        </w:rPr>
      </w:pPr>
    </w:p>
    <w:p>
      <w:pPr>
        <w:widowControl/>
        <w:adjustRightInd/>
        <w:jc w:val="center"/>
        <w:rPr>
          <w:rFonts w:hint="eastAsia" w:ascii="仿宋" w:hAnsi="仿宋" w:eastAsia="仿宋" w:cs="仿宋"/>
          <w:b/>
          <w:sz w:val="36"/>
          <w:szCs w:val="20"/>
        </w:rPr>
      </w:pPr>
    </w:p>
    <w:p>
      <w:pPr>
        <w:pStyle w:val="24"/>
        <w:rPr>
          <w:rFonts w:hint="eastAsia" w:ascii="仿宋" w:hAnsi="仿宋" w:eastAsia="仿宋" w:cs="仿宋"/>
          <w:b/>
          <w:sz w:val="36"/>
          <w:szCs w:val="20"/>
        </w:rPr>
      </w:pPr>
    </w:p>
    <w:p>
      <w:pPr>
        <w:pStyle w:val="25"/>
        <w:rPr>
          <w:rFonts w:hint="eastAsia" w:ascii="仿宋" w:hAnsi="仿宋" w:eastAsia="仿宋" w:cs="仿宋"/>
          <w:b/>
          <w:sz w:val="36"/>
          <w:szCs w:val="20"/>
        </w:rPr>
      </w:pPr>
    </w:p>
    <w:p>
      <w:pPr>
        <w:rPr>
          <w:rFonts w:hint="eastAsia" w:ascii="仿宋" w:hAnsi="仿宋" w:eastAsia="仿宋" w:cs="仿宋"/>
          <w:b/>
          <w:sz w:val="36"/>
          <w:szCs w:val="20"/>
        </w:rPr>
      </w:pPr>
    </w:p>
    <w:p>
      <w:pPr>
        <w:rPr>
          <w:rFonts w:hint="eastAsia" w:ascii="仿宋" w:hAnsi="仿宋" w:eastAsia="仿宋" w:cs="仿宋"/>
        </w:rPr>
      </w:pPr>
    </w:p>
    <w:p>
      <w:pPr>
        <w:rPr>
          <w:rFonts w:hint="eastAsia" w:ascii="仿宋" w:hAnsi="仿宋" w:eastAsia="仿宋" w:cs="仿宋"/>
          <w:b/>
          <w:sz w:val="36"/>
          <w:szCs w:val="20"/>
        </w:rPr>
      </w:pPr>
      <w:r>
        <w:rPr>
          <w:rFonts w:hint="eastAsia" w:ascii="仿宋" w:hAnsi="仿宋" w:eastAsia="仿宋" w:cs="仿宋"/>
          <w:b/>
          <w:sz w:val="36"/>
          <w:szCs w:val="20"/>
        </w:rPr>
        <w:br w:type="page"/>
      </w: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2"/>
      <w:r>
        <w:rPr>
          <w:rFonts w:hint="eastAsia" w:ascii="仿宋" w:hAnsi="仿宋" w:eastAsia="仿宋" w:cs="仿宋"/>
          <w:b/>
          <w:sz w:val="36"/>
          <w:szCs w:val="20"/>
        </w:rPr>
        <w:t xml:space="preserve"> </w:t>
      </w:r>
      <w:bookmarkEnd w:id="33"/>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79"/>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79"/>
        <w:rPr>
          <w:rFonts w:hint="eastAsia"/>
          <w:lang w:eastAsia="zh-CN"/>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79"/>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hint="eastAsia"/>
        </w:rPr>
        <w:sectPr>
          <w:headerReference r:id="rId9" w:type="first"/>
          <w:footerReference r:id="rId11" w:type="first"/>
          <w:headerReference r:id="rId8" w:type="default"/>
          <w:footerReference r:id="rId10" w:type="default"/>
          <w:pgSz w:w="11906" w:h="16838"/>
          <w:pgMar w:top="1276" w:right="1134"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4"/>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ascii="仿宋" w:hAnsi="仿宋" w:eastAsia="仿宋" w:cs="仿宋"/>
          <w:b/>
          <w:color w:val="auto"/>
          <w:sz w:val="24"/>
        </w:rPr>
      </w:pP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36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35" w:name="_Hlk101131882"/>
      <w:r>
        <w:rPr>
          <w:rFonts w:hint="eastAsia" w:ascii="仿宋" w:hAnsi="仿宋" w:eastAsia="仿宋" w:cs="仿宋"/>
          <w:kern w:val="0"/>
          <w:sz w:val="24"/>
          <w:u w:val="single"/>
        </w:rPr>
        <w:t>联合体成员X,……</w:t>
      </w:r>
      <w:bookmarkEnd w:id="35"/>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36"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36"/>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36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37"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37"/>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36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36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36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36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36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pageBreakBefore w:val="0"/>
        <w:kinsoku/>
        <w:wordWrap/>
        <w:overflowPunct/>
        <w:topLinePunct w:val="0"/>
        <w:autoSpaceDE/>
        <w:autoSpaceDN/>
        <w:bidi w:val="0"/>
        <w:spacing w:line="36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36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36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3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36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36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3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36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38" w:name="OLE_LINK13"/>
      <w:bookmarkStart w:id="39" w:name="OLE_LINK14"/>
      <w:r>
        <w:rPr>
          <w:rFonts w:hint="eastAsia" w:ascii="仿宋" w:hAnsi="仿宋" w:eastAsia="仿宋" w:cs="仿宋"/>
          <w:b/>
          <w:spacing w:val="6"/>
          <w:sz w:val="32"/>
          <w:szCs w:val="32"/>
        </w:rPr>
        <w:t>残疾人福利性单位声明函</w:t>
      </w:r>
    </w:p>
    <w:bookmarkEnd w:id="38"/>
    <w:bookmarkEnd w:id="39"/>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4"/>
        <w:rPr>
          <w:rFonts w:hint="eastAsia" w:ascii="仿宋" w:hAnsi="仿宋" w:eastAsia="仿宋" w:cs="仿宋"/>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4"/>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t xml:space="preserve">第 </w:t>
                          </w:r>
                          <w:r>
                            <w:fldChar w:fldCharType="begin"/>
                          </w:r>
                          <w:r>
                            <w:instrText xml:space="preserve"> PAGE  \* MERGEFORMAT </w:instrText>
                          </w:r>
                          <w:r>
                            <w:fldChar w:fldCharType="separate"/>
                          </w:r>
                          <w:r>
                            <w:t>67</w:t>
                          </w:r>
                          <w:r>
                            <w:fldChar w:fldCharType="end"/>
                          </w:r>
                          <w:r>
                            <w:t xml:space="preserve"> 页 共 </w:t>
                          </w:r>
                          <w:r>
                            <w:rPr>
                              <w:rFonts w:hint="eastAsia"/>
                              <w:lang w:val="en-US" w:eastAsia="zh-CN"/>
                            </w:rPr>
                            <w:t>73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67</w:t>
                    </w:r>
                    <w:r>
                      <w:fldChar w:fldCharType="end"/>
                    </w:r>
                    <w:r>
                      <w:t xml:space="preserve"> 页 共 </w:t>
                    </w:r>
                    <w:r>
                      <w:rPr>
                        <w:rFonts w:hint="eastAsia"/>
                        <w:lang w:val="en-US" w:eastAsia="zh-CN"/>
                      </w:rPr>
                      <w:t>73</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73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73</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t xml:space="preserve">第 </w:t>
                          </w:r>
                          <w:r>
                            <w:fldChar w:fldCharType="begin"/>
                          </w:r>
                          <w:r>
                            <w:instrText xml:space="preserve"> PAGE  \* MERGEFORMAT </w:instrText>
                          </w:r>
                          <w:r>
                            <w:fldChar w:fldCharType="separate"/>
                          </w:r>
                          <w:r>
                            <w:t>34</w:t>
                          </w:r>
                          <w:r>
                            <w:fldChar w:fldCharType="end"/>
                          </w:r>
                          <w:r>
                            <w:t xml:space="preserve"> 页 共 </w:t>
                          </w:r>
                          <w:r>
                            <w:rPr>
                              <w:rFonts w:hint="eastAsia"/>
                              <w:lang w:val="en-US" w:eastAsia="zh-CN"/>
                            </w:rPr>
                            <w:t>73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34</w:t>
                    </w:r>
                    <w:r>
                      <w:fldChar w:fldCharType="end"/>
                    </w:r>
                    <w:r>
                      <w:t xml:space="preserve"> 页 共 </w:t>
                    </w:r>
                    <w:r>
                      <w:rPr>
                        <w:rFonts w:hint="eastAsia"/>
                        <w:lang w:val="en-US" w:eastAsia="zh-CN"/>
                      </w:rPr>
                      <w:t>73</w:t>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t xml:space="preserve">第 </w:t>
                          </w:r>
                          <w:r>
                            <w:fldChar w:fldCharType="begin"/>
                          </w:r>
                          <w:r>
                            <w:instrText xml:space="preserve"> PAGE  \* MERGEFORMAT </w:instrText>
                          </w:r>
                          <w:r>
                            <w:fldChar w:fldCharType="separate"/>
                          </w:r>
                          <w:r>
                            <w:t>33</w:t>
                          </w:r>
                          <w:r>
                            <w:fldChar w:fldCharType="end"/>
                          </w:r>
                          <w:r>
                            <w:t xml:space="preserve"> 页 共 </w:t>
                          </w:r>
                          <w:r>
                            <w:rPr>
                              <w:rFonts w:hint="eastAsia"/>
                              <w:lang w:val="en-US" w:eastAsia="zh-CN"/>
                            </w:rPr>
                            <w:t>73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33</w:t>
                    </w:r>
                    <w:r>
                      <w:fldChar w:fldCharType="end"/>
                    </w:r>
                    <w:r>
                      <w:t xml:space="preserve"> 页 共 </w:t>
                    </w:r>
                    <w:r>
                      <w:rPr>
                        <w:rFonts w:hint="eastAsia"/>
                        <w:lang w:val="en-US" w:eastAsia="zh-CN"/>
                      </w:rPr>
                      <w:t>73</w:t>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rPr>
                              <w:rFonts w:hint="eastAsia"/>
                              <w:lang w:val="en-US" w:eastAsia="zh-CN"/>
                            </w:rPr>
                            <w:t>73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66</w:t>
                    </w:r>
                    <w:r>
                      <w:fldChar w:fldCharType="end"/>
                    </w:r>
                    <w:r>
                      <w:t xml:space="preserve"> 页 共 </w:t>
                    </w:r>
                    <w:r>
                      <w:rPr>
                        <w:rFonts w:hint="eastAsia"/>
                        <w:lang w:val="en-US" w:eastAsia="zh-CN"/>
                      </w:rPr>
                      <w:t>73</w:t>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rPr>
                              <w:rFonts w:hint="eastAsia"/>
                              <w:lang w:val="en-US" w:eastAsia="zh-CN"/>
                            </w:rPr>
                            <w:t>73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rPr>
                        <w:rFonts w:hint="eastAsia"/>
                        <w:lang w:val="en-US" w:eastAsia="zh-CN"/>
                      </w:rPr>
                      <w:t>73</w:t>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rPr>
                              <w:rFonts w:hint="eastAsia"/>
                              <w:lang w:val="en-US" w:eastAsia="zh-CN"/>
                            </w:rPr>
                            <w:t>73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68</w:t>
                    </w:r>
                    <w:r>
                      <w:fldChar w:fldCharType="end"/>
                    </w:r>
                    <w:r>
                      <w:t xml:space="preserve"> 页 共 </w:t>
                    </w:r>
                    <w:r>
                      <w:rPr>
                        <w:rFonts w:hint="eastAsia"/>
                        <w:lang w:val="en-US" w:eastAsia="zh-CN"/>
                      </w:rPr>
                      <w:t>73</w:t>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hint="default" w:ascii="仿宋_GB2312" w:eastAsia="仿宋"/>
        <w:b w:val="0"/>
        <w:i/>
        <w:sz w:val="18"/>
        <w:u w:val="single"/>
        <w:lang w:val="en-US" w:eastAsia="zh-CN"/>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keepNext w:val="0"/>
      <w:keepLines w:val="0"/>
      <w:pageBreakBefore w:val="0"/>
      <w:widowControl w:val="0"/>
      <w:kinsoku/>
      <w:wordWrap/>
      <w:overflowPunct/>
      <w:topLinePunct w:val="0"/>
      <w:bidi w:val="0"/>
      <w:adjustRightInd w:val="0"/>
      <w:snapToGrid w:val="0"/>
      <w:jc w:val="center"/>
      <w:textAlignment w:val="auto"/>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i/>
        <w:u w:val="single"/>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SXTSGC2024-002</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F68A0C"/>
    <w:multiLevelType w:val="singleLevel"/>
    <w:tmpl w:val="BEF68A0C"/>
    <w:lvl w:ilvl="0" w:tentative="0">
      <w:start w:val="1"/>
      <w:numFmt w:val="ideographTraditional"/>
      <w:suff w:val="nothing"/>
      <w:lvlText w:val="%1、"/>
      <w:lvlJc w:val="left"/>
      <w:rPr>
        <w:rFonts w:hint="eastAsia"/>
      </w:rPr>
    </w:lvl>
  </w:abstractNum>
  <w:abstractNum w:abstractNumId="1">
    <w:nsid w:val="FC56187D"/>
    <w:multiLevelType w:val="singleLevel"/>
    <w:tmpl w:val="FC56187D"/>
    <w:lvl w:ilvl="0" w:tentative="0">
      <w:start w:val="6"/>
      <w:numFmt w:val="decimal"/>
      <w:suff w:val="space"/>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N2E4Y2EzNmYxYTY2OGFmNDc5MzkyMjk4YWIxNGMifQ=="/>
  </w:docVars>
  <w:rsids>
    <w:rsidRoot w:val="00172A27"/>
    <w:rsid w:val="04541FA0"/>
    <w:rsid w:val="0F096B8F"/>
    <w:rsid w:val="0F63063F"/>
    <w:rsid w:val="18E60774"/>
    <w:rsid w:val="1D2F1C3B"/>
    <w:rsid w:val="30CD01D9"/>
    <w:rsid w:val="379B2EA0"/>
    <w:rsid w:val="398BB4ED"/>
    <w:rsid w:val="3DED6F7B"/>
    <w:rsid w:val="424334E2"/>
    <w:rsid w:val="427E60E8"/>
    <w:rsid w:val="4F4B3D85"/>
    <w:rsid w:val="5F561B6F"/>
    <w:rsid w:val="5F57E5CA"/>
    <w:rsid w:val="5FDD9633"/>
    <w:rsid w:val="669C35D3"/>
    <w:rsid w:val="67373A38"/>
    <w:rsid w:val="6E5A1D76"/>
    <w:rsid w:val="6FC37AD4"/>
    <w:rsid w:val="7779E94C"/>
    <w:rsid w:val="78AD1F79"/>
    <w:rsid w:val="7AE7FF00"/>
    <w:rsid w:val="7C20365C"/>
    <w:rsid w:val="7DCA0B04"/>
    <w:rsid w:val="7DFF3A1B"/>
    <w:rsid w:val="7FCE9F2A"/>
    <w:rsid w:val="D44EBFFF"/>
    <w:rsid w:val="D5F5C4C0"/>
    <w:rsid w:val="DFFEB789"/>
    <w:rsid w:val="EEF68866"/>
    <w:rsid w:val="F34EC60F"/>
    <w:rsid w:val="FBEEFFC6"/>
    <w:rsid w:val="FBFD41A2"/>
    <w:rsid w:val="FE3FF96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next w:val="6"/>
    <w:link w:val="192"/>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5"/>
    <w:link w:val="263"/>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next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6"/>
    <w:next w:val="1"/>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75</Pages>
  <Words>38709</Words>
  <Characters>41180</Characters>
  <Paragraphs>1943</Paragraphs>
  <TotalTime>15</TotalTime>
  <ScaleCrop>false</ScaleCrop>
  <LinksUpToDate>false</LinksUpToDate>
  <CharactersWithSpaces>47318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2021-08-02T16:22:00Z</dcterms:created>
  <dc:creator>玥</dc:creator>
  <cp:lastModifiedBy>WPS_1510199222</cp:lastModifiedBy>
  <cp:lastPrinted>2024-06-06T10:38:00Z</cp:lastPrinted>
  <dcterms:modified xsi:type="dcterms:W3CDTF">2024-06-18T00:55:40Z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