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08E4">
      <w:pPr>
        <w:rPr>
          <w:rFonts w:ascii="宋体" w:hAnsi="宋体"/>
          <w:color w:val="auto"/>
          <w:highlight w:val="none"/>
        </w:rPr>
      </w:pPr>
    </w:p>
    <w:p w14:paraId="168983D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highlight w:val="none"/>
        </w:rPr>
      </w:pPr>
    </w:p>
    <w:p w14:paraId="6CCEE4A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台州市政府采购</w:t>
      </w:r>
    </w:p>
    <w:p w14:paraId="6A5C30E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竞争性磋商文件</w:t>
      </w:r>
    </w:p>
    <w:p w14:paraId="10BF13C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eastAsia="宋体"/>
          <w:color w:val="auto"/>
          <w:kern w:val="0"/>
          <w:sz w:val="28"/>
          <w:highlight w:val="none"/>
          <w:lang w:eastAsia="zh-CN"/>
        </w:rPr>
      </w:pPr>
      <w:r>
        <w:rPr>
          <w:rFonts w:hint="eastAsia" w:ascii="宋体" w:hAnsi="宋体" w:cs="Calibri Light"/>
          <w:color w:val="auto"/>
          <w:kern w:val="0"/>
          <w:sz w:val="28"/>
          <w:szCs w:val="28"/>
          <w:highlight w:val="none"/>
        </w:rPr>
        <w:t>项目编号：</w:t>
      </w:r>
      <w:r>
        <w:rPr>
          <w:rFonts w:hint="eastAsia" w:ascii="宋体" w:hAnsi="宋体" w:cs="Calibri Light"/>
          <w:color w:val="auto"/>
          <w:kern w:val="0"/>
          <w:sz w:val="28"/>
          <w:szCs w:val="28"/>
          <w:highlight w:val="none"/>
          <w:lang w:eastAsia="zh-CN"/>
        </w:rPr>
        <w:t>ZJZL-2025-001</w:t>
      </w:r>
    </w:p>
    <w:p w14:paraId="111579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23" w:firstLineChars="200"/>
        <w:jc w:val="center"/>
        <w:rPr>
          <w:rFonts w:ascii="宋体" w:hAnsi="宋体" w:cs="Calibri Light"/>
          <w:color w:val="auto"/>
          <w:kern w:val="0"/>
          <w:sz w:val="30"/>
          <w:szCs w:val="30"/>
          <w:highlight w:val="none"/>
        </w:rPr>
      </w:pPr>
      <w:r>
        <w:rPr>
          <w:rFonts w:hint="eastAsia" w:ascii="宋体" w:hAnsi="宋体"/>
          <w:b/>
          <w:color w:val="auto"/>
          <w:sz w:val="36"/>
          <w:highlight w:val="none"/>
        </w:rPr>
        <w:t>（线上电子招投标）</w:t>
      </w:r>
    </w:p>
    <w:p w14:paraId="401E643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14:paraId="0C395DF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14:paraId="27AE854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14:paraId="0279517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14:paraId="7CC831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559" w:leftChars="266" w:right="-58" w:firstLine="560" w:firstLineChars="200"/>
        <w:rPr>
          <w:rFonts w:hint="eastAsia" w:ascii="宋体" w:hAnsi="宋体" w:eastAsia="宋体" w:cs="Calibri Light"/>
          <w:color w:val="auto"/>
          <w:kern w:val="0"/>
          <w:sz w:val="28"/>
          <w:szCs w:val="28"/>
          <w:highlight w:val="none"/>
          <w:lang w:eastAsia="zh-CN"/>
        </w:rPr>
      </w:pPr>
      <w:r>
        <w:rPr>
          <w:rFonts w:hint="eastAsia" w:ascii="宋体" w:hAnsi="宋体" w:cs="Calibri Light"/>
          <w:color w:val="auto"/>
          <w:kern w:val="0"/>
          <w:sz w:val="28"/>
          <w:szCs w:val="28"/>
          <w:highlight w:val="none"/>
        </w:rPr>
        <w:t>采购项目：</w:t>
      </w:r>
      <w:r>
        <w:rPr>
          <w:rFonts w:hint="eastAsia" w:ascii="宋体" w:hAnsi="宋体" w:cs="Calibri Light"/>
          <w:color w:val="auto"/>
          <w:kern w:val="0"/>
          <w:sz w:val="28"/>
          <w:szCs w:val="28"/>
          <w:highlight w:val="none"/>
          <w:lang w:eastAsia="zh-CN"/>
        </w:rPr>
        <w:t>路北街道2025年零星安保服务采购项目</w:t>
      </w:r>
    </w:p>
    <w:p w14:paraId="7D1B06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firstLine="1120" w:firstLineChars="400"/>
        <w:rPr>
          <w:rFonts w:ascii="宋体" w:hAnsi="宋体" w:cs="Calibri Light"/>
          <w:color w:val="auto"/>
          <w:kern w:val="0"/>
          <w:sz w:val="28"/>
          <w:szCs w:val="28"/>
          <w:highlight w:val="none"/>
        </w:rPr>
      </w:pPr>
      <w:r>
        <w:rPr>
          <w:rFonts w:hint="eastAsia" w:ascii="宋体" w:hAnsi="宋体" w:cs="Calibri Light"/>
          <w:color w:val="auto"/>
          <w:kern w:val="0"/>
          <w:sz w:val="28"/>
          <w:szCs w:val="28"/>
          <w:highlight w:val="none"/>
        </w:rPr>
        <w:t>采</w:t>
      </w:r>
      <w:r>
        <w:rPr>
          <w:rFonts w:ascii="宋体" w:hAnsi="宋体" w:cs="Calibri Light"/>
          <w:color w:val="auto"/>
          <w:kern w:val="0"/>
          <w:sz w:val="28"/>
          <w:szCs w:val="28"/>
          <w:highlight w:val="none"/>
        </w:rPr>
        <w:t xml:space="preserve"> </w:t>
      </w:r>
      <w:r>
        <w:rPr>
          <w:rFonts w:hint="eastAsia" w:ascii="宋体" w:hAnsi="宋体" w:cs="Calibri Light"/>
          <w:color w:val="auto"/>
          <w:kern w:val="0"/>
          <w:sz w:val="28"/>
          <w:szCs w:val="28"/>
          <w:highlight w:val="none"/>
        </w:rPr>
        <w:t>购</w:t>
      </w:r>
      <w:r>
        <w:rPr>
          <w:rFonts w:ascii="宋体" w:hAnsi="宋体" w:cs="Calibri Light"/>
          <w:color w:val="auto"/>
          <w:kern w:val="0"/>
          <w:sz w:val="28"/>
          <w:szCs w:val="28"/>
          <w:highlight w:val="none"/>
        </w:rPr>
        <w:t xml:space="preserve"> </w:t>
      </w:r>
      <w:r>
        <w:rPr>
          <w:rFonts w:hint="eastAsia" w:ascii="宋体" w:hAnsi="宋体" w:cs="Calibri Light"/>
          <w:color w:val="auto"/>
          <w:kern w:val="0"/>
          <w:sz w:val="28"/>
          <w:szCs w:val="28"/>
          <w:highlight w:val="none"/>
        </w:rPr>
        <w:t>人：</w:t>
      </w:r>
      <w:r>
        <w:rPr>
          <w:rFonts w:hint="eastAsia" w:ascii="宋体" w:hAnsi="宋体" w:cs="Calibri Light"/>
          <w:color w:val="auto"/>
          <w:kern w:val="0"/>
          <w:sz w:val="28"/>
          <w:szCs w:val="28"/>
          <w:highlight w:val="none"/>
          <w:lang w:eastAsia="zh-CN"/>
        </w:rPr>
        <w:t>台州市路桥区人民政府路北街道办事处</w:t>
      </w:r>
    </w:p>
    <w:p w14:paraId="181C5F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auto"/>
          <w:kern w:val="0"/>
          <w:sz w:val="30"/>
          <w:szCs w:val="30"/>
          <w:highlight w:val="none"/>
        </w:rPr>
      </w:pPr>
    </w:p>
    <w:p w14:paraId="081C39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auto"/>
          <w:kern w:val="0"/>
          <w:sz w:val="30"/>
          <w:szCs w:val="30"/>
          <w:highlight w:val="none"/>
        </w:rPr>
      </w:pPr>
    </w:p>
    <w:p w14:paraId="5A3EB62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14:paraId="5D295A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highlight w:val="none"/>
        </w:rPr>
      </w:pPr>
    </w:p>
    <w:p w14:paraId="0C74AF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highlight w:val="none"/>
        </w:rPr>
      </w:pPr>
    </w:p>
    <w:p w14:paraId="505CBEB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highlight w:val="none"/>
        </w:rPr>
      </w:pPr>
    </w:p>
    <w:p w14:paraId="7007805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hAnsi="宋体" w:cs="Calibri Light"/>
          <w:color w:val="auto"/>
          <w:kern w:val="0"/>
          <w:sz w:val="28"/>
          <w:szCs w:val="28"/>
          <w:highlight w:val="none"/>
        </w:rPr>
      </w:pPr>
      <w:r>
        <w:rPr>
          <w:rFonts w:hint="eastAsia" w:ascii="宋体" w:hAnsi="宋体" w:cs="Calibri Light"/>
          <w:color w:val="auto"/>
          <w:kern w:val="0"/>
          <w:sz w:val="28"/>
          <w:szCs w:val="28"/>
          <w:highlight w:val="none"/>
          <w:lang w:val="en-US" w:eastAsia="zh-CN"/>
        </w:rPr>
        <w:t xml:space="preserve">                </w:t>
      </w:r>
      <w:r>
        <w:rPr>
          <w:rFonts w:hint="eastAsia" w:ascii="宋体" w:hAnsi="宋体" w:cs="Calibri Light"/>
          <w:color w:val="auto"/>
          <w:kern w:val="0"/>
          <w:sz w:val="28"/>
          <w:szCs w:val="28"/>
          <w:highlight w:val="none"/>
          <w:lang w:eastAsia="zh-CN"/>
        </w:rPr>
        <w:t>浙江筑脸全过程工程咨询有限公司</w:t>
      </w:r>
    </w:p>
    <w:p w14:paraId="5A4D38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auto"/>
          <w:kern w:val="0"/>
          <w:sz w:val="28"/>
          <w:szCs w:val="28"/>
          <w:highlight w:val="none"/>
        </w:rPr>
      </w:pPr>
      <w:r>
        <w:rPr>
          <w:rFonts w:hint="eastAsia" w:ascii="宋体" w:hAnsi="宋体" w:cs="宋体"/>
          <w:color w:val="auto"/>
          <w:kern w:val="0"/>
          <w:sz w:val="28"/>
          <w:highlight w:val="none"/>
          <w:lang w:eastAsia="zh-CN"/>
        </w:rPr>
        <w:t>二○二五</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一</w:t>
      </w:r>
      <w:r>
        <w:rPr>
          <w:rFonts w:hint="eastAsia" w:ascii="宋体" w:hAnsi="宋体" w:cs="宋体"/>
          <w:color w:val="auto"/>
          <w:kern w:val="0"/>
          <w:sz w:val="28"/>
          <w:highlight w:val="none"/>
        </w:rPr>
        <w:t>月</w:t>
      </w:r>
    </w:p>
    <w:p w14:paraId="329E2C5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auto"/>
          <w:kern w:val="0"/>
          <w:sz w:val="28"/>
          <w:szCs w:val="28"/>
          <w:highlight w:val="none"/>
        </w:rPr>
      </w:pPr>
    </w:p>
    <w:p w14:paraId="571A288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auto"/>
          <w:kern w:val="0"/>
          <w:sz w:val="28"/>
          <w:szCs w:val="28"/>
          <w:highlight w:val="none"/>
        </w:rPr>
      </w:pPr>
    </w:p>
    <w:p w14:paraId="08B62353">
      <w:pPr>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目</w:t>
      </w:r>
      <w:r>
        <w:rPr>
          <w:rFonts w:ascii="宋体" w:hAnsi="宋体" w:cs="仿宋"/>
          <w:b/>
          <w:bCs/>
          <w:color w:val="auto"/>
          <w:sz w:val="36"/>
          <w:szCs w:val="36"/>
          <w:highlight w:val="none"/>
        </w:rPr>
        <w:t xml:space="preserve">    </w:t>
      </w:r>
      <w:r>
        <w:rPr>
          <w:rFonts w:hint="eastAsia" w:ascii="宋体" w:hAnsi="宋体" w:cs="仿宋"/>
          <w:b/>
          <w:bCs/>
          <w:color w:val="auto"/>
          <w:sz w:val="36"/>
          <w:szCs w:val="36"/>
          <w:highlight w:val="none"/>
        </w:rPr>
        <w:t>录</w:t>
      </w:r>
    </w:p>
    <w:p w14:paraId="17347025">
      <w:pPr>
        <w:spacing w:line="360" w:lineRule="auto"/>
        <w:rPr>
          <w:rFonts w:ascii="宋体" w:hAnsi="宋体"/>
          <w:color w:val="auto"/>
          <w:sz w:val="10"/>
          <w:highlight w:val="none"/>
        </w:rPr>
      </w:pPr>
    </w:p>
    <w:p w14:paraId="368F3D3A">
      <w:pP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一、竞争性</w:t>
      </w:r>
      <w:r>
        <w:rPr>
          <w:rFonts w:ascii="宋体" w:hAnsi="宋体"/>
          <w:b/>
          <w:color w:val="auto"/>
          <w:sz w:val="28"/>
          <w:szCs w:val="28"/>
          <w:highlight w:val="none"/>
        </w:rPr>
        <w:t>磋商</w:t>
      </w:r>
      <w:r>
        <w:rPr>
          <w:rFonts w:hint="eastAsia" w:ascii="宋体" w:hAnsi="宋体"/>
          <w:b/>
          <w:color w:val="auto"/>
          <w:sz w:val="28"/>
          <w:szCs w:val="28"/>
          <w:highlight w:val="none"/>
        </w:rPr>
        <w:t>公告</w:t>
      </w:r>
    </w:p>
    <w:p w14:paraId="62359866">
      <w:pP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二、供应商须知</w:t>
      </w:r>
    </w:p>
    <w:p w14:paraId="70C83A11">
      <w:pP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三、评审办法及评审标准</w:t>
      </w:r>
    </w:p>
    <w:p w14:paraId="25492199">
      <w:pP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kern w:val="0"/>
          <w:sz w:val="28"/>
          <w:szCs w:val="28"/>
          <w:highlight w:val="none"/>
        </w:rPr>
        <w:t>项目需求</w:t>
      </w:r>
    </w:p>
    <w:p w14:paraId="5F810E8E">
      <w:pPr>
        <w:spacing w:line="360" w:lineRule="auto"/>
        <w:ind w:firstLine="843" w:firstLineChars="300"/>
        <w:jc w:val="left"/>
        <w:rPr>
          <w:rFonts w:ascii="宋体" w:hAnsi="宋体"/>
          <w:b/>
          <w:color w:val="auto"/>
          <w:sz w:val="28"/>
          <w:szCs w:val="28"/>
          <w:highlight w:val="none"/>
        </w:rPr>
      </w:pPr>
      <w:r>
        <w:rPr>
          <w:rFonts w:hint="eastAsia" w:ascii="宋体" w:hAnsi="宋体"/>
          <w:b/>
          <w:color w:val="auto"/>
          <w:sz w:val="28"/>
          <w:szCs w:val="28"/>
          <w:highlight w:val="none"/>
        </w:rPr>
        <w:t>五、政府采购合同主要条款指引</w:t>
      </w:r>
    </w:p>
    <w:p w14:paraId="686E161D">
      <w:pP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六、响应文件格式附件</w:t>
      </w:r>
    </w:p>
    <w:p w14:paraId="5B735B90">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auto"/>
          <w:kern w:val="0"/>
          <w:sz w:val="36"/>
          <w:szCs w:val="36"/>
          <w:highlight w:val="none"/>
        </w:rPr>
      </w:pPr>
    </w:p>
    <w:p w14:paraId="656688E4">
      <w:pPr>
        <w:pStyle w:val="4"/>
        <w:jc w:val="center"/>
        <w:rPr>
          <w:rFonts w:hint="eastAsia" w:ascii="宋体" w:hAnsi="宋体"/>
          <w:color w:val="auto"/>
          <w:sz w:val="36"/>
          <w:szCs w:val="36"/>
          <w:highlight w:val="none"/>
        </w:rPr>
        <w:sectPr>
          <w:headerReference r:id="rId3" w:type="default"/>
          <w:pgSz w:w="11906" w:h="16838"/>
          <w:pgMar w:top="1440" w:right="1800" w:bottom="1440" w:left="1800" w:header="851" w:footer="992" w:gutter="0"/>
          <w:cols w:space="720" w:num="1"/>
          <w:docGrid w:type="lines" w:linePitch="312" w:charSpace="0"/>
        </w:sectPr>
      </w:pPr>
    </w:p>
    <w:p w14:paraId="31802B69">
      <w:pPr>
        <w:pStyle w:val="4"/>
        <w:jc w:val="center"/>
        <w:rPr>
          <w:rFonts w:ascii="宋体" w:hAnsi="宋体"/>
          <w:color w:val="auto"/>
          <w:sz w:val="36"/>
          <w:szCs w:val="36"/>
          <w:highlight w:val="none"/>
        </w:rPr>
      </w:pPr>
      <w:r>
        <w:rPr>
          <w:rFonts w:hint="eastAsia" w:ascii="宋体" w:hAnsi="宋体"/>
          <w:color w:val="auto"/>
          <w:sz w:val="36"/>
          <w:szCs w:val="36"/>
          <w:highlight w:val="none"/>
        </w:rPr>
        <w:t>第一章</w:t>
      </w:r>
      <w:r>
        <w:rPr>
          <w:rFonts w:ascii="宋体" w:hAnsi="宋体"/>
          <w:color w:val="auto"/>
          <w:sz w:val="36"/>
          <w:szCs w:val="36"/>
          <w:highlight w:val="none"/>
        </w:rPr>
        <w:t xml:space="preserve">  竞争性磋商公告 </w:t>
      </w:r>
    </w:p>
    <w:p w14:paraId="3B8DAF23">
      <w:pPr>
        <w:adjustRightInd w:val="0"/>
        <w:snapToGrid w:val="0"/>
        <w:spacing w:line="288" w:lineRule="auto"/>
        <w:ind w:firstLine="480" w:firstLineChars="200"/>
        <w:jc w:val="left"/>
        <w:rPr>
          <w:rFonts w:ascii="宋体" w:hAnsi="宋体" w:cs="Calibri Light"/>
          <w:color w:val="auto"/>
          <w:kern w:val="0"/>
          <w:sz w:val="24"/>
          <w:highlight w:val="none"/>
        </w:rPr>
      </w:pPr>
      <w:r>
        <w:rPr>
          <w:rFonts w:ascii="宋体" w:hAnsi="宋体" w:cs="Calibri Light"/>
          <w:color w:val="auto"/>
          <w:kern w:val="0"/>
          <w:sz w:val="24"/>
          <w:highlight w:val="none"/>
        </w:rPr>
        <w:t>根据《中华人民共和国政府采购法》</w:t>
      </w:r>
      <w:r>
        <w:rPr>
          <w:rFonts w:hint="eastAsia" w:ascii="宋体" w:hAnsi="宋体"/>
          <w:color w:val="auto"/>
          <w:kern w:val="0"/>
          <w:sz w:val="24"/>
          <w:highlight w:val="none"/>
        </w:rPr>
        <w:t>、《中华人民共和国政府采购法实施条例》</w:t>
      </w:r>
      <w:r>
        <w:rPr>
          <w:rFonts w:hint="eastAsia" w:ascii="宋体" w:hAnsi="宋体" w:cs="Calibri Light"/>
          <w:color w:val="auto"/>
          <w:kern w:val="0"/>
          <w:sz w:val="24"/>
          <w:highlight w:val="none"/>
        </w:rPr>
        <w:t>、</w:t>
      </w:r>
      <w:r>
        <w:rPr>
          <w:rFonts w:hint="eastAsia" w:ascii="宋体" w:hAnsi="宋体" w:cs="Calibri Light"/>
          <w:color w:val="auto"/>
          <w:sz w:val="24"/>
          <w:highlight w:val="none"/>
        </w:rPr>
        <w:t>《政府采购竞争性磋商采购方式管理暂行办法》等</w:t>
      </w:r>
      <w:r>
        <w:rPr>
          <w:rFonts w:hint="eastAsia" w:ascii="宋体" w:hAnsi="宋体" w:cs="Calibri Light"/>
          <w:color w:val="auto"/>
          <w:kern w:val="0"/>
          <w:sz w:val="24"/>
          <w:highlight w:val="none"/>
        </w:rPr>
        <w:t>有关规定，受采购人的委托，现就</w:t>
      </w:r>
      <w:r>
        <w:rPr>
          <w:rFonts w:hint="eastAsia" w:ascii="宋体" w:hAnsi="宋体" w:cs="Calibri Light"/>
          <w:color w:val="auto"/>
          <w:sz w:val="24"/>
          <w:highlight w:val="none"/>
          <w:u w:val="single"/>
          <w:lang w:eastAsia="zh-CN"/>
        </w:rPr>
        <w:t>台州市路桥区人民政府路北街道办事处</w:t>
      </w:r>
      <w:r>
        <w:rPr>
          <w:rFonts w:hint="eastAsia" w:ascii="宋体" w:hAnsi="宋体" w:cs="Calibri Light"/>
          <w:color w:val="auto"/>
          <w:sz w:val="24"/>
          <w:highlight w:val="none"/>
        </w:rPr>
        <w:t>（单</w:t>
      </w:r>
      <w:r>
        <w:rPr>
          <w:rFonts w:hint="eastAsia" w:ascii="宋体" w:hAnsi="宋体" w:cs="Calibri Light"/>
          <w:color w:val="auto"/>
          <w:kern w:val="0"/>
          <w:sz w:val="24"/>
          <w:highlight w:val="none"/>
        </w:rPr>
        <w:t>位）的</w:t>
      </w:r>
      <w:r>
        <w:rPr>
          <w:rFonts w:hint="eastAsia" w:ascii="宋体" w:hAnsi="宋体" w:cs="Calibri Light"/>
          <w:color w:val="auto"/>
          <w:sz w:val="24"/>
          <w:highlight w:val="none"/>
          <w:u w:val="single"/>
          <w:lang w:eastAsia="zh-CN"/>
        </w:rPr>
        <w:t>路北街道2025年零星安保服务采购项目</w:t>
      </w:r>
      <w:r>
        <w:rPr>
          <w:rFonts w:hint="eastAsia" w:ascii="宋体" w:hAnsi="宋体" w:cs="Calibri Light"/>
          <w:color w:val="auto"/>
          <w:kern w:val="0"/>
          <w:sz w:val="24"/>
          <w:highlight w:val="none"/>
        </w:rPr>
        <w:t>进行竞争性磋商采购</w:t>
      </w:r>
      <w:r>
        <w:rPr>
          <w:rFonts w:hint="eastAsia" w:ascii="宋体" w:hAnsi="宋体"/>
          <w:color w:val="auto"/>
          <w:kern w:val="0"/>
          <w:sz w:val="24"/>
          <w:highlight w:val="none"/>
        </w:rPr>
        <w:t>，欢迎合格供应商前来磋商（</w:t>
      </w:r>
      <w:r>
        <w:rPr>
          <w:rFonts w:hint="eastAsia" w:ascii="宋体" w:hAnsi="宋体" w:cs="Calibri Light"/>
          <w:color w:val="auto"/>
          <w:kern w:val="0"/>
          <w:sz w:val="24"/>
          <w:highlight w:val="none"/>
        </w:rPr>
        <w:t>本项目属于台州市政府向社会力量购买服务指导性目录(</w:t>
      </w:r>
      <w:r>
        <w:rPr>
          <w:rFonts w:hint="eastAsia" w:ascii="宋体" w:hAnsi="宋体" w:cs="Calibri Light"/>
          <w:color w:val="auto"/>
          <w:kern w:val="0"/>
          <w:sz w:val="24"/>
          <w:highlight w:val="none"/>
          <w:lang w:eastAsia="zh-CN"/>
        </w:rPr>
        <w:t>2025年度</w:t>
      </w:r>
      <w:r>
        <w:rPr>
          <w:rFonts w:hint="eastAsia" w:ascii="宋体" w:hAnsi="宋体" w:cs="Calibri Light"/>
          <w:color w:val="auto"/>
          <w:kern w:val="0"/>
          <w:sz w:val="24"/>
          <w:highlight w:val="none"/>
        </w:rPr>
        <w:t>)中的</w:t>
      </w:r>
      <w:r>
        <w:rPr>
          <w:rFonts w:hint="eastAsia" w:ascii="宋体" w:hAnsi="宋体" w:cs="Calibri Light"/>
          <w:color w:val="auto"/>
          <w:kern w:val="0"/>
          <w:sz w:val="24"/>
          <w:highlight w:val="none"/>
          <w:lang w:val="en-US" w:eastAsia="zh-CN"/>
        </w:rPr>
        <w:t>其他</w:t>
      </w:r>
      <w:r>
        <w:rPr>
          <w:rFonts w:hint="eastAsia" w:ascii="宋体" w:hAnsi="宋体" w:cs="Calibri Light"/>
          <w:color w:val="auto"/>
          <w:kern w:val="0"/>
          <w:sz w:val="24"/>
          <w:highlight w:val="none"/>
        </w:rPr>
        <w:t>（目录编码</w:t>
      </w:r>
      <w:r>
        <w:rPr>
          <w:rFonts w:hint="eastAsia" w:ascii="宋体" w:hAnsi="宋体" w:cs="Calibri Light"/>
          <w:color w:val="auto"/>
          <w:kern w:val="0"/>
          <w:sz w:val="24"/>
          <w:highlight w:val="none"/>
          <w:lang w:eastAsia="zh-CN"/>
        </w:rPr>
        <w:t>B110</w:t>
      </w:r>
      <w:r>
        <w:rPr>
          <w:rFonts w:hint="eastAsia" w:ascii="宋体" w:hAnsi="宋体" w:cs="Calibri Light"/>
          <w:color w:val="auto"/>
          <w:kern w:val="0"/>
          <w:sz w:val="24"/>
          <w:highlight w:val="none"/>
          <w:lang w:val="en-US" w:eastAsia="zh-CN"/>
        </w:rPr>
        <w:t>6</w:t>
      </w:r>
      <w:r>
        <w:rPr>
          <w:rFonts w:hint="eastAsia" w:ascii="宋体" w:hAnsi="宋体" w:cs="Calibri Light"/>
          <w:color w:val="auto"/>
          <w:kern w:val="0"/>
          <w:sz w:val="24"/>
          <w:highlight w:val="none"/>
        </w:rPr>
        <w:t>），故采用竞争性磋商方式开展采购</w:t>
      </w:r>
      <w:r>
        <w:rPr>
          <w:rFonts w:hint="eastAsia" w:ascii="宋体" w:hAnsi="宋体"/>
          <w:color w:val="auto"/>
          <w:kern w:val="0"/>
          <w:sz w:val="24"/>
          <w:highlight w:val="none"/>
        </w:rPr>
        <w:t>）。</w:t>
      </w:r>
    </w:p>
    <w:p w14:paraId="0283B057">
      <w:pPr>
        <w:numPr>
          <w:ilvl w:val="0"/>
          <w:numId w:val="2"/>
        </w:numPr>
        <w:tabs>
          <w:tab w:val="left" w:pos="180"/>
          <w:tab w:val="left" w:pos="360"/>
          <w:tab w:val="left" w:pos="540"/>
          <w:tab w:val="left" w:pos="8280"/>
        </w:tabs>
        <w:autoSpaceDE w:val="0"/>
        <w:autoSpaceDN w:val="0"/>
        <w:adjustRightInd w:val="0"/>
        <w:snapToGrid w:val="0"/>
        <w:spacing w:line="288" w:lineRule="auto"/>
        <w:ind w:right="23" w:firstLine="482" w:firstLineChars="200"/>
        <w:jc w:val="left"/>
        <w:rPr>
          <w:rFonts w:hint="eastAsia" w:ascii="宋体" w:hAnsi="宋体" w:cs="Calibri Light"/>
          <w:b/>
          <w:color w:val="auto"/>
          <w:kern w:val="0"/>
          <w:sz w:val="24"/>
          <w:highlight w:val="none"/>
          <w:lang w:eastAsia="zh-CN"/>
        </w:rPr>
      </w:pPr>
      <w:r>
        <w:rPr>
          <w:rFonts w:hint="eastAsia" w:ascii="宋体" w:hAnsi="宋体" w:cs="Calibri Light"/>
          <w:b/>
          <w:color w:val="auto"/>
          <w:kern w:val="0"/>
          <w:sz w:val="24"/>
          <w:highlight w:val="none"/>
        </w:rPr>
        <w:t>项目编号：</w:t>
      </w:r>
      <w:r>
        <w:rPr>
          <w:rFonts w:hint="eastAsia" w:ascii="宋体" w:hAnsi="宋体" w:cs="Calibri Light"/>
          <w:b/>
          <w:color w:val="auto"/>
          <w:kern w:val="0"/>
          <w:sz w:val="24"/>
          <w:highlight w:val="none"/>
          <w:lang w:eastAsia="zh-CN"/>
        </w:rPr>
        <w:t>ZJZL-2025-001</w:t>
      </w:r>
    </w:p>
    <w:p w14:paraId="708DCCCC">
      <w:pPr>
        <w:numPr>
          <w:ilvl w:val="0"/>
          <w:numId w:val="0"/>
        </w:numPr>
        <w:tabs>
          <w:tab w:val="left" w:pos="180"/>
          <w:tab w:val="left" w:pos="360"/>
          <w:tab w:val="left" w:pos="540"/>
          <w:tab w:val="left" w:pos="8280"/>
        </w:tabs>
        <w:autoSpaceDE w:val="0"/>
        <w:autoSpaceDN w:val="0"/>
        <w:adjustRightInd w:val="0"/>
        <w:snapToGrid w:val="0"/>
        <w:spacing w:line="288" w:lineRule="auto"/>
        <w:ind w:right="23" w:rightChars="0" w:firstLine="482" w:firstLineChars="200"/>
        <w:jc w:val="left"/>
        <w:rPr>
          <w:rFonts w:hint="eastAsia" w:ascii="宋体" w:hAnsi="宋体" w:eastAsia="宋体" w:cs="Calibri Light"/>
          <w:color w:val="auto"/>
          <w:kern w:val="0"/>
          <w:sz w:val="24"/>
          <w:highlight w:val="none"/>
          <w:lang w:eastAsia="zh-CN"/>
        </w:rPr>
      </w:pPr>
      <w:r>
        <w:rPr>
          <w:rFonts w:hint="eastAsia" w:ascii="宋体" w:hAnsi="宋体" w:cs="Calibri Light"/>
          <w:b/>
          <w:color w:val="auto"/>
          <w:kern w:val="0"/>
          <w:sz w:val="24"/>
          <w:highlight w:val="none"/>
        </w:rPr>
        <w:t>二、磋商内容：</w:t>
      </w:r>
    </w:p>
    <w:tbl>
      <w:tblPr>
        <w:tblStyle w:val="29"/>
        <w:tblpPr w:leftFromText="180" w:rightFromText="180" w:vertAnchor="text" w:horzAnchor="page" w:tblpX="1665" w:tblpY="240"/>
        <w:tblOverlap w:val="never"/>
        <w:tblW w:w="9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7"/>
        <w:gridCol w:w="2345"/>
        <w:gridCol w:w="2093"/>
        <w:gridCol w:w="1798"/>
        <w:gridCol w:w="2273"/>
      </w:tblGrid>
      <w:tr w14:paraId="5DD6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787" w:type="dxa"/>
            <w:noWrap w:val="0"/>
            <w:tcMar>
              <w:top w:w="75" w:type="dxa"/>
              <w:left w:w="75" w:type="dxa"/>
              <w:bottom w:w="75" w:type="dxa"/>
              <w:right w:w="75" w:type="dxa"/>
            </w:tcMar>
            <w:vAlign w:val="center"/>
          </w:tcPr>
          <w:p w14:paraId="22A7BE62">
            <w:pPr>
              <w:spacing w:line="360" w:lineRule="auto"/>
              <w:jc w:val="center"/>
              <w:rPr>
                <w:rFonts w:hint="eastAsia" w:ascii="宋体" w:hAnsi="宋体" w:eastAsia="宋体" w:cs="宋体"/>
                <w:b/>
                <w:bCs/>
                <w:color w:val="auto"/>
                <w:sz w:val="24"/>
                <w:shd w:val="clear" w:color="auto" w:fill="auto"/>
                <w:lang w:eastAsia="zh-CN"/>
              </w:rPr>
            </w:pPr>
            <w:r>
              <w:rPr>
                <w:rFonts w:hint="eastAsia" w:ascii="宋体" w:hAnsi="宋体" w:eastAsia="宋体" w:cs="宋体"/>
                <w:b/>
                <w:bCs/>
                <w:color w:val="auto"/>
                <w:sz w:val="24"/>
                <w:shd w:val="clear" w:color="auto" w:fill="auto"/>
                <w:lang w:eastAsia="zh-CN"/>
              </w:rPr>
              <w:t>序号</w:t>
            </w:r>
          </w:p>
        </w:tc>
        <w:tc>
          <w:tcPr>
            <w:tcW w:w="2345" w:type="dxa"/>
            <w:noWrap w:val="0"/>
            <w:tcMar>
              <w:top w:w="75" w:type="dxa"/>
              <w:left w:w="75" w:type="dxa"/>
              <w:bottom w:w="75" w:type="dxa"/>
              <w:right w:w="75" w:type="dxa"/>
            </w:tcMar>
            <w:vAlign w:val="center"/>
          </w:tcPr>
          <w:p w14:paraId="1EF0094C">
            <w:pPr>
              <w:spacing w:line="360" w:lineRule="auto"/>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z w:val="24"/>
                <w:shd w:val="clear" w:color="auto" w:fill="auto"/>
              </w:rPr>
              <w:t>项目名称</w:t>
            </w:r>
          </w:p>
        </w:tc>
        <w:tc>
          <w:tcPr>
            <w:tcW w:w="2093" w:type="dxa"/>
            <w:noWrap w:val="0"/>
            <w:tcMar>
              <w:top w:w="75" w:type="dxa"/>
              <w:left w:w="75" w:type="dxa"/>
              <w:bottom w:w="75" w:type="dxa"/>
              <w:right w:w="75" w:type="dxa"/>
            </w:tcMar>
            <w:vAlign w:val="center"/>
          </w:tcPr>
          <w:p w14:paraId="6002A625">
            <w:pPr>
              <w:spacing w:line="360" w:lineRule="auto"/>
              <w:jc w:val="center"/>
              <w:rPr>
                <w:rFonts w:hint="eastAsia" w:ascii="宋体" w:hAnsi="宋体" w:eastAsia="宋体" w:cs="宋体"/>
                <w:b/>
                <w:bCs/>
                <w:color w:val="auto"/>
                <w:sz w:val="24"/>
                <w:shd w:val="clear" w:color="auto" w:fill="auto"/>
              </w:rPr>
            </w:pPr>
            <w:r>
              <w:rPr>
                <w:rFonts w:hint="eastAsia" w:ascii="宋体" w:hAnsi="宋体" w:eastAsia="宋体" w:cs="宋体"/>
                <w:b/>
                <w:color w:val="auto"/>
                <w:sz w:val="24"/>
                <w:szCs w:val="24"/>
              </w:rPr>
              <w:t>采购需求概况</w:t>
            </w:r>
          </w:p>
        </w:tc>
        <w:tc>
          <w:tcPr>
            <w:tcW w:w="1798" w:type="dxa"/>
            <w:noWrap w:val="0"/>
            <w:tcMar>
              <w:top w:w="75" w:type="dxa"/>
              <w:left w:w="75" w:type="dxa"/>
              <w:bottom w:w="75" w:type="dxa"/>
              <w:right w:w="75" w:type="dxa"/>
            </w:tcMar>
            <w:vAlign w:val="center"/>
          </w:tcPr>
          <w:p w14:paraId="7119E3EE">
            <w:pPr>
              <w:spacing w:line="360" w:lineRule="auto"/>
              <w:jc w:val="center"/>
              <w:rPr>
                <w:rFonts w:hint="eastAsia" w:ascii="宋体" w:hAnsi="宋体" w:eastAsia="宋体" w:cs="宋体"/>
                <w:b/>
                <w:bCs/>
                <w:color w:val="auto"/>
                <w:sz w:val="24"/>
                <w:shd w:val="clear" w:color="auto" w:fill="auto"/>
                <w:lang w:eastAsia="zh-CN"/>
              </w:rPr>
            </w:pPr>
            <w:r>
              <w:rPr>
                <w:rFonts w:hint="eastAsia" w:ascii="宋体" w:hAnsi="宋体" w:cs="宋体"/>
                <w:b/>
                <w:bCs/>
                <w:color w:val="auto"/>
                <w:sz w:val="24"/>
                <w:shd w:val="clear" w:color="auto" w:fill="auto"/>
                <w:lang w:eastAsia="zh-CN"/>
              </w:rPr>
              <w:t>服务期限</w:t>
            </w:r>
          </w:p>
        </w:tc>
        <w:tc>
          <w:tcPr>
            <w:tcW w:w="2273" w:type="dxa"/>
            <w:noWrap w:val="0"/>
            <w:tcMar>
              <w:top w:w="75" w:type="dxa"/>
              <w:left w:w="75" w:type="dxa"/>
              <w:bottom w:w="75" w:type="dxa"/>
              <w:right w:w="75" w:type="dxa"/>
            </w:tcMar>
            <w:vAlign w:val="center"/>
          </w:tcPr>
          <w:p w14:paraId="336B3797">
            <w:pPr>
              <w:spacing w:line="360" w:lineRule="auto"/>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z w:val="24"/>
                <w:shd w:val="clear" w:color="auto" w:fill="auto"/>
              </w:rPr>
              <w:t>预算金额/最高限价</w:t>
            </w:r>
          </w:p>
        </w:tc>
      </w:tr>
      <w:tr w14:paraId="44755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trPr>
        <w:tc>
          <w:tcPr>
            <w:tcW w:w="787" w:type="dxa"/>
            <w:noWrap w:val="0"/>
            <w:tcMar>
              <w:top w:w="75" w:type="dxa"/>
              <w:left w:w="75" w:type="dxa"/>
              <w:bottom w:w="75" w:type="dxa"/>
              <w:right w:w="75" w:type="dxa"/>
            </w:tcMar>
            <w:vAlign w:val="center"/>
          </w:tcPr>
          <w:p w14:paraId="3EDCD2E0">
            <w:pPr>
              <w:spacing w:line="360" w:lineRule="auto"/>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1</w:t>
            </w:r>
          </w:p>
        </w:tc>
        <w:tc>
          <w:tcPr>
            <w:tcW w:w="2345" w:type="dxa"/>
            <w:noWrap w:val="0"/>
            <w:tcMar>
              <w:top w:w="75" w:type="dxa"/>
              <w:left w:w="75" w:type="dxa"/>
              <w:bottom w:w="75" w:type="dxa"/>
              <w:right w:w="75" w:type="dxa"/>
            </w:tcMar>
            <w:vAlign w:val="center"/>
          </w:tcPr>
          <w:p w14:paraId="0D6F9EEC">
            <w:pPr>
              <w:spacing w:line="240" w:lineRule="auto"/>
              <w:jc w:val="center"/>
              <w:rPr>
                <w:rFonts w:hint="eastAsia" w:ascii="宋体" w:hAnsi="宋体" w:eastAsia="宋体" w:cs="宋体"/>
                <w:color w:val="auto"/>
                <w:sz w:val="24"/>
                <w:shd w:val="clear" w:color="auto" w:fill="auto"/>
                <w:lang w:eastAsia="zh-CN"/>
              </w:rPr>
            </w:pPr>
            <w:r>
              <w:rPr>
                <w:rFonts w:hint="eastAsia" w:ascii="宋体" w:hAnsi="宋体" w:cs="宋体"/>
                <w:b w:val="0"/>
                <w:bCs w:val="0"/>
                <w:color w:val="auto"/>
                <w:sz w:val="24"/>
                <w:szCs w:val="32"/>
                <w:lang w:eastAsia="zh-CN"/>
              </w:rPr>
              <w:t>路北街道2025年零星安保服务采购项目</w:t>
            </w:r>
          </w:p>
        </w:tc>
        <w:tc>
          <w:tcPr>
            <w:tcW w:w="2093" w:type="dxa"/>
            <w:noWrap w:val="0"/>
            <w:tcMar>
              <w:top w:w="75" w:type="dxa"/>
              <w:left w:w="75" w:type="dxa"/>
              <w:bottom w:w="75" w:type="dxa"/>
              <w:right w:w="75" w:type="dxa"/>
            </w:tcMar>
            <w:vAlign w:val="center"/>
          </w:tcPr>
          <w:p w14:paraId="71CEF5B5">
            <w:pPr>
              <w:spacing w:line="360" w:lineRule="auto"/>
              <w:jc w:val="center"/>
              <w:rPr>
                <w:rFonts w:hint="eastAsia" w:ascii="宋体" w:hAnsi="宋体" w:eastAsia="宋体" w:cs="宋体"/>
                <w:color w:val="auto"/>
                <w:sz w:val="24"/>
                <w:shd w:val="clear" w:color="auto" w:fill="auto"/>
              </w:rPr>
            </w:pPr>
            <w:r>
              <w:rPr>
                <w:rFonts w:hint="eastAsia" w:ascii="宋体" w:hAnsi="宋体" w:eastAsia="宋体" w:cs="宋体"/>
                <w:color w:val="auto"/>
                <w:sz w:val="24"/>
                <w:szCs w:val="24"/>
              </w:rPr>
              <w:t>路北街道社会治理零星安保服务</w:t>
            </w:r>
          </w:p>
        </w:tc>
        <w:tc>
          <w:tcPr>
            <w:tcW w:w="1798" w:type="dxa"/>
            <w:noWrap w:val="0"/>
            <w:tcMar>
              <w:top w:w="75" w:type="dxa"/>
              <w:left w:w="75" w:type="dxa"/>
              <w:bottom w:w="75" w:type="dxa"/>
              <w:right w:w="75" w:type="dxa"/>
            </w:tcMar>
            <w:vAlign w:val="center"/>
          </w:tcPr>
          <w:p w14:paraId="5DACEB9F">
            <w:pPr>
              <w:spacing w:line="360" w:lineRule="auto"/>
              <w:jc w:val="center"/>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lang w:val="en-US" w:eastAsia="zh-CN"/>
              </w:rPr>
              <w:t>12个月</w:t>
            </w:r>
          </w:p>
        </w:tc>
        <w:tc>
          <w:tcPr>
            <w:tcW w:w="2273" w:type="dxa"/>
            <w:noWrap w:val="0"/>
            <w:tcMar>
              <w:top w:w="75" w:type="dxa"/>
              <w:left w:w="75" w:type="dxa"/>
              <w:bottom w:w="75" w:type="dxa"/>
              <w:right w:w="75" w:type="dxa"/>
            </w:tcMar>
            <w:vAlign w:val="center"/>
          </w:tcPr>
          <w:p w14:paraId="1051DB9D">
            <w:pPr>
              <w:spacing w:line="360" w:lineRule="auto"/>
              <w:jc w:val="center"/>
              <w:rPr>
                <w:rFonts w:hint="default" w:ascii="宋体" w:hAnsi="宋体" w:eastAsia="宋体" w:cs="宋体"/>
                <w:color w:val="auto"/>
                <w:sz w:val="24"/>
                <w:shd w:val="clear" w:color="auto" w:fill="auto"/>
                <w:lang w:val="en-US" w:eastAsia="zh-CN"/>
              </w:rPr>
            </w:pPr>
            <w:r>
              <w:rPr>
                <w:rFonts w:hint="eastAsia" w:ascii="宋体" w:hAnsi="宋体" w:cs="宋体"/>
                <w:b w:val="0"/>
                <w:bCs w:val="0"/>
                <w:color w:val="auto"/>
                <w:sz w:val="24"/>
                <w:szCs w:val="24"/>
                <w:lang w:val="en-US" w:eastAsia="zh-CN"/>
              </w:rPr>
              <w:t>220万</w:t>
            </w:r>
          </w:p>
        </w:tc>
      </w:tr>
    </w:tbl>
    <w:p w14:paraId="436BB5D7">
      <w:pPr>
        <w:tabs>
          <w:tab w:val="left" w:pos="180"/>
          <w:tab w:val="left" w:pos="360"/>
          <w:tab w:val="left" w:pos="540"/>
          <w:tab w:val="left" w:pos="8280"/>
        </w:tabs>
        <w:autoSpaceDE w:val="0"/>
        <w:autoSpaceDN w:val="0"/>
        <w:adjustRightInd w:val="0"/>
        <w:snapToGrid w:val="0"/>
        <w:spacing w:line="288" w:lineRule="auto"/>
        <w:ind w:right="23" w:firstLine="482" w:firstLineChars="200"/>
        <w:jc w:val="left"/>
        <w:rPr>
          <w:rFonts w:ascii="宋体" w:hAnsi="宋体" w:cs="Calibri Light"/>
          <w:b/>
          <w:color w:val="auto"/>
          <w:kern w:val="0"/>
          <w:sz w:val="24"/>
          <w:highlight w:val="none"/>
        </w:rPr>
      </w:pPr>
      <w:r>
        <w:rPr>
          <w:rFonts w:hint="eastAsia" w:ascii="宋体" w:hAnsi="宋体" w:cs="Calibri Light"/>
          <w:b/>
          <w:color w:val="auto"/>
          <w:sz w:val="24"/>
          <w:highlight w:val="none"/>
        </w:rPr>
        <w:t>三、合格磋商供应商的资格条件：</w:t>
      </w:r>
    </w:p>
    <w:p w14:paraId="6AD04F43">
      <w:pPr>
        <w:pStyle w:val="58"/>
        <w:adjustRightInd w:val="0"/>
        <w:snapToGrid w:val="0"/>
        <w:spacing w:before="0" w:line="288" w:lineRule="auto"/>
        <w:ind w:left="102" w:right="102" w:firstLine="480"/>
        <w:rPr>
          <w:rFonts w:ascii="宋体" w:hAnsi="宋体" w:eastAsia="宋体"/>
          <w:color w:val="auto"/>
          <w:sz w:val="24"/>
          <w:szCs w:val="24"/>
          <w:highlight w:val="none"/>
        </w:rPr>
      </w:pPr>
      <w:r>
        <w:rPr>
          <w:rFonts w:hint="eastAsia" w:ascii="宋体" w:hAnsi="宋体" w:eastAsia="宋体"/>
          <w:color w:val="auto"/>
          <w:sz w:val="24"/>
          <w:szCs w:val="24"/>
          <w:highlight w:val="none"/>
        </w:rPr>
        <w:t>（一）符合《中华人民共和国政府采购法》第二十二条规定的磋商供应商资格条件。</w:t>
      </w:r>
    </w:p>
    <w:p w14:paraId="6FDF5345">
      <w:pPr>
        <w:pStyle w:val="58"/>
        <w:adjustRightInd w:val="0"/>
        <w:snapToGrid w:val="0"/>
        <w:spacing w:before="0" w:line="288" w:lineRule="auto"/>
        <w:ind w:left="102" w:right="102" w:firstLine="480"/>
        <w:rPr>
          <w:rFonts w:ascii="宋体" w:eastAsia="宋体"/>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（二）未被“信用中国”（www.creditchina.gov.cn）、中国政府采购网（www.ccgp.gov.cn）列入失信被执行人、重大税收违法案件当事人名单、政府采购严重违法失信行为记录名单。</w:t>
      </w:r>
    </w:p>
    <w:p w14:paraId="0935462F">
      <w:pPr>
        <w:pStyle w:val="58"/>
        <w:adjustRightInd w:val="0"/>
        <w:snapToGrid w:val="0"/>
        <w:spacing w:before="0" w:line="288" w:lineRule="auto"/>
        <w:ind w:left="102" w:right="102" w:firstLine="480"/>
        <w:rPr>
          <w:rFonts w:hint="eastAsia" w:ascii="宋体" w:hAnsi="宋体" w:eastAsia="宋体"/>
          <w:b/>
          <w:bCs/>
          <w:color w:val="auto"/>
          <w:sz w:val="24"/>
          <w:szCs w:val="24"/>
          <w:highlight w:val="none"/>
        </w:rPr>
      </w:pPr>
      <w:r>
        <w:rPr>
          <w:rFonts w:hint="eastAsia" w:ascii="宋体" w:hAnsi="宋体" w:eastAsia="宋体"/>
          <w:color w:val="auto"/>
          <w:sz w:val="24"/>
          <w:szCs w:val="24"/>
          <w:highlight w:val="none"/>
        </w:rPr>
        <w:t>（三）</w:t>
      </w:r>
      <w:r>
        <w:rPr>
          <w:rFonts w:hint="eastAsia" w:ascii="宋体" w:hAnsi="宋体" w:eastAsia="宋体"/>
          <w:b/>
          <w:bCs/>
          <w:color w:val="auto"/>
          <w:sz w:val="24"/>
          <w:szCs w:val="24"/>
          <w:highlight w:val="none"/>
        </w:rPr>
        <w:t>落实政府采购政策需满足的资格要求：本项目按照《政府采购促进中小企业发展管理办法》【财库（2020）46 号】第七条规定：专门面向中小企业采购。</w:t>
      </w:r>
    </w:p>
    <w:p w14:paraId="7648BD01">
      <w:pPr>
        <w:pStyle w:val="58"/>
        <w:adjustRightInd w:val="0"/>
        <w:snapToGrid w:val="0"/>
        <w:spacing w:before="0" w:line="288" w:lineRule="auto"/>
        <w:ind w:left="102" w:right="102" w:firstLine="480"/>
        <w:rPr>
          <w:rFonts w:hint="eastAsia" w:ascii="宋体" w:hAnsi="宋体" w:eastAsia="宋体"/>
          <w:b/>
          <w:bCs/>
          <w:color w:val="auto"/>
          <w:sz w:val="24"/>
          <w:szCs w:val="24"/>
          <w:highlight w:val="none"/>
          <w:lang w:eastAsia="zh-CN"/>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lang w:val="en-US" w:eastAsia="zh-CN"/>
        </w:rPr>
        <w:t>四</w:t>
      </w:r>
      <w:r>
        <w:rPr>
          <w:rFonts w:hint="eastAsia" w:ascii="宋体" w:hAnsi="宋体" w:eastAsia="宋体"/>
          <w:b w:val="0"/>
          <w:bCs w:val="0"/>
          <w:color w:val="auto"/>
          <w:sz w:val="24"/>
          <w:szCs w:val="24"/>
          <w:highlight w:val="none"/>
          <w:lang w:eastAsia="zh-CN"/>
        </w:rPr>
        <w:t>）</w:t>
      </w:r>
      <w:r>
        <w:rPr>
          <w:rFonts w:hint="eastAsia" w:ascii="宋体" w:hAnsi="宋体" w:eastAsia="宋体"/>
          <w:b/>
          <w:bCs/>
          <w:color w:val="auto"/>
          <w:sz w:val="24"/>
          <w:szCs w:val="24"/>
          <w:highlight w:val="none"/>
          <w:lang w:eastAsia="zh-CN"/>
        </w:rPr>
        <w:t>经省公安厅核准具有保安服务许可证的企业。</w:t>
      </w:r>
    </w:p>
    <w:p w14:paraId="37BAE8B2">
      <w:pPr>
        <w:pStyle w:val="58"/>
        <w:adjustRightInd w:val="0"/>
        <w:snapToGrid w:val="0"/>
        <w:spacing w:before="0" w:line="288" w:lineRule="auto"/>
        <w:ind w:left="102" w:right="102" w:firstLine="480"/>
        <w:rPr>
          <w:rFonts w:asci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w:t>
      </w:r>
      <w:r>
        <w:rPr>
          <w:rFonts w:hint="eastAsia" w:ascii="宋体" w:eastAsia="宋体"/>
          <w:color w:val="auto"/>
          <w:sz w:val="24"/>
          <w:szCs w:val="24"/>
          <w:highlight w:val="none"/>
        </w:rPr>
        <w:t>本项目不接受联合体磋商。</w:t>
      </w:r>
    </w:p>
    <w:p w14:paraId="18AC828F">
      <w:pPr>
        <w:tabs>
          <w:tab w:val="left" w:pos="180"/>
          <w:tab w:val="left" w:pos="360"/>
          <w:tab w:val="left" w:pos="540"/>
          <w:tab w:val="left" w:pos="8280"/>
        </w:tabs>
        <w:autoSpaceDE w:val="0"/>
        <w:autoSpaceDN w:val="0"/>
        <w:adjustRightInd w:val="0"/>
        <w:snapToGrid w:val="0"/>
        <w:spacing w:line="288" w:lineRule="auto"/>
        <w:ind w:right="23" w:firstLine="482" w:firstLineChars="200"/>
        <w:jc w:val="left"/>
        <w:rPr>
          <w:rFonts w:ascii="宋体" w:hAnsi="宋体"/>
          <w:b/>
          <w:color w:val="auto"/>
          <w:sz w:val="24"/>
          <w:highlight w:val="none"/>
        </w:rPr>
      </w:pPr>
      <w:r>
        <w:rPr>
          <w:rFonts w:hint="eastAsia" w:ascii="宋体" w:hAnsi="宋体"/>
          <w:b/>
          <w:color w:val="auto"/>
          <w:sz w:val="24"/>
          <w:highlight w:val="none"/>
        </w:rPr>
        <w:t>四、磋商文件获取的方式、时间：</w:t>
      </w:r>
    </w:p>
    <w:p w14:paraId="4C843089">
      <w:pPr>
        <w:widowControl/>
        <w:adjustRightInd w:val="0"/>
        <w:snapToGrid w:val="0"/>
        <w:spacing w:line="288" w:lineRule="auto"/>
        <w:ind w:firstLine="420"/>
        <w:jc w:val="left"/>
        <w:rPr>
          <w:rFonts w:ascii="宋体" w:hAnsi="宋体" w:cs="宋体"/>
          <w:color w:val="auto"/>
          <w:kern w:val="0"/>
          <w:sz w:val="27"/>
          <w:szCs w:val="27"/>
          <w:highlight w:val="none"/>
        </w:rPr>
      </w:pPr>
      <w:bookmarkStart w:id="0" w:name="_Hlk37939045"/>
      <w:r>
        <w:rPr>
          <w:rFonts w:hint="eastAsia" w:ascii="宋体" w:hAnsi="宋体" w:cs="宋体"/>
          <w:color w:val="auto"/>
          <w:kern w:val="0"/>
          <w:sz w:val="24"/>
          <w:highlight w:val="none"/>
        </w:rPr>
        <w:t>本项目招标文件实行“政府采购云平台”在线获取，不提供招标文件纸质版。供应商获取招标文件前应先完成“政府采购云平台”的账号注册；</w:t>
      </w:r>
    </w:p>
    <w:p w14:paraId="2120EC74">
      <w:pPr>
        <w:widowControl/>
        <w:adjustRightInd w:val="0"/>
        <w:snapToGrid w:val="0"/>
        <w:spacing w:line="288"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、获取地址：</w:t>
      </w:r>
    </w:p>
    <w:p w14:paraId="7BF0C54E">
      <w:pPr>
        <w:widowControl/>
        <w:adjustRightInd w:val="0"/>
        <w:snapToGrid w:val="0"/>
        <w:spacing w:line="288"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1）政采云平台（http://zfcg.czt.zj.gov.cn）；</w:t>
      </w:r>
    </w:p>
    <w:p w14:paraId="30CF34E3">
      <w:pPr>
        <w:widowControl/>
        <w:adjustRightInd w:val="0"/>
        <w:snapToGrid w:val="0"/>
        <w:spacing w:line="288"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2）供应商网上报名操作指南：“浙江政府采购网-办事指南-省采中心-网上报名”（http://zfcg.czt.zj.gov.cn/bs_other/2018-03-30/12002.html）。</w:t>
      </w:r>
    </w:p>
    <w:p w14:paraId="10CA1207">
      <w:pPr>
        <w:widowControl/>
        <w:adjustRightInd w:val="0"/>
        <w:snapToGrid w:val="0"/>
        <w:spacing w:line="288"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、获取方式：潜在供应商登陆政采云平台，在线申请获取招标文件（进入“项目采购”应用，在获取招标文件菜单中选择项目，申请获取招标文件，本项目招标文件不收取工本费。</w:t>
      </w:r>
    </w:p>
    <w:p w14:paraId="3610499F">
      <w:pPr>
        <w:widowControl/>
        <w:adjustRightInd w:val="0"/>
        <w:snapToGrid w:val="0"/>
        <w:spacing w:line="288"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、供应商获取招标文件时须提交的文件资料：无，按政釆云系统要求进行获取。</w:t>
      </w:r>
    </w:p>
    <w:p w14:paraId="784C5E7A">
      <w:pPr>
        <w:widowControl/>
        <w:adjustRightInd w:val="0"/>
        <w:snapToGrid w:val="0"/>
        <w:spacing w:line="288"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、获取时间：公告发布时间至投标截止时间。</w:t>
      </w:r>
    </w:p>
    <w:p w14:paraId="420CB7F2">
      <w:pPr>
        <w:adjustRightInd w:val="0"/>
        <w:snapToGrid w:val="0"/>
        <w:spacing w:line="288" w:lineRule="auto"/>
        <w:ind w:firstLine="480" w:firstLineChars="200"/>
        <w:rPr>
          <w:rFonts w:ascii="宋体" w:hAnsi="宋体" w:cs="仿宋"/>
          <w:color w:val="auto"/>
          <w:sz w:val="24"/>
          <w:highlight w:val="none"/>
        </w:rPr>
      </w:pPr>
      <w:r>
        <w:rPr>
          <w:rFonts w:hint="eastAsia" w:ascii="宋体" w:hAnsi="宋体" w:cs="宋体"/>
          <w:color w:val="auto"/>
          <w:kern w:val="0"/>
          <w:sz w:val="24"/>
          <w:highlight w:val="none"/>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1E7A2D0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288" w:lineRule="auto"/>
        <w:ind w:right="23" w:firstLine="539"/>
        <w:jc w:val="left"/>
        <w:rPr>
          <w:rFonts w:ascii="宋体" w:hAnsi="宋体"/>
          <w:b/>
          <w:color w:val="auto"/>
          <w:kern w:val="0"/>
          <w:sz w:val="24"/>
          <w:highlight w:val="none"/>
        </w:rPr>
      </w:pPr>
      <w:r>
        <w:rPr>
          <w:rFonts w:hint="eastAsia" w:ascii="宋体" w:hAnsi="宋体" w:cs="Calibri Light"/>
          <w:b/>
          <w:color w:val="auto"/>
          <w:sz w:val="24"/>
          <w:highlight w:val="none"/>
        </w:rPr>
        <w:t>五、磋商</w:t>
      </w:r>
      <w:r>
        <w:rPr>
          <w:rFonts w:hint="eastAsia" w:ascii="宋体" w:hAnsi="宋体"/>
          <w:b/>
          <w:color w:val="auto"/>
          <w:kern w:val="0"/>
          <w:sz w:val="24"/>
          <w:highlight w:val="none"/>
        </w:rPr>
        <w:t>响应文件递交截止时间及磋商开始时间、地点：</w:t>
      </w:r>
    </w:p>
    <w:p w14:paraId="31B0235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288" w:lineRule="auto"/>
        <w:ind w:right="23" w:firstLine="480"/>
        <w:jc w:val="left"/>
        <w:rPr>
          <w:rFonts w:ascii="宋体" w:hAnsi="宋体" w:cs="仿宋"/>
          <w:color w:val="auto"/>
          <w:sz w:val="24"/>
          <w:highlight w:val="none"/>
        </w:rPr>
      </w:pPr>
      <w:r>
        <w:rPr>
          <w:rFonts w:ascii="宋体" w:hAnsi="宋体" w:cs="仿宋"/>
          <w:color w:val="auto"/>
          <w:sz w:val="24"/>
          <w:highlight w:val="none"/>
        </w:rPr>
        <w:t>1、磋商响应文件递交截止时间及磋商开始时间：</w:t>
      </w:r>
      <w:r>
        <w:rPr>
          <w:rFonts w:hint="eastAsia" w:ascii="宋体" w:hAnsi="宋体" w:cs="仿宋"/>
          <w:color w:val="auto"/>
          <w:sz w:val="24"/>
          <w:highlight w:val="none"/>
          <w:u w:val="single"/>
        </w:rPr>
        <w:t>详见浙江政府</w:t>
      </w:r>
      <w:r>
        <w:rPr>
          <w:rFonts w:ascii="宋体" w:hAnsi="宋体" w:cs="仿宋"/>
          <w:color w:val="auto"/>
          <w:sz w:val="24"/>
          <w:highlight w:val="none"/>
          <w:u w:val="single"/>
        </w:rPr>
        <w:t>采购网</w:t>
      </w:r>
      <w:r>
        <w:rPr>
          <w:rFonts w:hint="eastAsia" w:ascii="宋体" w:hAnsi="宋体" w:cs="仿宋"/>
          <w:color w:val="auto"/>
          <w:sz w:val="24"/>
          <w:highlight w:val="none"/>
          <w:u w:val="single"/>
        </w:rPr>
        <w:t>磋商公告</w:t>
      </w:r>
      <w:r>
        <w:rPr>
          <w:rFonts w:hint="eastAsia" w:ascii="宋体" w:hAnsi="宋体" w:cs="仿宋"/>
          <w:color w:val="auto"/>
          <w:sz w:val="24"/>
          <w:highlight w:val="none"/>
        </w:rPr>
        <w:t>；</w:t>
      </w:r>
    </w:p>
    <w:p w14:paraId="2535C0F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288" w:lineRule="auto"/>
        <w:ind w:right="23" w:firstLine="480"/>
        <w:jc w:val="left"/>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、磋商响应文件提交：通过“政府采购云平台（</w:t>
      </w:r>
      <w:r>
        <w:rPr>
          <w:rFonts w:ascii="宋体" w:hAnsi="宋体" w:cs="仿宋"/>
          <w:color w:val="auto"/>
          <w:sz w:val="24"/>
          <w:highlight w:val="none"/>
        </w:rPr>
        <w:t>www.zcygov.cn）”实行在线投标响应；</w:t>
      </w:r>
    </w:p>
    <w:p w14:paraId="32B9F4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288" w:lineRule="auto"/>
        <w:ind w:right="23" w:firstLine="480"/>
        <w:jc w:val="left"/>
        <w:rPr>
          <w:rFonts w:ascii="宋体" w:hAnsi="宋体" w:cs="仿宋"/>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、磋商地点：投标文件通过政釆云平台实行在线开标，磋商</w:t>
      </w:r>
      <w:r>
        <w:rPr>
          <w:rFonts w:ascii="宋体" w:hAnsi="宋体" w:cs="仿宋"/>
          <w:color w:val="auto"/>
          <w:sz w:val="24"/>
          <w:highlight w:val="none"/>
        </w:rPr>
        <w:t>环节</w:t>
      </w:r>
      <w:r>
        <w:rPr>
          <w:rFonts w:hint="eastAsia" w:ascii="宋体" w:hAnsi="宋体" w:cs="仿宋"/>
          <w:color w:val="auto"/>
          <w:sz w:val="24"/>
          <w:highlight w:val="none"/>
        </w:rPr>
        <w:t>通过电话远程磋商（如有）。</w:t>
      </w:r>
    </w:p>
    <w:p w14:paraId="41EBDFA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288" w:lineRule="auto"/>
        <w:ind w:right="23" w:firstLine="482" w:firstLineChars="200"/>
        <w:jc w:val="left"/>
        <w:rPr>
          <w:rFonts w:ascii="宋体" w:hAnsi="宋体" w:cs="仿宋"/>
          <w:color w:val="auto"/>
          <w:sz w:val="24"/>
          <w:highlight w:val="none"/>
        </w:rPr>
      </w:pPr>
      <w:r>
        <w:rPr>
          <w:rFonts w:hint="eastAsia" w:ascii="宋体" w:hAnsi="宋体" w:cs="Calibri Light"/>
          <w:b/>
          <w:bCs/>
          <w:color w:val="auto"/>
          <w:sz w:val="24"/>
          <w:highlight w:val="none"/>
        </w:rPr>
        <w:t>六、磋商保证金</w:t>
      </w:r>
      <w:r>
        <w:rPr>
          <w:rFonts w:hint="eastAsia" w:ascii="宋体" w:hAnsi="宋体" w:cs="Calibri Light"/>
          <w:b/>
          <w:color w:val="auto"/>
          <w:sz w:val="24"/>
          <w:highlight w:val="none"/>
        </w:rPr>
        <w:t>：</w:t>
      </w:r>
      <w:r>
        <w:rPr>
          <w:rFonts w:hint="eastAsia" w:ascii="宋体" w:hAnsi="宋体" w:cs="仿宋"/>
          <w:color w:val="auto"/>
          <w:sz w:val="24"/>
          <w:highlight w:val="none"/>
        </w:rPr>
        <w:t>无。</w:t>
      </w:r>
    </w:p>
    <w:p w14:paraId="602F7FA5">
      <w:pPr>
        <w:adjustRightInd w:val="0"/>
        <w:snapToGrid w:val="0"/>
        <w:spacing w:line="288"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七、在线投标响应（电子投标）说明：</w:t>
      </w:r>
    </w:p>
    <w:p w14:paraId="224FF9B9">
      <w:pPr>
        <w:adjustRightInd w:val="0"/>
        <w:snapToGrid w:val="0"/>
        <w:spacing w:line="288" w:lineRule="auto"/>
        <w:ind w:firstLine="480" w:firstLineChars="200"/>
        <w:rPr>
          <w:rFonts w:ascii="宋体" w:hAnsi="宋体" w:cs="Calibri Light"/>
          <w:color w:val="auto"/>
          <w:kern w:val="0"/>
          <w:sz w:val="24"/>
          <w:highlight w:val="none"/>
        </w:rPr>
      </w:pPr>
      <w:r>
        <w:rPr>
          <w:rFonts w:ascii="宋体" w:hAnsi="宋体" w:cs="Calibri Light"/>
          <w:color w:val="auto"/>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04BD171E">
      <w:pPr>
        <w:adjustRightInd w:val="0"/>
        <w:snapToGrid w:val="0"/>
        <w:spacing w:line="288"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“政采云电子交易客户端”请自行前往“浙江政府采购网</w:t>
      </w:r>
      <w:r>
        <w:rPr>
          <w:rFonts w:ascii="宋体" w:hAnsi="宋体" w:cs="Calibri Light"/>
          <w:color w:val="auto"/>
          <w:kern w:val="0"/>
          <w:sz w:val="24"/>
          <w:highlight w:val="none"/>
        </w:rPr>
        <w:t>-下载专区-电子交易客户端”进行下载；电子投标具体操作流程详见《供应商项目采购-电子招投标操作指南》；通过“政府采购云平台”参与在线投标时如遇平台技术问题详询400-881-7190。</w:t>
      </w:r>
    </w:p>
    <w:p w14:paraId="73CD3C73">
      <w:pPr>
        <w:adjustRightInd w:val="0"/>
        <w:snapToGrid w:val="0"/>
        <w:spacing w:line="288" w:lineRule="auto"/>
        <w:ind w:firstLine="480" w:firstLineChars="200"/>
        <w:rPr>
          <w:rFonts w:ascii="宋体" w:hAnsi="宋体" w:cs="Calibri Light"/>
          <w:color w:val="auto"/>
          <w:kern w:val="0"/>
          <w:sz w:val="24"/>
          <w:highlight w:val="none"/>
        </w:rPr>
      </w:pPr>
      <w:r>
        <w:rPr>
          <w:rFonts w:ascii="宋体" w:hAnsi="宋体" w:cs="Calibri Light"/>
          <w:color w:val="auto"/>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1CC89A48">
      <w:pPr>
        <w:adjustRightInd w:val="0"/>
        <w:snapToGrid w:val="0"/>
        <w:spacing w:line="288" w:lineRule="auto"/>
        <w:ind w:firstLine="480" w:firstLineChars="200"/>
        <w:rPr>
          <w:rFonts w:ascii="宋体" w:hAnsi="宋体" w:cs="Calibri Light"/>
          <w:color w:val="auto"/>
          <w:kern w:val="0"/>
          <w:sz w:val="24"/>
          <w:highlight w:val="none"/>
        </w:rPr>
      </w:pPr>
      <w:r>
        <w:rPr>
          <w:rFonts w:ascii="宋体" w:hAnsi="宋体" w:cs="Calibri Light"/>
          <w:color w:val="auto"/>
          <w:kern w:val="0"/>
          <w:sz w:val="24"/>
          <w:highlight w:val="none"/>
        </w:rPr>
        <w:t>3、投标供应商应当在投标截止时间前，将生成的“电子加密投标文件”上传递交至“政府采购云平台”。投标截止时间以后上传递交的投标文件将被“政府采购云平台”拒收。</w:t>
      </w:r>
    </w:p>
    <w:p w14:paraId="62E35E56">
      <w:pPr>
        <w:adjustRightInd w:val="0"/>
        <w:snapToGrid w:val="0"/>
        <w:spacing w:line="288" w:lineRule="auto"/>
        <w:ind w:firstLine="480" w:firstLineChars="200"/>
        <w:rPr>
          <w:rFonts w:ascii="宋体" w:hAnsi="宋体" w:cs="Calibri Light"/>
          <w:color w:val="auto"/>
          <w:kern w:val="0"/>
          <w:sz w:val="24"/>
          <w:highlight w:val="none"/>
        </w:rPr>
      </w:pPr>
      <w:r>
        <w:rPr>
          <w:rFonts w:ascii="宋体" w:hAnsi="宋体" w:cs="Calibri Light"/>
          <w:color w:val="auto"/>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14:paraId="61F57F9F">
      <w:pPr>
        <w:adjustRightInd w:val="0"/>
        <w:snapToGrid w:val="0"/>
        <w:spacing w:line="288" w:lineRule="auto"/>
        <w:ind w:firstLine="480" w:firstLineChars="200"/>
        <w:rPr>
          <w:rFonts w:ascii="宋体" w:hAnsi="宋体" w:cs="Calibri Light"/>
          <w:color w:val="auto"/>
          <w:kern w:val="0"/>
          <w:sz w:val="24"/>
          <w:highlight w:val="none"/>
        </w:rPr>
      </w:pPr>
      <w:r>
        <w:rPr>
          <w:rFonts w:ascii="宋体" w:hAnsi="宋体" w:cs="Calibri Light"/>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631841F">
      <w:pPr>
        <w:adjustRightInd w:val="0"/>
        <w:snapToGrid w:val="0"/>
        <w:spacing w:line="288" w:lineRule="auto"/>
        <w:ind w:firstLine="482" w:firstLineChars="200"/>
        <w:jc w:val="left"/>
        <w:rPr>
          <w:rFonts w:ascii="宋体" w:hAnsi="宋体" w:cs="Calibri Light"/>
          <w:b/>
          <w:bCs/>
          <w:color w:val="auto"/>
          <w:sz w:val="24"/>
          <w:highlight w:val="none"/>
        </w:rPr>
      </w:pPr>
      <w:r>
        <w:rPr>
          <w:rFonts w:hint="eastAsia" w:ascii="宋体" w:hAnsi="宋体" w:cs="Calibri Light"/>
          <w:b/>
          <w:bCs/>
          <w:color w:val="auto"/>
          <w:sz w:val="24"/>
          <w:highlight w:val="none"/>
        </w:rPr>
        <w:t>八、</w:t>
      </w:r>
      <w:r>
        <w:rPr>
          <w:rFonts w:hint="eastAsia" w:ascii="宋体" w:hAnsi="宋体" w:cs="仿宋"/>
          <w:b/>
          <w:color w:val="auto"/>
          <w:sz w:val="24"/>
          <w:highlight w:val="none"/>
        </w:rPr>
        <w:t>相关注意事项</w:t>
      </w:r>
      <w:r>
        <w:rPr>
          <w:rFonts w:hint="eastAsia" w:ascii="宋体" w:hAnsi="宋体" w:cs="仿宋"/>
          <w:color w:val="auto"/>
          <w:sz w:val="24"/>
          <w:highlight w:val="none"/>
        </w:rPr>
        <w:t>：</w:t>
      </w:r>
    </w:p>
    <w:p w14:paraId="232D1AB0">
      <w:pPr>
        <w:adjustRightInd w:val="0"/>
        <w:snapToGrid w:val="0"/>
        <w:spacing w:line="288" w:lineRule="auto"/>
        <w:ind w:firstLine="480" w:firstLineChars="200"/>
        <w:rPr>
          <w:rFonts w:hint="eastAsia" w:ascii="宋体" w:hAnsi="宋体" w:cs="Calibri Light"/>
          <w:color w:val="auto"/>
          <w:sz w:val="24"/>
          <w:highlight w:val="none"/>
        </w:rPr>
      </w:pPr>
      <w:r>
        <w:rPr>
          <w:rFonts w:ascii="宋体" w:hAnsi="宋体" w:cs="Calibri Light"/>
          <w:color w:val="auto"/>
          <w:sz w:val="24"/>
          <w:highlight w:val="none"/>
        </w:rPr>
        <w:t>1、</w:t>
      </w:r>
      <w:r>
        <w:rPr>
          <w:rFonts w:hint="eastAsia" w:ascii="宋体" w:hAnsi="宋体" w:cs="Calibri Light"/>
          <w:color w:val="auto"/>
          <w:kern w:val="0"/>
          <w:sz w:val="24"/>
          <w:highlight w:val="none"/>
        </w:rPr>
        <w:t>供应商如对采购文件有异议的，可以自收到采购文件之日（获取截止日之后收到采购文件的，以获取截止日为准）起至采购响应截止时间之前，以书面形式一次性向采购人或招标代理机构提出质疑。逾期提出的，采购组织机构可不予受理、答复。质疑供应商对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的答复不满意或者采购人、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未在规定的时间内作出答复的，可以在答复期满后十五个工作日内向同级政府采购监督管理部门投诉。</w:t>
      </w:r>
      <w:r>
        <w:rPr>
          <w:rFonts w:hint="eastAsia" w:ascii="宋体" w:hAnsi="宋体" w:cs="Calibri Light"/>
          <w:color w:val="auto"/>
          <w:sz w:val="24"/>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2EA5367">
      <w:pPr>
        <w:adjustRightInd w:val="0"/>
        <w:snapToGrid w:val="0"/>
        <w:spacing w:line="288" w:lineRule="auto"/>
        <w:ind w:firstLine="480" w:firstLineChars="200"/>
        <w:rPr>
          <w:rFonts w:hint="eastAsia" w:ascii="宋体" w:hAnsi="宋体" w:eastAsia="宋体" w:cs="Calibri Light"/>
          <w:color w:val="auto"/>
          <w:kern w:val="0"/>
          <w:sz w:val="24"/>
          <w:highlight w:val="none"/>
          <w:lang w:eastAsia="zh-CN"/>
        </w:rPr>
      </w:pPr>
      <w:r>
        <w:rPr>
          <w:rFonts w:hint="eastAsia" w:ascii="宋体" w:hAnsi="宋体" w:cs="Calibri Light"/>
          <w:color w:val="auto"/>
          <w:kern w:val="0"/>
          <w:sz w:val="24"/>
          <w:highlight w:val="none"/>
        </w:rPr>
        <w:t>招标</w:t>
      </w:r>
      <w:r>
        <w:rPr>
          <w:rFonts w:ascii="宋体" w:hAnsi="宋体" w:cs="Calibri Light"/>
          <w:color w:val="auto"/>
          <w:kern w:val="0"/>
          <w:sz w:val="24"/>
          <w:highlight w:val="none"/>
        </w:rPr>
        <w:t>代理机构</w:t>
      </w:r>
      <w:r>
        <w:rPr>
          <w:rFonts w:hint="eastAsia" w:ascii="宋体" w:hAnsi="宋体" w:cs="Calibri Light"/>
          <w:color w:val="auto"/>
          <w:kern w:val="0"/>
          <w:sz w:val="24"/>
          <w:highlight w:val="none"/>
        </w:rPr>
        <w:t>书面质疑接收人：</w:t>
      </w:r>
      <w:r>
        <w:rPr>
          <w:rFonts w:hint="eastAsia" w:ascii="宋体" w:hAnsi="宋体" w:cs="仿宋"/>
          <w:color w:val="auto"/>
          <w:sz w:val="24"/>
          <w:highlight w:val="none"/>
          <w:lang w:eastAsia="zh-CN"/>
        </w:rPr>
        <w:t>陈瑛</w:t>
      </w:r>
    </w:p>
    <w:p w14:paraId="17E25430">
      <w:pPr>
        <w:adjustRightInd w:val="0"/>
        <w:snapToGrid w:val="0"/>
        <w:spacing w:line="288" w:lineRule="auto"/>
        <w:ind w:firstLine="480" w:firstLineChars="200"/>
        <w:rPr>
          <w:rFonts w:hint="default" w:ascii="宋体" w:hAnsi="宋体" w:cs="仿宋"/>
          <w:color w:val="auto"/>
          <w:sz w:val="24"/>
          <w:highlight w:val="none"/>
          <w:lang w:val="en-US" w:eastAsia="zh-CN"/>
        </w:rPr>
      </w:pPr>
      <w:r>
        <w:rPr>
          <w:rFonts w:hint="eastAsia" w:ascii="宋体" w:hAnsi="宋体" w:cs="Calibri Light"/>
          <w:color w:val="auto"/>
          <w:kern w:val="0"/>
          <w:sz w:val="24"/>
          <w:highlight w:val="none"/>
        </w:rPr>
        <w:t>联系电话：</w:t>
      </w:r>
      <w:r>
        <w:rPr>
          <w:rFonts w:hint="eastAsia" w:ascii="宋体" w:hAnsi="宋体" w:cs="仿宋"/>
          <w:color w:val="auto"/>
          <w:sz w:val="24"/>
          <w:highlight w:val="none"/>
          <w:lang w:val="en-US" w:eastAsia="zh-CN"/>
        </w:rPr>
        <w:t>0576-88112020</w:t>
      </w:r>
    </w:p>
    <w:p w14:paraId="6AF9C4CA">
      <w:pPr>
        <w:adjustRightInd w:val="0"/>
        <w:snapToGrid w:val="0"/>
        <w:spacing w:line="288" w:lineRule="auto"/>
        <w:ind w:firstLine="480" w:firstLineChars="200"/>
        <w:rPr>
          <w:rFonts w:hint="eastAsia" w:ascii="宋体" w:hAnsi="宋体" w:eastAsia="宋体" w:cs="Calibri Light"/>
          <w:color w:val="auto"/>
          <w:kern w:val="0"/>
          <w:sz w:val="24"/>
          <w:highlight w:val="none"/>
          <w:lang w:eastAsia="zh-CN"/>
        </w:rPr>
      </w:pPr>
      <w:r>
        <w:rPr>
          <w:rFonts w:hint="eastAsia" w:ascii="宋体" w:hAnsi="宋体" w:cs="Calibri Light"/>
          <w:color w:val="auto"/>
          <w:kern w:val="0"/>
          <w:sz w:val="24"/>
          <w:highlight w:val="none"/>
        </w:rPr>
        <w:t>书面质疑接收地址：</w:t>
      </w:r>
      <w:r>
        <w:rPr>
          <w:rFonts w:hint="eastAsia" w:ascii="宋体" w:hAnsi="宋体" w:cs="Calibri Light"/>
          <w:color w:val="auto"/>
          <w:kern w:val="0"/>
          <w:sz w:val="24"/>
          <w:highlight w:val="none"/>
          <w:lang w:eastAsia="zh-CN"/>
        </w:rPr>
        <w:t>台州市椒江区景元路272号</w:t>
      </w:r>
    </w:p>
    <w:p w14:paraId="15FD0161">
      <w:pPr>
        <w:adjustRightInd w:val="0"/>
        <w:snapToGrid w:val="0"/>
        <w:spacing w:line="288" w:lineRule="auto"/>
        <w:ind w:firstLine="480" w:firstLineChars="200"/>
        <w:rPr>
          <w:rFonts w:ascii="宋体" w:hAnsi="宋体" w:cs="Calibri Light"/>
          <w:color w:val="auto"/>
          <w:highlight w:val="none"/>
        </w:rPr>
      </w:pPr>
      <w:r>
        <w:rPr>
          <w:rFonts w:ascii="宋体" w:hAnsi="宋体" w:cs="Calibri Light"/>
          <w:color w:val="auto"/>
          <w:kern w:val="0"/>
          <w:sz w:val="24"/>
          <w:highlight w:val="none"/>
        </w:rPr>
        <w:t>2、</w:t>
      </w:r>
      <w:r>
        <w:rPr>
          <w:rFonts w:hint="eastAsia" w:ascii="宋体" w:hAnsi="宋体" w:cs="Calibri Light"/>
          <w:color w:val="auto"/>
          <w:kern w:val="0"/>
          <w:sz w:val="24"/>
          <w:highlight w:val="none"/>
        </w:rPr>
        <w:t>本项目对符合财政扶持政策的中小企业（小型、微型）、监狱企业、残疾人福利性单位给予价格优惠扶持，执行节能产品政府强制采购和优先采购政策，执行环境标志产品政府优先采购政策。</w:t>
      </w:r>
    </w:p>
    <w:p w14:paraId="656C53E6">
      <w:pPr>
        <w:adjustRightInd w:val="0"/>
        <w:snapToGrid w:val="0"/>
        <w:spacing w:line="288" w:lineRule="auto"/>
        <w:ind w:firstLine="482" w:firstLineChars="200"/>
        <w:rPr>
          <w:rFonts w:ascii="宋体" w:hAnsi="宋体" w:cs="仿宋"/>
          <w:b/>
          <w:color w:val="auto"/>
          <w:sz w:val="24"/>
          <w:highlight w:val="none"/>
        </w:rPr>
      </w:pPr>
      <w:r>
        <w:rPr>
          <w:rFonts w:hint="eastAsia" w:ascii="宋体" w:hAnsi="宋体" w:cs="仿宋"/>
          <w:b/>
          <w:bCs/>
          <w:color w:val="auto"/>
          <w:sz w:val="24"/>
          <w:highlight w:val="none"/>
        </w:rPr>
        <w:t>九、</w:t>
      </w:r>
      <w:r>
        <w:rPr>
          <w:rFonts w:ascii="宋体" w:hAnsi="宋体" w:cs="仿宋"/>
          <w:b/>
          <w:color w:val="auto"/>
          <w:sz w:val="24"/>
          <w:highlight w:val="none"/>
        </w:rPr>
        <w:t xml:space="preserve">联系方式： </w:t>
      </w:r>
    </w:p>
    <w:p w14:paraId="07BBD7F8">
      <w:pPr>
        <w:adjustRightInd w:val="0"/>
        <w:snapToGrid w:val="0"/>
        <w:spacing w:line="288" w:lineRule="auto"/>
        <w:rPr>
          <w:rFonts w:ascii="宋体" w:hAnsi="宋体"/>
          <w:b/>
          <w:color w:val="auto"/>
          <w:sz w:val="24"/>
          <w:highlight w:val="none"/>
        </w:rPr>
      </w:pPr>
      <w:r>
        <w:rPr>
          <w:rFonts w:hint="eastAsia" w:ascii="宋体" w:hAnsi="宋体"/>
          <w:b/>
          <w:color w:val="auto"/>
          <w:sz w:val="24"/>
          <w:highlight w:val="none"/>
        </w:rPr>
        <w:t>　　（一）采购代理机构</w:t>
      </w:r>
    </w:p>
    <w:p w14:paraId="687A4E7C">
      <w:pPr>
        <w:adjustRightInd w:val="0"/>
        <w:snapToGrid w:val="0"/>
        <w:spacing w:line="288" w:lineRule="auto"/>
        <w:ind w:firstLine="600" w:firstLineChars="250"/>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名称：浙江筑脸全过程工程咨询有限公司</w:t>
      </w:r>
    </w:p>
    <w:p w14:paraId="3721CEB4">
      <w:pPr>
        <w:adjustRightInd w:val="0"/>
        <w:snapToGrid w:val="0"/>
        <w:spacing w:line="288" w:lineRule="auto"/>
        <w:ind w:firstLine="600" w:firstLineChars="250"/>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地点：台州市椒江区景元路272号</w:t>
      </w:r>
    </w:p>
    <w:p w14:paraId="27039932">
      <w:pPr>
        <w:adjustRightInd w:val="0"/>
        <w:snapToGrid w:val="0"/>
        <w:spacing w:line="288" w:lineRule="auto"/>
        <w:ind w:firstLine="600" w:firstLineChars="250"/>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 xml:space="preserve">项目联系人：陈瑛 </w:t>
      </w:r>
    </w:p>
    <w:p w14:paraId="5018E9C8">
      <w:pPr>
        <w:adjustRightInd w:val="0"/>
        <w:snapToGrid w:val="0"/>
        <w:spacing w:line="288" w:lineRule="auto"/>
        <w:ind w:firstLine="600" w:firstLineChars="250"/>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联系电话：0576-88112020</w:t>
      </w:r>
    </w:p>
    <w:p w14:paraId="66CD7698">
      <w:pPr>
        <w:adjustRightInd w:val="0"/>
        <w:snapToGrid w:val="0"/>
        <w:spacing w:line="288" w:lineRule="auto"/>
        <w:ind w:firstLine="600" w:firstLineChars="250"/>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质疑联系人：王佳媚</w:t>
      </w:r>
    </w:p>
    <w:p w14:paraId="734B965C">
      <w:pPr>
        <w:adjustRightInd w:val="0"/>
        <w:snapToGrid w:val="0"/>
        <w:spacing w:line="288" w:lineRule="auto"/>
        <w:ind w:firstLine="600" w:firstLineChars="250"/>
        <w:rPr>
          <w:rFonts w:hint="default" w:ascii="宋体" w:hAnsi="宋体" w:cs="仿宋"/>
          <w:color w:val="auto"/>
          <w:sz w:val="24"/>
          <w:highlight w:val="none"/>
          <w:lang w:val="en-US" w:eastAsia="zh-CN"/>
        </w:rPr>
      </w:pPr>
      <w:r>
        <w:rPr>
          <w:rFonts w:hint="eastAsia" w:ascii="宋体" w:hAnsi="宋体" w:cs="仿宋"/>
          <w:color w:val="auto"/>
          <w:sz w:val="24"/>
          <w:highlight w:val="none"/>
          <w:lang w:eastAsia="zh-CN"/>
        </w:rPr>
        <w:t>质疑联系方式：0576-8</w:t>
      </w:r>
      <w:r>
        <w:rPr>
          <w:rFonts w:hint="eastAsia" w:ascii="宋体" w:hAnsi="宋体" w:cs="仿宋"/>
          <w:color w:val="auto"/>
          <w:sz w:val="24"/>
          <w:highlight w:val="none"/>
          <w:lang w:val="en-US" w:eastAsia="zh-CN"/>
        </w:rPr>
        <w:t>1871018</w:t>
      </w:r>
    </w:p>
    <w:p w14:paraId="60C2E874">
      <w:pPr>
        <w:adjustRightInd w:val="0"/>
        <w:snapToGrid w:val="0"/>
        <w:spacing w:line="288" w:lineRule="auto"/>
        <w:ind w:firstLine="602" w:firstLineChars="250"/>
        <w:rPr>
          <w:rFonts w:ascii="宋体" w:hAnsi="宋体"/>
          <w:b/>
          <w:color w:val="auto"/>
          <w:sz w:val="24"/>
          <w:highlight w:val="none"/>
        </w:rPr>
      </w:pPr>
      <w:r>
        <w:rPr>
          <w:rFonts w:hint="eastAsia" w:ascii="宋体" w:hAnsi="宋体"/>
          <w:b/>
          <w:color w:val="auto"/>
          <w:sz w:val="24"/>
          <w:highlight w:val="none"/>
        </w:rPr>
        <w:t>（二）采购人</w:t>
      </w:r>
    </w:p>
    <w:p w14:paraId="7EF7B342">
      <w:pPr>
        <w:adjustRightInd w:val="0"/>
        <w:snapToGrid w:val="0"/>
        <w:spacing w:line="288" w:lineRule="auto"/>
        <w:ind w:firstLine="600" w:firstLineChars="250"/>
        <w:rPr>
          <w:rFonts w:hint="eastAsia" w:ascii="宋体" w:hAnsi="宋体" w:eastAsia="宋体" w:cs="仿宋"/>
          <w:color w:val="auto"/>
          <w:sz w:val="24"/>
          <w:highlight w:val="none"/>
          <w:lang w:eastAsia="zh-CN"/>
        </w:rPr>
      </w:pPr>
      <w:r>
        <w:rPr>
          <w:rFonts w:ascii="宋体" w:hAnsi="宋体" w:cs="仿宋"/>
          <w:color w:val="auto"/>
          <w:sz w:val="24"/>
          <w:highlight w:val="none"/>
        </w:rPr>
        <w:t>采购</w:t>
      </w:r>
      <w:r>
        <w:rPr>
          <w:rFonts w:hint="eastAsia" w:ascii="宋体" w:hAnsi="宋体" w:cs="仿宋"/>
          <w:color w:val="auto"/>
          <w:sz w:val="24"/>
          <w:highlight w:val="none"/>
        </w:rPr>
        <w:t>人</w:t>
      </w:r>
      <w:r>
        <w:rPr>
          <w:rFonts w:ascii="宋体" w:hAnsi="宋体" w:cs="仿宋"/>
          <w:color w:val="auto"/>
          <w:sz w:val="24"/>
          <w:highlight w:val="none"/>
        </w:rPr>
        <w:t>名称：</w:t>
      </w:r>
      <w:r>
        <w:rPr>
          <w:rFonts w:hint="eastAsia" w:ascii="宋体" w:hAnsi="宋体" w:cs="仿宋"/>
          <w:color w:val="auto"/>
          <w:sz w:val="24"/>
          <w:highlight w:val="none"/>
          <w:lang w:eastAsia="zh-CN"/>
        </w:rPr>
        <w:t>台州市路桥区人民政府路北街道办事处</w:t>
      </w:r>
    </w:p>
    <w:p w14:paraId="5F73ABF4">
      <w:pPr>
        <w:adjustRightInd w:val="0"/>
        <w:snapToGrid w:val="0"/>
        <w:spacing w:line="288" w:lineRule="auto"/>
        <w:ind w:firstLine="600" w:firstLineChars="250"/>
        <w:rPr>
          <w:rFonts w:ascii="宋体" w:hAnsi="宋体" w:cs="仿宋"/>
          <w:color w:val="auto"/>
          <w:sz w:val="24"/>
          <w:highlight w:val="none"/>
        </w:rPr>
      </w:pPr>
      <w:r>
        <w:rPr>
          <w:rFonts w:hint="eastAsia" w:ascii="宋体" w:hAnsi="宋体" w:cs="仿宋"/>
          <w:color w:val="auto"/>
          <w:sz w:val="24"/>
          <w:highlight w:val="none"/>
        </w:rPr>
        <w:t>项目联系人（询问）：</w:t>
      </w:r>
      <w:r>
        <w:rPr>
          <w:rFonts w:hint="eastAsia" w:ascii="宋体" w:hAnsi="宋体" w:cs="仿宋"/>
          <w:color w:val="auto"/>
          <w:sz w:val="24"/>
          <w:highlight w:val="none"/>
          <w:lang w:val="en-US" w:eastAsia="zh-CN"/>
        </w:rPr>
        <w:t>陈女士</w:t>
      </w:r>
    </w:p>
    <w:p w14:paraId="65C87032">
      <w:pPr>
        <w:adjustRightInd w:val="0"/>
        <w:snapToGrid w:val="0"/>
        <w:spacing w:line="288" w:lineRule="auto"/>
        <w:ind w:firstLine="600" w:firstLineChars="250"/>
        <w:rPr>
          <w:rFonts w:ascii="宋体" w:hAnsi="宋体" w:cs="仿宋"/>
          <w:color w:val="auto"/>
          <w:sz w:val="24"/>
          <w:highlight w:val="none"/>
        </w:rPr>
      </w:pPr>
      <w:r>
        <w:rPr>
          <w:rFonts w:hint="eastAsia" w:ascii="宋体" w:hAnsi="宋体" w:cs="仿宋"/>
          <w:color w:val="auto"/>
          <w:sz w:val="24"/>
          <w:highlight w:val="none"/>
        </w:rPr>
        <w:t>项目联系方式（询问）：</w:t>
      </w:r>
      <w:r>
        <w:rPr>
          <w:rFonts w:hint="eastAsia" w:ascii="宋体" w:hAnsi="宋体" w:cs="仿宋"/>
          <w:color w:val="auto"/>
          <w:sz w:val="24"/>
          <w:highlight w:val="none"/>
          <w:lang w:val="en-US" w:eastAsia="zh-CN"/>
        </w:rPr>
        <w:t>0576-</w:t>
      </w:r>
      <w:r>
        <w:rPr>
          <w:rFonts w:hint="eastAsia" w:ascii="宋体" w:hAnsi="宋体" w:cs="宋体"/>
          <w:color w:val="auto"/>
          <w:sz w:val="24"/>
          <w:highlight w:val="none"/>
          <w:lang w:val="en-US" w:eastAsia="zh-CN"/>
        </w:rPr>
        <w:t>82527058</w:t>
      </w:r>
    </w:p>
    <w:p w14:paraId="5F166DF5">
      <w:pPr>
        <w:adjustRightInd w:val="0"/>
        <w:snapToGrid w:val="0"/>
        <w:spacing w:line="288" w:lineRule="auto"/>
        <w:ind w:firstLine="600" w:firstLineChars="250"/>
        <w:rPr>
          <w:rFonts w:hint="eastAsia" w:ascii="宋体" w:hAnsi="宋体" w:eastAsia="宋体" w:cs="仿宋"/>
          <w:color w:val="auto"/>
          <w:sz w:val="24"/>
          <w:highlight w:val="none"/>
          <w:lang w:eastAsia="zh-CN"/>
        </w:rPr>
      </w:pPr>
      <w:r>
        <w:rPr>
          <w:rFonts w:hint="eastAsia" w:ascii="宋体" w:hAnsi="宋体" w:cs="仿宋"/>
          <w:color w:val="auto"/>
          <w:sz w:val="24"/>
          <w:highlight w:val="none"/>
        </w:rPr>
        <w:t>质疑联系人：</w:t>
      </w:r>
      <w:r>
        <w:rPr>
          <w:rFonts w:hint="eastAsia" w:ascii="宋体" w:hAnsi="宋体" w:cs="仿宋"/>
          <w:color w:val="auto"/>
          <w:sz w:val="24"/>
          <w:highlight w:val="none"/>
          <w:lang w:eastAsia="zh-CN"/>
        </w:rPr>
        <w:t>梁先生</w:t>
      </w:r>
    </w:p>
    <w:p w14:paraId="1E981AE7">
      <w:pPr>
        <w:adjustRightInd w:val="0"/>
        <w:snapToGrid w:val="0"/>
        <w:spacing w:line="288" w:lineRule="auto"/>
        <w:ind w:firstLine="600" w:firstLineChars="250"/>
        <w:rPr>
          <w:rFonts w:hint="eastAsia" w:ascii="宋体" w:hAnsi="宋体" w:eastAsia="宋体" w:cs="仿宋"/>
          <w:color w:val="auto"/>
          <w:sz w:val="24"/>
          <w:highlight w:val="none"/>
          <w:lang w:eastAsia="zh-CN"/>
        </w:rPr>
      </w:pPr>
      <w:r>
        <w:rPr>
          <w:rFonts w:hint="eastAsia" w:ascii="宋体" w:hAnsi="宋体" w:cs="仿宋"/>
          <w:color w:val="auto"/>
          <w:sz w:val="24"/>
          <w:highlight w:val="none"/>
        </w:rPr>
        <w:t>质疑联系方式：</w:t>
      </w:r>
      <w:r>
        <w:rPr>
          <w:rFonts w:hint="eastAsia" w:ascii="宋体" w:hAnsi="宋体" w:cs="仿宋"/>
          <w:color w:val="auto"/>
          <w:sz w:val="24"/>
          <w:highlight w:val="none"/>
          <w:lang w:val="en-US" w:eastAsia="zh-CN"/>
        </w:rPr>
        <w:t>0576-</w:t>
      </w:r>
      <w:r>
        <w:rPr>
          <w:rFonts w:hint="eastAsia" w:ascii="宋体" w:hAnsi="宋体" w:cs="仿宋"/>
          <w:color w:val="auto"/>
          <w:sz w:val="24"/>
          <w:highlight w:val="none"/>
        </w:rPr>
        <w:t>82527023</w:t>
      </w:r>
      <w:r>
        <w:rPr>
          <w:rFonts w:hint="eastAsia" w:ascii="宋体" w:hAnsi="宋体" w:cs="仿宋"/>
          <w:color w:val="auto"/>
          <w:sz w:val="24"/>
          <w:highlight w:val="none"/>
          <w:lang w:val="en-US" w:eastAsia="zh-CN"/>
        </w:rPr>
        <w:t xml:space="preserve"> </w:t>
      </w:r>
    </w:p>
    <w:p w14:paraId="3C05E59F">
      <w:pPr>
        <w:adjustRightInd w:val="0"/>
        <w:snapToGrid w:val="0"/>
        <w:spacing w:line="288" w:lineRule="auto"/>
        <w:ind w:firstLine="472" w:firstLineChars="196"/>
        <w:rPr>
          <w:rFonts w:ascii="宋体" w:hAnsi="宋体"/>
          <w:b/>
          <w:color w:val="auto"/>
          <w:sz w:val="24"/>
          <w:highlight w:val="none"/>
        </w:rPr>
      </w:pPr>
      <w:r>
        <w:rPr>
          <w:rFonts w:hint="eastAsia" w:ascii="宋体" w:hAnsi="宋体"/>
          <w:b/>
          <w:color w:val="auto"/>
          <w:sz w:val="24"/>
          <w:highlight w:val="none"/>
        </w:rPr>
        <w:t>（三）同级政府采购监督管理部门</w:t>
      </w:r>
    </w:p>
    <w:p w14:paraId="4477CA1D">
      <w:pPr>
        <w:adjustRightInd w:val="0"/>
        <w:snapToGrid w:val="0"/>
        <w:spacing w:line="288" w:lineRule="auto"/>
        <w:ind w:left="525" w:leftChars="250"/>
        <w:rPr>
          <w:rFonts w:ascii="宋体" w:hAnsi="宋体" w:cs="仿宋"/>
          <w:color w:val="auto"/>
          <w:sz w:val="24"/>
          <w:highlight w:val="none"/>
        </w:rPr>
      </w:pPr>
      <w:r>
        <w:rPr>
          <w:rFonts w:hint="eastAsia" w:ascii="宋体" w:hAnsi="宋体" w:cs="仿宋"/>
          <w:color w:val="auto"/>
          <w:sz w:val="24"/>
          <w:highlight w:val="none"/>
        </w:rPr>
        <w:t>名称：台州市路桥区政府采购管理办公室</w:t>
      </w:r>
    </w:p>
    <w:p w14:paraId="1A5CB4EA">
      <w:pPr>
        <w:adjustRightInd w:val="0"/>
        <w:snapToGrid w:val="0"/>
        <w:spacing w:line="288" w:lineRule="auto"/>
        <w:ind w:firstLine="600" w:firstLineChars="250"/>
        <w:rPr>
          <w:rFonts w:ascii="宋体" w:hAnsi="宋体" w:cs="仿宋"/>
          <w:color w:val="auto"/>
          <w:sz w:val="24"/>
          <w:highlight w:val="none"/>
        </w:rPr>
      </w:pPr>
      <w:r>
        <w:rPr>
          <w:rFonts w:hint="eastAsia" w:ascii="宋体" w:hAnsi="宋体" w:cs="仿宋"/>
          <w:color w:val="auto"/>
          <w:sz w:val="24"/>
          <w:highlight w:val="none"/>
        </w:rPr>
        <w:t>联系人：</w:t>
      </w:r>
      <w:r>
        <w:rPr>
          <w:rFonts w:hint="eastAsia" w:ascii="宋体" w:hAnsi="宋体" w:cs="仿宋"/>
          <w:color w:val="auto"/>
          <w:sz w:val="24"/>
          <w:highlight w:val="none"/>
          <w:lang w:val="en-US" w:eastAsia="zh-CN"/>
        </w:rPr>
        <w:t>王先生</w:t>
      </w:r>
      <w:r>
        <w:rPr>
          <w:rFonts w:ascii="宋体" w:hAnsi="宋体" w:cs="仿宋"/>
          <w:color w:val="auto"/>
          <w:sz w:val="24"/>
          <w:highlight w:val="none"/>
        </w:rPr>
        <w:t xml:space="preserve">                   </w:t>
      </w:r>
    </w:p>
    <w:p w14:paraId="41797A52">
      <w:pPr>
        <w:adjustRightInd w:val="0"/>
        <w:snapToGrid w:val="0"/>
        <w:spacing w:line="288" w:lineRule="auto"/>
        <w:ind w:firstLine="600" w:firstLineChars="250"/>
        <w:rPr>
          <w:rFonts w:ascii="宋体" w:hAnsi="宋体" w:cs="仿宋"/>
          <w:color w:val="auto"/>
          <w:sz w:val="24"/>
          <w:highlight w:val="none"/>
        </w:rPr>
      </w:pPr>
      <w:r>
        <w:rPr>
          <w:rFonts w:hint="eastAsia" w:ascii="宋体" w:hAnsi="宋体" w:cs="仿宋"/>
          <w:color w:val="auto"/>
          <w:sz w:val="24"/>
          <w:highlight w:val="none"/>
        </w:rPr>
        <w:t>监督投诉电话：0576-82517851</w:t>
      </w:r>
    </w:p>
    <w:p w14:paraId="42C84B81">
      <w:pPr>
        <w:widowControl/>
        <w:adjustRightInd w:val="0"/>
        <w:snapToGrid w:val="0"/>
        <w:spacing w:line="288" w:lineRule="auto"/>
        <w:ind w:left="60" w:right="60" w:firstLine="540"/>
        <w:jc w:val="left"/>
        <w:rPr>
          <w:rFonts w:ascii="宋体" w:hAnsi="宋体" w:cs="仿宋"/>
          <w:color w:val="auto"/>
          <w:sz w:val="24"/>
          <w:highlight w:val="none"/>
        </w:rPr>
      </w:pPr>
      <w:r>
        <w:rPr>
          <w:rFonts w:hint="eastAsia" w:ascii="宋体" w:hAnsi="宋体" w:cs="仿宋"/>
          <w:color w:val="auto"/>
          <w:sz w:val="24"/>
          <w:highlight w:val="none"/>
        </w:rPr>
        <w:t>地址：</w:t>
      </w:r>
      <w:bookmarkEnd w:id="0"/>
      <w:r>
        <w:rPr>
          <w:rFonts w:hint="eastAsia" w:ascii="宋体" w:hAnsi="宋体" w:cs="仿宋"/>
          <w:color w:val="auto"/>
          <w:sz w:val="24"/>
          <w:highlight w:val="none"/>
        </w:rPr>
        <w:t>台州市路桥区西路桥大道58号</w:t>
      </w:r>
    </w:p>
    <w:p w14:paraId="73E48BCD">
      <w:pPr>
        <w:pStyle w:val="26"/>
        <w:adjustRightInd w:val="0"/>
        <w:snapToGrid w:val="0"/>
        <w:spacing w:before="0" w:beforeAutospacing="0" w:after="0" w:afterAutospacing="0" w:line="288" w:lineRule="auto"/>
        <w:rPr>
          <w:rFonts w:hint="default" w:ascii="宋体" w:hAnsi="宋体"/>
          <w:b/>
          <w:color w:val="auto"/>
          <w:kern w:val="2"/>
          <w:highlight w:val="none"/>
        </w:rPr>
      </w:pPr>
    </w:p>
    <w:p w14:paraId="15487669">
      <w:pPr>
        <w:pStyle w:val="26"/>
        <w:adjustRightInd w:val="0"/>
        <w:snapToGrid w:val="0"/>
        <w:spacing w:before="0" w:beforeAutospacing="0" w:after="0" w:afterAutospacing="0" w:line="288" w:lineRule="auto"/>
        <w:rPr>
          <w:rFonts w:hint="default" w:ascii="宋体" w:hAnsi="宋体"/>
          <w:b/>
          <w:color w:val="auto"/>
          <w:kern w:val="2"/>
          <w:highlight w:val="none"/>
        </w:rPr>
      </w:pPr>
      <w:r>
        <w:rPr>
          <w:rFonts w:hint="default" w:ascii="宋体" w:hAnsi="宋体"/>
          <w:b/>
          <w:color w:val="auto"/>
          <w:kern w:val="2"/>
          <w:highlight w:val="none"/>
        </w:rPr>
        <w:t>（四）其余事项</w:t>
      </w:r>
    </w:p>
    <w:p w14:paraId="7D55DDDD">
      <w:pPr>
        <w:rPr>
          <w:color w:val="auto"/>
          <w:sz w:val="32"/>
          <w:szCs w:val="32"/>
        </w:rPr>
      </w:pPr>
      <w:r>
        <w:rPr>
          <w:rFonts w:hint="eastAsia"/>
          <w:color w:val="auto"/>
          <w:szCs w:val="21"/>
        </w:rPr>
        <w:t>（1）合同履约保函联系方式</w:t>
      </w:r>
    </w:p>
    <w:tbl>
      <w:tblPr>
        <w:tblStyle w:val="30"/>
        <w:tblW w:w="8880"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929"/>
      </w:tblGrid>
      <w:tr w14:paraId="0886F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1275F7BD">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保险公司名称</w:t>
            </w:r>
          </w:p>
        </w:tc>
        <w:tc>
          <w:tcPr>
            <w:tcW w:w="2288" w:type="dxa"/>
            <w:vAlign w:val="center"/>
          </w:tcPr>
          <w:p w14:paraId="1904A101">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保费率</w:t>
            </w:r>
          </w:p>
        </w:tc>
        <w:tc>
          <w:tcPr>
            <w:tcW w:w="1276" w:type="dxa"/>
            <w:vAlign w:val="center"/>
          </w:tcPr>
          <w:p w14:paraId="24811195">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联系人</w:t>
            </w:r>
          </w:p>
        </w:tc>
        <w:tc>
          <w:tcPr>
            <w:tcW w:w="1929" w:type="dxa"/>
            <w:vAlign w:val="center"/>
          </w:tcPr>
          <w:p w14:paraId="23971744">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联系电话</w:t>
            </w:r>
          </w:p>
        </w:tc>
      </w:tr>
      <w:tr w14:paraId="15A83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450EB33">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中国人寿财产保险股份有限公司台州中心支公司</w:t>
            </w:r>
          </w:p>
        </w:tc>
        <w:tc>
          <w:tcPr>
            <w:tcW w:w="2288" w:type="dxa"/>
            <w:vAlign w:val="center"/>
          </w:tcPr>
          <w:p w14:paraId="75FDDD47">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年费率1%，最低保费500元</w:t>
            </w:r>
          </w:p>
        </w:tc>
        <w:tc>
          <w:tcPr>
            <w:tcW w:w="1276" w:type="dxa"/>
            <w:vAlign w:val="center"/>
          </w:tcPr>
          <w:p w14:paraId="34DBEC1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徐凌</w:t>
            </w:r>
          </w:p>
        </w:tc>
        <w:tc>
          <w:tcPr>
            <w:tcW w:w="1929" w:type="dxa"/>
            <w:vAlign w:val="center"/>
          </w:tcPr>
          <w:p w14:paraId="33767C29">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13905168070</w:t>
            </w:r>
          </w:p>
        </w:tc>
      </w:tr>
      <w:tr w14:paraId="22BDE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67CE69C">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永诚财产保险股份有限公司台州分公司</w:t>
            </w:r>
          </w:p>
        </w:tc>
        <w:tc>
          <w:tcPr>
            <w:tcW w:w="2288" w:type="dxa"/>
            <w:vAlign w:val="center"/>
          </w:tcPr>
          <w:p w14:paraId="1B59113A">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年费率1%，最低保费1000元</w:t>
            </w:r>
          </w:p>
        </w:tc>
        <w:tc>
          <w:tcPr>
            <w:tcW w:w="1276" w:type="dxa"/>
            <w:vAlign w:val="center"/>
          </w:tcPr>
          <w:p w14:paraId="07285BB1">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尹刚强</w:t>
            </w:r>
          </w:p>
        </w:tc>
        <w:tc>
          <w:tcPr>
            <w:tcW w:w="1929" w:type="dxa"/>
            <w:vAlign w:val="center"/>
          </w:tcPr>
          <w:p w14:paraId="79781BC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13750668184</w:t>
            </w:r>
          </w:p>
        </w:tc>
      </w:tr>
      <w:tr w14:paraId="7C318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8DB5BA2">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华泰财产保险有限公司台州中心支公司</w:t>
            </w:r>
          </w:p>
        </w:tc>
        <w:tc>
          <w:tcPr>
            <w:tcW w:w="2288" w:type="dxa"/>
            <w:vAlign w:val="center"/>
          </w:tcPr>
          <w:p w14:paraId="6DC2E73B">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年费率0.5%，最低保费1000元</w:t>
            </w:r>
          </w:p>
        </w:tc>
        <w:tc>
          <w:tcPr>
            <w:tcW w:w="1276" w:type="dxa"/>
            <w:vAlign w:val="center"/>
          </w:tcPr>
          <w:p w14:paraId="052AEC02">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王灵芳</w:t>
            </w:r>
          </w:p>
        </w:tc>
        <w:tc>
          <w:tcPr>
            <w:tcW w:w="1929" w:type="dxa"/>
            <w:vAlign w:val="center"/>
          </w:tcPr>
          <w:p w14:paraId="3654B822">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88869818 13586123199</w:t>
            </w:r>
          </w:p>
        </w:tc>
      </w:tr>
      <w:tr w14:paraId="37E09C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AC5FB1">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中国大地财产保险股份有限公司台州中心支公司</w:t>
            </w:r>
          </w:p>
        </w:tc>
        <w:tc>
          <w:tcPr>
            <w:tcW w:w="2288" w:type="dxa"/>
            <w:vAlign w:val="center"/>
          </w:tcPr>
          <w:p w14:paraId="10E8FE76">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年费率1.5%，最低保费1000元</w:t>
            </w:r>
          </w:p>
        </w:tc>
        <w:tc>
          <w:tcPr>
            <w:tcW w:w="1276" w:type="dxa"/>
            <w:vAlign w:val="center"/>
          </w:tcPr>
          <w:p w14:paraId="45592977">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徐小明</w:t>
            </w:r>
          </w:p>
        </w:tc>
        <w:tc>
          <w:tcPr>
            <w:tcW w:w="1929" w:type="dxa"/>
            <w:vAlign w:val="center"/>
          </w:tcPr>
          <w:p w14:paraId="36D5A1D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88552788      13968603112</w:t>
            </w:r>
          </w:p>
        </w:tc>
      </w:tr>
      <w:tr w14:paraId="3CD96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89C3B9D">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阳光保险台州中心支公司</w:t>
            </w:r>
          </w:p>
        </w:tc>
        <w:tc>
          <w:tcPr>
            <w:tcW w:w="2288" w:type="dxa"/>
            <w:vAlign w:val="center"/>
          </w:tcPr>
          <w:p w14:paraId="4588F153">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年费率1%，最低保费500元</w:t>
            </w:r>
          </w:p>
        </w:tc>
        <w:tc>
          <w:tcPr>
            <w:tcW w:w="1276" w:type="dxa"/>
            <w:vAlign w:val="center"/>
          </w:tcPr>
          <w:p w14:paraId="254E20CD">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林高明</w:t>
            </w:r>
          </w:p>
        </w:tc>
        <w:tc>
          <w:tcPr>
            <w:tcW w:w="1929" w:type="dxa"/>
            <w:vAlign w:val="center"/>
          </w:tcPr>
          <w:p w14:paraId="6D5760D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15888682693</w:t>
            </w:r>
          </w:p>
        </w:tc>
      </w:tr>
      <w:tr w14:paraId="31FAB9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13E404">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中华联合财产保险股份有限公司台州中心支公司</w:t>
            </w:r>
          </w:p>
        </w:tc>
        <w:tc>
          <w:tcPr>
            <w:tcW w:w="2288" w:type="dxa"/>
            <w:vAlign w:val="center"/>
          </w:tcPr>
          <w:p w14:paraId="696DA043">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年费率2%，最低保费500元</w:t>
            </w:r>
          </w:p>
        </w:tc>
        <w:tc>
          <w:tcPr>
            <w:tcW w:w="1276" w:type="dxa"/>
            <w:vAlign w:val="center"/>
          </w:tcPr>
          <w:p w14:paraId="011413DD">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王仙高</w:t>
            </w:r>
          </w:p>
        </w:tc>
        <w:tc>
          <w:tcPr>
            <w:tcW w:w="1929" w:type="dxa"/>
            <w:vAlign w:val="center"/>
          </w:tcPr>
          <w:p w14:paraId="36B17187">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13858600221</w:t>
            </w:r>
          </w:p>
        </w:tc>
      </w:tr>
      <w:tr w14:paraId="12A57C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A831877">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中国人民财产保险股份有限公司台州中心支公司</w:t>
            </w:r>
          </w:p>
        </w:tc>
        <w:tc>
          <w:tcPr>
            <w:tcW w:w="2288" w:type="dxa"/>
            <w:vAlign w:val="center"/>
          </w:tcPr>
          <w:p w14:paraId="1E6F78B8">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年费率0.3%，最低保费1000元</w:t>
            </w:r>
          </w:p>
        </w:tc>
        <w:tc>
          <w:tcPr>
            <w:tcW w:w="1276" w:type="dxa"/>
            <w:vAlign w:val="center"/>
          </w:tcPr>
          <w:p w14:paraId="37428A28">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王仙春</w:t>
            </w:r>
          </w:p>
        </w:tc>
        <w:tc>
          <w:tcPr>
            <w:tcW w:w="1929" w:type="dxa"/>
            <w:vAlign w:val="center"/>
          </w:tcPr>
          <w:p w14:paraId="5F892C93">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13515769179</w:t>
            </w:r>
          </w:p>
        </w:tc>
      </w:tr>
      <w:tr w14:paraId="48743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30CEB9">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永安财产保险股份有限公司台州中心支公司</w:t>
            </w:r>
          </w:p>
        </w:tc>
        <w:tc>
          <w:tcPr>
            <w:tcW w:w="2288" w:type="dxa"/>
            <w:vAlign w:val="center"/>
          </w:tcPr>
          <w:p w14:paraId="3F68B7F7">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年费率0.3%，最低保费1000</w:t>
            </w:r>
            <w:r>
              <w:rPr>
                <w:rFonts w:hint="eastAsia" w:asciiTheme="minorEastAsia" w:hAnsiTheme="minorEastAsia" w:cstheme="minorEastAsia"/>
                <w:color w:val="auto"/>
                <w:szCs w:val="21"/>
              </w:rPr>
              <w:t>元</w:t>
            </w:r>
          </w:p>
        </w:tc>
        <w:tc>
          <w:tcPr>
            <w:tcW w:w="1276" w:type="dxa"/>
            <w:vAlign w:val="center"/>
          </w:tcPr>
          <w:p w14:paraId="7F42CAE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王春宇</w:t>
            </w:r>
          </w:p>
        </w:tc>
        <w:tc>
          <w:tcPr>
            <w:tcW w:w="1929" w:type="dxa"/>
            <w:vAlign w:val="center"/>
          </w:tcPr>
          <w:p w14:paraId="1A0BDC9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13676675331</w:t>
            </w:r>
          </w:p>
        </w:tc>
      </w:tr>
    </w:tbl>
    <w:p w14:paraId="2B84C3D2">
      <w:pPr>
        <w:rPr>
          <w:b/>
          <w:bCs/>
          <w:color w:val="auto"/>
          <w:szCs w:val="21"/>
        </w:rPr>
      </w:pPr>
    </w:p>
    <w:p w14:paraId="06C11230">
      <w:pPr>
        <w:rPr>
          <w:color w:val="auto"/>
          <w:szCs w:val="21"/>
        </w:rPr>
      </w:pPr>
      <w:r>
        <w:rPr>
          <w:rFonts w:hint="eastAsia"/>
          <w:b/>
          <w:bCs/>
          <w:color w:val="auto"/>
          <w:szCs w:val="21"/>
        </w:rPr>
        <w:t>（</w:t>
      </w:r>
      <w:r>
        <w:rPr>
          <w:rFonts w:hint="eastAsia"/>
          <w:color w:val="auto"/>
          <w:szCs w:val="21"/>
        </w:rPr>
        <w:t>2）预付款保函联系方式</w:t>
      </w:r>
    </w:p>
    <w:tbl>
      <w:tblPr>
        <w:tblStyle w:val="30"/>
        <w:tblW w:w="8940"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978"/>
      </w:tblGrid>
      <w:tr w14:paraId="23F9A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4F0CBA35">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保险公司名称</w:t>
            </w:r>
          </w:p>
        </w:tc>
        <w:tc>
          <w:tcPr>
            <w:tcW w:w="2288" w:type="dxa"/>
            <w:vAlign w:val="center"/>
          </w:tcPr>
          <w:p w14:paraId="6E657BCB">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保费率</w:t>
            </w:r>
          </w:p>
        </w:tc>
        <w:tc>
          <w:tcPr>
            <w:tcW w:w="1287" w:type="dxa"/>
            <w:vAlign w:val="center"/>
          </w:tcPr>
          <w:p w14:paraId="1F5F48C6">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联系人</w:t>
            </w:r>
          </w:p>
        </w:tc>
        <w:tc>
          <w:tcPr>
            <w:tcW w:w="1978" w:type="dxa"/>
            <w:vAlign w:val="center"/>
          </w:tcPr>
          <w:p w14:paraId="746A28F2">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联系电话</w:t>
            </w:r>
          </w:p>
        </w:tc>
      </w:tr>
      <w:tr w14:paraId="5D16F1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1199C2">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中国人寿财产保险股份有限公司台州中心支公司</w:t>
            </w:r>
          </w:p>
        </w:tc>
        <w:tc>
          <w:tcPr>
            <w:tcW w:w="2288" w:type="dxa"/>
          </w:tcPr>
          <w:p w14:paraId="4EF8CC8B">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年费率3%，最低保费500元</w:t>
            </w:r>
          </w:p>
        </w:tc>
        <w:tc>
          <w:tcPr>
            <w:tcW w:w="1287" w:type="dxa"/>
            <w:vAlign w:val="center"/>
          </w:tcPr>
          <w:p w14:paraId="5ACCE749">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徐凌</w:t>
            </w:r>
          </w:p>
        </w:tc>
        <w:tc>
          <w:tcPr>
            <w:tcW w:w="1978" w:type="dxa"/>
            <w:vAlign w:val="center"/>
          </w:tcPr>
          <w:p w14:paraId="7F829A7F">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13905168070</w:t>
            </w:r>
          </w:p>
        </w:tc>
      </w:tr>
      <w:tr w14:paraId="21F95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4A5F2BD">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阳光保险台州中心支公司</w:t>
            </w:r>
          </w:p>
        </w:tc>
        <w:tc>
          <w:tcPr>
            <w:tcW w:w="2288" w:type="dxa"/>
          </w:tcPr>
          <w:p w14:paraId="03434280">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年费率1%，最低保费500元</w:t>
            </w:r>
          </w:p>
        </w:tc>
        <w:tc>
          <w:tcPr>
            <w:tcW w:w="1287" w:type="dxa"/>
            <w:vAlign w:val="center"/>
          </w:tcPr>
          <w:p w14:paraId="59949EE5">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林高明</w:t>
            </w:r>
          </w:p>
        </w:tc>
        <w:tc>
          <w:tcPr>
            <w:tcW w:w="1978" w:type="dxa"/>
            <w:vAlign w:val="center"/>
          </w:tcPr>
          <w:p w14:paraId="3E7EB741">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15888682693</w:t>
            </w:r>
          </w:p>
        </w:tc>
      </w:tr>
      <w:tr w14:paraId="282D18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7" w:type="dxa"/>
            <w:vAlign w:val="center"/>
          </w:tcPr>
          <w:p w14:paraId="2A27552C">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天安财产保险股份有限公司台州中心支公司</w:t>
            </w:r>
          </w:p>
        </w:tc>
        <w:tc>
          <w:tcPr>
            <w:tcW w:w="2288" w:type="dxa"/>
          </w:tcPr>
          <w:p w14:paraId="55578BD5">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年费率1%-2%，最低保费500元</w:t>
            </w:r>
          </w:p>
        </w:tc>
        <w:tc>
          <w:tcPr>
            <w:tcW w:w="1287" w:type="dxa"/>
            <w:vAlign w:val="center"/>
          </w:tcPr>
          <w:p w14:paraId="0B10DE33">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罗赛</w:t>
            </w:r>
          </w:p>
        </w:tc>
        <w:tc>
          <w:tcPr>
            <w:tcW w:w="1978" w:type="dxa"/>
            <w:vAlign w:val="center"/>
          </w:tcPr>
          <w:p w14:paraId="5591B449">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13736605643</w:t>
            </w:r>
          </w:p>
        </w:tc>
      </w:tr>
    </w:tbl>
    <w:p w14:paraId="116FD8B7">
      <w:pPr>
        <w:pStyle w:val="82"/>
        <w:spacing w:line="360" w:lineRule="auto"/>
        <w:ind w:firstLine="0" w:firstLineChars="0"/>
        <w:rPr>
          <w:rFonts w:ascii="宋体" w:hAnsi="宋体" w:cs="宋体"/>
          <w:b/>
          <w:bCs/>
          <w:color w:val="auto"/>
          <w:szCs w:val="21"/>
        </w:rPr>
      </w:pPr>
      <w:r>
        <w:rPr>
          <w:rFonts w:hint="eastAsia" w:ascii="宋体" w:hAnsi="宋体" w:cs="宋体"/>
          <w:color w:val="auto"/>
          <w:szCs w:val="21"/>
        </w:rPr>
        <w:t>（3）</w:t>
      </w:r>
      <w:r>
        <w:rPr>
          <w:rFonts w:hint="eastAsia" w:ascii="宋体" w:hAnsi="宋体" w:cs="宋体"/>
          <w:b/>
          <w:bCs/>
          <w:color w:val="auto"/>
          <w:szCs w:val="21"/>
        </w:rPr>
        <w:t>银行（中标项目贷款咨询）</w:t>
      </w:r>
    </w:p>
    <w:p w14:paraId="5D2E937D">
      <w:pPr>
        <w:spacing w:line="360" w:lineRule="auto"/>
        <w:rPr>
          <w:rFonts w:ascii="宋体" w:hAnsi="宋体" w:cs="宋体"/>
          <w:color w:val="auto"/>
          <w:szCs w:val="21"/>
        </w:rPr>
      </w:pPr>
      <w:r>
        <w:rPr>
          <w:rFonts w:hint="eastAsia" w:ascii="宋体" w:hAnsi="宋体" w:cs="宋体"/>
          <w:color w:val="auto"/>
          <w:szCs w:val="21"/>
        </w:rPr>
        <w:t>中标供应商如有融资需求，可使用以下银行的政采贷服务。</w:t>
      </w:r>
    </w:p>
    <w:tbl>
      <w:tblPr>
        <w:tblStyle w:val="29"/>
        <w:tblW w:w="9018" w:type="dxa"/>
        <w:tblInd w:w="0" w:type="dxa"/>
        <w:shd w:val="clear" w:color="auto" w:fill="auto"/>
        <w:tblLayout w:type="fixed"/>
        <w:tblCellMar>
          <w:top w:w="0" w:type="dxa"/>
          <w:left w:w="0" w:type="dxa"/>
          <w:bottom w:w="0" w:type="dxa"/>
          <w:right w:w="0" w:type="dxa"/>
        </w:tblCellMar>
      </w:tblPr>
      <w:tblGrid>
        <w:gridCol w:w="513"/>
        <w:gridCol w:w="4531"/>
        <w:gridCol w:w="1572"/>
        <w:gridCol w:w="1008"/>
        <w:gridCol w:w="1394"/>
      </w:tblGrid>
      <w:tr w14:paraId="2685C22E">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4278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F764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银 行 名 称</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DD3A1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7897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联系人</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C9D8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联系电话</w:t>
            </w:r>
          </w:p>
        </w:tc>
      </w:tr>
      <w:tr w14:paraId="02B590F3">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A6DC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E30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中国建设银行股份有限公司台州路桥支行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25F3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0FC0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徐剑鸿</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D16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15167671223</w:t>
            </w:r>
          </w:p>
        </w:tc>
      </w:tr>
      <w:tr w14:paraId="5F5E6396">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AD31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D54A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中国工商银行股份有限公司台州路桥支行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5963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13A7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倪  昊</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8945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15968680259</w:t>
            </w:r>
          </w:p>
        </w:tc>
      </w:tr>
      <w:tr w14:paraId="1704CC48">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8FB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F0D1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中国农业银行股份有限公司台州路桥支行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57C3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D815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丁道兵</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45B6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13606668045</w:t>
            </w:r>
          </w:p>
        </w:tc>
      </w:tr>
      <w:tr w14:paraId="05056689">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61B9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756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9A64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CB1B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车  斌</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D95F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13750661198</w:t>
            </w:r>
          </w:p>
        </w:tc>
      </w:tr>
      <w:tr w14:paraId="61BA466A">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D7BF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5FCF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台州银行股份有限公司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EA6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7F15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黄红芹</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3F9B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13968689000</w:t>
            </w:r>
          </w:p>
        </w:tc>
      </w:tr>
      <w:tr w14:paraId="418356EB">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1029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6737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浙江泰隆商业银行股份有限公司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055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CD8B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冯观凤</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1453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17858683988</w:t>
            </w:r>
          </w:p>
        </w:tc>
      </w:tr>
      <w:tr w14:paraId="121B6776">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6692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F21B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中国邮政储蓄银行股份有限公司台州市路桥区支行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E8C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7710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沈丹华</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7DC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13306566969</w:t>
            </w:r>
          </w:p>
        </w:tc>
      </w:tr>
      <w:tr w14:paraId="10504DE8">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7AA9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2878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交通银行股份有限公司台州路桥支行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95B8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0B1D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刘鲁浙</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D746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15968662111</w:t>
            </w:r>
          </w:p>
        </w:tc>
      </w:tr>
      <w:tr w14:paraId="4F0DF3AD">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F015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11A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兴业银行股份有限公司台州路桥支行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009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5550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蒋  峰</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C7B1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13586088395</w:t>
            </w:r>
          </w:p>
        </w:tc>
      </w:tr>
      <w:tr w14:paraId="0194EEF7">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53FC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FB79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中信银行股份有限公司台州路桥支行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C313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9D78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曹筱婕</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7F18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18105768199</w:t>
            </w:r>
          </w:p>
        </w:tc>
      </w:tr>
      <w:tr w14:paraId="318F2632">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4DE4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BDBD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浙商银行股份有限公司台州路桥小微企业专营支行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9056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69F7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庄道勇</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4182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13867611023</w:t>
            </w:r>
          </w:p>
        </w:tc>
      </w:tr>
      <w:tr w14:paraId="0E8E453F">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A42B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510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广发银行股份有限公司台州路桥小微企业专营支行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241E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BAE9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林  春</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1DC0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13858687790</w:t>
            </w:r>
          </w:p>
        </w:tc>
      </w:tr>
      <w:tr w14:paraId="678EA8DF">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ADED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0FD0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平安银行股份有限公司台州路桥小微企业专营支行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CD82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BAE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李俊丽</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D1EE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15906861025</w:t>
            </w:r>
          </w:p>
        </w:tc>
      </w:tr>
      <w:tr w14:paraId="7B76C402">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B21F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C57B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宁波银行股份有限公司台州路桥小微企业专营支行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2F7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6F06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李诚杰</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938A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13395745558</w:t>
            </w:r>
          </w:p>
        </w:tc>
      </w:tr>
      <w:tr w14:paraId="52BDC382">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8CE8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1922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浙江台州路桥富民村镇银行股份有限公司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E6F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D4B4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金根灵</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250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13157608788</w:t>
            </w:r>
          </w:p>
        </w:tc>
      </w:tr>
    </w:tbl>
    <w:p w14:paraId="312874B3">
      <w:pPr>
        <w:spacing w:line="360" w:lineRule="auto"/>
        <w:rPr>
          <w:rFonts w:hint="eastAsia" w:ascii="宋体" w:hAnsi="宋体"/>
          <w:b/>
          <w:color w:val="auto"/>
          <w:szCs w:val="21"/>
        </w:rPr>
      </w:pPr>
      <w:r>
        <w:rPr>
          <w:rFonts w:hint="eastAsia" w:ascii="宋体" w:hAnsi="宋体"/>
          <w:b/>
          <w:color w:val="auto"/>
          <w:szCs w:val="21"/>
        </w:rPr>
        <w:t>十、采购（中标）公告发布媒体：</w:t>
      </w:r>
      <w:r>
        <w:rPr>
          <w:rFonts w:hint="eastAsia" w:ascii="宋体" w:hAnsi="宋体"/>
          <w:color w:val="auto"/>
          <w:szCs w:val="21"/>
        </w:rPr>
        <w:t>浙江政府采购网（</w:t>
      </w:r>
      <w:r>
        <w:rPr>
          <w:color w:val="auto"/>
        </w:rPr>
        <w:fldChar w:fldCharType="begin"/>
      </w:r>
      <w:r>
        <w:rPr>
          <w:color w:val="auto"/>
        </w:rPr>
        <w:instrText xml:space="preserve"> HYPERLINK "http://www.zjzfcg.gov.cn/new/" </w:instrText>
      </w:r>
      <w:r>
        <w:rPr>
          <w:color w:val="auto"/>
        </w:rPr>
        <w:fldChar w:fldCharType="separate"/>
      </w:r>
      <w:r>
        <w:rPr>
          <w:rStyle w:val="34"/>
          <w:rFonts w:hint="eastAsia" w:ascii="宋体" w:hAnsi="宋体"/>
          <w:color w:val="auto"/>
          <w:szCs w:val="21"/>
        </w:rPr>
        <w:t>http://zfcg.czt.zj.gov.cn</w:t>
      </w:r>
      <w:r>
        <w:rPr>
          <w:rStyle w:val="34"/>
          <w:rFonts w:hint="eastAsia" w:ascii="宋体" w:hAnsi="宋体"/>
          <w:color w:val="auto"/>
          <w:szCs w:val="21"/>
        </w:rPr>
        <w:fldChar w:fldCharType="end"/>
      </w:r>
      <w:r>
        <w:rPr>
          <w:rFonts w:hint="eastAsia" w:ascii="宋体" w:hAnsi="宋体"/>
          <w:color w:val="auto"/>
          <w:szCs w:val="21"/>
        </w:rPr>
        <w:t>）</w:t>
      </w:r>
    </w:p>
    <w:p w14:paraId="379A29F1">
      <w:pPr>
        <w:tabs>
          <w:tab w:val="left" w:pos="720"/>
          <w:tab w:val="left" w:pos="2160"/>
          <w:tab w:val="left" w:pos="2880"/>
          <w:tab w:val="left" w:pos="3600"/>
          <w:tab w:val="left" w:pos="4320"/>
          <w:tab w:val="left" w:pos="5040"/>
          <w:tab w:val="left" w:pos="5760"/>
          <w:tab w:val="left" w:pos="8400"/>
        </w:tabs>
        <w:autoSpaceDE w:val="0"/>
        <w:autoSpaceDN w:val="0"/>
        <w:adjustRightInd w:val="0"/>
        <w:spacing w:line="360" w:lineRule="auto"/>
        <w:ind w:left="0" w:leftChars="0" w:right="-94" w:firstLine="0" w:firstLineChars="0"/>
        <w:jc w:val="both"/>
        <w:rPr>
          <w:rFonts w:ascii="宋体" w:hAnsi="宋体"/>
          <w:color w:val="auto"/>
          <w:kern w:val="0"/>
          <w:sz w:val="24"/>
          <w:highlight w:val="none"/>
        </w:rPr>
      </w:pPr>
      <w:r>
        <w:rPr>
          <w:rFonts w:hint="eastAsia" w:ascii="宋体" w:hAnsi="宋体"/>
          <w:b/>
          <w:color w:val="auto"/>
          <w:szCs w:val="21"/>
        </w:rPr>
        <w:t>备注：请贵单位下载本次招标采购文件后，认真阅读各项内容，进行必要的准备工作，按文件的要求详细填写和编制响应文件，并按以上确定的时间、地点准时上传投标文件。</w:t>
      </w:r>
    </w:p>
    <w:p w14:paraId="52B03DCC">
      <w:pPr>
        <w:spacing w:line="360" w:lineRule="auto"/>
        <w:jc w:val="center"/>
        <w:rPr>
          <w:rFonts w:ascii="宋体" w:hAnsi="宋体"/>
          <w:b/>
          <w:color w:val="auto"/>
          <w:sz w:val="36"/>
          <w:szCs w:val="36"/>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6AE67A53">
      <w:pPr>
        <w:pStyle w:val="4"/>
        <w:jc w:val="center"/>
        <w:rPr>
          <w:rFonts w:ascii="宋体" w:hAnsi="宋体"/>
          <w:color w:val="auto"/>
          <w:sz w:val="36"/>
          <w:szCs w:val="36"/>
          <w:highlight w:val="none"/>
        </w:rPr>
      </w:pPr>
      <w:r>
        <w:rPr>
          <w:rFonts w:hint="eastAsia" w:ascii="宋体" w:hAnsi="宋体"/>
          <w:color w:val="auto"/>
          <w:sz w:val="36"/>
          <w:szCs w:val="36"/>
          <w:highlight w:val="none"/>
        </w:rPr>
        <w:t>第二章</w:t>
      </w:r>
      <w:r>
        <w:rPr>
          <w:rFonts w:ascii="宋体" w:hAnsi="宋体"/>
          <w:color w:val="auto"/>
          <w:sz w:val="36"/>
          <w:szCs w:val="36"/>
          <w:highlight w:val="none"/>
        </w:rPr>
        <w:t xml:space="preserve">  </w:t>
      </w:r>
      <w:r>
        <w:rPr>
          <w:rFonts w:hint="eastAsia" w:ascii="宋体" w:hAnsi="宋体"/>
          <w:color w:val="auto"/>
          <w:sz w:val="36"/>
          <w:szCs w:val="36"/>
          <w:highlight w:val="none"/>
        </w:rPr>
        <w:t>供应商须知</w:t>
      </w:r>
    </w:p>
    <w:p w14:paraId="1C83C1AD">
      <w:pPr>
        <w:spacing w:line="360" w:lineRule="auto"/>
        <w:jc w:val="center"/>
        <w:rPr>
          <w:rFonts w:ascii="宋体" w:hAnsi="宋体"/>
          <w:b/>
          <w:color w:val="auto"/>
          <w:sz w:val="24"/>
          <w:highlight w:val="none"/>
        </w:rPr>
      </w:pPr>
      <w:bookmarkStart w:id="1" w:name="_Hlk37939078"/>
      <w:r>
        <w:rPr>
          <w:rFonts w:hint="eastAsia" w:ascii="宋体" w:hAnsi="宋体"/>
          <w:b/>
          <w:color w:val="auto"/>
          <w:sz w:val="24"/>
          <w:highlight w:val="none"/>
        </w:rPr>
        <w:t>前附表</w:t>
      </w:r>
      <w:bookmarkStart w:id="2" w:name="_Hlk37939115"/>
    </w:p>
    <w:tbl>
      <w:tblPr>
        <w:tblStyle w:val="29"/>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498"/>
      </w:tblGrid>
      <w:tr w14:paraId="1069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722D6F0">
            <w:pPr>
              <w:jc w:val="center"/>
              <w:rPr>
                <w:rFonts w:ascii="宋体" w:hAnsi="宋体" w:cs="Calibri Light"/>
                <w:color w:val="auto"/>
                <w:sz w:val="24"/>
                <w:highlight w:val="none"/>
              </w:rPr>
            </w:pPr>
            <w:r>
              <w:rPr>
                <w:rFonts w:hint="eastAsia" w:ascii="宋体" w:hAnsi="宋体" w:cs="Calibri Light"/>
                <w:color w:val="auto"/>
                <w:sz w:val="24"/>
                <w:highlight w:val="none"/>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4EC1D359">
            <w:pPr>
              <w:jc w:val="center"/>
              <w:rPr>
                <w:rFonts w:ascii="宋体" w:hAnsi="宋体" w:cs="Calibri Light"/>
                <w:color w:val="auto"/>
                <w:sz w:val="24"/>
                <w:highlight w:val="none"/>
              </w:rPr>
            </w:pPr>
            <w:r>
              <w:rPr>
                <w:rFonts w:hint="eastAsia" w:ascii="宋体" w:hAnsi="宋体" w:cs="Calibri Light"/>
                <w:color w:val="auto"/>
                <w:sz w:val="24"/>
                <w:highlight w:val="none"/>
              </w:rPr>
              <w:t>项</w:t>
            </w:r>
            <w:r>
              <w:rPr>
                <w:rFonts w:ascii="宋体" w:hAnsi="宋体" w:cs="Calibri Light"/>
                <w:color w:val="auto"/>
                <w:sz w:val="24"/>
                <w:highlight w:val="none"/>
              </w:rPr>
              <w:t xml:space="preserve">    </w:t>
            </w:r>
            <w:r>
              <w:rPr>
                <w:rFonts w:hint="eastAsia" w:ascii="宋体" w:hAnsi="宋体" w:cs="Calibri Light"/>
                <w:color w:val="auto"/>
                <w:sz w:val="24"/>
                <w:highlight w:val="none"/>
              </w:rPr>
              <w:t>目</w:t>
            </w:r>
          </w:p>
        </w:tc>
        <w:tc>
          <w:tcPr>
            <w:tcW w:w="6498" w:type="dxa"/>
            <w:tcBorders>
              <w:top w:val="single" w:color="auto" w:sz="4" w:space="0"/>
              <w:left w:val="single" w:color="auto" w:sz="4" w:space="0"/>
              <w:bottom w:val="single" w:color="auto" w:sz="4" w:space="0"/>
              <w:right w:val="single" w:color="auto" w:sz="4" w:space="0"/>
            </w:tcBorders>
            <w:vAlign w:val="center"/>
          </w:tcPr>
          <w:p w14:paraId="491BF358">
            <w:pPr>
              <w:jc w:val="center"/>
              <w:rPr>
                <w:rFonts w:ascii="宋体" w:hAnsi="宋体" w:cs="Calibri Light"/>
                <w:color w:val="auto"/>
                <w:sz w:val="24"/>
                <w:highlight w:val="none"/>
              </w:rPr>
            </w:pPr>
            <w:r>
              <w:rPr>
                <w:rFonts w:hint="eastAsia" w:ascii="宋体" w:hAnsi="宋体" w:cs="Calibri Light"/>
                <w:color w:val="auto"/>
                <w:sz w:val="24"/>
                <w:highlight w:val="none"/>
              </w:rPr>
              <w:t>内</w:t>
            </w:r>
            <w:r>
              <w:rPr>
                <w:rFonts w:ascii="宋体" w:hAnsi="宋体" w:cs="Calibri Light"/>
                <w:color w:val="auto"/>
                <w:sz w:val="24"/>
                <w:highlight w:val="none"/>
              </w:rPr>
              <w:t xml:space="preserve">                 </w:t>
            </w:r>
            <w:r>
              <w:rPr>
                <w:rFonts w:hint="eastAsia" w:ascii="宋体" w:hAnsi="宋体" w:cs="Calibri Light"/>
                <w:color w:val="auto"/>
                <w:sz w:val="24"/>
                <w:highlight w:val="none"/>
              </w:rPr>
              <w:t>容</w:t>
            </w:r>
          </w:p>
        </w:tc>
      </w:tr>
      <w:tr w14:paraId="663F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755985F">
            <w:pPr>
              <w:jc w:val="center"/>
              <w:rPr>
                <w:rFonts w:ascii="宋体" w:hAnsi="宋体" w:cs="Calibri Light"/>
                <w:color w:val="auto"/>
                <w:sz w:val="24"/>
                <w:highlight w:val="none"/>
              </w:rPr>
            </w:pPr>
            <w:r>
              <w:rPr>
                <w:rFonts w:ascii="宋体" w:hAnsi="宋体" w:cs="Calibri Light"/>
                <w:color w:val="auto"/>
                <w:sz w:val="24"/>
                <w:highlight w:val="none"/>
              </w:rPr>
              <w:t>1</w:t>
            </w:r>
          </w:p>
        </w:tc>
        <w:tc>
          <w:tcPr>
            <w:tcW w:w="1901" w:type="dxa"/>
            <w:tcBorders>
              <w:top w:val="single" w:color="auto" w:sz="4" w:space="0"/>
              <w:left w:val="single" w:color="auto" w:sz="4" w:space="0"/>
              <w:bottom w:val="single" w:color="auto" w:sz="4" w:space="0"/>
              <w:right w:val="single" w:color="auto" w:sz="4" w:space="0"/>
            </w:tcBorders>
            <w:vAlign w:val="center"/>
          </w:tcPr>
          <w:p w14:paraId="6AD505A8">
            <w:pPr>
              <w:jc w:val="center"/>
              <w:rPr>
                <w:rFonts w:ascii="宋体" w:hAnsi="宋体" w:cs="Calibri Light"/>
                <w:color w:val="auto"/>
                <w:sz w:val="24"/>
                <w:highlight w:val="none"/>
              </w:rPr>
            </w:pPr>
            <w:r>
              <w:rPr>
                <w:rFonts w:hint="eastAsia" w:ascii="宋体" w:hAnsi="宋体" w:cs="Calibri Light"/>
                <w:color w:val="auto"/>
                <w:sz w:val="24"/>
                <w:highlight w:val="none"/>
              </w:rPr>
              <w:t>供应商特定资格要求</w:t>
            </w:r>
          </w:p>
        </w:tc>
        <w:tc>
          <w:tcPr>
            <w:tcW w:w="6498" w:type="dxa"/>
            <w:tcBorders>
              <w:top w:val="single" w:color="auto" w:sz="4" w:space="0"/>
              <w:left w:val="single" w:color="auto" w:sz="4" w:space="0"/>
              <w:bottom w:val="single" w:color="auto" w:sz="4" w:space="0"/>
              <w:right w:val="single" w:color="auto" w:sz="4" w:space="0"/>
            </w:tcBorders>
            <w:vAlign w:val="center"/>
          </w:tcPr>
          <w:p w14:paraId="5A44DBF6">
            <w:pPr>
              <w:rPr>
                <w:rFonts w:ascii="宋体" w:hAnsi="宋体" w:cs="Calibri Light"/>
                <w:color w:val="auto"/>
                <w:sz w:val="24"/>
                <w:highlight w:val="none"/>
              </w:rPr>
            </w:pPr>
            <w:r>
              <w:rPr>
                <w:rFonts w:hint="eastAsia" w:ascii="宋体" w:hAnsi="宋体" w:cs="Calibri Light"/>
                <w:color w:val="auto"/>
                <w:sz w:val="24"/>
                <w:highlight w:val="none"/>
              </w:rPr>
              <w:t>符合竞争性磋商公告资格要求的供应商</w:t>
            </w:r>
          </w:p>
        </w:tc>
      </w:tr>
      <w:tr w14:paraId="4DA7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177B676">
            <w:pPr>
              <w:jc w:val="center"/>
              <w:rPr>
                <w:rFonts w:ascii="宋体" w:hAnsi="宋体" w:cs="Calibri Light"/>
                <w:color w:val="auto"/>
                <w:sz w:val="24"/>
                <w:highlight w:val="none"/>
              </w:rPr>
            </w:pPr>
            <w:r>
              <w:rPr>
                <w:rFonts w:ascii="宋体" w:hAnsi="宋体" w:cs="Calibri Light"/>
                <w:color w:val="auto"/>
                <w:sz w:val="24"/>
                <w:highlight w:val="none"/>
              </w:rPr>
              <w:t>2</w:t>
            </w:r>
          </w:p>
        </w:tc>
        <w:tc>
          <w:tcPr>
            <w:tcW w:w="1901" w:type="dxa"/>
            <w:tcBorders>
              <w:top w:val="single" w:color="auto" w:sz="4" w:space="0"/>
              <w:left w:val="single" w:color="auto" w:sz="4" w:space="0"/>
              <w:bottom w:val="single" w:color="auto" w:sz="4" w:space="0"/>
              <w:right w:val="single" w:color="auto" w:sz="4" w:space="0"/>
            </w:tcBorders>
            <w:vAlign w:val="center"/>
          </w:tcPr>
          <w:p w14:paraId="0F0A898B">
            <w:pPr>
              <w:jc w:val="center"/>
              <w:rPr>
                <w:rFonts w:ascii="宋体" w:hAnsi="宋体" w:cs="Calibri Light"/>
                <w:color w:val="auto"/>
                <w:sz w:val="24"/>
                <w:highlight w:val="none"/>
              </w:rPr>
            </w:pPr>
            <w:r>
              <w:rPr>
                <w:rFonts w:hint="eastAsia" w:ascii="宋体" w:hAnsi="宋体" w:cs="Calibri Light"/>
                <w:color w:val="auto"/>
                <w:kern w:val="0"/>
                <w:sz w:val="24"/>
                <w:highlight w:val="none"/>
              </w:rPr>
              <w:t>答疑会或</w:t>
            </w:r>
            <w:r>
              <w:rPr>
                <w:rFonts w:hint="eastAsia" w:ascii="宋体" w:hAnsi="宋体" w:cs="Calibri Light"/>
                <w:color w:val="auto"/>
                <w:sz w:val="24"/>
                <w:highlight w:val="none"/>
              </w:rPr>
              <w:t>现场踏勘</w:t>
            </w:r>
          </w:p>
        </w:tc>
        <w:tc>
          <w:tcPr>
            <w:tcW w:w="6498" w:type="dxa"/>
            <w:tcBorders>
              <w:top w:val="single" w:color="auto" w:sz="4" w:space="0"/>
              <w:left w:val="single" w:color="auto" w:sz="4" w:space="0"/>
              <w:bottom w:val="single" w:color="auto" w:sz="4" w:space="0"/>
              <w:right w:val="single" w:color="auto" w:sz="4" w:space="0"/>
            </w:tcBorders>
            <w:vAlign w:val="center"/>
          </w:tcPr>
          <w:p w14:paraId="308A0155">
            <w:pPr>
              <w:rPr>
                <w:rFonts w:ascii="宋体" w:hAnsi="宋体" w:cs="Calibri Light"/>
                <w:color w:val="auto"/>
                <w:sz w:val="24"/>
                <w:highlight w:val="none"/>
              </w:rPr>
            </w:pPr>
            <w:r>
              <w:rPr>
                <w:rFonts w:hint="eastAsia" w:ascii="宋体" w:hAnsi="宋体" w:cs="仿宋"/>
                <w:color w:val="auto"/>
                <w:sz w:val="24"/>
                <w:highlight w:val="none"/>
              </w:rPr>
              <w:t>不组织</w:t>
            </w:r>
          </w:p>
        </w:tc>
      </w:tr>
      <w:tr w14:paraId="3D40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2C4C982">
            <w:pPr>
              <w:jc w:val="center"/>
              <w:rPr>
                <w:rFonts w:ascii="宋体" w:hAnsi="宋体" w:cs="Calibri Light"/>
                <w:color w:val="auto"/>
                <w:sz w:val="24"/>
                <w:highlight w:val="none"/>
              </w:rPr>
            </w:pPr>
            <w:r>
              <w:rPr>
                <w:rFonts w:ascii="宋体" w:hAnsi="宋体" w:cs="Calibri Light"/>
                <w:color w:val="auto"/>
                <w:sz w:val="24"/>
                <w:highlight w:val="none"/>
              </w:rPr>
              <w:t>3</w:t>
            </w:r>
          </w:p>
        </w:tc>
        <w:tc>
          <w:tcPr>
            <w:tcW w:w="1901" w:type="dxa"/>
            <w:tcBorders>
              <w:top w:val="single" w:color="auto" w:sz="4" w:space="0"/>
              <w:left w:val="single" w:color="auto" w:sz="4" w:space="0"/>
              <w:bottom w:val="single" w:color="auto" w:sz="4" w:space="0"/>
              <w:right w:val="single" w:color="auto" w:sz="4" w:space="0"/>
            </w:tcBorders>
            <w:vAlign w:val="center"/>
          </w:tcPr>
          <w:p w14:paraId="6FA79BAD">
            <w:pPr>
              <w:jc w:val="center"/>
              <w:rPr>
                <w:rFonts w:ascii="宋体" w:hAnsi="宋体" w:cs="Calibri Light"/>
                <w:color w:val="auto"/>
                <w:sz w:val="24"/>
                <w:highlight w:val="none"/>
              </w:rPr>
            </w:pPr>
            <w:r>
              <w:rPr>
                <w:rFonts w:hint="eastAsia" w:ascii="宋体" w:hAnsi="宋体" w:cs="Calibri Light"/>
                <w:color w:val="auto"/>
                <w:sz w:val="24"/>
                <w:highlight w:val="none"/>
              </w:rPr>
              <w:t>磋商响应文件（即投标文件）的编制</w:t>
            </w:r>
          </w:p>
        </w:tc>
        <w:tc>
          <w:tcPr>
            <w:tcW w:w="6498" w:type="dxa"/>
            <w:tcBorders>
              <w:top w:val="single" w:color="auto" w:sz="4" w:space="0"/>
              <w:left w:val="single" w:color="auto" w:sz="4" w:space="0"/>
              <w:bottom w:val="single" w:color="auto" w:sz="4" w:space="0"/>
              <w:right w:val="single" w:color="auto" w:sz="4" w:space="0"/>
            </w:tcBorders>
            <w:vAlign w:val="center"/>
          </w:tcPr>
          <w:p w14:paraId="6CD07491">
            <w:pPr>
              <w:rPr>
                <w:rFonts w:ascii="宋体" w:hAnsi="宋体" w:cs="Calibri Light"/>
                <w:color w:val="auto"/>
                <w:sz w:val="24"/>
                <w:highlight w:val="none"/>
              </w:rPr>
            </w:pPr>
            <w:r>
              <w:rPr>
                <w:rFonts w:hint="eastAsia" w:ascii="宋体" w:hAnsi="宋体" w:cs="Calibri Light"/>
                <w:color w:val="auto"/>
                <w:sz w:val="24"/>
                <w:highlight w:val="none"/>
              </w:rPr>
              <w:t>供应商应先安装“政采云电子交易客户端”，并按照本磋商文件和“政府采购云平台”的要求，通过“政采云电子交易客户端”编制并加密</w:t>
            </w:r>
            <w:r>
              <w:rPr>
                <w:rFonts w:hint="eastAsia" w:ascii="宋体" w:hAnsi="宋体" w:cs="Arial"/>
                <w:color w:val="auto"/>
                <w:sz w:val="24"/>
                <w:highlight w:val="none"/>
              </w:rPr>
              <w:t>磋商响应</w:t>
            </w:r>
            <w:r>
              <w:rPr>
                <w:rFonts w:hint="eastAsia" w:ascii="宋体" w:hAnsi="宋体" w:cs="Calibri Light"/>
                <w:color w:val="auto"/>
                <w:sz w:val="24"/>
                <w:highlight w:val="none"/>
              </w:rPr>
              <w:t>文件。</w:t>
            </w:r>
          </w:p>
        </w:tc>
      </w:tr>
      <w:tr w14:paraId="31B3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05AC7C4">
            <w:pPr>
              <w:jc w:val="center"/>
              <w:rPr>
                <w:rFonts w:ascii="宋体" w:hAnsi="宋体" w:cs="Calibri Light"/>
                <w:color w:val="auto"/>
                <w:sz w:val="24"/>
                <w:highlight w:val="none"/>
              </w:rPr>
            </w:pPr>
            <w:r>
              <w:rPr>
                <w:rFonts w:ascii="宋体" w:hAnsi="宋体" w:cs="Calibri Light"/>
                <w:color w:val="auto"/>
                <w:sz w:val="24"/>
                <w:highlight w:val="none"/>
              </w:rPr>
              <w:t>4</w:t>
            </w:r>
          </w:p>
        </w:tc>
        <w:tc>
          <w:tcPr>
            <w:tcW w:w="1901" w:type="dxa"/>
            <w:tcBorders>
              <w:top w:val="single" w:color="auto" w:sz="4" w:space="0"/>
              <w:left w:val="single" w:color="auto" w:sz="4" w:space="0"/>
              <w:bottom w:val="single" w:color="auto" w:sz="4" w:space="0"/>
              <w:right w:val="single" w:color="auto" w:sz="4" w:space="0"/>
            </w:tcBorders>
            <w:vAlign w:val="center"/>
          </w:tcPr>
          <w:p w14:paraId="40D7E15F">
            <w:pPr>
              <w:jc w:val="center"/>
              <w:rPr>
                <w:rFonts w:ascii="宋体" w:hAnsi="宋体" w:cs="Calibri Light"/>
                <w:color w:val="auto"/>
                <w:sz w:val="24"/>
                <w:highlight w:val="none"/>
              </w:rPr>
            </w:pPr>
            <w:r>
              <w:rPr>
                <w:rFonts w:hint="eastAsia" w:ascii="宋体" w:hAnsi="宋体" w:cs="宋体"/>
                <w:color w:val="auto"/>
                <w:sz w:val="24"/>
                <w:highlight w:val="none"/>
              </w:rPr>
              <w:t>投标文件的签章</w:t>
            </w:r>
          </w:p>
        </w:tc>
        <w:tc>
          <w:tcPr>
            <w:tcW w:w="6498" w:type="dxa"/>
            <w:tcBorders>
              <w:top w:val="single" w:color="auto" w:sz="4" w:space="0"/>
              <w:left w:val="single" w:color="auto" w:sz="4" w:space="0"/>
              <w:bottom w:val="single" w:color="auto" w:sz="4" w:space="0"/>
              <w:right w:val="single" w:color="auto" w:sz="4" w:space="0"/>
            </w:tcBorders>
            <w:vAlign w:val="center"/>
          </w:tcPr>
          <w:p w14:paraId="3E528163">
            <w:pPr>
              <w:rPr>
                <w:rFonts w:ascii="宋体" w:hAnsi="宋体" w:cs="Calibri Light"/>
                <w:color w:val="auto"/>
                <w:sz w:val="24"/>
                <w:highlight w:val="none"/>
              </w:rPr>
            </w:pPr>
            <w:r>
              <w:rPr>
                <w:rFonts w:hint="eastAsia" w:ascii="宋体" w:hAnsi="宋体" w:cs="宋体"/>
                <w:color w:val="auto"/>
                <w:sz w:val="24"/>
                <w:highlight w:val="none"/>
              </w:rPr>
              <w:t>电子签章</w:t>
            </w:r>
          </w:p>
        </w:tc>
      </w:tr>
      <w:tr w14:paraId="7568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52469DB">
            <w:pPr>
              <w:jc w:val="center"/>
              <w:rPr>
                <w:rFonts w:ascii="宋体" w:hAnsi="宋体" w:cs="Calibri Light"/>
                <w:color w:val="auto"/>
                <w:sz w:val="24"/>
                <w:highlight w:val="none"/>
              </w:rPr>
            </w:pPr>
            <w:r>
              <w:rPr>
                <w:rFonts w:ascii="宋体" w:hAnsi="宋体" w:cs="Calibri Light"/>
                <w:color w:val="auto"/>
                <w:sz w:val="24"/>
                <w:highlight w:val="none"/>
              </w:rPr>
              <w:t>5</w:t>
            </w:r>
          </w:p>
        </w:tc>
        <w:tc>
          <w:tcPr>
            <w:tcW w:w="1901" w:type="dxa"/>
            <w:tcBorders>
              <w:top w:val="single" w:color="auto" w:sz="4" w:space="0"/>
              <w:left w:val="single" w:color="auto" w:sz="4" w:space="0"/>
              <w:bottom w:val="single" w:color="auto" w:sz="4" w:space="0"/>
              <w:right w:val="single" w:color="auto" w:sz="4" w:space="0"/>
            </w:tcBorders>
            <w:vAlign w:val="center"/>
          </w:tcPr>
          <w:p w14:paraId="3F4C995A">
            <w:pPr>
              <w:jc w:val="center"/>
              <w:rPr>
                <w:rFonts w:ascii="宋体" w:hAnsi="宋体" w:cs="Calibri Light"/>
                <w:color w:val="auto"/>
                <w:sz w:val="24"/>
                <w:highlight w:val="none"/>
              </w:rPr>
            </w:pPr>
            <w:r>
              <w:rPr>
                <w:rFonts w:hint="eastAsia" w:ascii="宋体" w:hAnsi="宋体" w:cs="宋体"/>
                <w:color w:val="auto"/>
                <w:sz w:val="24"/>
                <w:highlight w:val="none"/>
              </w:rPr>
              <w:t>投标文件的形式</w:t>
            </w:r>
          </w:p>
        </w:tc>
        <w:tc>
          <w:tcPr>
            <w:tcW w:w="6498" w:type="dxa"/>
            <w:tcBorders>
              <w:top w:val="single" w:color="auto" w:sz="4" w:space="0"/>
              <w:left w:val="single" w:color="auto" w:sz="4" w:space="0"/>
              <w:bottom w:val="single" w:color="auto" w:sz="4" w:space="0"/>
              <w:right w:val="single" w:color="auto" w:sz="4" w:space="0"/>
            </w:tcBorders>
            <w:vAlign w:val="center"/>
          </w:tcPr>
          <w:p w14:paraId="3D52A989">
            <w:pPr>
              <w:rPr>
                <w:rFonts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14:paraId="64CFFB95">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1）“电子加密投标文件”是指通过“政采云电子交易客户端”完成投标文件编制后生成并加密的数据电文形式的投标文件。</w:t>
            </w:r>
          </w:p>
          <w:p w14:paraId="60BFFBB5">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14:paraId="083426DD">
            <w:pPr>
              <w:rPr>
                <w:rFonts w:ascii="宋体" w:hAnsi="宋体" w:cs="Calibri Light"/>
                <w:color w:val="auto"/>
                <w:sz w:val="24"/>
                <w:highlight w:val="none"/>
              </w:rPr>
            </w:pPr>
            <w:r>
              <w:rPr>
                <w:rFonts w:hint="eastAsia" w:ascii="宋体" w:hAnsi="宋体" w:cs="宋体"/>
                <w:b/>
                <w:bCs/>
                <w:color w:val="auto"/>
                <w:kern w:val="0"/>
                <w:sz w:val="24"/>
                <w:szCs w:val="22"/>
                <w:highlight w:val="none"/>
              </w:rPr>
              <w:t>（</w:t>
            </w:r>
            <w:r>
              <w:rPr>
                <w:rFonts w:ascii="宋体" w:hAnsi="宋体" w:cs="宋体"/>
                <w:b/>
                <w:bCs/>
                <w:color w:val="auto"/>
                <w:kern w:val="0"/>
                <w:sz w:val="24"/>
                <w:szCs w:val="22"/>
                <w:highlight w:val="none"/>
              </w:rPr>
              <w:t>3）中标供应商中标后需提供纸质投标文件给招标代理机构作为备案存档，纸质投标文件系电子投标文件纸质版，两者内容应一致；数量为：3份。</w:t>
            </w:r>
          </w:p>
        </w:tc>
      </w:tr>
      <w:tr w14:paraId="2E1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72F0C70">
            <w:pPr>
              <w:jc w:val="center"/>
              <w:rPr>
                <w:rFonts w:ascii="宋体" w:hAnsi="宋体" w:cs="Calibri Light"/>
                <w:color w:val="auto"/>
                <w:sz w:val="24"/>
                <w:highlight w:val="none"/>
              </w:rPr>
            </w:pPr>
            <w:r>
              <w:rPr>
                <w:rFonts w:asciiTheme="majorEastAsia" w:hAnsiTheme="majorEastAsia" w:eastAsiaTheme="majorEastAsia" w:cstheme="majorEastAsia"/>
                <w:color w:val="auto"/>
                <w:sz w:val="24"/>
                <w:highlight w:val="none"/>
              </w:rPr>
              <w:t>6</w:t>
            </w:r>
          </w:p>
        </w:tc>
        <w:tc>
          <w:tcPr>
            <w:tcW w:w="1901" w:type="dxa"/>
            <w:tcBorders>
              <w:top w:val="single" w:color="auto" w:sz="4" w:space="0"/>
              <w:left w:val="single" w:color="auto" w:sz="4" w:space="0"/>
              <w:bottom w:val="single" w:color="auto" w:sz="4" w:space="0"/>
              <w:right w:val="single" w:color="auto" w:sz="4" w:space="0"/>
            </w:tcBorders>
            <w:vAlign w:val="center"/>
          </w:tcPr>
          <w:p w14:paraId="735047DE">
            <w:pPr>
              <w:jc w:val="center"/>
              <w:rPr>
                <w:rFonts w:ascii="宋体" w:hAnsi="宋体" w:cs="Calibri Light"/>
                <w:color w:val="auto"/>
                <w:sz w:val="24"/>
                <w:highlight w:val="none"/>
              </w:rPr>
            </w:pPr>
            <w:r>
              <w:rPr>
                <w:rFonts w:hint="eastAsia" w:ascii="宋体" w:hAnsi="宋体" w:cs="宋体"/>
                <w:color w:val="auto"/>
                <w:sz w:val="24"/>
                <w:highlight w:val="none"/>
              </w:rPr>
              <w:t>投标文件份数</w:t>
            </w:r>
          </w:p>
        </w:tc>
        <w:tc>
          <w:tcPr>
            <w:tcW w:w="6498" w:type="dxa"/>
            <w:tcBorders>
              <w:top w:val="single" w:color="auto" w:sz="4" w:space="0"/>
              <w:left w:val="single" w:color="auto" w:sz="4" w:space="0"/>
              <w:bottom w:val="single" w:color="auto" w:sz="4" w:space="0"/>
              <w:right w:val="single" w:color="auto" w:sz="4" w:space="0"/>
            </w:tcBorders>
            <w:vAlign w:val="center"/>
          </w:tcPr>
          <w:p w14:paraId="39740E7A">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1）“电子加密投标文件”：在线上传递交，一份。</w:t>
            </w:r>
          </w:p>
          <w:p w14:paraId="5CBC6DA6">
            <w:pPr>
              <w:rPr>
                <w:rFonts w:ascii="宋体" w:hAnsi="宋体" w:cs="Calibri Light"/>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2）“备份投标文件”：</w:t>
            </w:r>
            <w:r>
              <w:rPr>
                <w:rFonts w:hint="eastAsia" w:ascii="宋体" w:hAnsi="宋体" w:cs="宋体"/>
                <w:b/>
                <w:bCs/>
                <w:color w:val="auto"/>
                <w:kern w:val="0"/>
                <w:sz w:val="24"/>
                <w:highlight w:val="none"/>
              </w:rPr>
              <w:t>密封包装（磋商截止时间前提交）、一份。</w:t>
            </w:r>
          </w:p>
        </w:tc>
      </w:tr>
      <w:tr w14:paraId="741D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9D7F091">
            <w:pPr>
              <w:jc w:val="center"/>
              <w:rPr>
                <w:rFonts w:ascii="宋体" w:hAnsi="宋体" w:cs="Calibri Light"/>
                <w:color w:val="auto"/>
                <w:sz w:val="24"/>
                <w:highlight w:val="none"/>
              </w:rPr>
            </w:pPr>
            <w:r>
              <w:rPr>
                <w:rFonts w:ascii="宋体" w:hAnsi="宋体" w:cs="Calibri Light"/>
                <w:color w:val="auto"/>
                <w:sz w:val="24"/>
                <w:highlight w:val="none"/>
              </w:rPr>
              <w:t>7</w:t>
            </w:r>
          </w:p>
        </w:tc>
        <w:tc>
          <w:tcPr>
            <w:tcW w:w="1901" w:type="dxa"/>
            <w:tcBorders>
              <w:top w:val="single" w:color="auto" w:sz="4" w:space="0"/>
              <w:left w:val="single" w:color="auto" w:sz="4" w:space="0"/>
              <w:bottom w:val="single" w:color="auto" w:sz="4" w:space="0"/>
              <w:right w:val="single" w:color="auto" w:sz="4" w:space="0"/>
            </w:tcBorders>
            <w:vAlign w:val="center"/>
          </w:tcPr>
          <w:p w14:paraId="6A012EB4">
            <w:pPr>
              <w:jc w:val="center"/>
              <w:rPr>
                <w:rFonts w:ascii="宋体" w:hAnsi="宋体" w:cs="Calibri Light"/>
                <w:color w:val="auto"/>
                <w:sz w:val="24"/>
                <w:highlight w:val="none"/>
              </w:rPr>
            </w:pPr>
            <w:r>
              <w:rPr>
                <w:rFonts w:hint="eastAsia" w:ascii="宋体" w:hAnsi="宋体" w:cs="宋体"/>
                <w:color w:val="auto"/>
                <w:sz w:val="24"/>
                <w:highlight w:val="none"/>
              </w:rPr>
              <w:t>投标文件的上传和递交</w:t>
            </w:r>
          </w:p>
        </w:tc>
        <w:tc>
          <w:tcPr>
            <w:tcW w:w="6498" w:type="dxa"/>
            <w:tcBorders>
              <w:top w:val="single" w:color="auto" w:sz="4" w:space="0"/>
              <w:left w:val="single" w:color="auto" w:sz="4" w:space="0"/>
              <w:bottom w:val="single" w:color="auto" w:sz="4" w:space="0"/>
              <w:right w:val="single" w:color="auto" w:sz="4" w:space="0"/>
            </w:tcBorders>
            <w:vAlign w:val="center"/>
          </w:tcPr>
          <w:p w14:paraId="60782FFA">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1）“电子加密投标文件”的上传、递交：</w:t>
            </w:r>
          </w:p>
          <w:p w14:paraId="78D104B2">
            <w:pPr>
              <w:rPr>
                <w:rFonts w:ascii="宋体" w:hAnsi="宋体" w:cs="宋体"/>
                <w:color w:val="auto"/>
                <w:sz w:val="24"/>
                <w:highlight w:val="none"/>
              </w:rPr>
            </w:pPr>
            <w:r>
              <w:rPr>
                <w:rFonts w:ascii="宋体" w:hAnsi="宋体" w:cs="宋体"/>
                <w:color w:val="auto"/>
                <w:sz w:val="24"/>
                <w:highlight w:val="none"/>
              </w:rPr>
              <w:t>a.投标供应商应在投标截止时间前将“电子加密投标文件”成功上传递交至“政府采购云平台”，否则投标无效。</w:t>
            </w:r>
          </w:p>
          <w:p w14:paraId="0037AD8C">
            <w:pPr>
              <w:rPr>
                <w:rFonts w:ascii="宋体" w:hAnsi="宋体" w:cs="宋体"/>
                <w:color w:val="auto"/>
                <w:sz w:val="24"/>
                <w:highlight w:val="none"/>
              </w:rPr>
            </w:pPr>
            <w:r>
              <w:rPr>
                <w:rFonts w:ascii="宋体" w:hAnsi="宋体" w:cs="宋体"/>
                <w:color w:val="auto"/>
                <w:sz w:val="24"/>
                <w:highlight w:val="none"/>
              </w:rPr>
              <w:t>b.“电子加密投标文件”成功上传递交后，供应商可自行</w:t>
            </w:r>
            <w:r>
              <w:rPr>
                <w:rFonts w:hint="eastAsia" w:ascii="宋体" w:hAnsi="宋体" w:cs="宋体"/>
                <w:color w:val="auto"/>
                <w:sz w:val="24"/>
                <w:highlight w:val="none"/>
              </w:rPr>
              <w:t>打印投标文件接收回执。</w:t>
            </w:r>
          </w:p>
          <w:p w14:paraId="2B0A14C2">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2）“备份投标文件”的上传、递交：</w:t>
            </w:r>
          </w:p>
          <w:p w14:paraId="36C87101">
            <w:pPr>
              <w:rPr>
                <w:rFonts w:ascii="宋体" w:hAnsi="宋体" w:cs="宋体"/>
                <w:color w:val="auto"/>
                <w:sz w:val="24"/>
                <w:highlight w:val="none"/>
              </w:rPr>
            </w:pPr>
            <w:r>
              <w:rPr>
                <w:rFonts w:ascii="宋体" w:hAnsi="宋体" w:cs="宋体"/>
                <w:color w:val="auto"/>
                <w:sz w:val="24"/>
                <w:highlight w:val="none"/>
              </w:rPr>
              <w:t xml:space="preserve">a.投标供应商在“政府采购云平台”完成“电子加密投标文件”的上传递交后，还可以（EMS邮寄或顺丰邮寄形式）在投标截止时间前递交以介质（U盘）存储的 </w:t>
            </w:r>
            <w:r>
              <w:rPr>
                <w:rFonts w:hint="eastAsia" w:ascii="宋体" w:hAnsi="宋体" w:cs="宋体"/>
                <w:color w:val="auto"/>
                <w:sz w:val="24"/>
                <w:highlight w:val="none"/>
              </w:rPr>
              <w:t>“备份投标文件”（一份）；</w:t>
            </w:r>
          </w:p>
          <w:p w14:paraId="40F4B559">
            <w:pPr>
              <w:rPr>
                <w:rFonts w:ascii="宋体" w:hAnsi="宋体" w:cs="Calibri Light"/>
                <w:color w:val="auto"/>
                <w:sz w:val="24"/>
                <w:highlight w:val="none"/>
              </w:rPr>
            </w:pPr>
            <w:r>
              <w:rPr>
                <w:rFonts w:ascii="宋体" w:hAns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63E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DDAF3DC">
            <w:pPr>
              <w:jc w:val="center"/>
              <w:rPr>
                <w:rFonts w:ascii="宋体" w:hAnsi="宋体" w:cs="Calibri Light"/>
                <w:color w:val="auto"/>
                <w:sz w:val="24"/>
                <w:highlight w:val="none"/>
              </w:rPr>
            </w:pPr>
            <w:r>
              <w:rPr>
                <w:rFonts w:ascii="宋体" w:hAnsi="宋体" w:cs="Calibri Light"/>
                <w:color w:val="auto"/>
                <w:sz w:val="24"/>
                <w:highlight w:val="none"/>
              </w:rPr>
              <w:t>8</w:t>
            </w:r>
          </w:p>
        </w:tc>
        <w:tc>
          <w:tcPr>
            <w:tcW w:w="1901" w:type="dxa"/>
            <w:tcBorders>
              <w:top w:val="single" w:color="auto" w:sz="4" w:space="0"/>
              <w:left w:val="single" w:color="auto" w:sz="4" w:space="0"/>
              <w:bottom w:val="single" w:color="auto" w:sz="4" w:space="0"/>
              <w:right w:val="single" w:color="auto" w:sz="4" w:space="0"/>
            </w:tcBorders>
            <w:vAlign w:val="center"/>
          </w:tcPr>
          <w:p w14:paraId="25C43205">
            <w:pPr>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6FD71998">
            <w:pPr>
              <w:keepNext/>
              <w:keepLines/>
              <w:spacing w:before="260" w:after="260"/>
              <w:ind w:firstLine="480" w:firstLineChars="200"/>
              <w:jc w:val="center"/>
              <w:outlineLvl w:val="2"/>
              <w:rPr>
                <w:rFonts w:ascii="宋体" w:hAnsi="宋体" w:cs="Calibri Light"/>
                <w:color w:val="auto"/>
                <w:sz w:val="24"/>
                <w:highlight w:val="none"/>
              </w:rPr>
            </w:pPr>
          </w:p>
        </w:tc>
        <w:tc>
          <w:tcPr>
            <w:tcW w:w="6498" w:type="dxa"/>
            <w:tcBorders>
              <w:top w:val="single" w:color="auto" w:sz="4" w:space="0"/>
              <w:left w:val="single" w:color="auto" w:sz="4" w:space="0"/>
              <w:bottom w:val="single" w:color="auto" w:sz="4" w:space="0"/>
              <w:right w:val="single" w:color="auto" w:sz="4" w:space="0"/>
            </w:tcBorders>
            <w:vAlign w:val="center"/>
          </w:tcPr>
          <w:p w14:paraId="3F4FC4A3">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194D9F6F">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CFB3F86">
            <w:pP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3）投标截止时间前，投标供应商仅递交了“备份投标文件”而未将电子加密投标文件上传至“政府采购云平台”的，投标无效。</w:t>
            </w:r>
          </w:p>
          <w:p w14:paraId="7DF59C4B">
            <w:pPr>
              <w:rPr>
                <w:rFonts w:ascii="宋体" w:hAnsi="宋体" w:cs="Calibri Light"/>
                <w:color w:val="auto"/>
                <w:sz w:val="24"/>
                <w:highlight w:val="none"/>
              </w:rPr>
            </w:pPr>
            <w:r>
              <w:rPr>
                <w:rFonts w:hint="eastAsia" w:ascii="宋体" w:hAnsi="宋体" w:cs="Calibri Light"/>
                <w:b/>
                <w:bCs/>
                <w:color w:val="auto"/>
                <w:sz w:val="24"/>
                <w:highlight w:val="none"/>
              </w:rPr>
              <w:t>注：供应商在使用系统进行投标的过程中遇到涉及平台使用的任何问题，可致电政采云平台技术支持热线咨询，联系方式：</w:t>
            </w:r>
            <w:r>
              <w:rPr>
                <w:rFonts w:ascii="宋体" w:hAnsi="宋体" w:cs="Calibri Light"/>
                <w:b/>
                <w:bCs/>
                <w:color w:val="auto"/>
                <w:sz w:val="24"/>
                <w:highlight w:val="none"/>
              </w:rPr>
              <w:t>400-881-7190。</w:t>
            </w:r>
          </w:p>
        </w:tc>
      </w:tr>
      <w:tr w14:paraId="331F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B7A7A94">
            <w:pPr>
              <w:jc w:val="center"/>
              <w:rPr>
                <w:rFonts w:ascii="宋体" w:hAnsi="宋体" w:cs="Calibri Light"/>
                <w:color w:val="auto"/>
                <w:sz w:val="24"/>
                <w:highlight w:val="none"/>
              </w:rPr>
            </w:pPr>
            <w:r>
              <w:rPr>
                <w:rFonts w:ascii="宋体" w:hAnsi="宋体" w:cs="Calibri Light"/>
                <w:color w:val="auto"/>
                <w:sz w:val="24"/>
                <w:highlight w:val="none"/>
              </w:rPr>
              <w:t>9</w:t>
            </w:r>
          </w:p>
        </w:tc>
        <w:tc>
          <w:tcPr>
            <w:tcW w:w="1901" w:type="dxa"/>
            <w:tcBorders>
              <w:top w:val="single" w:color="auto" w:sz="4" w:space="0"/>
              <w:left w:val="single" w:color="auto" w:sz="4" w:space="0"/>
              <w:bottom w:val="single" w:color="auto" w:sz="4" w:space="0"/>
              <w:right w:val="single" w:color="auto" w:sz="4" w:space="0"/>
            </w:tcBorders>
            <w:vAlign w:val="center"/>
          </w:tcPr>
          <w:p w14:paraId="19918F91">
            <w:pPr>
              <w:jc w:val="center"/>
              <w:rPr>
                <w:rFonts w:ascii="宋体" w:hAnsi="宋体" w:cs="Calibri Light"/>
                <w:color w:val="auto"/>
                <w:sz w:val="24"/>
                <w:highlight w:val="none"/>
              </w:rPr>
            </w:pPr>
            <w:r>
              <w:rPr>
                <w:rFonts w:hint="eastAsia" w:ascii="宋体" w:hAnsi="宋体" w:cs="Calibri Light"/>
                <w:color w:val="auto"/>
                <w:sz w:val="24"/>
                <w:highlight w:val="none"/>
              </w:rPr>
              <w:t>磋商响应文件有效期</w:t>
            </w:r>
          </w:p>
        </w:tc>
        <w:tc>
          <w:tcPr>
            <w:tcW w:w="6498" w:type="dxa"/>
            <w:tcBorders>
              <w:top w:val="single" w:color="auto" w:sz="4" w:space="0"/>
              <w:left w:val="single" w:color="auto" w:sz="4" w:space="0"/>
              <w:bottom w:val="single" w:color="auto" w:sz="4" w:space="0"/>
              <w:right w:val="single" w:color="auto" w:sz="4" w:space="0"/>
            </w:tcBorders>
            <w:vAlign w:val="center"/>
          </w:tcPr>
          <w:p w14:paraId="73BAA1BC">
            <w:pPr>
              <w:rPr>
                <w:rFonts w:ascii="宋体" w:hAnsi="宋体" w:cs="Calibri Light"/>
                <w:color w:val="auto"/>
                <w:sz w:val="24"/>
                <w:highlight w:val="none"/>
              </w:rPr>
            </w:pPr>
            <w:r>
              <w:rPr>
                <w:rFonts w:hint="eastAsia" w:ascii="宋体" w:hAnsi="宋体" w:cs="Calibri Light"/>
                <w:color w:val="auto"/>
                <w:sz w:val="24"/>
                <w:highlight w:val="none"/>
              </w:rPr>
              <w:t>磋商响应有效期为磋商后</w:t>
            </w:r>
            <w:r>
              <w:rPr>
                <w:rFonts w:ascii="宋体" w:hAnsi="宋体" w:cs="Calibri Light"/>
                <w:color w:val="auto"/>
                <w:sz w:val="24"/>
                <w:highlight w:val="none"/>
              </w:rPr>
              <w:t>90</w:t>
            </w:r>
            <w:r>
              <w:rPr>
                <w:rFonts w:hint="eastAsia" w:ascii="宋体" w:hAnsi="宋体" w:cs="Calibri Light"/>
                <w:color w:val="auto"/>
                <w:sz w:val="24"/>
                <w:highlight w:val="none"/>
              </w:rPr>
              <w:t>日历</w:t>
            </w:r>
            <w:r>
              <w:rPr>
                <w:rFonts w:ascii="宋体" w:hAnsi="宋体" w:cs="Calibri Light"/>
                <w:color w:val="auto"/>
                <w:sz w:val="24"/>
                <w:highlight w:val="none"/>
              </w:rPr>
              <w:t>天，磋商响应</w:t>
            </w:r>
            <w:r>
              <w:rPr>
                <w:rFonts w:hint="eastAsia" w:ascii="宋体" w:hAnsi="宋体" w:cs="Calibri Light"/>
                <w:color w:val="auto"/>
                <w:kern w:val="0"/>
                <w:sz w:val="24"/>
                <w:highlight w:val="none"/>
              </w:rPr>
              <w:t>有效期从提交</w:t>
            </w:r>
            <w:r>
              <w:rPr>
                <w:rFonts w:hint="eastAsia" w:ascii="宋体" w:hAnsi="宋体" w:cs="Calibri Light"/>
                <w:color w:val="auto"/>
                <w:sz w:val="24"/>
                <w:highlight w:val="none"/>
              </w:rPr>
              <w:t>磋商响应</w:t>
            </w:r>
            <w:r>
              <w:rPr>
                <w:rFonts w:hint="eastAsia" w:ascii="宋体" w:hAnsi="宋体" w:cs="Calibri Light"/>
                <w:color w:val="auto"/>
                <w:kern w:val="0"/>
                <w:sz w:val="24"/>
                <w:highlight w:val="none"/>
              </w:rPr>
              <w:t>文件的截止之日起算。</w:t>
            </w:r>
          </w:p>
        </w:tc>
      </w:tr>
      <w:tr w14:paraId="3282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287C8CB">
            <w:pPr>
              <w:jc w:val="center"/>
              <w:rPr>
                <w:rFonts w:ascii="宋体" w:hAnsi="宋体" w:cs="Calibri Light"/>
                <w:color w:val="auto"/>
                <w:sz w:val="24"/>
                <w:highlight w:val="none"/>
              </w:rPr>
            </w:pPr>
            <w:r>
              <w:rPr>
                <w:rFonts w:ascii="宋体" w:hAnsi="宋体" w:cs="Calibri Light"/>
                <w:color w:val="auto"/>
                <w:sz w:val="24"/>
                <w:highlight w:val="none"/>
              </w:rPr>
              <w:t>10</w:t>
            </w:r>
          </w:p>
        </w:tc>
        <w:tc>
          <w:tcPr>
            <w:tcW w:w="1901" w:type="dxa"/>
            <w:tcBorders>
              <w:top w:val="single" w:color="auto" w:sz="4" w:space="0"/>
              <w:left w:val="single" w:color="auto" w:sz="4" w:space="0"/>
              <w:bottom w:val="single" w:color="auto" w:sz="4" w:space="0"/>
              <w:right w:val="single" w:color="auto" w:sz="4" w:space="0"/>
            </w:tcBorders>
            <w:vAlign w:val="center"/>
          </w:tcPr>
          <w:p w14:paraId="56B9F2E7">
            <w:pPr>
              <w:jc w:val="center"/>
              <w:rPr>
                <w:rFonts w:ascii="宋体" w:hAnsi="宋体" w:cs="Calibri Light"/>
                <w:color w:val="auto"/>
                <w:sz w:val="24"/>
                <w:highlight w:val="none"/>
              </w:rPr>
            </w:pPr>
            <w:r>
              <w:rPr>
                <w:rFonts w:hint="eastAsia" w:ascii="宋体" w:hAnsi="宋体" w:cs="Calibri Light"/>
                <w:color w:val="auto"/>
                <w:sz w:val="24"/>
                <w:highlight w:val="none"/>
              </w:rPr>
              <w:t>磋商响应文件递交截止时间及地点</w:t>
            </w:r>
          </w:p>
        </w:tc>
        <w:tc>
          <w:tcPr>
            <w:tcW w:w="6498" w:type="dxa"/>
            <w:tcBorders>
              <w:top w:val="single" w:color="auto" w:sz="4" w:space="0"/>
              <w:left w:val="single" w:color="auto" w:sz="4" w:space="0"/>
              <w:bottom w:val="single" w:color="auto" w:sz="4" w:space="0"/>
              <w:right w:val="single" w:color="auto" w:sz="4" w:space="0"/>
            </w:tcBorders>
            <w:vAlign w:val="center"/>
          </w:tcPr>
          <w:p w14:paraId="7F4365A1">
            <w:pPr>
              <w:rPr>
                <w:rFonts w:ascii="宋体" w:hAnsi="宋体" w:cs="Calibri Light"/>
                <w:color w:val="auto"/>
                <w:sz w:val="24"/>
                <w:highlight w:val="none"/>
              </w:rPr>
            </w:pPr>
            <w:r>
              <w:rPr>
                <w:rFonts w:hint="eastAsia" w:ascii="宋体" w:hAnsi="宋体" w:cs="宋体"/>
                <w:color w:val="auto"/>
                <w:sz w:val="24"/>
                <w:highlight w:val="none"/>
              </w:rPr>
              <w:t>详见招标公告</w:t>
            </w:r>
          </w:p>
        </w:tc>
      </w:tr>
      <w:tr w14:paraId="4869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D85142F">
            <w:pPr>
              <w:jc w:val="center"/>
              <w:rPr>
                <w:rFonts w:ascii="宋体" w:hAnsi="宋体" w:cs="Calibri Light"/>
                <w:color w:val="auto"/>
                <w:sz w:val="24"/>
                <w:highlight w:val="none"/>
              </w:rPr>
            </w:pPr>
            <w:r>
              <w:rPr>
                <w:rFonts w:ascii="宋体" w:hAnsi="宋体" w:cs="Calibri Light"/>
                <w:color w:val="auto"/>
                <w:sz w:val="24"/>
                <w:highlight w:val="none"/>
              </w:rPr>
              <w:t>11</w:t>
            </w:r>
          </w:p>
        </w:tc>
        <w:tc>
          <w:tcPr>
            <w:tcW w:w="1901" w:type="dxa"/>
            <w:tcBorders>
              <w:top w:val="single" w:color="auto" w:sz="4" w:space="0"/>
              <w:left w:val="single" w:color="auto" w:sz="4" w:space="0"/>
              <w:bottom w:val="single" w:color="auto" w:sz="4" w:space="0"/>
              <w:right w:val="single" w:color="auto" w:sz="4" w:space="0"/>
            </w:tcBorders>
            <w:vAlign w:val="center"/>
          </w:tcPr>
          <w:p w14:paraId="7D272253">
            <w:pPr>
              <w:jc w:val="center"/>
              <w:rPr>
                <w:rFonts w:ascii="宋体" w:hAnsi="宋体" w:cs="Calibri Light"/>
                <w:color w:val="auto"/>
                <w:sz w:val="24"/>
                <w:highlight w:val="none"/>
              </w:rPr>
            </w:pPr>
            <w:r>
              <w:rPr>
                <w:rFonts w:hint="eastAsia" w:ascii="宋体" w:hAnsi="宋体" w:cs="Calibri Light"/>
                <w:color w:val="auto"/>
                <w:sz w:val="24"/>
                <w:highlight w:val="none"/>
              </w:rPr>
              <w:t>磋商时间及地点</w:t>
            </w:r>
          </w:p>
        </w:tc>
        <w:tc>
          <w:tcPr>
            <w:tcW w:w="6498" w:type="dxa"/>
            <w:tcBorders>
              <w:top w:val="single" w:color="auto" w:sz="4" w:space="0"/>
              <w:left w:val="single" w:color="auto" w:sz="4" w:space="0"/>
              <w:bottom w:val="single" w:color="auto" w:sz="4" w:space="0"/>
              <w:right w:val="single" w:color="auto" w:sz="4" w:space="0"/>
            </w:tcBorders>
            <w:vAlign w:val="center"/>
          </w:tcPr>
          <w:p w14:paraId="418B9587">
            <w:pPr>
              <w:rPr>
                <w:rFonts w:ascii="宋体" w:hAnsi="宋体" w:cs="Calibri Light"/>
                <w:color w:val="auto"/>
                <w:sz w:val="24"/>
                <w:highlight w:val="none"/>
              </w:rPr>
            </w:pPr>
            <w:r>
              <w:rPr>
                <w:rFonts w:hint="eastAsia" w:ascii="宋体" w:hAnsi="宋体" w:cs="宋体"/>
                <w:color w:val="auto"/>
                <w:sz w:val="24"/>
                <w:highlight w:val="none"/>
              </w:rPr>
              <w:t>详见招标公告</w:t>
            </w:r>
          </w:p>
        </w:tc>
      </w:tr>
      <w:tr w14:paraId="45F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58DC178">
            <w:pPr>
              <w:jc w:val="center"/>
              <w:rPr>
                <w:rFonts w:ascii="宋体" w:hAnsi="宋体" w:cs="Calibri Light"/>
                <w:color w:val="auto"/>
                <w:sz w:val="24"/>
                <w:highlight w:val="none"/>
              </w:rPr>
            </w:pPr>
            <w:r>
              <w:rPr>
                <w:rFonts w:ascii="宋体" w:hAnsi="宋体" w:cs="Calibri Light"/>
                <w:color w:val="auto"/>
                <w:sz w:val="24"/>
                <w:highlight w:val="none"/>
              </w:rPr>
              <w:t>12</w:t>
            </w:r>
          </w:p>
        </w:tc>
        <w:tc>
          <w:tcPr>
            <w:tcW w:w="1901" w:type="dxa"/>
            <w:tcBorders>
              <w:top w:val="single" w:color="auto" w:sz="4" w:space="0"/>
              <w:left w:val="single" w:color="auto" w:sz="4" w:space="0"/>
              <w:bottom w:val="single" w:color="auto" w:sz="4" w:space="0"/>
              <w:right w:val="single" w:color="auto" w:sz="4" w:space="0"/>
            </w:tcBorders>
            <w:vAlign w:val="center"/>
          </w:tcPr>
          <w:p w14:paraId="23AD851E">
            <w:pPr>
              <w:jc w:val="center"/>
              <w:rPr>
                <w:rFonts w:ascii="宋体" w:hAnsi="宋体" w:cs="Calibri Light"/>
                <w:color w:val="auto"/>
                <w:sz w:val="24"/>
                <w:highlight w:val="none"/>
              </w:rPr>
            </w:pPr>
            <w:r>
              <w:rPr>
                <w:rFonts w:hint="eastAsia" w:ascii="宋体" w:hAnsi="宋体" w:cs="Calibri Light"/>
                <w:color w:val="auto"/>
                <w:sz w:val="24"/>
                <w:highlight w:val="none"/>
              </w:rPr>
              <w:t>磋商形式</w:t>
            </w:r>
          </w:p>
        </w:tc>
        <w:tc>
          <w:tcPr>
            <w:tcW w:w="6498" w:type="dxa"/>
            <w:tcBorders>
              <w:top w:val="single" w:color="auto" w:sz="4" w:space="0"/>
              <w:left w:val="single" w:color="auto" w:sz="4" w:space="0"/>
              <w:bottom w:val="single" w:color="auto" w:sz="4" w:space="0"/>
              <w:right w:val="single" w:color="auto" w:sz="4" w:space="0"/>
            </w:tcBorders>
            <w:vAlign w:val="center"/>
          </w:tcPr>
          <w:p w14:paraId="26A4D815">
            <w:pPr>
              <w:autoSpaceDE w:val="0"/>
              <w:autoSpaceDN w:val="0"/>
              <w:adjustRightInd w:val="0"/>
              <w:ind w:left="-39"/>
              <w:jc w:val="left"/>
              <w:rPr>
                <w:rFonts w:ascii="宋体" w:hAnsi="宋体" w:cs="Calibri Light"/>
                <w:color w:val="auto"/>
                <w:kern w:val="0"/>
                <w:sz w:val="24"/>
                <w:highlight w:val="none"/>
                <w:lang w:val="zh-CN"/>
              </w:rPr>
            </w:pPr>
            <w:r>
              <w:rPr>
                <w:rFonts w:hint="eastAsia" w:ascii="宋体" w:hAnsi="宋体" w:cs="宋体"/>
                <w:color w:val="auto"/>
                <w:sz w:val="24"/>
                <w:highlight w:val="none"/>
              </w:rPr>
              <w:t>除投标文件应上传“政府采购云平台”外，</w:t>
            </w:r>
            <w:r>
              <w:rPr>
                <w:rFonts w:hint="eastAsia" w:ascii="宋体" w:hAnsi="宋体" w:cs="仿宋"/>
                <w:color w:val="auto"/>
                <w:sz w:val="24"/>
                <w:highlight w:val="none"/>
              </w:rPr>
              <w:t>磋商</w:t>
            </w:r>
            <w:r>
              <w:rPr>
                <w:rFonts w:ascii="宋体" w:hAnsi="宋体" w:cs="仿宋"/>
                <w:color w:val="auto"/>
                <w:sz w:val="24"/>
                <w:highlight w:val="none"/>
              </w:rPr>
              <w:t>环节</w:t>
            </w:r>
            <w:r>
              <w:rPr>
                <w:rFonts w:hint="eastAsia" w:ascii="宋体" w:hAnsi="宋体" w:cs="仿宋"/>
                <w:color w:val="auto"/>
                <w:sz w:val="24"/>
                <w:highlight w:val="none"/>
              </w:rPr>
              <w:t>通过电话远程磋商（如有）。</w:t>
            </w:r>
          </w:p>
        </w:tc>
      </w:tr>
      <w:tr w14:paraId="5736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0825852">
            <w:pPr>
              <w:jc w:val="center"/>
              <w:rPr>
                <w:rFonts w:ascii="宋体" w:hAnsi="宋体" w:cs="Calibri Light"/>
                <w:color w:val="auto"/>
                <w:sz w:val="24"/>
                <w:highlight w:val="none"/>
              </w:rPr>
            </w:pPr>
            <w:r>
              <w:rPr>
                <w:rFonts w:ascii="宋体" w:hAnsi="宋体" w:cs="Calibri Light"/>
                <w:color w:val="auto"/>
                <w:sz w:val="24"/>
                <w:highlight w:val="none"/>
              </w:rPr>
              <w:t>13</w:t>
            </w:r>
          </w:p>
        </w:tc>
        <w:tc>
          <w:tcPr>
            <w:tcW w:w="1901" w:type="dxa"/>
            <w:tcBorders>
              <w:top w:val="single" w:color="auto" w:sz="4" w:space="0"/>
              <w:left w:val="single" w:color="auto" w:sz="4" w:space="0"/>
              <w:bottom w:val="single" w:color="auto" w:sz="4" w:space="0"/>
              <w:right w:val="single" w:color="auto" w:sz="4" w:space="0"/>
            </w:tcBorders>
            <w:vAlign w:val="center"/>
          </w:tcPr>
          <w:p w14:paraId="15DE33B0">
            <w:pPr>
              <w:jc w:val="center"/>
              <w:rPr>
                <w:rFonts w:ascii="宋体" w:hAnsi="宋体" w:cs="Calibri Light"/>
                <w:color w:val="auto"/>
                <w:sz w:val="24"/>
                <w:highlight w:val="none"/>
              </w:rPr>
            </w:pPr>
            <w:r>
              <w:rPr>
                <w:rFonts w:hint="eastAsia" w:ascii="宋体" w:hAnsi="宋体" w:cs="Calibri Light"/>
                <w:color w:val="auto"/>
                <w:sz w:val="24"/>
                <w:highlight w:val="none"/>
              </w:rPr>
              <w:t>磋商保证金</w:t>
            </w:r>
          </w:p>
        </w:tc>
        <w:tc>
          <w:tcPr>
            <w:tcW w:w="6498" w:type="dxa"/>
            <w:tcBorders>
              <w:top w:val="single" w:color="auto" w:sz="4" w:space="0"/>
              <w:left w:val="single" w:color="auto" w:sz="4" w:space="0"/>
              <w:bottom w:val="single" w:color="auto" w:sz="4" w:space="0"/>
              <w:right w:val="single" w:color="auto" w:sz="4" w:space="0"/>
            </w:tcBorders>
            <w:vAlign w:val="center"/>
          </w:tcPr>
          <w:p w14:paraId="1F51C38F">
            <w:pPr>
              <w:jc w:val="left"/>
              <w:rPr>
                <w:rFonts w:ascii="宋体" w:hAnsi="宋体" w:cs="Calibri Light"/>
                <w:color w:val="auto"/>
                <w:sz w:val="24"/>
                <w:highlight w:val="none"/>
              </w:rPr>
            </w:pPr>
            <w:r>
              <w:rPr>
                <w:rFonts w:hint="eastAsia" w:ascii="宋体" w:hAnsi="宋体" w:cs="仿宋"/>
                <w:color w:val="auto"/>
                <w:sz w:val="24"/>
                <w:highlight w:val="none"/>
              </w:rPr>
              <w:t>无</w:t>
            </w:r>
          </w:p>
        </w:tc>
      </w:tr>
      <w:tr w14:paraId="343A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27B4EA9">
            <w:pPr>
              <w:jc w:val="center"/>
              <w:rPr>
                <w:rFonts w:hint="default" w:ascii="宋体" w:hAnsi="宋体" w:eastAsia="宋体" w:cs="Calibri Light"/>
                <w:color w:val="auto"/>
                <w:sz w:val="24"/>
                <w:highlight w:val="none"/>
                <w:lang w:val="en-US" w:eastAsia="zh-CN"/>
              </w:rPr>
            </w:pPr>
            <w:r>
              <w:rPr>
                <w:rFonts w:hint="eastAsia" w:ascii="宋体" w:hAnsi="宋体" w:cs="Calibri Light"/>
                <w:color w:val="auto"/>
                <w:sz w:val="24"/>
                <w:highlight w:val="none"/>
                <w:lang w:val="en-US" w:eastAsia="zh-CN"/>
              </w:rPr>
              <w:t>14</w:t>
            </w:r>
          </w:p>
        </w:tc>
        <w:tc>
          <w:tcPr>
            <w:tcW w:w="1901" w:type="dxa"/>
            <w:tcBorders>
              <w:top w:val="single" w:color="auto" w:sz="4" w:space="0"/>
              <w:left w:val="single" w:color="auto" w:sz="4" w:space="0"/>
              <w:bottom w:val="single" w:color="auto" w:sz="4" w:space="0"/>
              <w:right w:val="single" w:color="auto" w:sz="4" w:space="0"/>
            </w:tcBorders>
            <w:vAlign w:val="center"/>
          </w:tcPr>
          <w:p w14:paraId="5141E400">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rPr>
              <w:t>履约保证金</w:t>
            </w:r>
          </w:p>
        </w:tc>
        <w:tc>
          <w:tcPr>
            <w:tcW w:w="6498" w:type="dxa"/>
            <w:tcBorders>
              <w:top w:val="single" w:color="auto" w:sz="4" w:space="0"/>
              <w:left w:val="single" w:color="auto" w:sz="4" w:space="0"/>
              <w:bottom w:val="single" w:color="auto" w:sz="4" w:space="0"/>
              <w:right w:val="single" w:color="auto" w:sz="4" w:space="0"/>
            </w:tcBorders>
            <w:vAlign w:val="center"/>
          </w:tcPr>
          <w:p w14:paraId="785A299D">
            <w:pPr>
              <w:rPr>
                <w:rFonts w:hint="eastAsia" w:ascii="宋体" w:hAnsi="宋体" w:eastAsia="宋体" w:cs="宋体"/>
                <w:color w:val="auto"/>
                <w:kern w:val="0"/>
                <w:sz w:val="24"/>
                <w:highlight w:val="none"/>
                <w:lang w:val="zh-CN"/>
              </w:rPr>
            </w:pPr>
            <w:r>
              <w:rPr>
                <w:rFonts w:hint="eastAsia" w:ascii="宋体" w:hAnsi="宋体" w:cs="宋体"/>
                <w:color w:val="auto"/>
                <w:sz w:val="24"/>
                <w:lang w:val="en-US" w:eastAsia="zh-CN"/>
              </w:rPr>
              <w:t>中标</w:t>
            </w:r>
            <w:r>
              <w:rPr>
                <w:rFonts w:hint="eastAsia" w:ascii="宋体" w:hAnsi="宋体" w:eastAsia="宋体" w:cs="宋体"/>
                <w:color w:val="auto"/>
                <w:sz w:val="24"/>
              </w:rPr>
              <w:t>供应商在签订合同前须交纳本项目履约保证金</w:t>
            </w:r>
            <w:r>
              <w:rPr>
                <w:rFonts w:hint="eastAsia" w:ascii="宋体" w:hAnsi="宋体" w:cs="宋体"/>
                <w:color w:val="auto"/>
                <w:sz w:val="24"/>
                <w:lang w:eastAsia="zh-CN"/>
              </w:rPr>
              <w:t>，</w:t>
            </w:r>
            <w:r>
              <w:rPr>
                <w:rFonts w:hint="eastAsia" w:ascii="宋体" w:hAnsi="宋体" w:cs="宋体"/>
                <w:color w:val="auto"/>
                <w:sz w:val="24"/>
                <w:lang w:val="en-US" w:eastAsia="zh-CN"/>
              </w:rPr>
              <w:t>额度</w:t>
            </w:r>
            <w:r>
              <w:rPr>
                <w:rFonts w:hint="eastAsia" w:ascii="宋体" w:hAnsi="宋体" w:eastAsia="宋体" w:cs="宋体"/>
                <w:color w:val="auto"/>
                <w:sz w:val="24"/>
              </w:rPr>
              <w:t>为合同金额的</w:t>
            </w:r>
            <w:r>
              <w:rPr>
                <w:rFonts w:hint="eastAsia" w:ascii="宋体" w:hAnsi="宋体" w:cs="宋体"/>
                <w:color w:val="auto"/>
                <w:sz w:val="24"/>
                <w:u w:val="none"/>
                <w:lang w:val="en-US" w:eastAsia="zh-CN"/>
              </w:rPr>
              <w:t>1</w:t>
            </w:r>
            <w:r>
              <w:rPr>
                <w:rFonts w:hint="eastAsia" w:ascii="宋体" w:hAnsi="宋体" w:eastAsia="宋体" w:cs="宋体"/>
                <w:color w:val="auto"/>
                <w:sz w:val="24"/>
                <w:u w:val="none"/>
              </w:rPr>
              <w:t>%，履约保证金在项目完成后无息退还</w:t>
            </w:r>
            <w:r>
              <w:rPr>
                <w:rFonts w:hint="eastAsia" w:ascii="宋体" w:hAnsi="宋体" w:eastAsia="宋体" w:cs="宋体"/>
                <w:color w:val="auto"/>
                <w:sz w:val="24"/>
              </w:rPr>
              <w:t>。（履约保证金可采用保函、</w:t>
            </w:r>
            <w:r>
              <w:rPr>
                <w:rFonts w:hint="eastAsia" w:ascii="宋体" w:hAnsi="宋体" w:cs="宋体"/>
                <w:color w:val="auto"/>
                <w:sz w:val="24"/>
                <w:lang w:val="en-US" w:eastAsia="zh-CN"/>
              </w:rPr>
              <w:t>保险、</w:t>
            </w:r>
            <w:r>
              <w:rPr>
                <w:rFonts w:hint="eastAsia" w:ascii="宋体" w:hAnsi="宋体" w:eastAsia="宋体" w:cs="宋体"/>
                <w:color w:val="auto"/>
                <w:sz w:val="24"/>
              </w:rPr>
              <w:t>担保</w:t>
            </w:r>
            <w:r>
              <w:rPr>
                <w:rFonts w:hint="eastAsia" w:ascii="宋体" w:hAnsi="宋体" w:eastAsia="宋体" w:cs="宋体"/>
                <w:color w:val="auto"/>
                <w:sz w:val="24"/>
                <w:lang w:val="en-US" w:eastAsia="zh-CN"/>
              </w:rPr>
              <w:t>等</w:t>
            </w:r>
            <w:r>
              <w:rPr>
                <w:rFonts w:hint="eastAsia" w:ascii="宋体" w:hAnsi="宋体" w:eastAsia="宋体" w:cs="宋体"/>
                <w:color w:val="auto"/>
                <w:sz w:val="24"/>
              </w:rPr>
              <w:t>形式）</w:t>
            </w:r>
          </w:p>
        </w:tc>
      </w:tr>
      <w:tr w14:paraId="0F3C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7055709">
            <w:pPr>
              <w:jc w:val="center"/>
              <w:rPr>
                <w:rFonts w:ascii="宋体" w:hAnsi="宋体" w:cs="Calibri Light"/>
                <w:color w:val="auto"/>
                <w:sz w:val="24"/>
                <w:highlight w:val="none"/>
              </w:rPr>
            </w:pPr>
            <w:r>
              <w:rPr>
                <w:rFonts w:ascii="宋体" w:hAnsi="宋体" w:cs="Calibri Light"/>
                <w:color w:val="auto"/>
                <w:sz w:val="24"/>
                <w:highlight w:val="none"/>
              </w:rPr>
              <w:t>15</w:t>
            </w:r>
          </w:p>
        </w:tc>
        <w:tc>
          <w:tcPr>
            <w:tcW w:w="1901" w:type="dxa"/>
            <w:tcBorders>
              <w:top w:val="single" w:color="auto" w:sz="4" w:space="0"/>
              <w:left w:val="single" w:color="auto" w:sz="4" w:space="0"/>
              <w:bottom w:val="single" w:color="auto" w:sz="4" w:space="0"/>
              <w:right w:val="single" w:color="auto" w:sz="4" w:space="0"/>
            </w:tcBorders>
            <w:vAlign w:val="center"/>
          </w:tcPr>
          <w:p w14:paraId="76E0D726">
            <w:pPr>
              <w:autoSpaceDE w:val="0"/>
              <w:autoSpaceDN w:val="0"/>
              <w:adjustRightInd w:val="0"/>
              <w:jc w:val="center"/>
              <w:rPr>
                <w:rFonts w:ascii="宋体" w:hAnsi="宋体" w:cs="Calibri Light"/>
                <w:color w:val="auto"/>
                <w:sz w:val="24"/>
                <w:highlight w:val="none"/>
                <w:lang w:val="zh-CN"/>
              </w:rPr>
            </w:pPr>
            <w:r>
              <w:rPr>
                <w:rFonts w:hint="eastAsia" w:ascii="宋体" w:hAnsi="宋体" w:cs="Calibri Light"/>
                <w:color w:val="auto"/>
                <w:sz w:val="24"/>
                <w:highlight w:val="none"/>
                <w:lang w:val="zh-CN"/>
              </w:rPr>
              <w:t>实质性条款</w:t>
            </w:r>
          </w:p>
        </w:tc>
        <w:tc>
          <w:tcPr>
            <w:tcW w:w="6498" w:type="dxa"/>
            <w:tcBorders>
              <w:top w:val="single" w:color="auto" w:sz="4" w:space="0"/>
              <w:left w:val="single" w:color="auto" w:sz="4" w:space="0"/>
              <w:bottom w:val="single" w:color="auto" w:sz="4" w:space="0"/>
              <w:right w:val="single" w:color="auto" w:sz="4" w:space="0"/>
            </w:tcBorders>
            <w:vAlign w:val="center"/>
          </w:tcPr>
          <w:p w14:paraId="4313DCA5">
            <w:pPr>
              <w:autoSpaceDE w:val="0"/>
              <w:autoSpaceDN w:val="0"/>
              <w:adjustRightInd w:val="0"/>
              <w:ind w:hanging="39"/>
              <w:jc w:val="left"/>
              <w:rPr>
                <w:rFonts w:ascii="宋体" w:hAnsi="宋体" w:cs="Calibri Light"/>
                <w:color w:val="auto"/>
                <w:kern w:val="0"/>
                <w:sz w:val="24"/>
                <w:highlight w:val="none"/>
                <w:lang w:val="zh-CN"/>
              </w:rPr>
            </w:pPr>
            <w:r>
              <w:rPr>
                <w:rFonts w:hint="eastAsia" w:ascii="宋体" w:hAnsi="宋体" w:cs="Calibri Light"/>
                <w:color w:val="auto"/>
                <w:kern w:val="0"/>
                <w:sz w:val="24"/>
                <w:highlight w:val="none"/>
                <w:lang w:val="zh-CN"/>
              </w:rPr>
              <w:t>带“</w:t>
            </w:r>
            <w:r>
              <w:rPr>
                <w:rFonts w:hint="eastAsia" w:ascii="宋体" w:hAnsi="宋体" w:cs="Calibri Light"/>
                <w:bCs/>
                <w:color w:val="auto"/>
                <w:sz w:val="24"/>
                <w:highlight w:val="none"/>
              </w:rPr>
              <w:t>▲”的条款是实质性条款，磋商</w:t>
            </w:r>
            <w:r>
              <w:rPr>
                <w:rFonts w:hint="eastAsia" w:ascii="宋体" w:hAnsi="宋体" w:cs="Calibri Light"/>
                <w:color w:val="auto"/>
                <w:sz w:val="24"/>
                <w:highlight w:val="none"/>
              </w:rPr>
              <w:t>响应</w:t>
            </w:r>
            <w:r>
              <w:rPr>
                <w:rFonts w:hint="eastAsia" w:ascii="宋体" w:hAnsi="宋体" w:cs="Calibri Light"/>
                <w:bCs/>
                <w:color w:val="auto"/>
                <w:sz w:val="24"/>
                <w:highlight w:val="none"/>
              </w:rPr>
              <w:t>文件须作出实质性响应，否则终止磋商。</w:t>
            </w:r>
          </w:p>
        </w:tc>
      </w:tr>
      <w:tr w14:paraId="56C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3C568DF">
            <w:pPr>
              <w:jc w:val="center"/>
              <w:rPr>
                <w:rFonts w:ascii="宋体" w:hAnsi="宋体" w:cs="Calibri Light"/>
                <w:color w:val="auto"/>
                <w:sz w:val="24"/>
                <w:highlight w:val="none"/>
              </w:rPr>
            </w:pPr>
            <w:r>
              <w:rPr>
                <w:rFonts w:hint="eastAsia" w:ascii="宋体" w:hAnsi="宋体" w:cs="Calibri Light"/>
                <w:bCs/>
                <w:color w:val="auto"/>
                <w:sz w:val="24"/>
                <w:highlight w:val="none"/>
              </w:rPr>
              <w:t>16</w:t>
            </w:r>
          </w:p>
        </w:tc>
        <w:tc>
          <w:tcPr>
            <w:tcW w:w="1901" w:type="dxa"/>
            <w:tcBorders>
              <w:top w:val="single" w:color="auto" w:sz="4" w:space="0"/>
              <w:left w:val="single" w:color="auto" w:sz="4" w:space="0"/>
              <w:bottom w:val="single" w:color="auto" w:sz="4" w:space="0"/>
              <w:right w:val="single" w:color="auto" w:sz="4" w:space="0"/>
            </w:tcBorders>
            <w:vAlign w:val="center"/>
          </w:tcPr>
          <w:p w14:paraId="0260F60D">
            <w:pPr>
              <w:autoSpaceDE w:val="0"/>
              <w:autoSpaceDN w:val="0"/>
              <w:adjustRightInd w:val="0"/>
              <w:jc w:val="center"/>
              <w:rPr>
                <w:rFonts w:ascii="宋体" w:hAnsi="宋体" w:cs="Calibri Light"/>
                <w:bCs/>
                <w:color w:val="auto"/>
                <w:sz w:val="24"/>
                <w:highlight w:val="none"/>
              </w:rPr>
            </w:pPr>
            <w:r>
              <w:rPr>
                <w:rFonts w:hint="eastAsia" w:ascii="宋体" w:hAnsi="宋体" w:cs="Calibri Light"/>
                <w:bCs/>
                <w:color w:val="auto"/>
                <w:sz w:val="24"/>
                <w:highlight w:val="none"/>
              </w:rPr>
              <w:t>分包</w:t>
            </w:r>
          </w:p>
        </w:tc>
        <w:tc>
          <w:tcPr>
            <w:tcW w:w="6498" w:type="dxa"/>
            <w:tcBorders>
              <w:top w:val="single" w:color="auto" w:sz="4" w:space="0"/>
              <w:left w:val="single" w:color="auto" w:sz="4" w:space="0"/>
              <w:bottom w:val="single" w:color="auto" w:sz="4" w:space="0"/>
              <w:right w:val="single" w:color="auto" w:sz="4" w:space="0"/>
            </w:tcBorders>
            <w:vAlign w:val="center"/>
          </w:tcPr>
          <w:p w14:paraId="67A42B77">
            <w:pPr>
              <w:autoSpaceDE w:val="0"/>
              <w:autoSpaceDN w:val="0"/>
              <w:adjustRightInd w:val="0"/>
              <w:rPr>
                <w:rFonts w:ascii="宋体" w:hAnsi="宋体" w:cs="Calibri Light"/>
                <w:bCs/>
                <w:color w:val="auto"/>
                <w:sz w:val="24"/>
                <w:highlight w:val="none"/>
              </w:rPr>
            </w:pPr>
            <w:r>
              <w:rPr>
                <w:rFonts w:hint="eastAsia" w:ascii="宋体" w:hAnsi="宋体" w:cs="Calibri Light"/>
                <w:bCs/>
                <w:color w:val="auto"/>
                <w:sz w:val="24"/>
                <w:highlight w:val="none"/>
              </w:rPr>
              <w:t>本项目不允许分包。</w:t>
            </w:r>
          </w:p>
        </w:tc>
      </w:tr>
      <w:tr w14:paraId="6188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AE6CCB1">
            <w:pPr>
              <w:jc w:val="center"/>
              <w:rPr>
                <w:rFonts w:ascii="宋体" w:hAnsi="宋体" w:cs="Calibri Light"/>
                <w:bCs/>
                <w:color w:val="auto"/>
                <w:sz w:val="24"/>
                <w:highlight w:val="none"/>
              </w:rPr>
            </w:pPr>
            <w:r>
              <w:rPr>
                <w:rFonts w:hint="eastAsia" w:ascii="宋体" w:hAnsi="宋体" w:cs="Calibri Light"/>
                <w:bCs/>
                <w:color w:val="auto"/>
                <w:sz w:val="24"/>
                <w:highlight w:val="none"/>
              </w:rPr>
              <w:t>17</w:t>
            </w:r>
          </w:p>
        </w:tc>
        <w:tc>
          <w:tcPr>
            <w:tcW w:w="1901" w:type="dxa"/>
            <w:tcBorders>
              <w:top w:val="single" w:color="auto" w:sz="4" w:space="0"/>
              <w:left w:val="single" w:color="auto" w:sz="4" w:space="0"/>
              <w:bottom w:val="single" w:color="auto" w:sz="4" w:space="0"/>
              <w:right w:val="single" w:color="auto" w:sz="4" w:space="0"/>
            </w:tcBorders>
            <w:vAlign w:val="center"/>
          </w:tcPr>
          <w:p w14:paraId="68F1488F">
            <w:pPr>
              <w:autoSpaceDE w:val="0"/>
              <w:autoSpaceDN w:val="0"/>
              <w:adjustRightInd w:val="0"/>
              <w:jc w:val="center"/>
              <w:rPr>
                <w:rFonts w:ascii="宋体" w:hAnsi="宋体" w:cs="Calibri Light"/>
                <w:color w:val="auto"/>
                <w:sz w:val="24"/>
                <w:highlight w:val="none"/>
              </w:rPr>
            </w:pPr>
            <w:r>
              <w:rPr>
                <w:rFonts w:hint="eastAsia" w:ascii="宋体" w:hAnsi="宋体" w:cs="宋体"/>
                <w:color w:val="auto"/>
                <w:sz w:val="24"/>
                <w:highlight w:val="none"/>
              </w:rPr>
              <w:t>样品</w:t>
            </w:r>
          </w:p>
        </w:tc>
        <w:tc>
          <w:tcPr>
            <w:tcW w:w="6498" w:type="dxa"/>
            <w:tcBorders>
              <w:top w:val="single" w:color="auto" w:sz="4" w:space="0"/>
              <w:left w:val="single" w:color="auto" w:sz="4" w:space="0"/>
              <w:bottom w:val="single" w:color="auto" w:sz="4" w:space="0"/>
              <w:right w:val="single" w:color="auto" w:sz="4" w:space="0"/>
            </w:tcBorders>
            <w:vAlign w:val="center"/>
          </w:tcPr>
          <w:p w14:paraId="0DFC41A5">
            <w:pPr>
              <w:autoSpaceDE w:val="0"/>
              <w:autoSpaceDN w:val="0"/>
              <w:adjustRightInd w:val="0"/>
              <w:rPr>
                <w:rFonts w:ascii="宋体" w:hAnsi="宋体" w:cs="Calibri Light"/>
                <w:color w:val="auto"/>
                <w:sz w:val="24"/>
                <w:highlight w:val="none"/>
              </w:rPr>
            </w:pPr>
            <w:r>
              <w:rPr>
                <w:rFonts w:hint="eastAsia" w:ascii="宋体" w:hAnsi="宋体" w:cs="Calibri Light"/>
                <w:color w:val="auto"/>
                <w:sz w:val="24"/>
                <w:highlight w:val="none"/>
              </w:rPr>
              <w:t>本项目不要求提供样品。</w:t>
            </w:r>
          </w:p>
        </w:tc>
      </w:tr>
      <w:tr w14:paraId="701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ED4E14E">
            <w:pPr>
              <w:jc w:val="center"/>
              <w:rPr>
                <w:rFonts w:hint="default" w:ascii="宋体" w:hAnsi="宋体" w:eastAsia="宋体" w:cs="Calibri Light"/>
                <w:bCs/>
                <w:color w:val="auto"/>
                <w:sz w:val="24"/>
                <w:highlight w:val="none"/>
                <w:lang w:val="en-US" w:eastAsia="zh-CN"/>
              </w:rPr>
            </w:pPr>
            <w:r>
              <w:rPr>
                <w:rFonts w:hint="eastAsia" w:ascii="宋体" w:hAnsi="宋体" w:cs="Calibri Light"/>
                <w:bCs/>
                <w:color w:val="auto"/>
                <w:sz w:val="24"/>
                <w:highlight w:val="none"/>
                <w:lang w:val="en-US" w:eastAsia="zh-CN"/>
              </w:rPr>
              <w:t>18</w:t>
            </w:r>
          </w:p>
        </w:tc>
        <w:tc>
          <w:tcPr>
            <w:tcW w:w="1901" w:type="dxa"/>
            <w:tcBorders>
              <w:top w:val="single" w:color="auto" w:sz="4" w:space="0"/>
              <w:left w:val="single" w:color="auto" w:sz="4" w:space="0"/>
              <w:bottom w:val="single" w:color="auto" w:sz="4" w:space="0"/>
              <w:right w:val="single" w:color="auto" w:sz="4" w:space="0"/>
            </w:tcBorders>
            <w:vAlign w:val="center"/>
          </w:tcPr>
          <w:p w14:paraId="23FD42DA">
            <w:pPr>
              <w:autoSpaceDE w:val="0"/>
              <w:autoSpaceDN w:val="0"/>
              <w:adjustRightInd w:val="0"/>
              <w:jc w:val="center"/>
              <w:rPr>
                <w:rFonts w:hint="eastAsia" w:ascii="宋体" w:hAnsi="宋体" w:cs="宋体"/>
                <w:color w:val="auto"/>
                <w:sz w:val="24"/>
                <w:highlight w:val="none"/>
              </w:rPr>
            </w:pPr>
            <w:r>
              <w:rPr>
                <w:rFonts w:hint="eastAsia"/>
                <w:color w:val="auto"/>
              </w:rPr>
              <w:t>演示</w:t>
            </w:r>
          </w:p>
        </w:tc>
        <w:tc>
          <w:tcPr>
            <w:tcW w:w="6498" w:type="dxa"/>
            <w:tcBorders>
              <w:top w:val="single" w:color="auto" w:sz="4" w:space="0"/>
              <w:left w:val="single" w:color="auto" w:sz="4" w:space="0"/>
              <w:bottom w:val="single" w:color="auto" w:sz="4" w:space="0"/>
              <w:right w:val="single" w:color="auto" w:sz="4" w:space="0"/>
            </w:tcBorders>
            <w:vAlign w:val="center"/>
          </w:tcPr>
          <w:p w14:paraId="0FFBE629">
            <w:pPr>
              <w:autoSpaceDE w:val="0"/>
              <w:autoSpaceDN w:val="0"/>
              <w:adjustRightInd w:val="0"/>
              <w:rPr>
                <w:rFonts w:hint="eastAsia" w:ascii="宋体" w:hAnsi="宋体" w:eastAsia="宋体" w:cs="Calibri Light"/>
                <w:color w:val="auto"/>
                <w:sz w:val="24"/>
                <w:highlight w:val="none"/>
                <w:lang w:eastAsia="zh-CN"/>
              </w:rPr>
            </w:pPr>
            <w:r>
              <w:rPr>
                <w:rFonts w:hint="eastAsia" w:ascii="宋体" w:hAnsi="宋体" w:cs="Calibri Light"/>
                <w:color w:val="auto"/>
                <w:sz w:val="24"/>
                <w:highlight w:val="none"/>
              </w:rPr>
              <w:t>本项目不</w:t>
            </w:r>
            <w:r>
              <w:rPr>
                <w:rFonts w:hint="eastAsia" w:ascii="宋体" w:hAnsi="宋体" w:cs="Calibri Light"/>
                <w:color w:val="auto"/>
                <w:sz w:val="24"/>
                <w:highlight w:val="none"/>
                <w:lang w:eastAsia="zh-CN"/>
              </w:rPr>
              <w:t>作</w:t>
            </w:r>
            <w:r>
              <w:rPr>
                <w:rFonts w:hint="eastAsia" w:ascii="宋体" w:hAnsi="宋体" w:cs="Calibri Light"/>
                <w:color w:val="auto"/>
                <w:sz w:val="24"/>
                <w:highlight w:val="none"/>
              </w:rPr>
              <w:t>要求</w:t>
            </w:r>
            <w:r>
              <w:rPr>
                <w:rFonts w:hint="eastAsia" w:ascii="宋体" w:hAnsi="宋体" w:cs="Calibri Light"/>
                <w:color w:val="auto"/>
                <w:sz w:val="24"/>
                <w:highlight w:val="none"/>
                <w:lang w:eastAsia="zh-CN"/>
              </w:rPr>
              <w:t>。</w:t>
            </w:r>
          </w:p>
        </w:tc>
      </w:tr>
      <w:tr w14:paraId="7BE2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D94B2D1">
            <w:pPr>
              <w:jc w:val="center"/>
              <w:rPr>
                <w:rFonts w:hint="eastAsia" w:ascii="宋体" w:hAnsi="宋体" w:eastAsia="宋体" w:cs="Calibri Light"/>
                <w:bCs/>
                <w:color w:val="auto"/>
                <w:sz w:val="24"/>
                <w:highlight w:val="none"/>
                <w:lang w:eastAsia="zh-CN"/>
              </w:rPr>
            </w:pPr>
            <w:r>
              <w:rPr>
                <w:rFonts w:ascii="宋体" w:hAnsi="宋体" w:cs="Calibri Light"/>
                <w:bCs/>
                <w:color w:val="auto"/>
                <w:sz w:val="24"/>
                <w:highlight w:val="none"/>
              </w:rPr>
              <w:t>1</w:t>
            </w:r>
            <w:r>
              <w:rPr>
                <w:rFonts w:hint="eastAsia" w:ascii="宋体" w:hAnsi="宋体" w:cs="Calibri Light"/>
                <w:bCs/>
                <w:color w:val="auto"/>
                <w:sz w:val="24"/>
                <w:highlight w:val="none"/>
                <w:lang w:val="en-US" w:eastAsia="zh-CN"/>
              </w:rPr>
              <w:t>9</w:t>
            </w:r>
          </w:p>
        </w:tc>
        <w:tc>
          <w:tcPr>
            <w:tcW w:w="1901" w:type="dxa"/>
            <w:tcBorders>
              <w:top w:val="single" w:color="auto" w:sz="4" w:space="0"/>
              <w:left w:val="single" w:color="auto" w:sz="4" w:space="0"/>
              <w:bottom w:val="single" w:color="auto" w:sz="4" w:space="0"/>
              <w:right w:val="single" w:color="auto" w:sz="4" w:space="0"/>
            </w:tcBorders>
            <w:vAlign w:val="center"/>
          </w:tcPr>
          <w:p w14:paraId="28AE8213">
            <w:pPr>
              <w:spacing w:line="400" w:lineRule="exact"/>
              <w:jc w:val="center"/>
              <w:rPr>
                <w:rFonts w:ascii="宋体" w:hAnsi="宋体" w:cs="Calibri Light"/>
                <w:color w:val="auto"/>
                <w:sz w:val="24"/>
                <w:highlight w:val="none"/>
              </w:rPr>
            </w:pPr>
            <w:r>
              <w:rPr>
                <w:rFonts w:hint="eastAsia" w:ascii="宋体" w:hAnsi="宋体" w:cs="宋体"/>
                <w:color w:val="auto"/>
                <w:sz w:val="24"/>
                <w:highlight w:val="none"/>
              </w:rPr>
              <w:t>节能环保</w:t>
            </w:r>
          </w:p>
        </w:tc>
        <w:tc>
          <w:tcPr>
            <w:tcW w:w="6498" w:type="dxa"/>
            <w:tcBorders>
              <w:top w:val="single" w:color="auto" w:sz="4" w:space="0"/>
              <w:left w:val="single" w:color="auto" w:sz="4" w:space="0"/>
              <w:bottom w:val="single" w:color="auto" w:sz="4" w:space="0"/>
              <w:right w:val="single" w:color="auto" w:sz="4" w:space="0"/>
            </w:tcBorders>
            <w:vAlign w:val="center"/>
          </w:tcPr>
          <w:p w14:paraId="2C8C0FC3">
            <w:pPr>
              <w:rPr>
                <w:rFonts w:ascii="宋体" w:hAnsi="宋体" w:cs="Calibri Light"/>
                <w:color w:val="auto"/>
                <w:sz w:val="24"/>
                <w:highlight w:val="none"/>
              </w:rPr>
            </w:pPr>
            <w:r>
              <w:rPr>
                <w:rFonts w:hint="eastAsia" w:ascii="宋体" w:hAnsi="宋体" w:cs="宋体"/>
                <w:color w:val="auto"/>
                <w:sz w:val="24"/>
                <w:highlight w:val="none"/>
              </w:rPr>
              <w:t>符合国家相关法律规定。</w:t>
            </w:r>
          </w:p>
        </w:tc>
      </w:tr>
      <w:tr w14:paraId="2E31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CF05F7B">
            <w:pPr>
              <w:jc w:val="center"/>
              <w:rPr>
                <w:rFonts w:hint="default" w:ascii="宋体" w:hAnsi="宋体" w:eastAsia="宋体" w:cs="Calibri Light"/>
                <w:bCs/>
                <w:color w:val="auto"/>
                <w:sz w:val="24"/>
                <w:highlight w:val="none"/>
                <w:lang w:val="en-US" w:eastAsia="zh-CN"/>
              </w:rPr>
            </w:pPr>
            <w:r>
              <w:rPr>
                <w:rFonts w:hint="eastAsia" w:ascii="宋体" w:hAnsi="宋体" w:cs="Calibri Light"/>
                <w:bCs/>
                <w:color w:val="auto"/>
                <w:sz w:val="24"/>
                <w:highlight w:val="none"/>
                <w:lang w:val="en-US" w:eastAsia="zh-CN"/>
              </w:rPr>
              <w:t>20</w:t>
            </w:r>
          </w:p>
        </w:tc>
        <w:tc>
          <w:tcPr>
            <w:tcW w:w="1901" w:type="dxa"/>
            <w:tcBorders>
              <w:top w:val="single" w:color="auto" w:sz="4" w:space="0"/>
              <w:left w:val="single" w:color="auto" w:sz="4" w:space="0"/>
              <w:bottom w:val="single" w:color="auto" w:sz="4" w:space="0"/>
              <w:right w:val="single" w:color="auto" w:sz="4" w:space="0"/>
            </w:tcBorders>
            <w:vAlign w:val="center"/>
          </w:tcPr>
          <w:p w14:paraId="2DFDE7AB">
            <w:pPr>
              <w:autoSpaceDE w:val="0"/>
              <w:autoSpaceDN w:val="0"/>
              <w:adjustRightInd w:val="0"/>
              <w:jc w:val="center"/>
              <w:rPr>
                <w:rFonts w:ascii="宋体" w:hAnsi="宋体" w:cs="Calibri Light"/>
                <w:color w:val="auto"/>
                <w:sz w:val="24"/>
                <w:highlight w:val="none"/>
              </w:rPr>
            </w:pPr>
            <w:r>
              <w:rPr>
                <w:rFonts w:hint="eastAsia" w:ascii="宋体" w:hAnsi="宋体" w:cs="Calibri Light"/>
                <w:color w:val="auto"/>
                <w:sz w:val="24"/>
                <w:highlight w:val="none"/>
              </w:rPr>
              <w:t>解释权</w:t>
            </w:r>
          </w:p>
        </w:tc>
        <w:tc>
          <w:tcPr>
            <w:tcW w:w="6498" w:type="dxa"/>
            <w:tcBorders>
              <w:top w:val="single" w:color="auto" w:sz="4" w:space="0"/>
              <w:left w:val="single" w:color="auto" w:sz="4" w:space="0"/>
              <w:bottom w:val="single" w:color="auto" w:sz="4" w:space="0"/>
              <w:right w:val="single" w:color="auto" w:sz="4" w:space="0"/>
            </w:tcBorders>
            <w:vAlign w:val="center"/>
          </w:tcPr>
          <w:p w14:paraId="5D88A717">
            <w:pPr>
              <w:autoSpaceDE w:val="0"/>
              <w:autoSpaceDN w:val="0"/>
              <w:adjustRightInd w:val="0"/>
              <w:rPr>
                <w:rFonts w:ascii="宋体" w:hAnsi="宋体" w:cs="Calibri Light"/>
                <w:color w:val="auto"/>
                <w:sz w:val="24"/>
                <w:highlight w:val="none"/>
              </w:rPr>
            </w:pPr>
            <w:r>
              <w:rPr>
                <w:rFonts w:hint="eastAsia" w:ascii="宋体" w:hAnsi="宋体" w:cs="Calibri Light"/>
                <w:color w:val="auto"/>
                <w:sz w:val="24"/>
                <w:highlight w:val="none"/>
              </w:rPr>
              <w:t>本磋商文件解释权属于采购人和</w:t>
            </w:r>
            <w:r>
              <w:rPr>
                <w:rFonts w:hint="eastAsia" w:ascii="宋体" w:hAnsi="宋体" w:cs="仿宋"/>
                <w:color w:val="auto"/>
                <w:sz w:val="24"/>
                <w:highlight w:val="none"/>
              </w:rPr>
              <w:t>采购代理机构</w:t>
            </w:r>
          </w:p>
        </w:tc>
      </w:tr>
      <w:bookmarkEnd w:id="1"/>
      <w:bookmarkEnd w:id="2"/>
    </w:tbl>
    <w:p w14:paraId="2FC7F621">
      <w:pPr>
        <w:pStyle w:val="18"/>
        <w:snapToGrid w:val="0"/>
        <w:spacing w:before="120" w:after="120" w:line="360" w:lineRule="auto"/>
        <w:jc w:val="left"/>
        <w:rPr>
          <w:rFonts w:ascii="宋体" w:hAnsi="宋体" w:eastAsia="宋体"/>
          <w:b/>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30DD8197">
      <w:pPr>
        <w:adjustRightInd w:val="0"/>
        <w:snapToGrid w:val="0"/>
        <w:spacing w:line="312"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一、总则</w:t>
      </w:r>
    </w:p>
    <w:p w14:paraId="7E70ED01">
      <w:pPr>
        <w:pStyle w:val="18"/>
        <w:adjustRightInd w:val="0"/>
        <w:snapToGrid w:val="0"/>
        <w:spacing w:line="312" w:lineRule="auto"/>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（一）</w:t>
      </w:r>
      <w:r>
        <w:rPr>
          <w:rFonts w:ascii="宋体" w:hAnsi="宋体" w:eastAsia="宋体"/>
          <w:b/>
          <w:color w:val="auto"/>
          <w:sz w:val="24"/>
          <w:highlight w:val="none"/>
        </w:rPr>
        <w:t>适用范围</w:t>
      </w:r>
    </w:p>
    <w:p w14:paraId="58BFFB49">
      <w:pPr>
        <w:adjustRightInd w:val="0"/>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14:paraId="57CA6CB2">
      <w:pPr>
        <w:adjustRightInd w:val="0"/>
        <w:snapToGrid w:val="0"/>
        <w:spacing w:line="312"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14:paraId="368058E5">
      <w:pPr>
        <w:adjustRightInd w:val="0"/>
        <w:snapToGrid w:val="0"/>
        <w:spacing w:line="312" w:lineRule="auto"/>
        <w:ind w:firstLine="566" w:firstLineChars="236"/>
        <w:rPr>
          <w:rFonts w:ascii="宋体" w:hAnsi="宋体"/>
          <w:color w:val="auto"/>
          <w:sz w:val="24"/>
          <w:highlight w:val="none"/>
        </w:rPr>
      </w:pPr>
      <w:r>
        <w:rPr>
          <w:rFonts w:ascii="宋体" w:hAnsi="宋体"/>
          <w:color w:val="auto"/>
          <w:sz w:val="24"/>
          <w:highlight w:val="none"/>
        </w:rPr>
        <w:t>1、“采购组织机构”指采购人委托组织磋商的集中采购机构或采购代理机构。</w:t>
      </w:r>
    </w:p>
    <w:p w14:paraId="4003EEC7">
      <w:pPr>
        <w:adjustRightInd w:val="0"/>
        <w:snapToGrid w:val="0"/>
        <w:spacing w:line="312" w:lineRule="auto"/>
        <w:ind w:firstLine="566" w:firstLineChars="236"/>
        <w:rPr>
          <w:rFonts w:ascii="宋体" w:hAnsi="宋体"/>
          <w:color w:val="auto"/>
          <w:sz w:val="24"/>
          <w:highlight w:val="none"/>
        </w:rPr>
      </w:pPr>
      <w:r>
        <w:rPr>
          <w:rFonts w:ascii="宋体" w:hAnsi="宋体"/>
          <w:color w:val="auto"/>
          <w:sz w:val="24"/>
          <w:highlight w:val="none"/>
        </w:rPr>
        <w:t>2、采购人：是指委托</w:t>
      </w:r>
      <w:r>
        <w:rPr>
          <w:rFonts w:hint="eastAsia" w:ascii="宋体" w:hAnsi="宋体"/>
          <w:color w:val="auto"/>
          <w:sz w:val="24"/>
          <w:highlight w:val="none"/>
          <w:lang w:val="zh-CN"/>
        </w:rPr>
        <w:t>集中采购机构或</w:t>
      </w:r>
      <w:r>
        <w:rPr>
          <w:rFonts w:hint="eastAsia" w:ascii="宋体" w:hAnsi="宋体"/>
          <w:color w:val="auto"/>
          <w:sz w:val="24"/>
          <w:highlight w:val="none"/>
        </w:rPr>
        <w:t>采购代理机构采购本次项目的国家机关、事业单位和团体组织。</w:t>
      </w:r>
    </w:p>
    <w:p w14:paraId="78165CC6">
      <w:pPr>
        <w:adjustRightInd w:val="0"/>
        <w:snapToGrid w:val="0"/>
        <w:spacing w:line="312" w:lineRule="auto"/>
        <w:ind w:firstLine="616" w:firstLineChars="257"/>
        <w:jc w:val="left"/>
        <w:rPr>
          <w:rFonts w:ascii="宋体" w:hAnsi="宋体"/>
          <w:color w:val="auto"/>
          <w:sz w:val="24"/>
          <w:highlight w:val="none"/>
        </w:rPr>
      </w:pPr>
      <w:r>
        <w:rPr>
          <w:rFonts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14:paraId="3A3F01BC">
      <w:pPr>
        <w:adjustRightInd w:val="0"/>
        <w:snapToGrid w:val="0"/>
        <w:spacing w:line="312" w:lineRule="auto"/>
        <w:ind w:firstLine="640" w:firstLineChars="267"/>
        <w:jc w:val="left"/>
        <w:rPr>
          <w:rFonts w:ascii="宋体" w:hAnsi="宋体"/>
          <w:color w:val="auto"/>
          <w:sz w:val="24"/>
          <w:highlight w:val="none"/>
        </w:rPr>
      </w:pPr>
      <w:r>
        <w:rPr>
          <w:rFonts w:ascii="宋体" w:hAnsi="宋体"/>
          <w:color w:val="auto"/>
          <w:sz w:val="24"/>
          <w:highlight w:val="none"/>
        </w:rPr>
        <w:t>4、货物：是指各种形态和种类的物品，包括原材料、燃料、设备、产品等。</w:t>
      </w:r>
    </w:p>
    <w:p w14:paraId="4FC09EB0">
      <w:pPr>
        <w:adjustRightInd w:val="0"/>
        <w:snapToGrid w:val="0"/>
        <w:spacing w:line="312" w:lineRule="auto"/>
        <w:ind w:firstLine="566" w:firstLineChars="236"/>
        <w:jc w:val="left"/>
        <w:rPr>
          <w:rFonts w:ascii="宋体" w:hAnsi="宋体"/>
          <w:b/>
          <w:color w:val="auto"/>
          <w:sz w:val="24"/>
          <w:highlight w:val="none"/>
        </w:rPr>
      </w:pPr>
      <w:r>
        <w:rPr>
          <w:rFonts w:ascii="宋体" w:hAnsi="宋体"/>
          <w:color w:val="auto"/>
          <w:sz w:val="24"/>
          <w:highlight w:val="none"/>
        </w:rPr>
        <w:t>5、服务：是指除货物和工程以外的政府采购对象，包括各类专业服务、信息网络开发服务、金融保险服务、运输服务，以及维修与维护服务等。</w:t>
      </w:r>
    </w:p>
    <w:p w14:paraId="5589E6E8">
      <w:pPr>
        <w:adjustRightInd w:val="0"/>
        <w:snapToGrid w:val="0"/>
        <w:spacing w:line="312" w:lineRule="auto"/>
        <w:ind w:firstLine="566" w:firstLineChars="236"/>
        <w:jc w:val="left"/>
        <w:rPr>
          <w:rFonts w:ascii="宋体" w:hAnsi="宋体"/>
          <w:color w:val="auto"/>
          <w:sz w:val="24"/>
          <w:highlight w:val="none"/>
        </w:rPr>
      </w:pPr>
      <w:r>
        <w:rPr>
          <w:rFonts w:ascii="宋体" w:hAnsi="宋体"/>
          <w:color w:val="auto"/>
          <w:sz w:val="24"/>
          <w:highlight w:val="none"/>
        </w:rPr>
        <w:t>6、“书面形式”包括信函、传真等。</w:t>
      </w:r>
    </w:p>
    <w:p w14:paraId="1A545980">
      <w:pPr>
        <w:adjustRightInd w:val="0"/>
        <w:snapToGrid w:val="0"/>
        <w:spacing w:line="312" w:lineRule="auto"/>
        <w:ind w:firstLine="566" w:firstLineChars="236"/>
        <w:jc w:val="left"/>
        <w:rPr>
          <w:rFonts w:ascii="宋体" w:hAnsi="宋体"/>
          <w:color w:val="auto"/>
          <w:sz w:val="24"/>
          <w:highlight w:val="none"/>
        </w:rPr>
      </w:pPr>
      <w:r>
        <w:rPr>
          <w:rFonts w:ascii="宋体" w:hAnsi="宋体"/>
          <w:color w:val="auto"/>
          <w:sz w:val="24"/>
          <w:highlight w:val="none"/>
        </w:rPr>
        <w:t>7、“▲”系指实质性要求条款。</w:t>
      </w:r>
    </w:p>
    <w:p w14:paraId="785BB529">
      <w:pPr>
        <w:pStyle w:val="18"/>
        <w:adjustRightInd w:val="0"/>
        <w:snapToGrid w:val="0"/>
        <w:spacing w:line="312"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（三）磋商费用</w:t>
      </w:r>
    </w:p>
    <w:p w14:paraId="78C85F97">
      <w:pPr>
        <w:adjustRightInd w:val="0"/>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491C4F65">
      <w:pPr>
        <w:adjustRightInd w:val="0"/>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2、所有涉及电子招投标相关的费用均由投标人自理。</w:t>
      </w:r>
    </w:p>
    <w:p w14:paraId="11ABE06F">
      <w:pPr>
        <w:adjustRightInd w:val="0"/>
        <w:snapToGrid w:val="0"/>
        <w:spacing w:line="450" w:lineRule="exact"/>
        <w:ind w:firstLine="480" w:firstLineChars="200"/>
        <w:rPr>
          <w:rFonts w:ascii="宋体" w:hAnsi="宋体"/>
          <w:color w:val="0000FF"/>
          <w:sz w:val="24"/>
          <w:highlight w:val="none"/>
        </w:rPr>
      </w:pPr>
      <w:r>
        <w:rPr>
          <w:rFonts w:hint="eastAsia" w:ascii="宋体" w:hAnsi="宋体"/>
          <w:color w:val="auto"/>
          <w:sz w:val="24"/>
          <w:highlight w:val="none"/>
        </w:rPr>
        <w:t>3、招标代理费用参照下表中</w:t>
      </w:r>
      <w:r>
        <w:rPr>
          <w:rFonts w:hint="eastAsia" w:ascii="宋体" w:hAnsi="宋体"/>
          <w:b/>
          <w:bCs/>
          <w:color w:val="auto"/>
          <w:sz w:val="24"/>
          <w:highlight w:val="none"/>
          <w:lang w:val="en-US" w:eastAsia="zh-CN"/>
        </w:rPr>
        <w:t>服务</w:t>
      </w:r>
      <w:r>
        <w:rPr>
          <w:rFonts w:hint="eastAsia" w:ascii="宋体" w:hAnsi="宋体"/>
          <w:b/>
          <w:bCs/>
          <w:color w:val="auto"/>
          <w:sz w:val="24"/>
          <w:highlight w:val="none"/>
        </w:rPr>
        <w:t>类</w:t>
      </w:r>
      <w:r>
        <w:rPr>
          <w:rFonts w:hint="eastAsia" w:ascii="宋体" w:hAnsi="宋体"/>
          <w:color w:val="auto"/>
          <w:sz w:val="24"/>
          <w:highlight w:val="none"/>
        </w:rPr>
        <w:t>计算标准计算（差额定率累进法），计费基数：中标总报价，向成交供应商收取招标代理服务费（若招标代理服务费报酬不足陆仟元的，按陆仟元计），该费用成交供应商须在中标通知书发出前一次性付清。</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7A29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4EFE773">
            <w:pP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51FB9067">
            <w:pP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5273A91A">
            <w:pP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54B9F766">
            <w:pP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5AC3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1B884F61">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2315A23D">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1866BDCA">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6F74E863">
            <w:pPr>
              <w:jc w:val="center"/>
              <w:rPr>
                <w:rFonts w:ascii="宋体" w:hAnsi="宋体" w:cs="宋体"/>
                <w:color w:val="auto"/>
                <w:sz w:val="24"/>
                <w:highlight w:val="none"/>
              </w:rPr>
            </w:pPr>
            <w:r>
              <w:rPr>
                <w:rFonts w:hint="eastAsia" w:ascii="宋体" w:hAnsi="宋体" w:cs="宋体"/>
                <w:color w:val="auto"/>
                <w:sz w:val="24"/>
                <w:highlight w:val="none"/>
              </w:rPr>
              <w:t>1.00%</w:t>
            </w:r>
          </w:p>
        </w:tc>
      </w:tr>
      <w:tr w14:paraId="6AFE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BF35CCD">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6B7679E1">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7B9ECD29">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19D3FF2D">
            <w:pPr>
              <w:jc w:val="center"/>
              <w:rPr>
                <w:rFonts w:ascii="宋体" w:hAnsi="宋体" w:cs="宋体"/>
                <w:color w:val="auto"/>
                <w:sz w:val="24"/>
                <w:highlight w:val="none"/>
              </w:rPr>
            </w:pPr>
            <w:r>
              <w:rPr>
                <w:rFonts w:hint="eastAsia" w:ascii="宋体" w:hAnsi="宋体" w:cs="宋体"/>
                <w:color w:val="auto"/>
                <w:sz w:val="24"/>
                <w:highlight w:val="none"/>
              </w:rPr>
              <w:t>0.70%</w:t>
            </w:r>
          </w:p>
        </w:tc>
      </w:tr>
      <w:tr w14:paraId="04CB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35EEDFEA">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4F0457A1">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2805B7EC">
            <w:pP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54014F53">
            <w:pPr>
              <w:jc w:val="center"/>
              <w:rPr>
                <w:rFonts w:ascii="宋体" w:hAnsi="宋体" w:cs="宋体"/>
                <w:color w:val="auto"/>
                <w:sz w:val="24"/>
                <w:highlight w:val="none"/>
              </w:rPr>
            </w:pPr>
            <w:r>
              <w:rPr>
                <w:rFonts w:hint="eastAsia" w:ascii="宋体" w:hAnsi="宋体" w:cs="宋体"/>
                <w:color w:val="auto"/>
                <w:sz w:val="24"/>
                <w:highlight w:val="none"/>
              </w:rPr>
              <w:t>0.55%</w:t>
            </w:r>
          </w:p>
        </w:tc>
      </w:tr>
      <w:tr w14:paraId="5393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3A143C8">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2831A617">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54BA2256">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0F1FE118">
            <w:pPr>
              <w:jc w:val="center"/>
              <w:rPr>
                <w:rFonts w:ascii="宋体" w:hAnsi="宋体" w:cs="宋体"/>
                <w:color w:val="auto"/>
                <w:sz w:val="24"/>
                <w:highlight w:val="none"/>
              </w:rPr>
            </w:pPr>
            <w:r>
              <w:rPr>
                <w:rFonts w:hint="eastAsia" w:ascii="宋体" w:hAnsi="宋体" w:cs="宋体"/>
                <w:color w:val="auto"/>
                <w:sz w:val="24"/>
                <w:highlight w:val="none"/>
              </w:rPr>
              <w:t>0.35%</w:t>
            </w:r>
          </w:p>
        </w:tc>
      </w:tr>
      <w:tr w14:paraId="2578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F5EA4A5">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14:paraId="31D92C8B">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14:paraId="6230D725">
            <w:pP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14:paraId="689FA215">
            <w:pPr>
              <w:jc w:val="center"/>
              <w:rPr>
                <w:rFonts w:ascii="宋体" w:hAnsi="宋体" w:cs="宋体"/>
                <w:color w:val="auto"/>
                <w:sz w:val="24"/>
                <w:highlight w:val="none"/>
              </w:rPr>
            </w:pPr>
            <w:r>
              <w:rPr>
                <w:rFonts w:hint="eastAsia" w:ascii="宋体" w:hAnsi="宋体" w:cs="宋体"/>
                <w:color w:val="auto"/>
                <w:sz w:val="24"/>
                <w:highlight w:val="none"/>
              </w:rPr>
              <w:t>0.20%</w:t>
            </w:r>
          </w:p>
        </w:tc>
      </w:tr>
      <w:tr w14:paraId="2313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9CA3D04">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14:paraId="76F70320">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14:paraId="7BE85B69">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14:paraId="02E30DA4">
            <w:pPr>
              <w:jc w:val="center"/>
              <w:rPr>
                <w:rFonts w:ascii="宋体" w:hAnsi="宋体" w:cs="宋体"/>
                <w:color w:val="auto"/>
                <w:sz w:val="24"/>
                <w:highlight w:val="none"/>
              </w:rPr>
            </w:pPr>
            <w:r>
              <w:rPr>
                <w:rFonts w:hint="eastAsia" w:ascii="宋体" w:hAnsi="宋体" w:cs="宋体"/>
                <w:color w:val="auto"/>
                <w:sz w:val="24"/>
                <w:highlight w:val="none"/>
              </w:rPr>
              <w:t>0.05%</w:t>
            </w:r>
          </w:p>
        </w:tc>
      </w:tr>
      <w:tr w14:paraId="0ECB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1C298320">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14:paraId="08BF9F7C">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14:paraId="44702DF3">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14:paraId="79C96F3E">
            <w:pPr>
              <w:jc w:val="center"/>
              <w:rPr>
                <w:rFonts w:ascii="宋体" w:hAnsi="宋体" w:cs="宋体"/>
                <w:color w:val="auto"/>
                <w:sz w:val="24"/>
                <w:highlight w:val="none"/>
              </w:rPr>
            </w:pPr>
            <w:r>
              <w:rPr>
                <w:rFonts w:hint="eastAsia" w:ascii="宋体" w:hAnsi="宋体" w:cs="宋体"/>
                <w:color w:val="auto"/>
                <w:sz w:val="24"/>
                <w:highlight w:val="none"/>
              </w:rPr>
              <w:t>0.01%</w:t>
            </w:r>
          </w:p>
        </w:tc>
      </w:tr>
    </w:tbl>
    <w:p w14:paraId="3CAE011B">
      <w:pPr>
        <w:adjustRightInd w:val="0"/>
        <w:snapToGrid w:val="0"/>
        <w:spacing w:line="312" w:lineRule="auto"/>
        <w:ind w:firstLine="482" w:firstLineChars="200"/>
        <w:jc w:val="left"/>
        <w:rPr>
          <w:rFonts w:hint="eastAsia" w:ascii="宋体" w:hAnsi="宋体" w:eastAsia="宋体" w:cs="Times New Roman"/>
          <w:b/>
          <w:bCs/>
          <w:color w:val="auto"/>
          <w:sz w:val="24"/>
          <w:highlight w:val="none"/>
        </w:rPr>
      </w:pPr>
    </w:p>
    <w:p w14:paraId="7F022C5B">
      <w:pPr>
        <w:pStyle w:val="18"/>
        <w:adjustRightInd w:val="0"/>
        <w:snapToGrid w:val="0"/>
        <w:spacing w:line="312"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（四）特别说明</w:t>
      </w:r>
    </w:p>
    <w:p w14:paraId="21ED6609">
      <w:pPr>
        <w:pStyle w:val="18"/>
        <w:adjustRightInd w:val="0"/>
        <w:snapToGrid w:val="0"/>
        <w:spacing w:line="312" w:lineRule="auto"/>
        <w:ind w:firstLine="480" w:firstLineChars="200"/>
        <w:rPr>
          <w:rFonts w:ascii="宋体" w:hAnsi="宋体" w:eastAsia="宋体"/>
          <w:color w:val="auto"/>
          <w:sz w:val="24"/>
          <w:highlight w:val="none"/>
        </w:rPr>
      </w:pPr>
      <w:r>
        <w:rPr>
          <w:rFonts w:ascii="宋体" w:hAnsi="宋体" w:eastAsia="宋体"/>
          <w:color w:val="auto"/>
          <w:sz w:val="24"/>
          <w:highlight w:val="none"/>
        </w:rPr>
        <w:t>1、供应商磋商所使用的资格、信誉、荣誉、业绩与企业认证必须为本法人所拥有。</w:t>
      </w:r>
      <w:r>
        <w:rPr>
          <w:rFonts w:hint="eastAsia" w:ascii="宋体" w:hAnsi="宋体" w:eastAsia="宋体"/>
          <w:color w:val="auto"/>
          <w:sz w:val="24"/>
          <w:highlight w:val="none"/>
        </w:rPr>
        <w:t>供应商</w:t>
      </w:r>
      <w:r>
        <w:rPr>
          <w:rFonts w:ascii="宋体" w:hAnsi="宋体" w:eastAsia="宋体"/>
          <w:color w:val="auto"/>
          <w:sz w:val="24"/>
          <w:highlight w:val="none"/>
        </w:rPr>
        <w:t>磋商所使用的采购项目实施人员必须为本法人员工（</w:t>
      </w:r>
      <w:r>
        <w:rPr>
          <w:rFonts w:hint="eastAsia" w:ascii="宋体" w:hAnsi="宋体" w:eastAsia="宋体"/>
          <w:color w:val="auto"/>
          <w:sz w:val="24"/>
          <w:highlight w:val="none"/>
        </w:rPr>
        <w:t>指</w:t>
      </w:r>
      <w:r>
        <w:rPr>
          <w:rFonts w:ascii="宋体" w:hAnsi="宋体" w:eastAsia="宋体"/>
          <w:color w:val="auto"/>
          <w:sz w:val="24"/>
          <w:highlight w:val="none"/>
        </w:rPr>
        <w:t>必须为本法人或控股公司正式员工）。</w:t>
      </w:r>
    </w:p>
    <w:p w14:paraId="6539DB3B">
      <w:pPr>
        <w:adjustRightInd w:val="0"/>
        <w:snapToGrid w:val="0"/>
        <w:spacing w:line="312" w:lineRule="auto"/>
        <w:ind w:firstLine="480" w:firstLineChars="200"/>
        <w:rPr>
          <w:rFonts w:ascii="宋体" w:hAnsi="宋体"/>
          <w:color w:val="auto"/>
          <w:sz w:val="24"/>
          <w:highlight w:val="none"/>
        </w:rPr>
      </w:pPr>
      <w:r>
        <w:rPr>
          <w:rFonts w:ascii="宋体" w:hAnsi="宋体"/>
          <w:color w:val="auto"/>
          <w:sz w:val="24"/>
          <w:highlight w:val="none"/>
        </w:rPr>
        <w:t>2、供应商所标产品除</w:t>
      </w:r>
      <w:r>
        <w:rPr>
          <w:rFonts w:hint="eastAsia" w:ascii="宋体" w:hAnsi="宋体"/>
          <w:bCs/>
          <w:color w:val="auto"/>
          <w:sz w:val="24"/>
          <w:highlight w:val="none"/>
        </w:rPr>
        <w:t>磋商文件</w:t>
      </w:r>
      <w:r>
        <w:rPr>
          <w:rFonts w:hint="eastAsia" w:ascii="宋体" w:hAnsi="宋体"/>
          <w:color w:val="auto"/>
          <w:sz w:val="24"/>
          <w:highlight w:val="none"/>
        </w:rPr>
        <w:t>中明确规定要求“提供官网截图或相应检测报告的证明材料”以外，所有技术参数描述均以磋商响应文件为准。</w:t>
      </w:r>
      <w:r>
        <w:rPr>
          <w:rFonts w:hint="eastAsia" w:ascii="宋体" w:hAnsi="宋体"/>
          <w:bCs/>
          <w:color w:val="auto"/>
          <w:sz w:val="24"/>
          <w:highlight w:val="none"/>
        </w:rPr>
        <w:t>磋商供应商对所标产品技术参数的真实性承担法律责任。</w:t>
      </w:r>
      <w:r>
        <w:rPr>
          <w:rFonts w:hint="eastAsia" w:ascii="宋体" w:hAnsi="宋体"/>
          <w:color w:val="auto"/>
          <w:sz w:val="24"/>
          <w:highlight w:val="none"/>
        </w:rPr>
        <w:t>项目</w:t>
      </w:r>
      <w:r>
        <w:rPr>
          <w:rFonts w:hint="eastAsia" w:ascii="宋体" w:hAnsi="宋体"/>
          <w:bCs/>
          <w:color w:val="auto"/>
          <w:sz w:val="24"/>
          <w:highlight w:val="none"/>
        </w:rPr>
        <w:t>磋商</w:t>
      </w:r>
      <w:r>
        <w:rPr>
          <w:rFonts w:hint="eastAsia" w:ascii="宋体" w:hAnsi="宋体"/>
          <w:color w:val="auto"/>
          <w:sz w:val="24"/>
          <w:highlight w:val="none"/>
        </w:rPr>
        <w:t>结束后、质疑期限内，如有质疑供应商认为成交供应商所标产品、磋商响应文件技术参数与采购需求存在重大偏离、错误、甚至造假的情况，应提供具体有效的证明材料。</w:t>
      </w:r>
      <w:r>
        <w:rPr>
          <w:rFonts w:ascii="宋体" w:hAnsi="宋体"/>
          <w:color w:val="auto"/>
          <w:sz w:val="24"/>
          <w:highlight w:val="none"/>
        </w:rPr>
        <w:tab/>
      </w:r>
    </w:p>
    <w:p w14:paraId="4BEACB8A">
      <w:pPr>
        <w:pStyle w:val="47"/>
        <w:adjustRightInd w:val="0"/>
        <w:snapToGrid w:val="0"/>
        <w:spacing w:line="312" w:lineRule="auto"/>
        <w:ind w:firstLineChars="0"/>
        <w:rPr>
          <w:rFonts w:ascii="宋体" w:hAnsi="宋体" w:eastAsia="宋体"/>
          <w:color w:val="auto"/>
          <w:sz w:val="24"/>
          <w:szCs w:val="24"/>
          <w:highlight w:val="none"/>
        </w:rPr>
      </w:pPr>
      <w:r>
        <w:rPr>
          <w:rFonts w:ascii="宋体" w:hAnsi="宋体" w:eastAsia="宋体"/>
          <w:color w:val="auto"/>
          <w:sz w:val="24"/>
          <w:szCs w:val="24"/>
          <w:highlight w:val="none"/>
        </w:rPr>
        <w:t>3、供应商在</w:t>
      </w:r>
      <w:r>
        <w:rPr>
          <w:rFonts w:hint="eastAsia" w:ascii="宋体" w:hAnsi="宋体" w:eastAsia="宋体"/>
          <w:bCs/>
          <w:color w:val="auto"/>
          <w:sz w:val="24"/>
          <w:szCs w:val="24"/>
          <w:highlight w:val="none"/>
        </w:rPr>
        <w:t>磋商</w:t>
      </w:r>
      <w:r>
        <w:rPr>
          <w:rFonts w:ascii="宋体" w:hAnsi="宋体" w:eastAsia="宋体"/>
          <w:color w:val="auto"/>
          <w:sz w:val="24"/>
          <w:szCs w:val="24"/>
          <w:highlight w:val="none"/>
        </w:rPr>
        <w:t>活动中提供任何虚假材料</w:t>
      </w:r>
      <w:r>
        <w:rPr>
          <w:rFonts w:hint="eastAsia" w:ascii="宋体" w:hAnsi="宋体" w:eastAsia="宋体"/>
          <w:color w:val="auto"/>
          <w:sz w:val="24"/>
          <w:szCs w:val="24"/>
          <w:highlight w:val="none"/>
        </w:rPr>
        <w:t>，</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无效，并报监管部门查处；</w:t>
      </w:r>
      <w:r>
        <w:rPr>
          <w:rFonts w:hint="eastAsia" w:ascii="宋体" w:hAnsi="宋体" w:eastAsia="宋体"/>
          <w:color w:val="auto"/>
          <w:sz w:val="24"/>
          <w:szCs w:val="24"/>
          <w:highlight w:val="none"/>
        </w:rPr>
        <w:t>成交</w:t>
      </w:r>
      <w:r>
        <w:rPr>
          <w:rFonts w:ascii="宋体" w:hAnsi="宋体" w:eastAsia="宋体"/>
          <w:color w:val="auto"/>
          <w:sz w:val="24"/>
          <w:szCs w:val="24"/>
          <w:highlight w:val="none"/>
        </w:rPr>
        <w:t>后发现的</w:t>
      </w:r>
      <w:r>
        <w:rPr>
          <w:rFonts w:hint="eastAsia" w:ascii="宋体" w:hAnsi="宋体" w:eastAsia="宋体"/>
          <w:color w:val="auto"/>
          <w:sz w:val="24"/>
          <w:szCs w:val="24"/>
          <w:highlight w:val="none"/>
        </w:rPr>
        <w:t>，</w:t>
      </w:r>
      <w:r>
        <w:rPr>
          <w:rFonts w:ascii="宋体" w:hAnsi="宋体" w:eastAsia="宋体"/>
          <w:color w:val="auto"/>
          <w:sz w:val="24"/>
          <w:szCs w:val="24"/>
          <w:highlight w:val="none"/>
        </w:rPr>
        <w:t>成交人须依照根据《中华人民共和国政府采购法》第七十七条第一款第一项之规定</w:t>
      </w:r>
      <w:r>
        <w:rPr>
          <w:rFonts w:hint="eastAsia" w:ascii="宋体" w:hAnsi="宋体" w:eastAsia="宋体"/>
          <w:color w:val="auto"/>
          <w:sz w:val="24"/>
          <w:szCs w:val="24"/>
          <w:highlight w:val="none"/>
        </w:rPr>
        <w:t>，</w:t>
      </w:r>
      <w:r>
        <w:rPr>
          <w:rFonts w:ascii="宋体" w:hAnsi="宋体" w:eastAsia="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auto"/>
          <w:sz w:val="24"/>
          <w:szCs w:val="24"/>
          <w:highlight w:val="none"/>
        </w:rPr>
        <w:t>。</w:t>
      </w:r>
    </w:p>
    <w:p w14:paraId="593255BE">
      <w:pPr>
        <w:pStyle w:val="47"/>
        <w:adjustRightInd w:val="0"/>
        <w:snapToGrid w:val="0"/>
        <w:spacing w:line="312" w:lineRule="auto"/>
        <w:ind w:firstLine="480"/>
        <w:rPr>
          <w:rFonts w:ascii="宋体" w:hAnsi="宋体" w:eastAsia="宋体"/>
          <w:color w:val="auto"/>
          <w:sz w:val="24"/>
          <w:szCs w:val="24"/>
          <w:highlight w:val="none"/>
        </w:rPr>
      </w:pPr>
      <w:r>
        <w:rPr>
          <w:rFonts w:ascii="宋体" w:hAnsi="宋体" w:eastAsia="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00FF86FE">
      <w:pPr>
        <w:pStyle w:val="47"/>
        <w:adjustRightInd w:val="0"/>
        <w:snapToGrid w:val="0"/>
        <w:spacing w:line="312"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、磋商响应文件格式中的表格式样可以根据项目差别做适当调整</w:t>
      </w:r>
      <w:r>
        <w:rPr>
          <w:rFonts w:hint="eastAsia" w:ascii="宋体" w:hAnsi="宋体" w:eastAsia="宋体"/>
          <w:color w:val="auto"/>
          <w:sz w:val="24"/>
          <w:szCs w:val="24"/>
          <w:highlight w:val="none"/>
        </w:rPr>
        <w:t>，</w:t>
      </w:r>
      <w:r>
        <w:rPr>
          <w:rFonts w:ascii="宋体" w:hAnsi="宋体" w:eastAsia="宋体"/>
          <w:color w:val="auto"/>
          <w:sz w:val="24"/>
          <w:szCs w:val="24"/>
          <w:highlight w:val="none"/>
        </w:rPr>
        <w:t>但应当保持表格样式基本形态不变。</w:t>
      </w:r>
    </w:p>
    <w:p w14:paraId="1BF1317B">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、单位负责人为同一人或者存在直接控股、管理关系的不同供应商，不得参加同一合同项下的政府采购活动。</w:t>
      </w:r>
    </w:p>
    <w:p w14:paraId="03B6F237">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、本项目不允许分包。</w:t>
      </w:r>
    </w:p>
    <w:p w14:paraId="4B8CD03A">
      <w:pPr>
        <w:adjustRightInd w:val="0"/>
        <w:snapToGrid w:val="0"/>
        <w:spacing w:line="312"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二、磋商</w:t>
      </w:r>
      <w:r>
        <w:rPr>
          <w:rFonts w:ascii="宋体" w:hAnsi="宋体"/>
          <w:b/>
          <w:color w:val="auto"/>
          <w:sz w:val="24"/>
          <w:highlight w:val="none"/>
        </w:rPr>
        <w:t>响应</w:t>
      </w:r>
      <w:r>
        <w:rPr>
          <w:rFonts w:hint="eastAsia" w:ascii="宋体" w:hAnsi="宋体"/>
          <w:b/>
          <w:color w:val="auto"/>
          <w:sz w:val="24"/>
          <w:highlight w:val="none"/>
        </w:rPr>
        <w:t>文件</w:t>
      </w:r>
    </w:p>
    <w:p w14:paraId="5167BE3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12" w:lineRule="auto"/>
        <w:ind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（一）磋商</w:t>
      </w:r>
      <w:r>
        <w:rPr>
          <w:rFonts w:ascii="宋体" w:hAnsi="宋体"/>
          <w:b/>
          <w:color w:val="auto"/>
          <w:kern w:val="0"/>
          <w:sz w:val="24"/>
          <w:highlight w:val="none"/>
        </w:rPr>
        <w:t>响应文件的</w:t>
      </w:r>
      <w:r>
        <w:rPr>
          <w:rFonts w:hint="eastAsia" w:ascii="宋体" w:hAnsi="宋体"/>
          <w:b/>
          <w:color w:val="auto"/>
          <w:kern w:val="0"/>
          <w:sz w:val="24"/>
          <w:highlight w:val="none"/>
        </w:rPr>
        <w:t>组成</w:t>
      </w:r>
    </w:p>
    <w:p w14:paraId="50AECE11">
      <w:pPr>
        <w:adjustRightInd w:val="0"/>
        <w:snapToGrid w:val="0"/>
        <w:spacing w:line="312"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供应商应仔细阅读磋商采购文件的所有内容，按磋商采购文件的要求，详细编制磋商响应文件</w:t>
      </w:r>
      <w:r>
        <w:rPr>
          <w:rFonts w:ascii="宋体" w:hAnsi="宋体"/>
          <w:color w:val="auto"/>
          <w:sz w:val="24"/>
          <w:highlight w:val="none"/>
        </w:rPr>
        <w:t>。</w:t>
      </w:r>
      <w:r>
        <w:rPr>
          <w:rFonts w:hint="eastAsia" w:ascii="宋体" w:hAnsi="宋体"/>
          <w:color w:val="auto"/>
          <w:sz w:val="24"/>
          <w:highlight w:val="none"/>
        </w:rPr>
        <w:t>具体包含的内容及组成以政采云电子交易客户端为准。磋商环节通过电话远程磋商（如有）。</w:t>
      </w:r>
    </w:p>
    <w:p w14:paraId="7ADA5CF5">
      <w:pPr>
        <w:adjustRightInd w:val="0"/>
        <w:snapToGrid w:val="0"/>
        <w:spacing w:line="312" w:lineRule="auto"/>
        <w:ind w:firstLine="482" w:firstLineChars="200"/>
        <w:rPr>
          <w:rFonts w:ascii="宋体" w:hAnsi="宋体"/>
          <w:color w:val="auto"/>
          <w:kern w:val="0"/>
          <w:sz w:val="24"/>
          <w:highlight w:val="none"/>
        </w:rPr>
      </w:pPr>
      <w:r>
        <w:rPr>
          <w:rFonts w:hint="eastAsia" w:ascii="宋体" w:hAnsi="宋体" w:cs="Calibri Light"/>
          <w:b/>
          <w:color w:val="auto"/>
          <w:sz w:val="24"/>
          <w:highlight w:val="none"/>
        </w:rPr>
        <w:t>▲</w:t>
      </w:r>
      <w:r>
        <w:rPr>
          <w:rFonts w:ascii="宋体" w:hAnsi="宋体"/>
          <w:b/>
          <w:color w:val="auto"/>
          <w:sz w:val="24"/>
          <w:highlight w:val="none"/>
        </w:rPr>
        <w:t>1、资格证明</w:t>
      </w:r>
      <w:r>
        <w:rPr>
          <w:rFonts w:hint="eastAsia" w:ascii="宋体" w:hAnsi="宋体"/>
          <w:b/>
          <w:color w:val="auto"/>
          <w:sz w:val="24"/>
          <w:highlight w:val="none"/>
        </w:rPr>
        <w:t>文件</w:t>
      </w:r>
      <w:r>
        <w:rPr>
          <w:rFonts w:ascii="宋体" w:hAnsi="宋体"/>
          <w:b/>
          <w:color w:val="auto"/>
          <w:sz w:val="24"/>
          <w:highlight w:val="none"/>
        </w:rPr>
        <w:t>的组成：</w:t>
      </w:r>
    </w:p>
    <w:p w14:paraId="61218B22">
      <w:pPr>
        <w:pStyle w:val="43"/>
        <w:adjustRightInd w:val="0"/>
        <w:snapToGrid w:val="0"/>
        <w:spacing w:line="312" w:lineRule="auto"/>
        <w:ind w:left="0" w:leftChars="0" w:firstLine="470"/>
        <w:rPr>
          <w:rStyle w:val="34"/>
          <w:rFonts w:ascii="宋体" w:hAnsi="宋体"/>
          <w:b w:val="0"/>
          <w:color w:val="auto"/>
          <w:highlight w:val="none"/>
          <w:u w:val="none"/>
        </w:rPr>
      </w:pPr>
      <w:r>
        <w:rPr>
          <w:rStyle w:val="34"/>
          <w:rFonts w:hint="eastAsia" w:ascii="宋体" w:hAnsi="宋体"/>
          <w:b w:val="0"/>
          <w:color w:val="auto"/>
          <w:highlight w:val="none"/>
          <w:u w:val="none"/>
        </w:rPr>
        <w:t>（</w:t>
      </w:r>
      <w:r>
        <w:rPr>
          <w:rStyle w:val="34"/>
          <w:rFonts w:ascii="宋体" w:hAnsi="宋体"/>
          <w:b w:val="0"/>
          <w:color w:val="auto"/>
          <w:highlight w:val="none"/>
          <w:u w:val="none"/>
        </w:rPr>
        <w:t>1）磋商声明书</w:t>
      </w:r>
      <w:r>
        <w:rPr>
          <w:rStyle w:val="34"/>
          <w:rFonts w:hint="eastAsia" w:ascii="宋体" w:hAnsi="宋体"/>
          <w:b w:val="0"/>
          <w:color w:val="auto"/>
          <w:highlight w:val="none"/>
          <w:u w:val="none"/>
        </w:rPr>
        <w:t>；</w:t>
      </w:r>
    </w:p>
    <w:p w14:paraId="1E318456">
      <w:pPr>
        <w:widowControl/>
        <w:adjustRightInd w:val="0"/>
        <w:snapToGrid w:val="0"/>
        <w:spacing w:line="312" w:lineRule="auto"/>
        <w:ind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rPr>
        <w:t>（</w:t>
      </w:r>
      <w:r>
        <w:rPr>
          <w:rFonts w:ascii="宋体" w:hAnsi="宋体" w:cs="Calibri Light"/>
          <w:color w:val="auto"/>
          <w:sz w:val="24"/>
          <w:highlight w:val="none"/>
        </w:rPr>
        <w:t>2）授权委托书（</w:t>
      </w:r>
      <w:r>
        <w:rPr>
          <w:rFonts w:hint="eastAsia" w:ascii="宋体" w:hAnsi="宋体" w:cs="Calibri Light"/>
          <w:color w:val="auto"/>
          <w:sz w:val="24"/>
          <w:highlight w:val="none"/>
        </w:rPr>
        <w:t>若规定签字或盖章位置由法定代表人签字盖章的，则无需提供法定代表人授权书，仅提供法定代表人身份证明即可，法定代表人须与营业执照上载明的一致）</w:t>
      </w:r>
      <w:r>
        <w:rPr>
          <w:rFonts w:ascii="宋体" w:hAnsi="宋体" w:cs="Calibri Light"/>
          <w:color w:val="auto"/>
          <w:sz w:val="24"/>
          <w:highlight w:val="none"/>
        </w:rPr>
        <w:t>；</w:t>
      </w:r>
    </w:p>
    <w:p w14:paraId="66D66275">
      <w:pPr>
        <w:widowControl/>
        <w:adjustRightInd w:val="0"/>
        <w:snapToGrid w:val="0"/>
        <w:spacing w:line="312" w:lineRule="auto"/>
        <w:ind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rPr>
        <w:t>（</w:t>
      </w:r>
      <w:r>
        <w:rPr>
          <w:rFonts w:ascii="宋体" w:hAnsi="宋体" w:cs="Calibri Light"/>
          <w:color w:val="auto"/>
          <w:sz w:val="24"/>
          <w:highlight w:val="none"/>
        </w:rPr>
        <w:t>3）</w:t>
      </w:r>
      <w:r>
        <w:rPr>
          <w:rFonts w:hint="eastAsia" w:ascii="宋体" w:hAnsi="宋体" w:cs="Calibri Light"/>
          <w:color w:val="auto"/>
          <w:sz w:val="24"/>
          <w:highlight w:val="none"/>
        </w:rPr>
        <w:t>企业营业执照或事业单位法人证书</w:t>
      </w:r>
      <w:r>
        <w:rPr>
          <w:rFonts w:ascii="宋体" w:hAnsi="宋体" w:cs="Calibri Light"/>
          <w:color w:val="auto"/>
          <w:sz w:val="24"/>
          <w:highlight w:val="none"/>
        </w:rPr>
        <w:t>；</w:t>
      </w:r>
    </w:p>
    <w:p w14:paraId="6E74D1D7">
      <w:pPr>
        <w:widowControl/>
        <w:adjustRightInd w:val="0"/>
        <w:snapToGrid w:val="0"/>
        <w:spacing w:line="312" w:lineRule="auto"/>
        <w:ind w:firstLine="480" w:firstLineChars="200"/>
        <w:jc w:val="left"/>
        <w:outlineLvl w:val="0"/>
        <w:rPr>
          <w:rFonts w:hint="eastAsia" w:ascii="宋体" w:hAnsi="宋体" w:eastAsia="宋体" w:cs="Calibri Light"/>
          <w:color w:val="auto"/>
          <w:sz w:val="24"/>
          <w:highlight w:val="none"/>
          <w:lang w:eastAsia="zh-CN"/>
        </w:rPr>
      </w:pPr>
      <w:r>
        <w:rPr>
          <w:rFonts w:hint="eastAsia" w:ascii="宋体" w:hAnsi="宋体" w:cs="Calibri Light"/>
          <w:color w:val="auto"/>
          <w:sz w:val="24"/>
          <w:highlight w:val="none"/>
        </w:rPr>
        <w:t>（</w:t>
      </w:r>
      <w:r>
        <w:rPr>
          <w:rFonts w:ascii="宋体" w:hAnsi="宋体" w:cs="Calibri Light"/>
          <w:color w:val="auto"/>
          <w:sz w:val="24"/>
          <w:highlight w:val="none"/>
        </w:rPr>
        <w:t>4）</w:t>
      </w:r>
      <w:r>
        <w:rPr>
          <w:rFonts w:hint="eastAsia" w:ascii="宋体" w:hAnsi="宋体" w:cs="Calibri Light"/>
          <w:color w:val="auto"/>
          <w:sz w:val="24"/>
          <w:highlight w:val="none"/>
        </w:rPr>
        <w:t>中小企业声明函</w:t>
      </w:r>
      <w:r>
        <w:rPr>
          <w:rFonts w:hint="eastAsia" w:ascii="宋体" w:hAnsi="宋体" w:cs="Calibri Light"/>
          <w:color w:val="auto"/>
          <w:sz w:val="24"/>
          <w:highlight w:val="none"/>
          <w:lang w:eastAsia="zh-CN"/>
        </w:rPr>
        <w:t>；</w:t>
      </w:r>
    </w:p>
    <w:p w14:paraId="3754F880">
      <w:pPr>
        <w:widowControl/>
        <w:adjustRightInd w:val="0"/>
        <w:snapToGrid w:val="0"/>
        <w:spacing w:line="312" w:lineRule="auto"/>
        <w:ind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lang w:eastAsia="zh-CN"/>
        </w:rPr>
        <w:t>（</w:t>
      </w:r>
      <w:r>
        <w:rPr>
          <w:rFonts w:hint="eastAsia" w:ascii="宋体" w:hAnsi="宋体" w:cs="Calibri Light"/>
          <w:color w:val="auto"/>
          <w:sz w:val="24"/>
          <w:highlight w:val="none"/>
          <w:lang w:val="en-US" w:eastAsia="zh-CN"/>
        </w:rPr>
        <w:t>5</w:t>
      </w:r>
      <w:r>
        <w:rPr>
          <w:rFonts w:hint="eastAsia" w:ascii="宋体" w:hAnsi="宋体" w:cs="Calibri Light"/>
          <w:color w:val="auto"/>
          <w:sz w:val="24"/>
          <w:highlight w:val="none"/>
          <w:lang w:eastAsia="zh-CN"/>
        </w:rPr>
        <w:t>）经省公安厅核准具有保安服务许可证</w:t>
      </w:r>
      <w:r>
        <w:rPr>
          <w:rFonts w:ascii="宋体" w:hAnsi="宋体" w:cs="Calibri Light"/>
          <w:color w:val="auto"/>
          <w:sz w:val="24"/>
          <w:highlight w:val="none"/>
        </w:rPr>
        <w:t>；</w:t>
      </w:r>
    </w:p>
    <w:p w14:paraId="79163B1B">
      <w:pPr>
        <w:widowControl/>
        <w:adjustRightInd w:val="0"/>
        <w:snapToGrid w:val="0"/>
        <w:spacing w:line="312" w:lineRule="auto"/>
        <w:ind w:firstLine="480" w:firstLineChars="200"/>
        <w:jc w:val="left"/>
        <w:outlineLvl w:val="0"/>
        <w:rPr>
          <w:rFonts w:ascii="宋体" w:hAnsi="宋体"/>
          <w:color w:val="auto"/>
          <w:sz w:val="24"/>
          <w:highlight w:val="none"/>
        </w:rPr>
      </w:pPr>
      <w:r>
        <w:rPr>
          <w:rFonts w:hint="eastAsia" w:ascii="宋体" w:hAnsi="宋体" w:cs="Calibri Light"/>
          <w:color w:val="auto"/>
          <w:sz w:val="24"/>
          <w:highlight w:val="none"/>
        </w:rPr>
        <w:t>（</w:t>
      </w:r>
      <w:r>
        <w:rPr>
          <w:rFonts w:hint="eastAsia" w:ascii="宋体" w:hAnsi="宋体" w:cs="Calibri Light"/>
          <w:color w:val="auto"/>
          <w:sz w:val="24"/>
          <w:highlight w:val="none"/>
          <w:lang w:val="en-US" w:eastAsia="zh-CN"/>
        </w:rPr>
        <w:t>6</w:t>
      </w:r>
      <w:r>
        <w:rPr>
          <w:rFonts w:ascii="宋体" w:hAnsi="宋体" w:cs="Calibri Light"/>
          <w:color w:val="auto"/>
          <w:sz w:val="24"/>
          <w:highlight w:val="none"/>
        </w:rPr>
        <w:t>）</w:t>
      </w:r>
      <w:r>
        <w:rPr>
          <w:rFonts w:hint="eastAsia" w:ascii="宋体" w:hAnsi="宋体" w:cs="Calibri Light"/>
          <w:color w:val="auto"/>
          <w:sz w:val="24"/>
          <w:highlight w:val="none"/>
        </w:rPr>
        <w:t>供应商认为需要说明的其他资料。</w:t>
      </w:r>
    </w:p>
    <w:p w14:paraId="12B44C3C">
      <w:pPr>
        <w:adjustRightInd w:val="0"/>
        <w:snapToGrid w:val="0"/>
        <w:spacing w:line="312" w:lineRule="auto"/>
        <w:ind w:firstLine="482" w:firstLineChars="200"/>
        <w:rPr>
          <w:rFonts w:ascii="宋体" w:hAnsi="宋体"/>
          <w:b/>
          <w:color w:val="auto"/>
          <w:sz w:val="24"/>
          <w:highlight w:val="none"/>
        </w:rPr>
      </w:pPr>
      <w:r>
        <w:rPr>
          <w:rFonts w:ascii="宋体" w:hAnsi="宋体"/>
          <w:b/>
          <w:color w:val="auto"/>
          <w:sz w:val="24"/>
          <w:highlight w:val="none"/>
        </w:rPr>
        <w:t>2、商务与技术</w:t>
      </w:r>
      <w:r>
        <w:rPr>
          <w:rFonts w:hint="eastAsia" w:ascii="宋体" w:hAnsi="宋体"/>
          <w:b/>
          <w:color w:val="auto"/>
          <w:sz w:val="24"/>
          <w:highlight w:val="none"/>
        </w:rPr>
        <w:t>响应文件</w:t>
      </w:r>
      <w:r>
        <w:rPr>
          <w:rFonts w:ascii="宋体" w:hAnsi="宋体"/>
          <w:b/>
          <w:color w:val="auto"/>
          <w:sz w:val="24"/>
          <w:highlight w:val="none"/>
        </w:rPr>
        <w:t>的组成：</w:t>
      </w:r>
    </w:p>
    <w:p w14:paraId="23A41C47">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1）商务及技术响应表</w:t>
      </w:r>
      <w:r>
        <w:rPr>
          <w:rFonts w:hint="eastAsia" w:ascii="宋体" w:hAnsi="宋体"/>
          <w:color w:val="auto"/>
          <w:sz w:val="24"/>
          <w:highlight w:val="none"/>
        </w:rPr>
        <w:t>；</w:t>
      </w:r>
    </w:p>
    <w:p w14:paraId="28E80F0B">
      <w:pPr>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）其余内容根据评标办法自拟</w:t>
      </w:r>
      <w:r>
        <w:rPr>
          <w:rFonts w:hint="eastAsia" w:ascii="宋体" w:hAnsi="宋体"/>
          <w:color w:val="auto"/>
          <w:kern w:val="0"/>
          <w:sz w:val="24"/>
          <w:highlight w:val="none"/>
        </w:rPr>
        <w:t>；</w:t>
      </w:r>
    </w:p>
    <w:p w14:paraId="266A826F">
      <w:pPr>
        <w:pStyle w:val="10"/>
        <w:widowControl/>
        <w:adjustRightInd w:val="0"/>
        <w:snapToGrid w:val="0"/>
        <w:spacing w:line="312" w:lineRule="auto"/>
        <w:ind w:firstLine="622" w:firstLineChars="258"/>
        <w:rPr>
          <w:rFonts w:ascii="宋体" w:hAnsi="宋体" w:cs="Calibri Light"/>
          <w:color w:val="auto"/>
          <w:sz w:val="24"/>
          <w:szCs w:val="24"/>
          <w:highlight w:val="none"/>
        </w:rPr>
      </w:pPr>
      <w:r>
        <w:rPr>
          <w:rFonts w:hint="eastAsia" w:ascii="宋体" w:hAnsi="宋体"/>
          <w:b/>
          <w:color w:val="auto"/>
          <w:kern w:val="0"/>
          <w:sz w:val="24"/>
          <w:highlight w:val="none"/>
        </w:rPr>
        <w:t>招标需求中要求提供的相关证明材料及根据评标办法提供的证明材料均需在投标文件中提供原件的扫描件。</w:t>
      </w:r>
    </w:p>
    <w:p w14:paraId="68F805AD">
      <w:pPr>
        <w:autoSpaceDE w:val="0"/>
        <w:autoSpaceDN w:val="0"/>
        <w:adjustRightInd w:val="0"/>
        <w:snapToGrid w:val="0"/>
        <w:spacing w:line="312" w:lineRule="auto"/>
        <w:ind w:firstLine="542" w:firstLineChars="225"/>
        <w:rPr>
          <w:rFonts w:ascii="宋体" w:hAnsi="宋体"/>
          <w:b/>
          <w:color w:val="auto"/>
          <w:kern w:val="0"/>
          <w:sz w:val="24"/>
          <w:highlight w:val="none"/>
        </w:rPr>
      </w:pPr>
      <w:r>
        <w:rPr>
          <w:rFonts w:ascii="宋体" w:hAnsi="宋体"/>
          <w:b/>
          <w:color w:val="auto"/>
          <w:kern w:val="0"/>
          <w:sz w:val="24"/>
          <w:highlight w:val="none"/>
        </w:rPr>
        <w:t>3、报价</w:t>
      </w:r>
      <w:r>
        <w:rPr>
          <w:rFonts w:hint="eastAsia" w:ascii="宋体" w:hAnsi="宋体"/>
          <w:b/>
          <w:color w:val="auto"/>
          <w:kern w:val="0"/>
          <w:sz w:val="24"/>
          <w:highlight w:val="none"/>
        </w:rPr>
        <w:t>响应文件</w:t>
      </w:r>
      <w:r>
        <w:rPr>
          <w:rFonts w:ascii="宋体" w:hAnsi="宋体"/>
          <w:b/>
          <w:color w:val="auto"/>
          <w:kern w:val="0"/>
          <w:sz w:val="24"/>
          <w:highlight w:val="none"/>
        </w:rPr>
        <w:t>的组成</w:t>
      </w:r>
    </w:p>
    <w:p w14:paraId="7165E0B9">
      <w:pPr>
        <w:pStyle w:val="43"/>
        <w:adjustRightInd w:val="0"/>
        <w:snapToGrid w:val="0"/>
        <w:spacing w:line="312" w:lineRule="auto"/>
        <w:ind w:left="0" w:leftChars="0"/>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1）报价内容由首次报价一览表，以及供应商认为其他需要说明的内容组成</w:t>
      </w:r>
      <w:r>
        <w:rPr>
          <w:rFonts w:hint="eastAsia" w:ascii="宋体" w:hAnsi="宋体"/>
          <w:color w:val="auto"/>
          <w:kern w:val="0"/>
          <w:highlight w:val="none"/>
        </w:rPr>
        <w:t>；</w:t>
      </w:r>
    </w:p>
    <w:p w14:paraId="7B6473E3">
      <w:pPr>
        <w:autoSpaceDE w:val="0"/>
        <w:autoSpaceDN w:val="0"/>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2）此报价为供应商针对本项目报出的唯一的首次报价，包含其它一切所要涉及到的费用，有选择的报价将被拒绝</w:t>
      </w:r>
      <w:r>
        <w:rPr>
          <w:rFonts w:hint="eastAsia" w:ascii="宋体" w:hAnsi="宋体"/>
          <w:color w:val="auto"/>
          <w:kern w:val="0"/>
          <w:sz w:val="24"/>
          <w:highlight w:val="none"/>
        </w:rPr>
        <w:t>；</w:t>
      </w:r>
    </w:p>
    <w:p w14:paraId="3E595610">
      <w:pPr>
        <w:adjustRightInd w:val="0"/>
        <w:snapToGrid w:val="0"/>
        <w:spacing w:line="312"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ascii="宋体" w:hAnsi="宋体"/>
          <w:color w:val="auto"/>
          <w:kern w:val="0"/>
          <w:sz w:val="24"/>
          <w:highlight w:val="none"/>
        </w:rPr>
        <w:t>3</w:t>
      </w:r>
      <w:r>
        <w:rPr>
          <w:rFonts w:hint="eastAsia" w:ascii="宋体" w:hAnsi="宋体"/>
          <w:color w:val="auto"/>
          <w:kern w:val="0"/>
          <w:sz w:val="24"/>
          <w:highlight w:val="none"/>
          <w:lang w:val="zh-CN"/>
        </w:rPr>
        <w:t>）总报价应当包含本项目采购内容中的所有工作开支。包括但不限于现场踏勘、调研</w:t>
      </w:r>
      <w:r>
        <w:rPr>
          <w:rFonts w:ascii="宋体" w:hAnsi="宋体"/>
          <w:color w:val="auto"/>
          <w:kern w:val="0"/>
          <w:sz w:val="24"/>
          <w:highlight w:val="none"/>
          <w:lang w:val="zh-CN"/>
        </w:rPr>
        <w:t>及前期</w:t>
      </w:r>
      <w:r>
        <w:rPr>
          <w:rFonts w:hint="eastAsia" w:ascii="宋体" w:hAnsi="宋体"/>
          <w:color w:val="auto"/>
          <w:kern w:val="0"/>
          <w:sz w:val="24"/>
          <w:highlight w:val="none"/>
          <w:lang w:val="zh-CN"/>
        </w:rPr>
        <w:t>资料收集整理、组织评审专家费、会务费、餐费、专家住宿费、最终相关专题及报告的编制、印刷、报相关主管部门审批、咨询费、风险费、保险、利润、规费、税金、政策性文件规定及合同包含的所有风险、责任等所有费用；</w:t>
      </w:r>
    </w:p>
    <w:p w14:paraId="0FEC9361">
      <w:pPr>
        <w:adjustRightInd w:val="0"/>
        <w:snapToGrid w:val="0"/>
        <w:spacing w:line="312"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w:t>
      </w:r>
    </w:p>
    <w:p w14:paraId="43609027">
      <w:pPr>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kern w:val="0"/>
          <w:sz w:val="24"/>
          <w:highlight w:val="none"/>
        </w:rPr>
        <w:t>相关报价表需打印或用不退色的墨水填写，</w:t>
      </w:r>
      <w:r>
        <w:rPr>
          <w:rFonts w:ascii="宋体" w:hAnsi="宋体"/>
          <w:color w:val="auto"/>
          <w:kern w:val="0"/>
          <w:sz w:val="24"/>
          <w:highlight w:val="none"/>
        </w:rPr>
        <w:t xml:space="preserve"> </w:t>
      </w:r>
      <w:r>
        <w:rPr>
          <w:rFonts w:hint="eastAsia" w:ascii="宋体" w:hAnsi="宋体"/>
          <w:color w:val="auto"/>
          <w:kern w:val="0"/>
          <w:sz w:val="24"/>
          <w:highlight w:val="none"/>
        </w:rPr>
        <w:t>磋商响应报价表不得涂改和增删，如有错漏必须修改，修改处须由同一签署人签字或盖章。由于字迹模糊或表达不清引起的后果由供应商负责；</w:t>
      </w:r>
    </w:p>
    <w:p w14:paraId="64C272AB">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磋商采购</w:t>
      </w:r>
      <w:r>
        <w:rPr>
          <w:rFonts w:ascii="宋体" w:hAnsi="宋体"/>
          <w:color w:val="auto"/>
          <w:sz w:val="24"/>
          <w:highlight w:val="none"/>
        </w:rPr>
        <w:t>文件中相关附表格式填写</w:t>
      </w:r>
      <w:r>
        <w:rPr>
          <w:rFonts w:hint="eastAsia" w:ascii="宋体" w:hAnsi="宋体"/>
          <w:color w:val="auto"/>
          <w:sz w:val="24"/>
          <w:highlight w:val="none"/>
        </w:rPr>
        <w:t>；</w:t>
      </w:r>
    </w:p>
    <w:p w14:paraId="52FF79D8">
      <w:pPr>
        <w:adjustRightInd w:val="0"/>
        <w:snapToGrid w:val="0"/>
        <w:spacing w:line="312" w:lineRule="auto"/>
        <w:ind w:firstLine="480" w:firstLineChars="200"/>
        <w:rPr>
          <w:rFonts w:ascii="宋体" w:hAnsi="宋体" w:cs="Calibri Light"/>
          <w:bCs/>
          <w:color w:val="auto"/>
          <w:sz w:val="24"/>
          <w:highlight w:val="none"/>
          <w:lang w:val="zh-CN"/>
        </w:rPr>
      </w:pPr>
      <w:r>
        <w:rPr>
          <w:rFonts w:hint="eastAsia" w:ascii="宋体" w:hAnsi="宋体" w:cs="Calibri Light"/>
          <w:bCs/>
          <w:color w:val="auto"/>
          <w:sz w:val="24"/>
          <w:highlight w:val="none"/>
          <w:lang w:val="zh-CN"/>
        </w:rPr>
        <w:t>（</w:t>
      </w:r>
      <w:r>
        <w:rPr>
          <w:rFonts w:ascii="宋体" w:hAnsi="宋体" w:cs="Calibri Light"/>
          <w:bCs/>
          <w:color w:val="auto"/>
          <w:sz w:val="24"/>
          <w:highlight w:val="none"/>
          <w:lang w:val="zh-CN"/>
        </w:rPr>
        <w:t>7）</w:t>
      </w:r>
      <w:r>
        <w:rPr>
          <w:rFonts w:hint="eastAsia" w:ascii="宋体" w:hAnsi="宋体" w:cs="Calibri Light"/>
          <w:bCs/>
          <w:color w:val="auto"/>
          <w:sz w:val="24"/>
          <w:highlight w:val="none"/>
          <w:lang w:val="zh-CN"/>
        </w:rPr>
        <w:t>授权委托代理人</w:t>
      </w:r>
      <w:r>
        <w:rPr>
          <w:rFonts w:ascii="宋体" w:hAnsi="宋体" w:cs="Calibri Light"/>
          <w:bCs/>
          <w:color w:val="auto"/>
          <w:sz w:val="24"/>
          <w:highlight w:val="none"/>
          <w:lang w:val="zh-CN"/>
        </w:rPr>
        <w:t>或法定代表人的手机号码和电子邮箱必须准确填写，开评标过程中须保持手机号码和电子邮箱畅通，随时进行项目磋商情况通报及回执。若法定代表人无法准时及全过程参加本项目线上招投标活动的，建议</w:t>
      </w:r>
      <w:r>
        <w:rPr>
          <w:rFonts w:hint="eastAsia" w:ascii="宋体" w:hAnsi="宋体" w:cs="Calibri Light"/>
          <w:bCs/>
          <w:color w:val="auto"/>
          <w:sz w:val="24"/>
          <w:highlight w:val="none"/>
          <w:lang w:val="zh-CN"/>
        </w:rPr>
        <w:t>授权委托代理人</w:t>
      </w:r>
      <w:r>
        <w:rPr>
          <w:rFonts w:ascii="宋体" w:hAnsi="宋体" w:cs="Calibri Light"/>
          <w:bCs/>
          <w:color w:val="auto"/>
          <w:sz w:val="24"/>
          <w:highlight w:val="none"/>
          <w:lang w:val="zh-CN"/>
        </w:rPr>
        <w:t>参加。磋商环节通过电话远程磋商（如有）</w:t>
      </w:r>
      <w:r>
        <w:rPr>
          <w:rFonts w:hint="eastAsia" w:ascii="宋体" w:hAnsi="宋体" w:cs="Calibri Light"/>
          <w:bCs/>
          <w:color w:val="auto"/>
          <w:sz w:val="24"/>
          <w:highlight w:val="none"/>
          <w:lang w:val="zh-CN"/>
        </w:rPr>
        <w:t>。</w:t>
      </w:r>
    </w:p>
    <w:p w14:paraId="39269571">
      <w:pPr>
        <w:adjustRightInd w:val="0"/>
        <w:snapToGrid w:val="0"/>
        <w:spacing w:line="312" w:lineRule="auto"/>
        <w:ind w:left="-720" w:firstLine="723" w:firstLineChars="300"/>
        <w:rPr>
          <w:rFonts w:ascii="宋体" w:hAnsi="宋体" w:cs="楷体_GB2312"/>
          <w:color w:val="auto"/>
          <w:sz w:val="24"/>
          <w:highlight w:val="none"/>
          <w:lang w:val="zh-CN"/>
        </w:rPr>
      </w:pPr>
      <w:r>
        <w:rPr>
          <w:rFonts w:hint="eastAsia" w:ascii="宋体" w:hAnsi="宋体"/>
          <w:b/>
          <w:bCs/>
          <w:color w:val="auto"/>
          <w:kern w:val="0"/>
          <w:sz w:val="24"/>
          <w:highlight w:val="none"/>
        </w:rPr>
        <w:t>（二）磋商响应文件的制作、封装及递交要求</w:t>
      </w:r>
    </w:p>
    <w:p w14:paraId="61F7412B">
      <w:pPr>
        <w:autoSpaceDE w:val="0"/>
        <w:autoSpaceDN w:val="0"/>
        <w:adjustRightInd w:val="0"/>
        <w:snapToGrid w:val="0"/>
        <w:spacing w:line="312" w:lineRule="auto"/>
        <w:ind w:firstLine="480"/>
        <w:rPr>
          <w:rFonts w:ascii="宋体" w:hAnsi="宋体"/>
          <w:b/>
          <w:color w:val="auto"/>
          <w:sz w:val="24"/>
          <w:highlight w:val="none"/>
        </w:rPr>
      </w:pPr>
      <w:r>
        <w:rPr>
          <w:rFonts w:ascii="宋体" w:hAnsi="宋体"/>
          <w:b/>
          <w:color w:val="auto"/>
          <w:sz w:val="24"/>
          <w:highlight w:val="none"/>
        </w:rPr>
        <w:t>1、磋商响应文件的制作要求</w:t>
      </w:r>
    </w:p>
    <w:p w14:paraId="5A57A792">
      <w:pPr>
        <w:adjustRightInd w:val="0"/>
        <w:snapToGrid w:val="0"/>
        <w:spacing w:line="312" w:lineRule="auto"/>
        <w:ind w:firstLine="480" w:firstLineChars="200"/>
        <w:rPr>
          <w:rFonts w:ascii="宋体" w:hAnsi="宋体" w:cs="Arial"/>
          <w:color w:val="auto"/>
          <w:sz w:val="24"/>
          <w:highlight w:val="none"/>
        </w:rPr>
      </w:pPr>
      <w:bookmarkStart w:id="3" w:name="_Hlk37939187"/>
      <w:r>
        <w:rPr>
          <w:rFonts w:hint="eastAsia" w:asciiTheme="minorEastAsia" w:hAnsiTheme="minorEastAsia"/>
          <w:color w:val="auto"/>
          <w:sz w:val="24"/>
          <w:highlight w:val="none"/>
        </w:rPr>
        <w:t>（</w:t>
      </w:r>
      <w:r>
        <w:rPr>
          <w:rFonts w:asciiTheme="minorEastAsia" w:hAnsiTheme="minorEastAsia"/>
          <w:color w:val="auto"/>
          <w:sz w:val="24"/>
          <w:highlight w:val="none"/>
        </w:rPr>
        <w:t>1）</w:t>
      </w:r>
      <w:r>
        <w:rPr>
          <w:rFonts w:hint="eastAsia" w:ascii="宋体" w:hAnsi="宋体" w:cs="Arial"/>
          <w:color w:val="auto"/>
          <w:sz w:val="24"/>
          <w:highlight w:val="none"/>
        </w:rPr>
        <w:t>本项目通过“政府采购云平台（</w:t>
      </w:r>
      <w:r>
        <w:rPr>
          <w:rFonts w:ascii="宋体" w:hAnsi="宋体" w:cs="Arial"/>
          <w:color w:val="auto"/>
          <w:sz w:val="24"/>
          <w:highlight w:val="none"/>
        </w:rPr>
        <w:t>www.zcygov.cn</w:t>
      </w:r>
      <w:r>
        <w:rPr>
          <w:rFonts w:hint="eastAsia" w:ascii="宋体" w:hAnsi="宋体" w:cs="Arial"/>
          <w:color w:val="auto"/>
          <w:sz w:val="24"/>
          <w:highlight w:val="none"/>
        </w:rPr>
        <w:t>）”实行在线投标响应（电子投标）。供应商应通过“政采云电子交易客户端”，并按照本招标文件和“政府采购云平台”的要求编制并加密投标文件。</w:t>
      </w:r>
    </w:p>
    <w:p w14:paraId="668EBC37">
      <w:pPr>
        <w:adjustRightInd w:val="0"/>
        <w:snapToGrid w:val="0"/>
        <w:spacing w:line="312"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2）投标供应商应当按照本</w:t>
      </w:r>
      <w:r>
        <w:rPr>
          <w:rFonts w:hint="eastAsia" w:ascii="宋体" w:hAnsi="宋体" w:cs="Arial"/>
          <w:color w:val="auto"/>
          <w:kern w:val="0"/>
          <w:sz w:val="24"/>
          <w:highlight w:val="none"/>
        </w:rPr>
        <w:t>章节</w:t>
      </w:r>
      <w:r>
        <w:rPr>
          <w:rFonts w:ascii="宋体" w:hAnsi="宋体" w:cs="Arial"/>
          <w:color w:val="auto"/>
          <w:kern w:val="0"/>
          <w:sz w:val="24"/>
          <w:highlight w:val="none"/>
        </w:rPr>
        <w:t xml:space="preserve"> </w:t>
      </w:r>
      <w:r>
        <w:rPr>
          <w:rFonts w:hint="eastAsia" w:ascii="宋体" w:hAnsi="宋体" w:cs="Arial"/>
          <w:color w:val="auto"/>
          <w:kern w:val="0"/>
          <w:sz w:val="24"/>
          <w:highlight w:val="none"/>
        </w:rPr>
        <w:t>“投标文件组成”规定的内容及顺序在“政采云电子交易客户端”编制投标文件。其中《资格证明文件》和《商务与技术响应文件》中不得出现本项目投标报价，如因投标人原因提前泄露投标报价，是投标人的责任。</w:t>
      </w:r>
    </w:p>
    <w:p w14:paraId="20B041BC">
      <w:pPr>
        <w:autoSpaceDE w:val="0"/>
        <w:autoSpaceDN w:val="0"/>
        <w:adjustRightInd w:val="0"/>
        <w:snapToGrid w:val="0"/>
        <w:spacing w:line="312" w:lineRule="auto"/>
        <w:ind w:firstLine="480"/>
        <w:rPr>
          <w:rFonts w:ascii="宋体" w:hAnsi="宋体"/>
          <w:b/>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ascii="宋体" w:hAnsi="宋体"/>
          <w:b/>
          <w:color w:val="auto"/>
          <w:sz w:val="24"/>
          <w:highlight w:val="none"/>
        </w:rPr>
        <w:t xml:space="preserve">本文件《第六部分  </w:t>
      </w:r>
      <w:r>
        <w:rPr>
          <w:rFonts w:hint="eastAsia" w:ascii="宋体" w:hAnsi="宋体"/>
          <w:b/>
          <w:color w:val="auto"/>
          <w:sz w:val="24"/>
          <w:highlight w:val="none"/>
        </w:rPr>
        <w:t>响应文件格式附件》中有</w:t>
      </w:r>
      <w:r>
        <w:rPr>
          <w:rFonts w:ascii="宋体" w:hAnsi="宋体"/>
          <w:b/>
          <w:color w:val="auto"/>
          <w:sz w:val="24"/>
          <w:highlight w:val="none"/>
        </w:rPr>
        <w:t>提供格式的，投标</w:t>
      </w:r>
      <w:r>
        <w:rPr>
          <w:rFonts w:hint="eastAsia" w:ascii="宋体" w:hAnsi="宋体"/>
          <w:b/>
          <w:color w:val="auto"/>
          <w:sz w:val="24"/>
          <w:highlight w:val="none"/>
        </w:rPr>
        <w:t>供应商须参</w:t>
      </w:r>
      <w:r>
        <w:rPr>
          <w:rFonts w:ascii="宋体" w:hAnsi="宋体"/>
          <w:b/>
          <w:color w:val="auto"/>
          <w:sz w:val="24"/>
          <w:highlight w:val="none"/>
        </w:rPr>
        <w:t>照格式</w:t>
      </w:r>
      <w:r>
        <w:rPr>
          <w:rFonts w:hint="eastAsia" w:ascii="宋体" w:hAnsi="宋体"/>
          <w:b/>
          <w:color w:val="auto"/>
          <w:sz w:val="24"/>
          <w:highlight w:val="none"/>
        </w:rPr>
        <w:t>进行编制（格式中要求提供相关证明材料的还需后附相关证明材料），并按格式要求在指定位置根据要求进行电子签章，否则视为未提供；本文件《第六部分</w:t>
      </w:r>
      <w:r>
        <w:rPr>
          <w:rFonts w:ascii="宋体" w:hAnsi="宋体"/>
          <w:b/>
          <w:color w:val="auto"/>
          <w:sz w:val="24"/>
          <w:highlight w:val="none"/>
        </w:rPr>
        <w:t xml:space="preserve">  </w:t>
      </w:r>
      <w:r>
        <w:rPr>
          <w:rFonts w:hint="eastAsia" w:ascii="宋体" w:hAnsi="宋体"/>
          <w:b/>
          <w:color w:val="auto"/>
          <w:sz w:val="24"/>
          <w:highlight w:val="none"/>
        </w:rPr>
        <w:t>响应文件格式附件》</w:t>
      </w:r>
      <w:r>
        <w:rPr>
          <w:rFonts w:ascii="宋体" w:hAnsi="宋体"/>
          <w:b/>
          <w:color w:val="auto"/>
          <w:sz w:val="24"/>
          <w:highlight w:val="none"/>
        </w:rPr>
        <w:t>未提供格式的，请各投标单位自行拟定格式</w:t>
      </w:r>
      <w:r>
        <w:rPr>
          <w:rFonts w:hint="eastAsia" w:ascii="宋体" w:hAnsi="宋体"/>
          <w:b/>
          <w:color w:val="auto"/>
          <w:sz w:val="24"/>
          <w:highlight w:val="none"/>
        </w:rPr>
        <w:t>。</w:t>
      </w:r>
    </w:p>
    <w:p w14:paraId="7AFF181F">
      <w:pPr>
        <w:autoSpaceDE w:val="0"/>
        <w:autoSpaceDN w:val="0"/>
        <w:adjustRightInd w:val="0"/>
        <w:snapToGrid w:val="0"/>
        <w:spacing w:line="312"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）供应商应对所提供的全部资料的真实性承担法律责任。</w:t>
      </w:r>
    </w:p>
    <w:p w14:paraId="3F70B990">
      <w:pPr>
        <w:adjustRightInd w:val="0"/>
        <w:snapToGrid w:val="0"/>
        <w:spacing w:line="312"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sz w:val="24"/>
          <w:highlight w:val="none"/>
        </w:rPr>
        <w:t>磋商响应文件</w:t>
      </w:r>
      <w:r>
        <w:rPr>
          <w:rFonts w:ascii="宋体" w:hAnsi="宋体"/>
          <w:color w:val="auto"/>
          <w:sz w:val="24"/>
          <w:highlight w:val="none"/>
        </w:rPr>
        <w:t>以及</w:t>
      </w:r>
      <w:r>
        <w:rPr>
          <w:rFonts w:hint="eastAsia" w:ascii="宋体" w:hAnsi="宋体"/>
          <w:color w:val="auto"/>
          <w:sz w:val="24"/>
          <w:highlight w:val="none"/>
        </w:rPr>
        <w:t>磋商供应商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就有关磋商事宜的所有来往函电，均应以中文汉语书写。除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磋商响应文件</w:t>
      </w:r>
      <w:r>
        <w:rPr>
          <w:rFonts w:ascii="宋体" w:hAnsi="宋体"/>
          <w:color w:val="auto"/>
          <w:sz w:val="24"/>
          <w:highlight w:val="none"/>
        </w:rPr>
        <w:t>视同未提供。</w:t>
      </w:r>
    </w:p>
    <w:p w14:paraId="25F774EA">
      <w:pPr>
        <w:adjustRightInd w:val="0"/>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磋商计量单位，</w:t>
      </w:r>
      <w:r>
        <w:rPr>
          <w:rFonts w:hint="eastAsia" w:ascii="宋体" w:hAnsi="宋体"/>
          <w:bCs/>
          <w:color w:val="auto"/>
          <w:sz w:val="24"/>
          <w:highlight w:val="none"/>
        </w:rPr>
        <w:t>磋商采购文件</w:t>
      </w:r>
      <w:r>
        <w:rPr>
          <w:rFonts w:ascii="宋体" w:hAnsi="宋体"/>
          <w:color w:val="auto"/>
          <w:sz w:val="24"/>
          <w:highlight w:val="none"/>
        </w:rPr>
        <w:t>已有明确规定的，使用</w:t>
      </w:r>
      <w:r>
        <w:rPr>
          <w:rFonts w:hint="eastAsia" w:ascii="宋体" w:hAnsi="宋体"/>
          <w:bCs/>
          <w:color w:val="auto"/>
          <w:sz w:val="24"/>
          <w:highlight w:val="none"/>
        </w:rPr>
        <w:t>磋商采购文件</w:t>
      </w:r>
      <w:r>
        <w:rPr>
          <w:rFonts w:ascii="宋体" w:hAnsi="宋体"/>
          <w:color w:val="auto"/>
          <w:sz w:val="24"/>
          <w:highlight w:val="none"/>
        </w:rPr>
        <w:t>规定的计量单位；</w:t>
      </w:r>
      <w:r>
        <w:rPr>
          <w:rFonts w:hint="eastAsia" w:ascii="宋体" w:hAnsi="宋体"/>
          <w:bCs/>
          <w:color w:val="auto"/>
          <w:sz w:val="24"/>
          <w:highlight w:val="none"/>
        </w:rPr>
        <w:t>磋商采购文件</w:t>
      </w:r>
      <w:r>
        <w:rPr>
          <w:rFonts w:ascii="宋体" w:hAnsi="宋体"/>
          <w:color w:val="auto"/>
          <w:sz w:val="24"/>
          <w:highlight w:val="none"/>
        </w:rPr>
        <w:t>没有规定的，应采用中华人民共和国法定计量单位（</w:t>
      </w:r>
      <w:r>
        <w:rPr>
          <w:rFonts w:ascii="宋体" w:hAnsi="宋体"/>
          <w:b/>
          <w:bCs/>
          <w:color w:val="auto"/>
          <w:sz w:val="24"/>
          <w:highlight w:val="none"/>
        </w:rPr>
        <w:t>货币单位：人民币元</w:t>
      </w:r>
      <w:r>
        <w:rPr>
          <w:rFonts w:ascii="宋体" w:hAnsi="宋体"/>
          <w:color w:val="auto"/>
          <w:sz w:val="24"/>
          <w:highlight w:val="none"/>
        </w:rPr>
        <w:t>），否则视同未响应。</w:t>
      </w:r>
    </w:p>
    <w:p w14:paraId="02890314">
      <w:pPr>
        <w:autoSpaceDE w:val="0"/>
        <w:autoSpaceDN w:val="0"/>
        <w:adjustRightInd w:val="0"/>
        <w:snapToGrid w:val="0"/>
        <w:spacing w:line="312"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若</w:t>
      </w:r>
      <w:r>
        <w:rPr>
          <w:rFonts w:hint="eastAsia" w:ascii="宋体" w:hAnsi="宋体"/>
          <w:color w:val="auto"/>
          <w:sz w:val="24"/>
          <w:highlight w:val="none"/>
        </w:rPr>
        <w:t>磋商供应商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磋商供应商</w:t>
      </w:r>
      <w:r>
        <w:rPr>
          <w:rFonts w:ascii="宋体" w:hAnsi="宋体"/>
          <w:color w:val="auto"/>
          <w:sz w:val="24"/>
          <w:highlight w:val="none"/>
        </w:rPr>
        <w:t>自行承担。</w:t>
      </w:r>
    </w:p>
    <w:p w14:paraId="635B21E2">
      <w:pPr>
        <w:autoSpaceDE w:val="0"/>
        <w:autoSpaceDN w:val="0"/>
        <w:adjustRightInd w:val="0"/>
        <w:snapToGrid w:val="0"/>
        <w:spacing w:line="312" w:lineRule="auto"/>
        <w:ind w:firstLine="480"/>
        <w:rPr>
          <w:rFonts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ascii="宋体" w:hAnsi="宋体"/>
          <w:b/>
          <w:bCs/>
          <w:color w:val="auto"/>
          <w:sz w:val="24"/>
          <w:highlight w:val="none"/>
        </w:rPr>
        <w:t>与本次磋商无关的内容请不要制作在内，确保磋商响应文件有针对性、简洁明了。</w:t>
      </w:r>
    </w:p>
    <w:p w14:paraId="2663EC27">
      <w:pPr>
        <w:autoSpaceDE w:val="0"/>
        <w:autoSpaceDN w:val="0"/>
        <w:adjustRightInd w:val="0"/>
        <w:snapToGrid w:val="0"/>
        <w:spacing w:line="312" w:lineRule="auto"/>
        <w:ind w:firstLine="480"/>
        <w:rPr>
          <w:rFonts w:ascii="宋体" w:hAnsi="宋体"/>
          <w:color w:val="auto"/>
          <w:sz w:val="24"/>
          <w:highlight w:val="none"/>
        </w:rPr>
      </w:pPr>
      <w:r>
        <w:rPr>
          <w:rFonts w:ascii="宋体" w:hAnsi="宋体"/>
          <w:b/>
          <w:bCs/>
          <w:color w:val="auto"/>
          <w:sz w:val="24"/>
          <w:highlight w:val="none"/>
        </w:rPr>
        <w:t>2、投标文件的签章</w:t>
      </w:r>
    </w:p>
    <w:p w14:paraId="15EFEE10">
      <w:pPr>
        <w:adjustRightInd w:val="0"/>
        <w:snapToGrid w:val="0"/>
        <w:spacing w:line="312"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w:t>
      </w:r>
      <w:r>
        <w:rPr>
          <w:rFonts w:ascii="宋体" w:hAnsi="宋体" w:cs="Arial"/>
          <w:bCs/>
          <w:color w:val="auto"/>
          <w:kern w:val="0"/>
          <w:sz w:val="24"/>
          <w:highlight w:val="none"/>
        </w:rPr>
        <w:t>1）投标文件</w:t>
      </w:r>
      <w:r>
        <w:rPr>
          <w:rFonts w:hint="eastAsia" w:ascii="宋体" w:hAnsi="宋体" w:cs="Arial"/>
          <w:bCs/>
          <w:color w:val="auto"/>
          <w:kern w:val="0"/>
          <w:sz w:val="24"/>
          <w:highlight w:val="none"/>
        </w:rPr>
        <w:t>的签章：</w:t>
      </w:r>
      <w:r>
        <w:rPr>
          <w:rFonts w:hint="eastAsia" w:ascii="宋体" w:hAnsi="宋体"/>
          <w:bCs/>
          <w:color w:val="auto"/>
          <w:sz w:val="24"/>
          <w:highlight w:val="none"/>
        </w:rPr>
        <w:t>见《前附表》；</w:t>
      </w:r>
    </w:p>
    <w:p w14:paraId="37E34A31">
      <w:pPr>
        <w:adjustRightInd w:val="0"/>
        <w:snapToGrid w:val="0"/>
        <w:spacing w:line="312"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w:t>
      </w:r>
      <w:r>
        <w:rPr>
          <w:rFonts w:ascii="宋体" w:hAnsi="宋体" w:cs="Arial"/>
          <w:bCs/>
          <w:color w:val="auto"/>
          <w:kern w:val="0"/>
          <w:sz w:val="24"/>
          <w:highlight w:val="none"/>
        </w:rPr>
        <w:t>2）投标文件</w:t>
      </w:r>
      <w:r>
        <w:rPr>
          <w:rFonts w:hint="eastAsia" w:ascii="宋体" w:hAnsi="宋体" w:cs="Arial"/>
          <w:bCs/>
          <w:color w:val="auto"/>
          <w:kern w:val="0"/>
          <w:sz w:val="24"/>
          <w:highlight w:val="none"/>
        </w:rPr>
        <w:t>应由投标供应商法定代表人或其授权代表签字（或盖章），同时加盖投标供应商电子公章。</w:t>
      </w:r>
    </w:p>
    <w:p w14:paraId="4235E40F">
      <w:pPr>
        <w:autoSpaceDE w:val="0"/>
        <w:autoSpaceDN w:val="0"/>
        <w:adjustRightInd w:val="0"/>
        <w:snapToGrid w:val="0"/>
        <w:spacing w:line="312" w:lineRule="auto"/>
        <w:ind w:firstLine="480"/>
        <w:rPr>
          <w:rFonts w:ascii="宋体" w:hAnsi="宋体"/>
          <w:color w:val="auto"/>
          <w:kern w:val="0"/>
          <w:sz w:val="24"/>
          <w:highlight w:val="none"/>
          <w:lang w:val="zh-CN"/>
        </w:rPr>
      </w:pPr>
      <w:r>
        <w:rPr>
          <w:rFonts w:hint="eastAsia" w:ascii="宋体" w:hAnsi="宋体" w:cs="Arial"/>
          <w:bCs/>
          <w:color w:val="auto"/>
          <w:kern w:val="0"/>
          <w:sz w:val="24"/>
          <w:highlight w:val="none"/>
        </w:rPr>
        <w:t>（</w:t>
      </w:r>
      <w:r>
        <w:rPr>
          <w:rFonts w:ascii="宋体" w:hAnsi="宋体" w:cs="Arial"/>
          <w:bCs/>
          <w:color w:val="auto"/>
          <w:kern w:val="0"/>
          <w:sz w:val="24"/>
          <w:highlight w:val="none"/>
        </w:rPr>
        <w:t>3</w:t>
      </w:r>
      <w:r>
        <w:rPr>
          <w:rFonts w:hint="eastAsia" w:ascii="宋体" w:hAnsi="宋体" w:cs="Arial"/>
          <w:bCs/>
          <w:color w:val="auto"/>
          <w:kern w:val="0"/>
          <w:sz w:val="24"/>
          <w:highlight w:val="none"/>
        </w:rPr>
        <w:t>）电子签章操作指南详见</w:t>
      </w:r>
      <w:r>
        <w:rPr>
          <w:rFonts w:hint="eastAsia" w:ascii="宋体" w:hAnsi="宋体" w:cs="Arial"/>
          <w:bCs/>
          <w:color w:val="auto"/>
          <w:sz w:val="24"/>
          <w:highlight w:val="none"/>
        </w:rPr>
        <w:t>《供应商项目采购</w:t>
      </w:r>
      <w:r>
        <w:rPr>
          <w:rFonts w:ascii="宋体" w:hAnsi="宋体" w:cs="Arial"/>
          <w:bCs/>
          <w:color w:val="auto"/>
          <w:sz w:val="24"/>
          <w:highlight w:val="none"/>
        </w:rPr>
        <w:t>-电子招投标操作指南》。</w:t>
      </w:r>
    </w:p>
    <w:p w14:paraId="7898A391">
      <w:pPr>
        <w:autoSpaceDE w:val="0"/>
        <w:autoSpaceDN w:val="0"/>
        <w:adjustRightInd w:val="0"/>
        <w:snapToGrid w:val="0"/>
        <w:spacing w:line="312" w:lineRule="auto"/>
        <w:ind w:firstLine="480"/>
        <w:rPr>
          <w:rFonts w:ascii="宋体" w:hAnsi="宋体"/>
          <w:b/>
          <w:color w:val="auto"/>
          <w:kern w:val="0"/>
          <w:sz w:val="24"/>
          <w:highlight w:val="none"/>
        </w:rPr>
      </w:pPr>
      <w:r>
        <w:rPr>
          <w:rFonts w:ascii="宋体" w:hAnsi="宋体"/>
          <w:b/>
          <w:color w:val="auto"/>
          <w:kern w:val="0"/>
          <w:sz w:val="24"/>
          <w:highlight w:val="none"/>
        </w:rPr>
        <w:t>3、投标文件的形式</w:t>
      </w:r>
    </w:p>
    <w:p w14:paraId="3FD2675E">
      <w:pPr>
        <w:adjustRightInd w:val="0"/>
        <w:snapToGrid w:val="0"/>
        <w:spacing w:line="312"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w:t>
      </w:r>
      <w:r>
        <w:rPr>
          <w:rFonts w:ascii="宋体" w:hAnsi="宋体" w:cs="Arial"/>
          <w:bCs/>
          <w:color w:val="auto"/>
          <w:sz w:val="24"/>
          <w:highlight w:val="none"/>
        </w:rPr>
        <w:t>1）投标文件的形式：</w:t>
      </w:r>
      <w:r>
        <w:rPr>
          <w:rFonts w:hint="eastAsia" w:ascii="宋体" w:hAnsi="宋体"/>
          <w:bCs/>
          <w:color w:val="auto"/>
          <w:sz w:val="24"/>
          <w:highlight w:val="none"/>
        </w:rPr>
        <w:t>见《前附表》；</w:t>
      </w:r>
    </w:p>
    <w:p w14:paraId="2C702C07">
      <w:pPr>
        <w:adjustRightInd w:val="0"/>
        <w:snapToGrid w:val="0"/>
        <w:spacing w:line="312"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w:t>
      </w:r>
      <w:r>
        <w:rPr>
          <w:rFonts w:ascii="宋体" w:hAnsi="宋体" w:cs="Arial"/>
          <w:bCs/>
          <w:color w:val="auto"/>
          <w:sz w:val="24"/>
          <w:highlight w:val="none"/>
        </w:rPr>
        <w:t>2）“电子加密投标文件”：“电子加密投标文件”是指通过“政采云电子交易客户端”完成投标文件编制后生成并加密的数据电文形式的投标文件。</w:t>
      </w:r>
    </w:p>
    <w:p w14:paraId="65F3F38F">
      <w:pPr>
        <w:autoSpaceDE w:val="0"/>
        <w:autoSpaceDN w:val="0"/>
        <w:adjustRightInd w:val="0"/>
        <w:snapToGrid w:val="0"/>
        <w:spacing w:line="312" w:lineRule="auto"/>
        <w:ind w:firstLine="480"/>
        <w:rPr>
          <w:rFonts w:ascii="宋体" w:hAnsi="宋体" w:cs="Arial"/>
          <w:bCs/>
          <w:color w:val="auto"/>
          <w:sz w:val="24"/>
          <w:highlight w:val="none"/>
        </w:rPr>
      </w:pPr>
      <w:r>
        <w:rPr>
          <w:rFonts w:hint="eastAsia" w:ascii="宋体" w:hAnsi="宋体" w:cs="Arial"/>
          <w:bCs/>
          <w:color w:val="auto"/>
          <w:sz w:val="24"/>
          <w:highlight w:val="none"/>
        </w:rPr>
        <w:t>（</w:t>
      </w:r>
      <w:r>
        <w:rPr>
          <w:rFonts w:ascii="宋体" w:hAnsi="宋体" w:cs="Arial"/>
          <w:bCs/>
          <w:color w:val="auto"/>
          <w:sz w:val="24"/>
          <w:highlight w:val="none"/>
        </w:rPr>
        <w:t>3）“备份投标文件”：“备份投标文件”是指与“电子加密投标文件”同时</w:t>
      </w:r>
      <w:r>
        <w:rPr>
          <w:rFonts w:hint="eastAsia" w:ascii="宋体" w:hAnsi="宋体" w:cs="Arial"/>
          <w:bCs/>
          <w:color w:val="auto"/>
          <w:sz w:val="24"/>
          <w:highlight w:val="none"/>
        </w:rPr>
        <w:t>生成的数据电文形式的电子文件（备份标书），其他方式编制的“备份投标文件”视为无效的“备份投标文件”。</w:t>
      </w:r>
    </w:p>
    <w:p w14:paraId="3CAE1ADE">
      <w:pPr>
        <w:autoSpaceDE w:val="0"/>
        <w:autoSpaceDN w:val="0"/>
        <w:adjustRightInd w:val="0"/>
        <w:snapToGrid w:val="0"/>
        <w:spacing w:line="312" w:lineRule="auto"/>
        <w:ind w:firstLine="480"/>
        <w:rPr>
          <w:rFonts w:ascii="宋体" w:hAnsi="宋体"/>
          <w:b/>
          <w:color w:val="auto"/>
          <w:kern w:val="0"/>
          <w:sz w:val="24"/>
          <w:highlight w:val="none"/>
        </w:rPr>
      </w:pPr>
      <w:r>
        <w:rPr>
          <w:rFonts w:ascii="宋体" w:hAnsi="宋体"/>
          <w:b/>
          <w:color w:val="auto"/>
          <w:kern w:val="0"/>
          <w:sz w:val="24"/>
          <w:highlight w:val="none"/>
        </w:rPr>
        <w:t>4、投标文件的份数</w:t>
      </w:r>
    </w:p>
    <w:p w14:paraId="7B5AB55D">
      <w:pPr>
        <w:autoSpaceDE w:val="0"/>
        <w:autoSpaceDN w:val="0"/>
        <w:adjustRightInd w:val="0"/>
        <w:snapToGrid w:val="0"/>
        <w:spacing w:line="312" w:lineRule="auto"/>
        <w:ind w:firstLine="480"/>
        <w:rPr>
          <w:rFonts w:ascii="宋体" w:hAnsi="宋体"/>
          <w:bCs/>
          <w:color w:val="auto"/>
          <w:kern w:val="0"/>
          <w:sz w:val="24"/>
          <w:highlight w:val="none"/>
        </w:rPr>
      </w:pPr>
      <w:r>
        <w:rPr>
          <w:rFonts w:hint="eastAsia" w:ascii="宋体" w:hAnsi="宋体"/>
          <w:bCs/>
          <w:color w:val="auto"/>
          <w:kern w:val="0"/>
          <w:sz w:val="24"/>
          <w:highlight w:val="none"/>
        </w:rPr>
        <w:t>（</w:t>
      </w:r>
      <w:r>
        <w:rPr>
          <w:rFonts w:ascii="宋体" w:hAnsi="宋体"/>
          <w:bCs/>
          <w:color w:val="auto"/>
          <w:kern w:val="0"/>
          <w:sz w:val="24"/>
          <w:highlight w:val="none"/>
        </w:rPr>
        <w:t>1）投标文件的份数：见《前附表》。</w:t>
      </w:r>
    </w:p>
    <w:p w14:paraId="515D362B">
      <w:pPr>
        <w:tabs>
          <w:tab w:val="left" w:pos="1418"/>
        </w:tabs>
        <w:autoSpaceDE w:val="0"/>
        <w:autoSpaceDN w:val="0"/>
        <w:adjustRightInd w:val="0"/>
        <w:snapToGrid w:val="0"/>
        <w:spacing w:line="312" w:lineRule="auto"/>
        <w:ind w:firstLine="482" w:firstLineChars="200"/>
        <w:rPr>
          <w:rFonts w:ascii="宋体" w:hAnsi="宋体"/>
          <w:b/>
          <w:bCs/>
          <w:color w:val="auto"/>
          <w:kern w:val="0"/>
          <w:sz w:val="24"/>
          <w:highlight w:val="none"/>
        </w:rPr>
      </w:pPr>
      <w:r>
        <w:rPr>
          <w:rFonts w:ascii="宋体" w:hAnsi="宋体"/>
          <w:b/>
          <w:bCs/>
          <w:color w:val="auto"/>
          <w:kern w:val="0"/>
          <w:sz w:val="24"/>
          <w:highlight w:val="none"/>
        </w:rPr>
        <w:t>5</w:t>
      </w:r>
      <w:r>
        <w:rPr>
          <w:rFonts w:hint="eastAsia" w:ascii="宋体" w:hAnsi="宋体"/>
          <w:b/>
          <w:bCs/>
          <w:color w:val="auto"/>
          <w:kern w:val="0"/>
          <w:sz w:val="24"/>
          <w:highlight w:val="none"/>
        </w:rPr>
        <w:t>、磋商的形式</w:t>
      </w:r>
    </w:p>
    <w:p w14:paraId="36CD08F0">
      <w:pPr>
        <w:tabs>
          <w:tab w:val="left" w:pos="1418"/>
        </w:tabs>
        <w:autoSpaceDE w:val="0"/>
        <w:autoSpaceDN w:val="0"/>
        <w:adjustRightInd w:val="0"/>
        <w:snapToGrid w:val="0"/>
        <w:spacing w:line="312" w:lineRule="auto"/>
        <w:ind w:firstLine="480" w:firstLineChars="200"/>
        <w:rPr>
          <w:rFonts w:ascii="宋体" w:hAnsi="宋体"/>
          <w:b/>
          <w:bCs/>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1）磋商代表必须在规定时间前到达指定的磋商地点（详见公告）。</w:t>
      </w:r>
    </w:p>
    <w:p w14:paraId="46F6D114">
      <w:pPr>
        <w:tabs>
          <w:tab w:val="left" w:pos="1418"/>
        </w:tabs>
        <w:autoSpaceDE w:val="0"/>
        <w:autoSpaceDN w:val="0"/>
        <w:adjustRightInd w:val="0"/>
        <w:snapToGrid w:val="0"/>
        <w:spacing w:line="312"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w:t>
      </w:r>
      <w:r>
        <w:rPr>
          <w:rFonts w:ascii="宋体" w:hAnsi="宋体"/>
          <w:bCs/>
          <w:color w:val="auto"/>
          <w:kern w:val="0"/>
          <w:sz w:val="24"/>
          <w:highlight w:val="none"/>
        </w:rPr>
        <w:t>2）除投标文件应上传“政府采购云平台”外，磋商环节通过电话远程磋商（如有）。</w:t>
      </w:r>
    </w:p>
    <w:p w14:paraId="016729F3">
      <w:pPr>
        <w:tabs>
          <w:tab w:val="left" w:pos="1418"/>
        </w:tabs>
        <w:autoSpaceDE w:val="0"/>
        <w:autoSpaceDN w:val="0"/>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3）如有特殊情况，采购组织机构延长截止时间和磋商时间，采购组织机构和供应商的权利和义务将受到新的截止时间和磋商时间的约束。</w:t>
      </w:r>
    </w:p>
    <w:p w14:paraId="16899941">
      <w:pPr>
        <w:tabs>
          <w:tab w:val="left" w:pos="1898"/>
        </w:tabs>
        <w:autoSpaceDE w:val="0"/>
        <w:autoSpaceDN w:val="0"/>
        <w:adjustRightInd w:val="0"/>
        <w:snapToGrid w:val="0"/>
        <w:spacing w:line="312" w:lineRule="auto"/>
        <w:ind w:firstLine="482" w:firstLineChars="200"/>
        <w:rPr>
          <w:rFonts w:ascii="宋体" w:hAnsi="宋体"/>
          <w:b/>
          <w:color w:val="auto"/>
          <w:kern w:val="0"/>
          <w:sz w:val="24"/>
          <w:highlight w:val="none"/>
        </w:rPr>
      </w:pPr>
      <w:r>
        <w:rPr>
          <w:rFonts w:ascii="宋体" w:hAnsi="宋体"/>
          <w:b/>
          <w:color w:val="auto"/>
          <w:kern w:val="0"/>
          <w:sz w:val="24"/>
          <w:highlight w:val="none"/>
        </w:rPr>
        <w:t>6</w:t>
      </w:r>
      <w:r>
        <w:rPr>
          <w:rFonts w:hint="eastAsia" w:ascii="宋体" w:hAnsi="宋体"/>
          <w:b/>
          <w:color w:val="auto"/>
          <w:kern w:val="0"/>
          <w:sz w:val="24"/>
          <w:highlight w:val="none"/>
        </w:rPr>
        <w:t>、磋商响应文件的补充、修改和撤回。</w:t>
      </w:r>
    </w:p>
    <w:p w14:paraId="7CE7EBBE">
      <w:pPr>
        <w:tabs>
          <w:tab w:val="left" w:pos="960"/>
          <w:tab w:val="left" w:pos="1418"/>
        </w:tabs>
        <w:autoSpaceDE w:val="0"/>
        <w:autoSpaceDN w:val="0"/>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BBECC2C">
      <w:pPr>
        <w:numPr>
          <w:ilvl w:val="0"/>
          <w:numId w:val="3"/>
        </w:numPr>
        <w:tabs>
          <w:tab w:val="left" w:pos="1418"/>
        </w:tabs>
        <w:autoSpaceDE w:val="0"/>
        <w:autoSpaceDN w:val="0"/>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投标截止时间后，投标供应商不得撤回、修改投标文件。</w:t>
      </w:r>
    </w:p>
    <w:p w14:paraId="70C84B0E">
      <w:pPr>
        <w:tabs>
          <w:tab w:val="left" w:pos="1418"/>
        </w:tabs>
        <w:autoSpaceDE w:val="0"/>
        <w:autoSpaceDN w:val="0"/>
        <w:adjustRightInd w:val="0"/>
        <w:snapToGrid w:val="0"/>
        <w:spacing w:line="312" w:lineRule="auto"/>
        <w:rPr>
          <w:rFonts w:ascii="宋体" w:hAnsi="宋体"/>
          <w:color w:val="auto"/>
          <w:kern w:val="0"/>
          <w:sz w:val="24"/>
          <w:highlight w:val="none"/>
        </w:rPr>
      </w:pPr>
      <w:r>
        <w:rPr>
          <w:rFonts w:hint="eastAsia" w:ascii="宋体" w:hAnsi="宋体"/>
          <w:b/>
          <w:color w:val="auto"/>
          <w:kern w:val="0"/>
          <w:sz w:val="24"/>
          <w:highlight w:val="none"/>
        </w:rPr>
        <w:t>（三）磋商响应文件的有效期</w:t>
      </w:r>
    </w:p>
    <w:p w14:paraId="7DD2F68E">
      <w:pPr>
        <w:pStyle w:val="9"/>
        <w:widowControl w:val="0"/>
        <w:numPr>
          <w:ilvl w:val="0"/>
          <w:numId w:val="0"/>
        </w:numPr>
        <w:tabs>
          <w:tab w:val="left" w:pos="0"/>
          <w:tab w:val="left" w:pos="1200"/>
          <w:tab w:val="clear" w:pos="454"/>
        </w:tabs>
        <w:adjustRightInd w:val="0"/>
        <w:snapToGrid w:val="0"/>
        <w:spacing w:afterLines="0" w:line="312" w:lineRule="auto"/>
        <w:ind w:firstLine="480" w:firstLineChars="200"/>
        <w:rPr>
          <w:rFonts w:ascii="宋体" w:hAnsi="宋体"/>
          <w:color w:val="auto"/>
          <w:szCs w:val="24"/>
          <w:highlight w:val="none"/>
          <w:lang w:val="en-GB"/>
        </w:rPr>
      </w:pPr>
      <w:r>
        <w:rPr>
          <w:rFonts w:ascii="宋体" w:hAnsi="宋体"/>
          <w:color w:val="auto"/>
          <w:szCs w:val="24"/>
          <w:highlight w:val="none"/>
        </w:rPr>
        <w:t>1、</w:t>
      </w:r>
      <w:r>
        <w:rPr>
          <w:rFonts w:hint="eastAsia" w:ascii="宋体" w:hAnsi="宋体"/>
          <w:color w:val="auto"/>
          <w:szCs w:val="24"/>
          <w:highlight w:val="none"/>
          <w:lang w:val="en-GB"/>
        </w:rPr>
        <w:t>自磋商响应截止日起</w:t>
      </w:r>
      <w:r>
        <w:rPr>
          <w:rFonts w:ascii="宋体" w:hAnsi="宋体"/>
          <w:color w:val="auto"/>
          <w:szCs w:val="24"/>
          <w:highlight w:val="none"/>
          <w:lang w:val="en-GB"/>
        </w:rPr>
        <w:t>90天磋商响应文件应保持有效。有效期不足的磋商响应文件将被拒绝。</w:t>
      </w:r>
    </w:p>
    <w:p w14:paraId="55517845">
      <w:pPr>
        <w:pStyle w:val="9"/>
        <w:widowControl w:val="0"/>
        <w:numPr>
          <w:ilvl w:val="0"/>
          <w:numId w:val="0"/>
        </w:numPr>
        <w:tabs>
          <w:tab w:val="left" w:pos="0"/>
          <w:tab w:val="left" w:pos="1200"/>
          <w:tab w:val="clear" w:pos="454"/>
        </w:tabs>
        <w:adjustRightInd w:val="0"/>
        <w:snapToGrid w:val="0"/>
        <w:spacing w:afterLines="0" w:line="312" w:lineRule="auto"/>
        <w:ind w:firstLine="480" w:firstLineChars="200"/>
        <w:rPr>
          <w:rFonts w:ascii="宋体" w:hAnsi="宋体"/>
          <w:color w:val="auto"/>
          <w:szCs w:val="24"/>
          <w:highlight w:val="none"/>
        </w:rPr>
      </w:pPr>
      <w:r>
        <w:rPr>
          <w:rFonts w:ascii="宋体" w:hAnsi="宋体"/>
          <w:color w:val="auto"/>
          <w:szCs w:val="24"/>
          <w:highlight w:val="none"/>
        </w:rPr>
        <w:t>2、在特殊情况下，采购人可与磋商供应商协商延长磋商响应文件的有效期，这种要求和答复均以书面形式进行。</w:t>
      </w:r>
    </w:p>
    <w:p w14:paraId="2CFDB058">
      <w:pPr>
        <w:pStyle w:val="9"/>
        <w:widowControl w:val="0"/>
        <w:numPr>
          <w:ilvl w:val="0"/>
          <w:numId w:val="0"/>
        </w:numPr>
        <w:tabs>
          <w:tab w:val="left" w:pos="0"/>
          <w:tab w:val="left" w:pos="425"/>
          <w:tab w:val="left" w:pos="1200"/>
          <w:tab w:val="clear" w:pos="454"/>
        </w:tabs>
        <w:adjustRightInd w:val="0"/>
        <w:snapToGrid w:val="0"/>
        <w:spacing w:afterLines="0" w:line="312" w:lineRule="auto"/>
        <w:ind w:firstLine="420" w:firstLineChars="175"/>
        <w:rPr>
          <w:rFonts w:ascii="宋体" w:hAnsi="宋体"/>
          <w:color w:val="auto"/>
          <w:szCs w:val="24"/>
          <w:highlight w:val="none"/>
        </w:rPr>
      </w:pPr>
      <w:r>
        <w:rPr>
          <w:rFonts w:ascii="宋体" w:hAnsi="宋体"/>
          <w:color w:val="auto"/>
          <w:szCs w:val="24"/>
          <w:highlight w:val="none"/>
        </w:rPr>
        <w:t>3、磋商供应商可拒绝接受延期要求。同意延长有效期的磋商供应商不能修改磋商响应文件。</w:t>
      </w:r>
    </w:p>
    <w:p w14:paraId="4B530143">
      <w:pPr>
        <w:adjustRightInd w:val="0"/>
        <w:snapToGrid w:val="0"/>
        <w:spacing w:line="312" w:lineRule="auto"/>
        <w:ind w:firstLine="566" w:firstLineChars="236"/>
        <w:rPr>
          <w:rFonts w:ascii="宋体" w:hAnsi="宋体"/>
          <w:color w:val="auto"/>
          <w:sz w:val="24"/>
          <w:highlight w:val="none"/>
        </w:rPr>
      </w:pPr>
      <w:r>
        <w:rPr>
          <w:rFonts w:ascii="宋体" w:hAnsi="宋体"/>
          <w:color w:val="auto"/>
          <w:sz w:val="24"/>
          <w:highlight w:val="none"/>
        </w:rPr>
        <w:t>4.成交供应商的</w:t>
      </w:r>
      <w:r>
        <w:rPr>
          <w:rFonts w:hint="eastAsia" w:ascii="宋体" w:hAnsi="宋体"/>
          <w:color w:val="auto"/>
          <w:sz w:val="24"/>
          <w:highlight w:val="none"/>
        </w:rPr>
        <w:t>磋商响应文件</w:t>
      </w:r>
      <w:r>
        <w:rPr>
          <w:rFonts w:ascii="宋体" w:hAnsi="宋体"/>
          <w:color w:val="auto"/>
          <w:sz w:val="24"/>
          <w:highlight w:val="none"/>
        </w:rPr>
        <w:t>自磋商之日起至合同履行完毕均应保持有效。</w:t>
      </w:r>
    </w:p>
    <w:p w14:paraId="295D9459">
      <w:pPr>
        <w:pStyle w:val="18"/>
        <w:adjustRightInd w:val="0"/>
        <w:snapToGrid w:val="0"/>
        <w:spacing w:line="312" w:lineRule="auto"/>
        <w:rPr>
          <w:rFonts w:ascii="宋体" w:hAnsi="宋体" w:eastAsia="宋体"/>
          <w:b/>
          <w:color w:val="auto"/>
          <w:sz w:val="24"/>
          <w:highlight w:val="none"/>
        </w:rPr>
      </w:pPr>
      <w:r>
        <w:rPr>
          <w:rFonts w:hint="eastAsia" w:ascii="宋体" w:hAnsi="宋体" w:eastAsia="宋体"/>
          <w:b/>
          <w:color w:val="auto"/>
          <w:sz w:val="24"/>
          <w:highlight w:val="none"/>
        </w:rPr>
        <w:t>（四）投标文件的备选方案</w:t>
      </w:r>
    </w:p>
    <w:p w14:paraId="3B902543">
      <w:pPr>
        <w:adjustRightInd w:val="0"/>
        <w:snapToGrid w:val="0"/>
        <w:spacing w:line="312" w:lineRule="auto"/>
        <w:ind w:firstLine="566" w:firstLineChars="236"/>
        <w:rPr>
          <w:rFonts w:ascii="宋体" w:hAnsi="宋体"/>
          <w:color w:val="auto"/>
          <w:sz w:val="24"/>
          <w:highlight w:val="none"/>
        </w:rPr>
      </w:pPr>
      <w:r>
        <w:rPr>
          <w:rFonts w:ascii="宋体" w:hAnsi="宋体"/>
          <w:color w:val="auto"/>
          <w:sz w:val="24"/>
          <w:highlight w:val="none"/>
        </w:rPr>
        <w:t>1、投标供应商不得递交任何的投标备选（替代）方案，否则其投标文件将作无效标处理。</w:t>
      </w:r>
      <w:r>
        <w:rPr>
          <w:rFonts w:hint="eastAsia" w:ascii="宋体" w:hAnsi="宋体"/>
          <w:bCs/>
          <w:color w:val="auto"/>
          <w:sz w:val="24"/>
          <w:highlight w:val="none"/>
        </w:rPr>
        <w:t>与“电子加密投标文件”同时生成的“备份投标文件”不是投标备选（替代）方案。</w:t>
      </w:r>
    </w:p>
    <w:p w14:paraId="59D3A818">
      <w:pPr>
        <w:adjustRightInd w:val="0"/>
        <w:snapToGrid w:val="0"/>
        <w:spacing w:line="312" w:lineRule="auto"/>
        <w:ind w:firstLine="482" w:firstLineChars="200"/>
        <w:jc w:val="left"/>
        <w:outlineLvl w:val="1"/>
        <w:rPr>
          <w:rFonts w:ascii="宋体" w:hAnsi="宋体"/>
          <w:bCs/>
          <w:color w:val="auto"/>
          <w:sz w:val="24"/>
          <w:highlight w:val="none"/>
        </w:rPr>
      </w:pPr>
      <w:r>
        <w:rPr>
          <w:rFonts w:hint="eastAsia" w:ascii="宋体" w:hAnsi="宋体"/>
          <w:b/>
          <w:color w:val="auto"/>
          <w:sz w:val="24"/>
          <w:highlight w:val="none"/>
        </w:rPr>
        <w:t>三、磋商保证金：</w:t>
      </w:r>
      <w:r>
        <w:rPr>
          <w:rFonts w:hint="eastAsia" w:ascii="宋体" w:hAnsi="宋体"/>
          <w:color w:val="auto"/>
          <w:kern w:val="0"/>
          <w:sz w:val="24"/>
          <w:highlight w:val="none"/>
        </w:rPr>
        <w:t>无。</w:t>
      </w:r>
    </w:p>
    <w:p w14:paraId="2B68F546">
      <w:pPr>
        <w:adjustRightInd w:val="0"/>
        <w:snapToGrid w:val="0"/>
        <w:spacing w:line="312"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四、磋商</w:t>
      </w:r>
    </w:p>
    <w:p w14:paraId="0CC15EC5">
      <w:pPr>
        <w:autoSpaceDE w:val="0"/>
        <w:autoSpaceDN w:val="0"/>
        <w:adjustRightInd w:val="0"/>
        <w:snapToGrid w:val="0"/>
        <w:spacing w:line="312" w:lineRule="auto"/>
        <w:ind w:firstLine="482" w:firstLineChars="200"/>
        <w:rPr>
          <w:rFonts w:ascii="宋体" w:hAnsi="宋体"/>
          <w:color w:val="auto"/>
          <w:kern w:val="0"/>
          <w:sz w:val="24"/>
          <w:highlight w:val="none"/>
        </w:rPr>
      </w:pPr>
      <w:r>
        <w:rPr>
          <w:rFonts w:hint="eastAsia" w:ascii="宋体" w:hAnsi="宋体"/>
          <w:b/>
          <w:color w:val="auto"/>
          <w:sz w:val="24"/>
          <w:highlight w:val="none"/>
        </w:rPr>
        <w:t>（一）磋商说明</w:t>
      </w:r>
    </w:p>
    <w:p w14:paraId="7BA95730">
      <w:pPr>
        <w:autoSpaceDE w:val="0"/>
        <w:autoSpaceDN w:val="0"/>
        <w:adjustRightInd w:val="0"/>
        <w:snapToGrid w:val="0"/>
        <w:spacing w:line="312" w:lineRule="auto"/>
        <w:ind w:firstLine="475" w:firstLineChars="198"/>
        <w:rPr>
          <w:rFonts w:ascii="宋体" w:hAnsi="宋体"/>
          <w:color w:val="auto"/>
          <w:sz w:val="24"/>
          <w:highlight w:val="none"/>
        </w:rPr>
      </w:pPr>
      <w:r>
        <w:rPr>
          <w:rFonts w:hint="eastAsia" w:ascii="宋体" w:hAnsi="宋体"/>
          <w:color w:val="auto"/>
          <w:sz w:val="24"/>
          <w:highlight w:val="none"/>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177A469">
      <w:pPr>
        <w:autoSpaceDE w:val="0"/>
        <w:autoSpaceDN w:val="0"/>
        <w:adjustRightInd w:val="0"/>
        <w:snapToGrid w:val="0"/>
        <w:spacing w:line="312" w:lineRule="auto"/>
        <w:ind w:firstLine="477" w:firstLineChars="198"/>
        <w:rPr>
          <w:rFonts w:ascii="宋体" w:hAnsi="宋体"/>
          <w:b/>
          <w:bCs/>
          <w:color w:val="auto"/>
          <w:sz w:val="24"/>
          <w:highlight w:val="none"/>
        </w:rPr>
      </w:pPr>
      <w:r>
        <w:rPr>
          <w:rFonts w:hint="eastAsia" w:ascii="宋体" w:hAnsi="宋体"/>
          <w:b/>
          <w:bCs/>
          <w:color w:val="auto"/>
          <w:sz w:val="24"/>
          <w:highlight w:val="none"/>
        </w:rPr>
        <w:t>（二）磋商流程</w:t>
      </w:r>
    </w:p>
    <w:p w14:paraId="0651E487">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85BF77E">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14:paraId="4BA0315A">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0DCBAC51">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）资格审查通过的投标供应商的商务与技术文件进入符合性审查、商务技术评审；</w:t>
      </w:r>
    </w:p>
    <w:p w14:paraId="5A278A82">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（5</w:t>
      </w:r>
      <w:r>
        <w:rPr>
          <w:rFonts w:ascii="宋体" w:hAnsi="宋体" w:cs="Arial"/>
          <w:color w:val="auto"/>
          <w:kern w:val="0"/>
          <w:sz w:val="24"/>
          <w:highlight w:val="none"/>
        </w:rPr>
        <w:t>）</w:t>
      </w:r>
      <w:r>
        <w:rPr>
          <w:rFonts w:hint="eastAsia" w:ascii="宋体" w:hAnsi="宋体" w:cs="Arial"/>
          <w:color w:val="auto"/>
          <w:kern w:val="0"/>
          <w:sz w:val="24"/>
          <w:highlight w:val="none"/>
        </w:rPr>
        <w:t>磋商小组所有成员集中与单一供应商分别进行磋商，并给予所有参加磋商的供应商平等的磋商机会。</w:t>
      </w:r>
    </w:p>
    <w:p w14:paraId="3929B4CF">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（6</w:t>
      </w:r>
      <w:r>
        <w:rPr>
          <w:rFonts w:ascii="宋体" w:hAnsi="宋体" w:cs="Arial"/>
          <w:color w:val="auto"/>
          <w:kern w:val="0"/>
          <w:sz w:val="24"/>
          <w:highlight w:val="none"/>
        </w:rPr>
        <w:t>）磋商文件能够详细列明采购标的的技术、服务要求的，磋商结束后，磋商小组将要求所有实质性响应的供应商在规定时间内在“政采云平台”上提交</w:t>
      </w:r>
      <w:r>
        <w:rPr>
          <w:rFonts w:hint="eastAsia" w:ascii="宋体" w:hAnsi="宋体" w:cs="Arial"/>
          <w:color w:val="auto"/>
          <w:kern w:val="0"/>
          <w:sz w:val="24"/>
          <w:highlight w:val="none"/>
        </w:rPr>
        <w:t>最后报价，最后报价是供应商响应文件的有效组成部分。</w:t>
      </w:r>
      <w:r>
        <w:rPr>
          <w:rFonts w:ascii="宋体" w:hAnsi="宋体" w:cs="Arial"/>
          <w:color w:val="auto"/>
          <w:kern w:val="0"/>
          <w:sz w:val="24"/>
          <w:highlight w:val="none"/>
        </w:rPr>
        <w:t xml:space="preserve"> </w:t>
      </w:r>
    </w:p>
    <w:p w14:paraId="20EB8668">
      <w:pPr>
        <w:adjustRightInd w:val="0"/>
        <w:snapToGrid w:val="0"/>
        <w:spacing w:line="312" w:lineRule="auto"/>
        <w:ind w:firstLine="426" w:firstLineChars="177"/>
        <w:jc w:val="left"/>
        <w:rPr>
          <w:rFonts w:ascii="宋体" w:hAnsi="宋体" w:cs="Arial"/>
          <w:color w:val="auto"/>
          <w:kern w:val="0"/>
          <w:sz w:val="24"/>
          <w:highlight w:val="none"/>
        </w:rPr>
      </w:pPr>
      <w:r>
        <w:rPr>
          <w:rFonts w:hint="eastAsia" w:ascii="宋体" w:hAnsi="宋体" w:cs="Arial"/>
          <w:b/>
          <w:bCs/>
          <w:color w:val="auto"/>
          <w:kern w:val="0"/>
          <w:sz w:val="24"/>
          <w:highlight w:val="none"/>
        </w:rPr>
        <w:t>若在规定报价时间内，供应商因</w:t>
      </w:r>
      <w:r>
        <w:rPr>
          <w:rFonts w:ascii="宋体" w:hAnsi="宋体" w:cs="Arial"/>
          <w:b/>
          <w:bCs/>
          <w:color w:val="auto"/>
          <w:kern w:val="0"/>
          <w:sz w:val="24"/>
          <w:highlight w:val="none"/>
        </w:rPr>
        <w:t>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5D4D472F">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8）经磋商确定最终采购需求和提交最后报价的供应商后，由磋商小组采用综合评分法对提交最后报价的供应商的响应文件和最后报价进行综合评分。</w:t>
      </w:r>
    </w:p>
    <w:p w14:paraId="6C907152">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9）磋商小组根据综合评分情况，按照评审得分由高到低顺序确定预成交供应商，编写评审报告。</w:t>
      </w:r>
    </w:p>
    <w:p w14:paraId="235112E4">
      <w:pPr>
        <w:adjustRightInd w:val="0"/>
        <w:snapToGrid w:val="0"/>
        <w:spacing w:line="312"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10</w:t>
      </w:r>
      <w:r>
        <w:rPr>
          <w:rFonts w:hint="eastAsia" w:ascii="宋体" w:hAnsi="宋体" w:cs="Arial"/>
          <w:color w:val="auto"/>
          <w:kern w:val="0"/>
          <w:sz w:val="24"/>
          <w:highlight w:val="none"/>
        </w:rPr>
        <w:t>）评审结束后，公布中标（成交）候选供应商名单，或在政釆云平台上进行公布结果。</w:t>
      </w:r>
    </w:p>
    <w:p w14:paraId="75FB18EC">
      <w:pPr>
        <w:adjustRightInd w:val="0"/>
        <w:snapToGrid w:val="0"/>
        <w:spacing w:line="312"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特别说明：</w:t>
      </w:r>
    </w:p>
    <w:p w14:paraId="341F1A93">
      <w:pPr>
        <w:adjustRightInd w:val="0"/>
        <w:snapToGrid w:val="0"/>
        <w:spacing w:line="312" w:lineRule="auto"/>
        <w:ind w:firstLine="426" w:firstLineChars="177"/>
        <w:jc w:val="left"/>
        <w:rPr>
          <w:rFonts w:ascii="宋体" w:hAnsi="宋体" w:cs="Arial"/>
          <w:b/>
          <w:color w:val="auto"/>
          <w:kern w:val="0"/>
          <w:sz w:val="24"/>
          <w:highlight w:val="none"/>
        </w:rPr>
      </w:pPr>
      <w:r>
        <w:rPr>
          <w:rFonts w:ascii="宋体" w:hAnsi="宋体" w:cs="Arial"/>
          <w:b/>
          <w:color w:val="auto"/>
          <w:kern w:val="0"/>
          <w:sz w:val="24"/>
          <w:highlight w:val="none"/>
        </w:rPr>
        <w:t>1、如遇“政府采购云平台”电子化开标或评审程序调整的，按调整后程序执行。</w:t>
      </w:r>
    </w:p>
    <w:p w14:paraId="05356455">
      <w:pPr>
        <w:adjustRightInd w:val="0"/>
        <w:snapToGrid w:val="0"/>
        <w:spacing w:line="312" w:lineRule="auto"/>
        <w:ind w:firstLine="480" w:firstLineChars="200"/>
        <w:rPr>
          <w:rFonts w:ascii="宋体" w:hAnsi="宋体" w:cs="楷体_GB2312"/>
          <w:color w:val="auto"/>
          <w:sz w:val="24"/>
          <w:highlight w:val="none"/>
        </w:rPr>
      </w:pPr>
      <w:r>
        <w:rPr>
          <w:rFonts w:ascii="宋体" w:hAnsi="宋体" w:cs="楷体_GB2312"/>
          <w:color w:val="auto"/>
          <w:sz w:val="24"/>
          <w:highlight w:val="none"/>
        </w:rPr>
        <w:t>2</w:t>
      </w:r>
      <w:r>
        <w:rPr>
          <w:rFonts w:hint="eastAsia" w:ascii="宋体" w:hAnsi="宋体" w:cs="楷体_GB2312"/>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AC554B3">
      <w:pPr>
        <w:pStyle w:val="18"/>
        <w:adjustRightInd w:val="0"/>
        <w:snapToGrid w:val="0"/>
        <w:spacing w:line="312" w:lineRule="auto"/>
        <w:ind w:left="239" w:leftChars="114" w:firstLine="241" w:firstLineChars="100"/>
        <w:rPr>
          <w:rFonts w:ascii="宋体" w:hAnsi="宋体" w:eastAsia="宋体"/>
          <w:color w:val="auto"/>
          <w:sz w:val="24"/>
          <w:highlight w:val="none"/>
        </w:rPr>
      </w:pPr>
      <w:r>
        <w:rPr>
          <w:rFonts w:hint="eastAsia" w:ascii="宋体" w:hAnsi="宋体" w:eastAsia="宋体"/>
          <w:b/>
          <w:color w:val="auto"/>
          <w:sz w:val="24"/>
          <w:highlight w:val="none"/>
        </w:rPr>
        <w:t>（三）澄清问题的形式</w:t>
      </w:r>
    </w:p>
    <w:p w14:paraId="22ED9497">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磋商供应商作出必要的澄清、说明或者纠正。磋商供应商的澄清、说明或者补正均在线完成，但不得超出磋商响应文件的范围或者改变磋商响应文件的实质性内容。</w:t>
      </w:r>
    </w:p>
    <w:p w14:paraId="6FBA86DB">
      <w:pPr>
        <w:adjustRightInd w:val="0"/>
        <w:snapToGrid w:val="0"/>
        <w:spacing w:line="312" w:lineRule="auto"/>
        <w:ind w:firstLine="482" w:firstLineChars="200"/>
        <w:rPr>
          <w:rFonts w:ascii="宋体" w:hAnsi="宋体"/>
          <w:color w:val="auto"/>
          <w:sz w:val="24"/>
          <w:highlight w:val="none"/>
        </w:rPr>
      </w:pPr>
      <w:r>
        <w:rPr>
          <w:rFonts w:hint="eastAsia" w:ascii="宋体" w:hAnsi="宋体"/>
          <w:b/>
          <w:color w:val="auto"/>
          <w:sz w:val="24"/>
          <w:highlight w:val="none"/>
        </w:rPr>
        <w:t>（四）错误修正</w:t>
      </w:r>
    </w:p>
    <w:p w14:paraId="2E712158">
      <w:pPr>
        <w:pStyle w:val="26"/>
        <w:adjustRightInd w:val="0"/>
        <w:snapToGrid w:val="0"/>
        <w:spacing w:before="0" w:beforeAutospacing="0" w:after="0" w:afterAutospacing="0" w:line="312" w:lineRule="auto"/>
        <w:ind w:firstLine="480" w:firstLineChars="200"/>
        <w:jc w:val="both"/>
        <w:rPr>
          <w:rFonts w:hint="default" w:ascii="宋体" w:hAnsi="宋体"/>
          <w:color w:val="auto"/>
          <w:highlight w:val="none"/>
        </w:rPr>
      </w:pPr>
      <w:r>
        <w:rPr>
          <w:rFonts w:hint="default" w:ascii="宋体" w:hAnsi="宋体"/>
          <w:color w:val="auto"/>
          <w:highlight w:val="none"/>
        </w:rPr>
        <w:t>磋商响应文件报价出现前后不一致的，除</w:t>
      </w:r>
      <w:r>
        <w:rPr>
          <w:rFonts w:hint="default" w:ascii="宋体" w:hAnsi="宋体"/>
          <w:bCs/>
          <w:color w:val="auto"/>
          <w:highlight w:val="none"/>
        </w:rPr>
        <w:t>磋商采购文件</w:t>
      </w:r>
      <w:r>
        <w:rPr>
          <w:rFonts w:hint="default" w:ascii="宋体" w:hAnsi="宋体"/>
          <w:color w:val="auto"/>
          <w:highlight w:val="none"/>
        </w:rPr>
        <w:t>另有规定外，按照下列规定修正：</w:t>
      </w:r>
    </w:p>
    <w:p w14:paraId="2BD2261D">
      <w:pPr>
        <w:pStyle w:val="26"/>
        <w:adjustRightInd w:val="0"/>
        <w:snapToGrid w:val="0"/>
        <w:spacing w:before="0" w:beforeAutospacing="0" w:after="0" w:afterAutospacing="0" w:line="312" w:lineRule="auto"/>
        <w:jc w:val="both"/>
        <w:rPr>
          <w:rFonts w:hint="default" w:ascii="宋体" w:hAnsi="宋体"/>
          <w:color w:val="auto"/>
          <w:highlight w:val="none"/>
        </w:rPr>
      </w:pPr>
      <w:r>
        <w:rPr>
          <w:rFonts w:hint="default" w:ascii="宋体" w:hAnsi="宋体"/>
          <w:color w:val="auto"/>
          <w:highlight w:val="none"/>
        </w:rPr>
        <w:t>　　1、磋商响应文件中首次报价一览表内容与磋商响应文件中相应内容不一致的，以首次报价一览表为准；</w:t>
      </w:r>
    </w:p>
    <w:p w14:paraId="29966A93">
      <w:pPr>
        <w:pStyle w:val="26"/>
        <w:adjustRightInd w:val="0"/>
        <w:snapToGrid w:val="0"/>
        <w:spacing w:before="0" w:beforeAutospacing="0" w:after="0" w:afterAutospacing="0" w:line="312" w:lineRule="auto"/>
        <w:jc w:val="both"/>
        <w:rPr>
          <w:rFonts w:hint="default" w:ascii="宋体" w:hAnsi="宋体"/>
          <w:color w:val="auto"/>
          <w:highlight w:val="none"/>
        </w:rPr>
      </w:pPr>
      <w:r>
        <w:rPr>
          <w:rFonts w:hint="default" w:ascii="宋体" w:hAnsi="宋体"/>
          <w:color w:val="auto"/>
          <w:highlight w:val="none"/>
        </w:rPr>
        <w:t>　　2、大写金额和小写金额不一致的，以大写金额为准；</w:t>
      </w:r>
    </w:p>
    <w:p w14:paraId="57696826">
      <w:pPr>
        <w:pStyle w:val="26"/>
        <w:adjustRightInd w:val="0"/>
        <w:snapToGrid w:val="0"/>
        <w:spacing w:before="0" w:beforeAutospacing="0" w:after="0" w:afterAutospacing="0" w:line="312" w:lineRule="auto"/>
        <w:jc w:val="both"/>
        <w:rPr>
          <w:rFonts w:hint="default" w:ascii="宋体" w:hAnsi="宋体"/>
          <w:color w:val="auto"/>
          <w:highlight w:val="none"/>
        </w:rPr>
      </w:pPr>
      <w:r>
        <w:rPr>
          <w:rFonts w:hint="default" w:ascii="宋体" w:hAnsi="宋体"/>
          <w:color w:val="auto"/>
          <w:highlight w:val="none"/>
        </w:rPr>
        <w:t>　　3、单价金额小数点或者百分比有明显错位的，以首次报价一览表的总价为准，并修改单价；</w:t>
      </w:r>
    </w:p>
    <w:p w14:paraId="20E54B5E">
      <w:pPr>
        <w:pStyle w:val="26"/>
        <w:adjustRightInd w:val="0"/>
        <w:snapToGrid w:val="0"/>
        <w:spacing w:before="0" w:beforeAutospacing="0" w:after="0" w:afterAutospacing="0" w:line="312" w:lineRule="auto"/>
        <w:jc w:val="both"/>
        <w:rPr>
          <w:rFonts w:hint="default" w:ascii="宋体" w:hAnsi="宋体"/>
          <w:color w:val="auto"/>
          <w:highlight w:val="none"/>
        </w:rPr>
      </w:pPr>
      <w:r>
        <w:rPr>
          <w:rFonts w:hint="default" w:ascii="宋体" w:hAnsi="宋体"/>
          <w:color w:val="auto"/>
          <w:highlight w:val="none"/>
        </w:rPr>
        <w:t>　　4、总价金额与按单价汇总金额不一致的，以单价金额计算结果为准。</w:t>
      </w:r>
    </w:p>
    <w:p w14:paraId="5A7A9ACE">
      <w:pPr>
        <w:pStyle w:val="26"/>
        <w:adjustRightInd w:val="0"/>
        <w:snapToGrid w:val="0"/>
        <w:spacing w:before="0" w:beforeAutospacing="0" w:after="0" w:afterAutospacing="0" w:line="312" w:lineRule="auto"/>
        <w:ind w:firstLine="480"/>
        <w:jc w:val="both"/>
        <w:rPr>
          <w:rFonts w:hint="default" w:ascii="宋体" w:hAnsi="宋体"/>
          <w:color w:val="auto"/>
          <w:highlight w:val="none"/>
        </w:rPr>
      </w:pPr>
      <w:r>
        <w:rPr>
          <w:rFonts w:hint="default" w:ascii="宋体" w:hAnsi="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14:paraId="081A02BF">
      <w:pPr>
        <w:pStyle w:val="26"/>
        <w:adjustRightInd w:val="0"/>
        <w:snapToGrid w:val="0"/>
        <w:spacing w:before="0" w:beforeAutospacing="0" w:after="0" w:afterAutospacing="0" w:line="312" w:lineRule="auto"/>
        <w:ind w:firstLine="480"/>
        <w:rPr>
          <w:rFonts w:hint="default" w:ascii="宋体" w:hAnsi="宋体"/>
          <w:color w:val="auto"/>
          <w:highlight w:val="none"/>
        </w:rPr>
      </w:pPr>
      <w:r>
        <w:rPr>
          <w:rFonts w:hint="default" w:ascii="宋体" w:hAnsi="宋体"/>
          <w:b/>
          <w:bCs/>
          <w:color w:val="auto"/>
          <w:highlight w:val="none"/>
        </w:rPr>
        <w:t>（五）</w:t>
      </w:r>
      <w:r>
        <w:rPr>
          <w:rFonts w:hint="default" w:ascii="宋体" w:hAnsi="宋体"/>
          <w:b/>
          <w:color w:val="auto"/>
          <w:highlight w:val="none"/>
        </w:rPr>
        <w:t>磋商供应商存在下列情况之一的，响应无效，终止磋商</w:t>
      </w:r>
      <w:r>
        <w:rPr>
          <w:rFonts w:ascii="宋体" w:hAnsi="宋体"/>
          <w:b/>
          <w:color w:val="auto"/>
          <w:highlight w:val="none"/>
        </w:rPr>
        <w:t>：</w:t>
      </w:r>
    </w:p>
    <w:p w14:paraId="3A10FADB">
      <w:pPr>
        <w:adjustRightInd w:val="0"/>
        <w:snapToGrid w:val="0"/>
        <w:spacing w:line="312" w:lineRule="auto"/>
        <w:ind w:firstLine="480" w:firstLineChars="200"/>
        <w:jc w:val="left"/>
        <w:rPr>
          <w:rFonts w:ascii="宋体" w:hAnsi="宋体"/>
          <w:b/>
          <w:bCs/>
          <w:color w:val="auto"/>
          <w:sz w:val="24"/>
          <w:highlight w:val="none"/>
        </w:rPr>
      </w:pPr>
      <w:r>
        <w:rPr>
          <w:rFonts w:ascii="宋体" w:hAnsi="宋体"/>
          <w:color w:val="auto"/>
          <w:kern w:val="0"/>
          <w:sz w:val="24"/>
          <w:highlight w:val="none"/>
        </w:rPr>
        <w:t>1、磋商响应文件中的报价货物跟商务与技术内容中的供应货物出现重大偏差的；</w:t>
      </w:r>
    </w:p>
    <w:p w14:paraId="4CE371E3">
      <w:pPr>
        <w:pStyle w:val="26"/>
        <w:tabs>
          <w:tab w:val="left" w:pos="7380"/>
        </w:tabs>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2、不具备磋商采购文件中规定的资格要求的</w:t>
      </w:r>
      <w:r>
        <w:rPr>
          <w:rFonts w:ascii="宋体" w:hAnsi="宋体"/>
          <w:color w:val="auto"/>
          <w:highlight w:val="none"/>
        </w:rPr>
        <w:t>；</w:t>
      </w:r>
    </w:p>
    <w:p w14:paraId="5C5B93FF">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3</w:t>
      </w:r>
      <w:r>
        <w:rPr>
          <w:rFonts w:ascii="宋体" w:hAnsi="宋体"/>
          <w:color w:val="auto"/>
          <w:highlight w:val="none"/>
        </w:rPr>
        <w:t>、</w:t>
      </w:r>
      <w:r>
        <w:rPr>
          <w:rFonts w:hint="default" w:ascii="宋体" w:hAnsi="宋体"/>
          <w:color w:val="auto"/>
          <w:highlight w:val="none"/>
        </w:rPr>
        <w:t>磋商响应文件含有采购人不能接受的附加条件的</w:t>
      </w:r>
      <w:r>
        <w:rPr>
          <w:rFonts w:ascii="宋体" w:hAnsi="宋体"/>
          <w:color w:val="auto"/>
          <w:highlight w:val="none"/>
        </w:rPr>
        <w:t>；</w:t>
      </w:r>
    </w:p>
    <w:p w14:paraId="4EA097B5">
      <w:pPr>
        <w:adjustRightInd w:val="0"/>
        <w:snapToGrid w:val="0"/>
        <w:spacing w:line="312" w:lineRule="auto"/>
        <w:ind w:firstLine="480" w:firstLineChars="200"/>
        <w:jc w:val="left"/>
        <w:rPr>
          <w:rFonts w:ascii="宋体" w:hAnsi="宋体"/>
          <w:bCs/>
          <w:color w:val="auto"/>
          <w:kern w:val="0"/>
          <w:sz w:val="24"/>
          <w:highlight w:val="none"/>
        </w:rPr>
      </w:pPr>
      <w:r>
        <w:rPr>
          <w:rFonts w:ascii="宋体" w:hAnsi="宋体"/>
          <w:color w:val="auto"/>
          <w:kern w:val="0"/>
          <w:sz w:val="24"/>
          <w:highlight w:val="none"/>
        </w:rPr>
        <w:t>4</w:t>
      </w:r>
      <w:r>
        <w:rPr>
          <w:rFonts w:hint="eastAsia" w:ascii="宋体" w:hAnsi="宋体"/>
          <w:color w:val="auto"/>
          <w:sz w:val="24"/>
          <w:highlight w:val="none"/>
        </w:rPr>
        <w:t>、供应商代表人未能出具身份证明或与法定代表人授权委托人身份不符的；</w:t>
      </w:r>
    </w:p>
    <w:p w14:paraId="0805C134">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r>
        <w:rPr>
          <w:rFonts w:ascii="宋体" w:hAnsi="宋体"/>
          <w:color w:val="auto"/>
          <w:highlight w:val="none"/>
        </w:rPr>
        <w:t>；</w:t>
      </w:r>
    </w:p>
    <w:p w14:paraId="49DB8BC3">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6、报价超过磋商采购文件中规定的预算金额/最高限价</w:t>
      </w:r>
      <w:r>
        <w:rPr>
          <w:rFonts w:ascii="宋体" w:hAnsi="宋体"/>
          <w:color w:val="auto"/>
          <w:highlight w:val="none"/>
        </w:rPr>
        <w:t>；</w:t>
      </w:r>
    </w:p>
    <w:p w14:paraId="770D28D4">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7、主要性能参数指标负偏离</w:t>
      </w:r>
      <w:r>
        <w:rPr>
          <w:rFonts w:hint="default" w:ascii="宋体" w:hAnsi="宋体"/>
          <w:bCs/>
          <w:color w:val="auto"/>
          <w:highlight w:val="none"/>
          <w:u w:val="single"/>
          <w:lang w:val="zh-CN"/>
        </w:rPr>
        <w:t>/</w:t>
      </w:r>
      <w:r>
        <w:rPr>
          <w:rFonts w:hint="default" w:ascii="宋体" w:hAnsi="宋体"/>
          <w:color w:val="auto"/>
          <w:highlight w:val="none"/>
        </w:rPr>
        <w:t>项（含）以上的</w:t>
      </w:r>
      <w:r>
        <w:rPr>
          <w:rFonts w:ascii="宋体" w:hAnsi="宋体"/>
          <w:color w:val="auto"/>
          <w:highlight w:val="none"/>
        </w:rPr>
        <w:t>；</w:t>
      </w:r>
    </w:p>
    <w:p w14:paraId="3CF59600">
      <w:pPr>
        <w:tabs>
          <w:tab w:val="left" w:pos="1898"/>
        </w:tabs>
        <w:autoSpaceDE w:val="0"/>
        <w:autoSpaceDN w:val="0"/>
        <w:adjustRightInd w:val="0"/>
        <w:snapToGrid w:val="0"/>
        <w:spacing w:line="312"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8、磋商参数未如实填写的</w:t>
      </w:r>
      <w:r>
        <w:rPr>
          <w:rFonts w:hint="eastAsia" w:ascii="宋体" w:hAnsi="宋体"/>
          <w:color w:val="auto"/>
          <w:kern w:val="0"/>
          <w:sz w:val="24"/>
          <w:highlight w:val="none"/>
        </w:rPr>
        <w:t>；</w:t>
      </w:r>
    </w:p>
    <w:p w14:paraId="7C444D74">
      <w:pPr>
        <w:tabs>
          <w:tab w:val="left" w:pos="1898"/>
        </w:tabs>
        <w:autoSpaceDE w:val="0"/>
        <w:autoSpaceDN w:val="0"/>
        <w:adjustRightInd w:val="0"/>
        <w:snapToGrid w:val="0"/>
        <w:spacing w:line="312"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9、磋商响应文件提供虚假材料的</w:t>
      </w:r>
      <w:r>
        <w:rPr>
          <w:rFonts w:hint="eastAsia" w:ascii="宋体" w:hAnsi="宋体"/>
          <w:color w:val="auto"/>
          <w:kern w:val="0"/>
          <w:sz w:val="24"/>
          <w:highlight w:val="none"/>
        </w:rPr>
        <w:t>；</w:t>
      </w:r>
    </w:p>
    <w:p w14:paraId="0A142C9F">
      <w:pPr>
        <w:tabs>
          <w:tab w:val="left" w:pos="1898"/>
        </w:tabs>
        <w:autoSpaceDE w:val="0"/>
        <w:autoSpaceDN w:val="0"/>
        <w:adjustRightInd w:val="0"/>
        <w:snapToGrid w:val="0"/>
        <w:spacing w:line="312" w:lineRule="auto"/>
        <w:ind w:firstLine="480" w:firstLineChars="200"/>
        <w:jc w:val="left"/>
        <w:rPr>
          <w:rFonts w:ascii="宋体" w:hAnsi="宋体"/>
          <w:color w:val="auto"/>
          <w:sz w:val="24"/>
          <w:highlight w:val="none"/>
        </w:rPr>
      </w:pPr>
      <w:r>
        <w:rPr>
          <w:rFonts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磋商响应</w:t>
      </w:r>
      <w:r>
        <w:rPr>
          <w:rFonts w:ascii="宋体" w:hAnsi="宋体"/>
          <w:color w:val="auto"/>
          <w:sz w:val="24"/>
          <w:highlight w:val="none"/>
        </w:rPr>
        <w:t>文件由同一单位或者个人编制；</w:t>
      </w:r>
    </w:p>
    <w:p w14:paraId="28E18F41">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11、不同供应商委托同一单位或者个人办理磋商事宜；</w:t>
      </w:r>
    </w:p>
    <w:p w14:paraId="30C8868E">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12、不同供应商的磋商响应文件载明的项目管理成员或者联系人员为同一人；</w:t>
      </w:r>
    </w:p>
    <w:p w14:paraId="04364E8A">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13、不同供应商的磋商响应文件异常一致或者报价呈规律性差异；</w:t>
      </w:r>
    </w:p>
    <w:p w14:paraId="656D90EF">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14、不同供应商的磋商响应文件相互混装；</w:t>
      </w:r>
    </w:p>
    <w:p w14:paraId="6FB4C801">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15、不符合法律、法规和磋商采购文件中规定的其他实质性要求的（磋商采购文件中打“▲”内容及被拒绝的条款）</w:t>
      </w:r>
      <w:r>
        <w:rPr>
          <w:rFonts w:ascii="宋体" w:hAnsi="宋体"/>
          <w:color w:val="auto"/>
          <w:highlight w:val="none"/>
        </w:rPr>
        <w:t>；</w:t>
      </w:r>
    </w:p>
    <w:p w14:paraId="211DB666">
      <w:pPr>
        <w:pStyle w:val="26"/>
        <w:adjustRightInd w:val="0"/>
        <w:snapToGrid w:val="0"/>
        <w:spacing w:before="0" w:beforeAutospacing="0" w:after="0" w:afterAutospacing="0" w:line="312" w:lineRule="auto"/>
        <w:ind w:firstLine="480" w:firstLineChars="200"/>
        <w:rPr>
          <w:rFonts w:hint="default" w:ascii="宋体" w:hAnsi="宋体"/>
          <w:color w:val="auto"/>
          <w:highlight w:val="none"/>
        </w:rPr>
      </w:pPr>
      <w:r>
        <w:rPr>
          <w:rFonts w:hint="default" w:ascii="宋体" w:hAnsi="宋体"/>
          <w:color w:val="auto"/>
          <w:highlight w:val="none"/>
        </w:rPr>
        <w:t>16、仅提交“备份投标文件”的</w:t>
      </w:r>
      <w:r>
        <w:rPr>
          <w:rFonts w:ascii="宋体" w:hAnsi="宋体"/>
          <w:color w:val="auto"/>
          <w:highlight w:val="none"/>
        </w:rPr>
        <w:t>。</w:t>
      </w:r>
    </w:p>
    <w:p w14:paraId="29962B59">
      <w:pPr>
        <w:autoSpaceDE w:val="0"/>
        <w:autoSpaceDN w:val="0"/>
        <w:adjustRightInd w:val="0"/>
        <w:snapToGrid w:val="0"/>
        <w:spacing w:line="312" w:lineRule="auto"/>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（六）有下列情况之一的，本次磋商终止。</w:t>
      </w:r>
    </w:p>
    <w:p w14:paraId="443E9216">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1、出现影响采购公正的违法、违规行为的；</w:t>
      </w:r>
    </w:p>
    <w:p w14:paraId="638D96AB">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2、磋商小组发现磋商文件存在歧义、重大缺陷导致评审工作无法进行，或者磋商文件内容违反国家有关强制性规定的；</w:t>
      </w:r>
    </w:p>
    <w:p w14:paraId="71A9434D">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3、因重大变故，采购任务取消的；</w:t>
      </w:r>
    </w:p>
    <w:p w14:paraId="6097DA9F">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4、法律、法规和磋商文件规定的其他导致评审结果无效的。</w:t>
      </w:r>
    </w:p>
    <w:p w14:paraId="7541880F">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5、因电子交易平台故障无法登录、无法正常操作等导致平台无法正常运行，或者无法保证电子交易的公平、公正和安全时，采购组织机构可中止电子交易活动。</w:t>
      </w:r>
    </w:p>
    <w:p w14:paraId="7EB9E32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12" w:lineRule="auto"/>
        <w:ind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（七）磋商原则和方法</w:t>
      </w:r>
    </w:p>
    <w:p w14:paraId="03A93AD2">
      <w:pPr>
        <w:pStyle w:val="18"/>
        <w:adjustRightInd w:val="0"/>
        <w:snapToGrid w:val="0"/>
        <w:spacing w:line="312" w:lineRule="auto"/>
        <w:ind w:firstLine="600" w:firstLineChars="25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、磋商</w:t>
      </w:r>
      <w:r>
        <w:rPr>
          <w:rFonts w:ascii="宋体" w:hAnsi="宋体" w:eastAsia="宋体"/>
          <w:color w:val="auto"/>
          <w:sz w:val="24"/>
          <w:highlight w:val="none"/>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auto"/>
          <w:sz w:val="24"/>
          <w:highlight w:val="none"/>
        </w:rPr>
        <w:t>磋商供应商</w:t>
      </w:r>
      <w:r>
        <w:rPr>
          <w:rFonts w:ascii="宋体" w:hAnsi="宋体" w:eastAsia="宋体"/>
          <w:color w:val="auto"/>
          <w:sz w:val="24"/>
          <w:highlight w:val="none"/>
        </w:rPr>
        <w:t>接触。</w:t>
      </w:r>
    </w:p>
    <w:p w14:paraId="2668D410">
      <w:pPr>
        <w:pStyle w:val="18"/>
        <w:adjustRightInd w:val="0"/>
        <w:snapToGrid w:val="0"/>
        <w:spacing w:line="312" w:lineRule="auto"/>
        <w:ind w:firstLine="600" w:firstLineChars="25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、磋商</w:t>
      </w:r>
      <w:r>
        <w:rPr>
          <w:rFonts w:ascii="宋体" w:hAnsi="宋体" w:eastAsia="宋体"/>
          <w:color w:val="auto"/>
          <w:sz w:val="24"/>
          <w:highlight w:val="none"/>
        </w:rPr>
        <w:t>办法。具体</w:t>
      </w:r>
      <w:r>
        <w:rPr>
          <w:rFonts w:hint="eastAsia" w:ascii="宋体" w:hAnsi="宋体" w:eastAsia="宋体"/>
          <w:color w:val="auto"/>
          <w:sz w:val="24"/>
          <w:highlight w:val="none"/>
        </w:rPr>
        <w:t>磋商</w:t>
      </w:r>
      <w:r>
        <w:rPr>
          <w:rFonts w:ascii="宋体" w:hAnsi="宋体" w:eastAsia="宋体"/>
          <w:color w:val="auto"/>
          <w:sz w:val="24"/>
          <w:highlight w:val="none"/>
        </w:rPr>
        <w:t>内容及评分标准等详见《第</w:t>
      </w:r>
      <w:r>
        <w:rPr>
          <w:rFonts w:hint="eastAsia" w:ascii="宋体" w:hAnsi="宋体" w:eastAsia="宋体"/>
          <w:color w:val="auto"/>
          <w:sz w:val="24"/>
          <w:highlight w:val="none"/>
        </w:rPr>
        <w:t>三章</w:t>
      </w:r>
      <w:r>
        <w:rPr>
          <w:rFonts w:ascii="宋体" w:hAnsi="宋体" w:eastAsia="宋体"/>
          <w:color w:val="auto"/>
          <w:sz w:val="24"/>
          <w:highlight w:val="none"/>
        </w:rPr>
        <w:t>：评审</w:t>
      </w:r>
      <w:r>
        <w:rPr>
          <w:rFonts w:hint="eastAsia" w:ascii="宋体" w:hAnsi="宋体" w:eastAsia="宋体"/>
          <w:color w:val="auto"/>
          <w:sz w:val="24"/>
          <w:highlight w:val="none"/>
        </w:rPr>
        <w:t>方</w:t>
      </w:r>
      <w:r>
        <w:rPr>
          <w:rFonts w:ascii="宋体" w:hAnsi="宋体" w:eastAsia="宋体"/>
          <w:color w:val="auto"/>
          <w:sz w:val="24"/>
          <w:highlight w:val="none"/>
        </w:rPr>
        <w:t>法及评分标准》。</w:t>
      </w:r>
    </w:p>
    <w:p w14:paraId="49BBA9FB">
      <w:pPr>
        <w:pStyle w:val="18"/>
        <w:adjustRightInd w:val="0"/>
        <w:snapToGrid w:val="0"/>
        <w:spacing w:line="312" w:lineRule="auto"/>
        <w:ind w:firstLine="602" w:firstLineChars="250"/>
        <w:rPr>
          <w:rFonts w:ascii="宋体" w:hAnsi="宋体" w:eastAsia="宋体"/>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八</w:t>
      </w:r>
      <w:r>
        <w:rPr>
          <w:rFonts w:ascii="宋体" w:hAnsi="宋体" w:eastAsia="宋体"/>
          <w:b/>
          <w:color w:val="auto"/>
          <w:sz w:val="24"/>
          <w:highlight w:val="none"/>
        </w:rPr>
        <w:t>）评审过程的监控</w:t>
      </w:r>
    </w:p>
    <w:p w14:paraId="4D524BFA">
      <w:pPr>
        <w:pStyle w:val="26"/>
        <w:adjustRightInd w:val="0"/>
        <w:snapToGrid w:val="0"/>
        <w:spacing w:before="0" w:beforeAutospacing="0" w:after="0" w:afterAutospacing="0" w:line="312" w:lineRule="auto"/>
        <w:ind w:firstLine="480" w:firstLineChars="200"/>
        <w:jc w:val="both"/>
        <w:rPr>
          <w:rFonts w:hint="default" w:ascii="宋体" w:hAnsi="宋体"/>
          <w:color w:val="auto"/>
          <w:highlight w:val="none"/>
        </w:rPr>
      </w:pPr>
      <w:r>
        <w:rPr>
          <w:rFonts w:hint="default" w:ascii="宋体" w:hAnsi="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7EC8E7F8">
      <w:pPr>
        <w:adjustRightInd w:val="0"/>
        <w:snapToGrid w:val="0"/>
        <w:spacing w:line="312" w:lineRule="auto"/>
        <w:ind w:firstLine="482" w:firstLineChars="200"/>
        <w:jc w:val="left"/>
        <w:outlineLvl w:val="1"/>
        <w:rPr>
          <w:rFonts w:ascii="宋体" w:hAnsi="宋体"/>
          <w:b/>
          <w:color w:val="auto"/>
          <w:sz w:val="24"/>
          <w:highlight w:val="none"/>
        </w:rPr>
      </w:pPr>
      <w:r>
        <w:rPr>
          <w:rFonts w:ascii="宋体" w:hAnsi="宋体"/>
          <w:b/>
          <w:color w:val="auto"/>
          <w:sz w:val="24"/>
          <w:highlight w:val="none"/>
        </w:rPr>
        <w:t>五、磋商结果确定</w:t>
      </w:r>
    </w:p>
    <w:p w14:paraId="259283FA">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3E2C16E">
      <w:pPr>
        <w:adjustRightInd w:val="0"/>
        <w:snapToGrid w:val="0"/>
        <w:spacing w:line="312" w:lineRule="auto"/>
        <w:ind w:firstLine="480" w:firstLineChars="200"/>
        <w:rPr>
          <w:rFonts w:ascii="宋体" w:hAnsi="宋体"/>
          <w:color w:val="auto"/>
          <w:kern w:val="0"/>
          <w:sz w:val="24"/>
          <w:highlight w:val="none"/>
        </w:rPr>
      </w:pPr>
      <w:r>
        <w:rPr>
          <w:rFonts w:ascii="宋体" w:hAnsi="宋体"/>
          <w:color w:val="auto"/>
          <w:kern w:val="0"/>
          <w:sz w:val="24"/>
          <w:highlight w:val="none"/>
        </w:rPr>
        <w:t>2、发布成交结果公告。采购组织机构应当在成交供应商确定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成交结果，并将磋商文件随同公告。</w:t>
      </w:r>
    </w:p>
    <w:p w14:paraId="68655A7D">
      <w:pPr>
        <w:adjustRightInd w:val="0"/>
        <w:snapToGrid w:val="0"/>
        <w:spacing w:line="312" w:lineRule="auto"/>
        <w:ind w:firstLine="480" w:firstLineChars="200"/>
        <w:rPr>
          <w:rFonts w:ascii="宋体" w:hAnsi="宋体"/>
          <w:color w:val="auto"/>
          <w:kern w:val="0"/>
          <w:sz w:val="24"/>
          <w:highlight w:val="none"/>
        </w:rPr>
      </w:pPr>
      <w:r>
        <w:rPr>
          <w:rFonts w:ascii="宋体" w:hAnsi="宋体"/>
          <w:color w:val="auto"/>
          <w:kern w:val="0"/>
          <w:sz w:val="24"/>
          <w:highlight w:val="none"/>
        </w:rPr>
        <w:t>3、发出成交通知书。采购组织机构在发布成交结果同时，向成交供应商发出成交通知书。</w:t>
      </w:r>
    </w:p>
    <w:p w14:paraId="06E0A723">
      <w:pPr>
        <w:adjustRightInd w:val="0"/>
        <w:snapToGrid w:val="0"/>
        <w:spacing w:line="312"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六、合同签订及公告</w:t>
      </w:r>
    </w:p>
    <w:p w14:paraId="3A17EA9A">
      <w:pPr>
        <w:pStyle w:val="3"/>
        <w:snapToGrid w:val="0"/>
        <w:spacing w:line="312" w:lineRule="auto"/>
        <w:ind w:right="0" w:rightChars="0" w:firstLine="482" w:firstLineChars="200"/>
        <w:rPr>
          <w:rFonts w:ascii="宋体" w:hAnsi="宋体"/>
          <w:b/>
          <w:color w:val="auto"/>
          <w:szCs w:val="24"/>
          <w:highlight w:val="none"/>
        </w:rPr>
      </w:pPr>
      <w:r>
        <w:rPr>
          <w:rFonts w:hint="eastAsia" w:ascii="宋体" w:hAnsi="宋体"/>
          <w:b/>
          <w:color w:val="auto"/>
          <w:szCs w:val="24"/>
          <w:highlight w:val="none"/>
        </w:rPr>
        <w:t>（一）签订合同</w:t>
      </w:r>
    </w:p>
    <w:p w14:paraId="44DE39F7">
      <w:pPr>
        <w:pStyle w:val="3"/>
        <w:snapToGrid w:val="0"/>
        <w:spacing w:line="312" w:lineRule="auto"/>
        <w:ind w:right="0" w:rightChars="0" w:firstLine="480" w:firstLineChars="200"/>
        <w:rPr>
          <w:rFonts w:ascii="宋体" w:hAnsi="宋体"/>
          <w:color w:val="auto"/>
          <w:szCs w:val="24"/>
          <w:highlight w:val="none"/>
        </w:rPr>
      </w:pPr>
      <w:r>
        <w:rPr>
          <w:rFonts w:ascii="宋体" w:hAnsi="宋体"/>
          <w:color w:val="auto"/>
          <w:szCs w:val="24"/>
          <w:highlight w:val="none"/>
        </w:rPr>
        <w:t>1、采购人应当自成交通知书发出之日起30日内，按照磋商采购文件</w:t>
      </w:r>
      <w:r>
        <w:rPr>
          <w:rFonts w:hint="eastAsia" w:ascii="宋体" w:hAnsi="宋体"/>
          <w:color w:val="auto"/>
          <w:szCs w:val="24"/>
          <w:highlight w:val="none"/>
        </w:rPr>
        <w:t>确定的合同文本以及采购标的、规格型号、采购金额、采购数量和服务要求等事项签订政府采购合同。</w:t>
      </w:r>
    </w:p>
    <w:p w14:paraId="5D8BCF0A">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73DEA8D">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3、</w:t>
      </w:r>
      <w:r>
        <w:rPr>
          <w:color w:val="auto"/>
          <w:highlight w:val="none"/>
        </w:rPr>
        <w:t>成交供应商无故拖延、拒签合同的，取消成交资格。</w:t>
      </w:r>
    </w:p>
    <w:p w14:paraId="25B96E47">
      <w:pPr>
        <w:pStyle w:val="26"/>
        <w:adjustRightInd w:val="0"/>
        <w:snapToGrid w:val="0"/>
        <w:spacing w:before="0" w:beforeAutospacing="0" w:after="0" w:afterAutospacing="0" w:line="312" w:lineRule="auto"/>
        <w:ind w:firstLine="600" w:firstLineChars="250"/>
        <w:jc w:val="both"/>
        <w:rPr>
          <w:rFonts w:hint="default" w:ascii="宋体" w:hAnsi="宋体"/>
          <w:color w:val="auto"/>
          <w:highlight w:val="none"/>
        </w:rPr>
      </w:pPr>
      <w:r>
        <w:rPr>
          <w:rFonts w:hint="default" w:ascii="宋体" w:hAnsi="宋体"/>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10EC407">
      <w:pPr>
        <w:pStyle w:val="26"/>
        <w:adjustRightInd w:val="0"/>
        <w:snapToGrid w:val="0"/>
        <w:spacing w:before="0" w:beforeAutospacing="0" w:after="0" w:afterAutospacing="0" w:line="312" w:lineRule="auto"/>
        <w:ind w:firstLine="600" w:firstLineChars="250"/>
        <w:rPr>
          <w:rFonts w:hint="default" w:ascii="宋体" w:hAnsi="宋体"/>
          <w:color w:val="auto"/>
          <w:highlight w:val="none"/>
        </w:rPr>
      </w:pPr>
      <w:r>
        <w:rPr>
          <w:rFonts w:hint="default" w:ascii="宋体" w:hAnsi="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55B46D34">
      <w:pPr>
        <w:pStyle w:val="26"/>
        <w:adjustRightInd w:val="0"/>
        <w:snapToGrid w:val="0"/>
        <w:spacing w:before="0" w:beforeAutospacing="0" w:after="0" w:afterAutospacing="0" w:line="312" w:lineRule="auto"/>
        <w:ind w:firstLine="602" w:firstLineChars="250"/>
        <w:rPr>
          <w:rFonts w:hint="default" w:ascii="宋体" w:hAnsi="宋体" w:cs="方正书宋简体"/>
          <w:b/>
          <w:color w:val="auto"/>
          <w:highlight w:val="none"/>
        </w:rPr>
      </w:pPr>
      <w:r>
        <w:rPr>
          <w:rFonts w:hint="default" w:ascii="宋体" w:hAnsi="宋体"/>
          <w:b/>
          <w:color w:val="auto"/>
          <w:highlight w:val="none"/>
        </w:rPr>
        <w:t>（二）合同公告及备案</w:t>
      </w:r>
    </w:p>
    <w:p w14:paraId="13416047">
      <w:pPr>
        <w:pStyle w:val="3"/>
        <w:snapToGrid w:val="0"/>
        <w:spacing w:line="312" w:lineRule="auto"/>
        <w:ind w:right="0" w:rightChars="0" w:firstLine="480" w:firstLineChars="200"/>
        <w:rPr>
          <w:rFonts w:ascii="宋体" w:hAnsi="宋体"/>
          <w:color w:val="auto"/>
          <w:szCs w:val="24"/>
          <w:highlight w:val="none"/>
        </w:rPr>
      </w:pPr>
      <w:r>
        <w:rPr>
          <w:rFonts w:ascii="宋体" w:hAnsi="宋体"/>
          <w:color w:val="auto"/>
          <w:szCs w:val="24"/>
          <w:highlight w:val="none"/>
        </w:rPr>
        <w:t>1、采购人应当自政府采购合同签订之日起2个工作日内，在省级以上财政部门指定的</w:t>
      </w:r>
      <w:r>
        <w:rPr>
          <w:rFonts w:hint="eastAsia" w:ascii="宋体" w:hAnsi="宋体"/>
          <w:color w:val="auto"/>
          <w:szCs w:val="24"/>
          <w:highlight w:val="none"/>
        </w:rPr>
        <w:t>政府采购信息发布</w:t>
      </w:r>
      <w:r>
        <w:rPr>
          <w:rFonts w:ascii="宋体" w:hAnsi="宋体"/>
          <w:color w:val="auto"/>
          <w:szCs w:val="24"/>
          <w:highlight w:val="none"/>
        </w:rPr>
        <w:t>媒体及相关网站</w:t>
      </w:r>
      <w:r>
        <w:rPr>
          <w:rFonts w:hint="eastAsia" w:ascii="宋体" w:hAnsi="宋体"/>
          <w:color w:val="auto"/>
          <w:szCs w:val="24"/>
          <w:highlight w:val="none"/>
        </w:rPr>
        <w:t>上</w:t>
      </w:r>
      <w:r>
        <w:rPr>
          <w:rFonts w:ascii="宋体" w:hAnsi="宋体"/>
          <w:color w:val="auto"/>
          <w:szCs w:val="24"/>
          <w:highlight w:val="none"/>
        </w:rPr>
        <w:t>公告</w:t>
      </w:r>
      <w:r>
        <w:rPr>
          <w:rFonts w:hint="eastAsia" w:ascii="宋体" w:hAnsi="宋体"/>
          <w:color w:val="auto"/>
          <w:szCs w:val="24"/>
          <w:highlight w:val="none"/>
        </w:rPr>
        <w:t>。</w:t>
      </w:r>
    </w:p>
    <w:p w14:paraId="728A36AA">
      <w:pPr>
        <w:pStyle w:val="3"/>
        <w:snapToGrid w:val="0"/>
        <w:spacing w:line="312" w:lineRule="auto"/>
        <w:ind w:right="0" w:rightChars="0" w:firstLine="480" w:firstLineChars="200"/>
        <w:rPr>
          <w:rFonts w:ascii="宋体" w:hAnsi="宋体"/>
          <w:color w:val="auto"/>
          <w:szCs w:val="24"/>
          <w:highlight w:val="none"/>
        </w:rPr>
      </w:pPr>
      <w:r>
        <w:rPr>
          <w:rFonts w:ascii="宋体" w:hAnsi="宋体"/>
          <w:color w:val="auto"/>
          <w:szCs w:val="24"/>
          <w:highlight w:val="none"/>
        </w:rPr>
        <w:t>2、采购人应当自政府采购合同签订之日起7个工作日内，将政府采购合同副本报同级人民政府财政部门备案以及采购组织机构存档。</w:t>
      </w:r>
      <w:bookmarkEnd w:id="3"/>
    </w:p>
    <w:p w14:paraId="66902147">
      <w:pPr>
        <w:pStyle w:val="3"/>
        <w:ind w:firstLine="480" w:firstLineChars="200"/>
        <w:rPr>
          <w:rFonts w:ascii="宋体" w:hAnsi="宋体"/>
          <w:color w:val="auto"/>
          <w:highlight w:val="none"/>
        </w:rPr>
      </w:pPr>
    </w:p>
    <w:p w14:paraId="21EA8F0C">
      <w:pPr>
        <w:pStyle w:val="3"/>
        <w:ind w:firstLine="480" w:firstLineChars="200"/>
        <w:rPr>
          <w:rFonts w:ascii="宋体" w:hAnsi="宋体"/>
          <w:color w:val="auto"/>
          <w:highlight w:val="none"/>
        </w:rPr>
      </w:pPr>
    </w:p>
    <w:p w14:paraId="35369426">
      <w:pPr>
        <w:spacing w:line="360" w:lineRule="auto"/>
        <w:jc w:val="center"/>
        <w:rPr>
          <w:rFonts w:ascii="宋体" w:hAnsi="宋体"/>
          <w:b/>
          <w:color w:val="auto"/>
          <w:sz w:val="36"/>
          <w:szCs w:val="36"/>
          <w:highlight w:val="none"/>
        </w:rPr>
        <w:sectPr>
          <w:pgSz w:w="11906" w:h="16838"/>
          <w:pgMar w:top="1440" w:right="1800" w:bottom="1440" w:left="1800" w:header="851" w:footer="992" w:gutter="0"/>
          <w:pgNumType w:fmt="decimal"/>
          <w:cols w:space="720" w:num="1"/>
          <w:docGrid w:type="lines" w:linePitch="312" w:charSpace="0"/>
        </w:sectPr>
      </w:pPr>
    </w:p>
    <w:p w14:paraId="32CCE88A">
      <w:pPr>
        <w:pStyle w:val="4"/>
        <w:jc w:val="center"/>
        <w:rPr>
          <w:rFonts w:ascii="宋体" w:hAnsi="宋体"/>
          <w:color w:val="auto"/>
          <w:sz w:val="36"/>
          <w:szCs w:val="36"/>
          <w:highlight w:val="none"/>
        </w:rPr>
      </w:pPr>
      <w:r>
        <w:rPr>
          <w:rFonts w:hint="eastAsia" w:ascii="宋体" w:hAnsi="宋体"/>
          <w:color w:val="auto"/>
          <w:sz w:val="36"/>
          <w:szCs w:val="36"/>
          <w:highlight w:val="none"/>
        </w:rPr>
        <w:t>第三章　评审办法及评审标准</w:t>
      </w:r>
    </w:p>
    <w:p w14:paraId="57B865A8">
      <w:pPr>
        <w:autoSpaceDE w:val="0"/>
        <w:autoSpaceDN w:val="0"/>
        <w:spacing w:line="360" w:lineRule="auto"/>
        <w:ind w:firstLine="480" w:firstLineChars="200"/>
        <w:rPr>
          <w:rFonts w:ascii="宋体" w:hAnsi="宋体"/>
          <w:b/>
          <w:i/>
          <w:color w:val="auto"/>
          <w:kern w:val="0"/>
          <w:sz w:val="24"/>
          <w:highlight w:val="none"/>
        </w:rPr>
      </w:pPr>
      <w:r>
        <w:rPr>
          <w:rFonts w:hint="eastAsia" w:ascii="宋体" w:hAnsi="宋体"/>
          <w:color w:val="auto"/>
          <w:kern w:val="0"/>
          <w:sz w:val="24"/>
          <w:highlight w:val="none"/>
        </w:rPr>
        <w:t>一、采购组织机构将组织</w:t>
      </w:r>
      <w:r>
        <w:rPr>
          <w:rFonts w:hint="eastAsia" w:ascii="宋体" w:hAnsi="宋体"/>
          <w:color w:val="auto"/>
          <w:sz w:val="24"/>
          <w:highlight w:val="none"/>
        </w:rPr>
        <w:t>磋商小组（磋商小组由采购人代表和评审专家组成，成员人数为3人以上单数，其中评审专家不得少于磋商小组成员总数的三分之二）</w:t>
      </w:r>
      <w:r>
        <w:rPr>
          <w:rFonts w:hint="eastAsia" w:ascii="宋体" w:hAnsi="宋体"/>
          <w:color w:val="auto"/>
          <w:kern w:val="0"/>
          <w:sz w:val="24"/>
          <w:highlight w:val="none"/>
        </w:rPr>
        <w:t>，对</w:t>
      </w:r>
      <w:r>
        <w:rPr>
          <w:rFonts w:hint="eastAsia" w:ascii="宋体" w:hAnsi="宋体"/>
          <w:color w:val="auto"/>
          <w:sz w:val="24"/>
          <w:highlight w:val="none"/>
        </w:rPr>
        <w:t>供应商</w:t>
      </w:r>
      <w:r>
        <w:rPr>
          <w:rFonts w:hint="eastAsia" w:ascii="宋体" w:hAnsi="宋体"/>
          <w:color w:val="auto"/>
          <w:kern w:val="0"/>
          <w:sz w:val="24"/>
          <w:highlight w:val="none"/>
        </w:rPr>
        <w:t>提供的</w:t>
      </w:r>
      <w:r>
        <w:rPr>
          <w:rFonts w:hint="eastAsia" w:ascii="宋体" w:hAnsi="宋体"/>
          <w:color w:val="auto"/>
          <w:sz w:val="24"/>
          <w:highlight w:val="none"/>
        </w:rPr>
        <w:t>磋商响应文件</w:t>
      </w:r>
      <w:r>
        <w:rPr>
          <w:rFonts w:hint="eastAsia" w:ascii="宋体" w:hAnsi="宋体"/>
          <w:color w:val="auto"/>
          <w:kern w:val="0"/>
          <w:sz w:val="24"/>
          <w:highlight w:val="none"/>
        </w:rPr>
        <w:t>进行综合评审。</w:t>
      </w:r>
    </w:p>
    <w:p w14:paraId="20A9ABF7">
      <w:pPr>
        <w:autoSpaceDE w:val="0"/>
        <w:autoSpaceDN w:val="0"/>
        <w:adjustRightInd w:val="0"/>
        <w:spacing w:line="360" w:lineRule="auto"/>
        <w:ind w:left="359" w:leftChars="171" w:firstLine="120" w:firstLineChars="50"/>
        <w:jc w:val="left"/>
        <w:rPr>
          <w:rFonts w:ascii="宋体" w:hAnsi="宋体"/>
          <w:color w:val="auto"/>
          <w:kern w:val="0"/>
          <w:sz w:val="24"/>
          <w:highlight w:val="none"/>
        </w:rPr>
      </w:pPr>
      <w:r>
        <w:rPr>
          <w:rFonts w:hint="eastAsia" w:ascii="宋体" w:hAnsi="宋体"/>
          <w:color w:val="auto"/>
          <w:kern w:val="0"/>
          <w:sz w:val="24"/>
          <w:highlight w:val="none"/>
        </w:rPr>
        <w:t>二、本次磋商项目的评审方法为</w:t>
      </w:r>
      <w:r>
        <w:rPr>
          <w:rFonts w:hint="eastAsia" w:ascii="宋体" w:hAnsi="宋体"/>
          <w:b/>
          <w:color w:val="auto"/>
          <w:kern w:val="0"/>
          <w:sz w:val="24"/>
          <w:highlight w:val="none"/>
        </w:rPr>
        <w:t>综合评分法</w:t>
      </w:r>
      <w:r>
        <w:rPr>
          <w:rFonts w:hint="eastAsia" w:ascii="宋体" w:hAnsi="宋体"/>
          <w:color w:val="auto"/>
          <w:kern w:val="0"/>
          <w:sz w:val="24"/>
          <w:highlight w:val="none"/>
        </w:rPr>
        <w:t>，总计</w:t>
      </w:r>
      <w:r>
        <w:rPr>
          <w:rFonts w:ascii="宋体" w:hAnsi="宋体"/>
          <w:color w:val="auto"/>
          <w:kern w:val="0"/>
          <w:sz w:val="24"/>
          <w:highlight w:val="none"/>
        </w:rPr>
        <w:t>100分。评审标准按以下2</w:t>
      </w:r>
      <w:r>
        <w:rPr>
          <w:rFonts w:hint="eastAsia" w:ascii="宋体" w:hAnsi="宋体"/>
          <w:color w:val="auto"/>
          <w:kern w:val="0"/>
          <w:sz w:val="24"/>
          <w:highlight w:val="none"/>
        </w:rPr>
        <w:t>项内容及分值进行评审。</w:t>
      </w:r>
    </w:p>
    <w:tbl>
      <w:tblPr>
        <w:tblStyle w:val="29"/>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4398"/>
      </w:tblGrid>
      <w:tr w14:paraId="5004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09" w:type="dxa"/>
            <w:tcBorders>
              <w:tl2br w:val="single" w:color="auto" w:sz="4" w:space="0"/>
            </w:tcBorders>
          </w:tcPr>
          <w:p w14:paraId="5438EE34">
            <w:pPr>
              <w:autoSpaceDE w:val="0"/>
              <w:autoSpaceDN w:val="0"/>
              <w:adjustRightInd w:val="0"/>
              <w:jc w:val="left"/>
              <w:rPr>
                <w:rFonts w:ascii="宋体" w:hAnsi="宋体" w:cs="Tahoma"/>
                <w:color w:val="auto"/>
                <w:sz w:val="24"/>
                <w:highlight w:val="none"/>
              </w:rPr>
            </w:pPr>
            <w:r>
              <w:rPr>
                <w:rFonts w:ascii="宋体" w:hAnsi="宋体" w:cs="Tahoma"/>
                <w:color w:val="auto"/>
                <w:sz w:val="24"/>
                <w:highlight w:val="none"/>
              </w:rPr>
              <w:t xml:space="preserve">           标段</w:t>
            </w:r>
          </w:p>
          <w:p w14:paraId="239FC7DE">
            <w:pPr>
              <w:autoSpaceDE w:val="0"/>
              <w:autoSpaceDN w:val="0"/>
              <w:adjustRightInd w:val="0"/>
              <w:jc w:val="left"/>
              <w:rPr>
                <w:rFonts w:ascii="宋体" w:hAnsi="宋体" w:cs="Tahoma"/>
                <w:color w:val="auto"/>
                <w:sz w:val="24"/>
                <w:highlight w:val="none"/>
              </w:rPr>
            </w:pPr>
            <w:r>
              <w:rPr>
                <w:rFonts w:hint="eastAsia" w:ascii="宋体" w:hAnsi="宋体" w:cs="Tahoma"/>
                <w:color w:val="auto"/>
                <w:sz w:val="24"/>
                <w:highlight w:val="none"/>
              </w:rPr>
              <w:t>类别</w:t>
            </w:r>
          </w:p>
        </w:tc>
        <w:tc>
          <w:tcPr>
            <w:tcW w:w="4398" w:type="dxa"/>
            <w:vAlign w:val="center"/>
          </w:tcPr>
          <w:p w14:paraId="7C1F465F">
            <w:pPr>
              <w:autoSpaceDE w:val="0"/>
              <w:autoSpaceDN w:val="0"/>
              <w:adjustRightInd w:val="0"/>
              <w:spacing w:line="480" w:lineRule="auto"/>
              <w:jc w:val="center"/>
              <w:rPr>
                <w:rFonts w:ascii="宋体" w:hAnsi="宋体" w:cs="Tahoma"/>
                <w:color w:val="auto"/>
                <w:sz w:val="24"/>
                <w:highlight w:val="none"/>
              </w:rPr>
            </w:pPr>
            <w:r>
              <w:rPr>
                <w:rFonts w:hint="eastAsia" w:ascii="宋体" w:hAnsi="宋体" w:cs="Tahoma"/>
                <w:color w:val="auto"/>
                <w:sz w:val="24"/>
                <w:highlight w:val="none"/>
              </w:rPr>
              <w:t>1</w:t>
            </w:r>
          </w:p>
        </w:tc>
      </w:tr>
      <w:tr w14:paraId="1CCB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909" w:type="dxa"/>
            <w:vAlign w:val="center"/>
          </w:tcPr>
          <w:p w14:paraId="064FD9E3">
            <w:pPr>
              <w:autoSpaceDE w:val="0"/>
              <w:autoSpaceDN w:val="0"/>
              <w:adjustRightInd w:val="0"/>
              <w:jc w:val="center"/>
              <w:rPr>
                <w:rFonts w:ascii="宋体" w:hAnsi="宋体" w:cs="Tahoma"/>
                <w:color w:val="auto"/>
                <w:sz w:val="24"/>
                <w:highlight w:val="none"/>
              </w:rPr>
            </w:pPr>
            <w:r>
              <w:rPr>
                <w:rFonts w:hint="eastAsia" w:ascii="宋体" w:hAnsi="宋体"/>
                <w:color w:val="auto"/>
                <w:kern w:val="0"/>
                <w:sz w:val="24"/>
                <w:highlight w:val="none"/>
              </w:rPr>
              <w:t>商务</w:t>
            </w:r>
            <w:r>
              <w:rPr>
                <w:rFonts w:ascii="宋体" w:hAnsi="宋体"/>
                <w:color w:val="auto"/>
                <w:kern w:val="0"/>
                <w:sz w:val="24"/>
                <w:highlight w:val="none"/>
              </w:rPr>
              <w:t>与技术</w:t>
            </w:r>
          </w:p>
        </w:tc>
        <w:tc>
          <w:tcPr>
            <w:tcW w:w="4398" w:type="dxa"/>
            <w:vAlign w:val="center"/>
          </w:tcPr>
          <w:p w14:paraId="453DAF3B">
            <w:pPr>
              <w:autoSpaceDE w:val="0"/>
              <w:autoSpaceDN w:val="0"/>
              <w:adjustRightInd w:val="0"/>
              <w:jc w:val="center"/>
              <w:rPr>
                <w:rFonts w:ascii="宋体" w:hAnsi="宋体" w:cs="Tahoma"/>
                <w:color w:val="auto"/>
                <w:sz w:val="24"/>
                <w:highlight w:val="none"/>
              </w:rPr>
            </w:pPr>
            <w:r>
              <w:rPr>
                <w:rFonts w:hint="eastAsia" w:ascii="宋体"/>
                <w:color w:val="auto"/>
                <w:kern w:val="0"/>
                <w:sz w:val="24"/>
                <w:highlight w:val="none"/>
                <w:lang w:val="en-US" w:eastAsia="zh-CN"/>
              </w:rPr>
              <w:t>9</w:t>
            </w:r>
            <w:r>
              <w:rPr>
                <w:rFonts w:ascii="宋体"/>
                <w:color w:val="auto"/>
                <w:kern w:val="0"/>
                <w:sz w:val="24"/>
                <w:highlight w:val="none"/>
              </w:rPr>
              <w:t>0</w:t>
            </w:r>
            <w:r>
              <w:rPr>
                <w:rFonts w:hint="eastAsia" w:ascii="宋体"/>
                <w:color w:val="auto"/>
                <w:kern w:val="0"/>
                <w:sz w:val="24"/>
                <w:highlight w:val="none"/>
              </w:rPr>
              <w:t>分</w:t>
            </w:r>
          </w:p>
        </w:tc>
      </w:tr>
      <w:tr w14:paraId="2C7B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909" w:type="dxa"/>
            <w:vAlign w:val="center"/>
          </w:tcPr>
          <w:p w14:paraId="0B1C81C1">
            <w:pPr>
              <w:autoSpaceDE w:val="0"/>
              <w:autoSpaceDN w:val="0"/>
              <w:adjustRightInd w:val="0"/>
              <w:jc w:val="center"/>
              <w:rPr>
                <w:rFonts w:ascii="宋体" w:hAnsi="宋体" w:cs="Tahoma"/>
                <w:color w:val="auto"/>
                <w:sz w:val="24"/>
                <w:highlight w:val="none"/>
              </w:rPr>
            </w:pPr>
            <w:r>
              <w:rPr>
                <w:rFonts w:hint="eastAsia" w:ascii="宋体" w:hAnsi="宋体"/>
                <w:color w:val="auto"/>
                <w:kern w:val="0"/>
                <w:sz w:val="24"/>
                <w:highlight w:val="none"/>
              </w:rPr>
              <w:t>价格</w:t>
            </w:r>
          </w:p>
        </w:tc>
        <w:tc>
          <w:tcPr>
            <w:tcW w:w="4398" w:type="dxa"/>
            <w:vAlign w:val="center"/>
          </w:tcPr>
          <w:p w14:paraId="66019E01">
            <w:pPr>
              <w:autoSpaceDE w:val="0"/>
              <w:autoSpaceDN w:val="0"/>
              <w:adjustRightInd w:val="0"/>
              <w:jc w:val="center"/>
              <w:rPr>
                <w:rFonts w:ascii="宋体" w:hAnsi="宋体" w:cs="Tahoma"/>
                <w:color w:val="auto"/>
                <w:sz w:val="24"/>
                <w:highlight w:val="none"/>
              </w:rPr>
            </w:pPr>
            <w:r>
              <w:rPr>
                <w:rFonts w:hint="eastAsia" w:ascii="宋体"/>
                <w:color w:val="auto"/>
                <w:kern w:val="0"/>
                <w:sz w:val="24"/>
                <w:highlight w:val="none"/>
                <w:lang w:val="en-US" w:eastAsia="zh-CN"/>
              </w:rPr>
              <w:t>1</w:t>
            </w:r>
            <w:r>
              <w:rPr>
                <w:rFonts w:ascii="宋体"/>
                <w:color w:val="auto"/>
                <w:kern w:val="0"/>
                <w:sz w:val="24"/>
                <w:highlight w:val="none"/>
              </w:rPr>
              <w:t>0</w:t>
            </w:r>
            <w:r>
              <w:rPr>
                <w:rFonts w:hint="eastAsia" w:ascii="宋体"/>
                <w:color w:val="auto"/>
                <w:kern w:val="0"/>
                <w:sz w:val="24"/>
                <w:highlight w:val="none"/>
              </w:rPr>
              <w:t>分</w:t>
            </w:r>
          </w:p>
        </w:tc>
      </w:tr>
    </w:tbl>
    <w:p w14:paraId="625472A9">
      <w:pPr>
        <w:autoSpaceDE w:val="0"/>
        <w:autoSpaceDN w:val="0"/>
        <w:adjustRightInd w:val="0"/>
        <w:spacing w:line="360" w:lineRule="auto"/>
        <w:ind w:right="84" w:firstLine="472"/>
        <w:rPr>
          <w:rFonts w:ascii="宋体" w:hAnsi="宋体"/>
          <w:bCs/>
          <w:color w:val="auto"/>
          <w:sz w:val="24"/>
          <w:highlight w:val="none"/>
          <w:lang w:val="zh-CN"/>
        </w:rPr>
      </w:pPr>
      <w:r>
        <w:rPr>
          <w:rFonts w:hint="eastAsia" w:ascii="宋体" w:hAnsi="宋体"/>
          <w:bCs/>
          <w:color w:val="auto"/>
          <w:sz w:val="24"/>
          <w:highlight w:val="none"/>
          <w:lang w:val="zh-CN"/>
        </w:rPr>
        <w:t>（一）商务与技术文件中的客观分由</w:t>
      </w:r>
      <w:r>
        <w:rPr>
          <w:rFonts w:hint="eastAsia" w:ascii="宋体" w:hAnsi="宋体"/>
          <w:color w:val="auto"/>
          <w:sz w:val="24"/>
          <w:highlight w:val="none"/>
        </w:rPr>
        <w:t>磋商小组</w:t>
      </w:r>
      <w:r>
        <w:rPr>
          <w:rFonts w:hint="eastAsia" w:ascii="宋体" w:hAnsi="宋体"/>
          <w:bCs/>
          <w:color w:val="auto"/>
          <w:sz w:val="24"/>
          <w:highlight w:val="none"/>
          <w:lang w:val="zh-CN"/>
        </w:rPr>
        <w:t>讨论后统一打分；其余在规定的分值内单独评定打分。</w:t>
      </w:r>
    </w:p>
    <w:p w14:paraId="0A15842F">
      <w:pPr>
        <w:autoSpaceDE w:val="0"/>
        <w:autoSpaceDN w:val="0"/>
        <w:adjustRightInd w:val="0"/>
        <w:spacing w:line="360" w:lineRule="auto"/>
        <w:ind w:right="84" w:firstLine="472"/>
        <w:rPr>
          <w:rFonts w:ascii="宋体" w:hAnsi="宋体"/>
          <w:bCs/>
          <w:color w:val="auto"/>
          <w:sz w:val="24"/>
          <w:highlight w:val="none"/>
          <w:shd w:val="clear" w:color="FFFFFF" w:fill="D9D9D9"/>
          <w:lang w:val="zh-CN"/>
        </w:rPr>
      </w:pPr>
      <w:r>
        <w:rPr>
          <w:rFonts w:hint="eastAsia" w:ascii="宋体" w:hAnsi="宋体"/>
          <w:bCs/>
          <w:color w:val="auto"/>
          <w:sz w:val="24"/>
          <w:highlight w:val="none"/>
          <w:lang w:val="zh-CN"/>
        </w:rPr>
        <w:t>（二）各磋商供应商商务与技术文件</w:t>
      </w:r>
      <w:r>
        <w:rPr>
          <w:rFonts w:hint="eastAsia" w:ascii="宋体" w:hAnsi="宋体"/>
          <w:color w:val="auto"/>
          <w:kern w:val="0"/>
          <w:sz w:val="24"/>
          <w:highlight w:val="none"/>
          <w:lang w:val="zh-CN"/>
        </w:rPr>
        <w:t>得分按照</w:t>
      </w:r>
      <w:r>
        <w:rPr>
          <w:rFonts w:hint="eastAsia" w:ascii="宋体" w:hAnsi="宋体"/>
          <w:color w:val="auto"/>
          <w:sz w:val="24"/>
          <w:highlight w:val="none"/>
        </w:rPr>
        <w:t>磋商小组</w:t>
      </w:r>
      <w:r>
        <w:rPr>
          <w:rFonts w:hint="eastAsia" w:ascii="宋体" w:hAnsi="宋体"/>
          <w:color w:val="auto"/>
          <w:kern w:val="0"/>
          <w:sz w:val="24"/>
          <w:highlight w:val="none"/>
          <w:lang w:val="zh-CN"/>
        </w:rPr>
        <w:t>成</w:t>
      </w:r>
      <w:r>
        <w:rPr>
          <w:rFonts w:hint="eastAsia" w:ascii="宋体" w:hAnsi="宋体"/>
          <w:bCs/>
          <w:color w:val="auto"/>
          <w:sz w:val="24"/>
          <w:highlight w:val="none"/>
          <w:lang w:val="zh-CN"/>
        </w:rPr>
        <w:t>员的独立评分结果汇总后的算术平均分计算，计算公式为：</w:t>
      </w:r>
    </w:p>
    <w:p w14:paraId="2C8B315D">
      <w:pPr>
        <w:autoSpaceDE w:val="0"/>
        <w:autoSpaceDN w:val="0"/>
        <w:adjustRightInd w:val="0"/>
        <w:spacing w:line="360" w:lineRule="auto"/>
        <w:ind w:right="84" w:firstLine="472"/>
        <w:rPr>
          <w:rFonts w:ascii="宋体" w:hAns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ascii="宋体" w:hAnsi="宋体"/>
          <w:bCs/>
          <w:color w:val="auto"/>
          <w:sz w:val="24"/>
          <w:highlight w:val="none"/>
          <w:lang w:val="zh-CN"/>
        </w:rPr>
        <w:t>=</w:t>
      </w:r>
      <w:r>
        <w:rPr>
          <w:rFonts w:hint="eastAsia" w:ascii="宋体" w:hAnsi="宋体"/>
          <w:color w:val="auto"/>
          <w:sz w:val="24"/>
          <w:highlight w:val="none"/>
        </w:rPr>
        <w:t>磋商小组</w:t>
      </w:r>
      <w:r>
        <w:rPr>
          <w:rFonts w:hint="eastAsia" w:ascii="宋体" w:hAnsi="宋体"/>
          <w:bCs/>
          <w:color w:val="auto"/>
          <w:sz w:val="24"/>
          <w:highlight w:val="none"/>
          <w:lang w:val="zh-CN"/>
        </w:rPr>
        <w:t>所有成员评分合计数</w:t>
      </w:r>
      <w:r>
        <w:rPr>
          <w:rFonts w:ascii="宋体" w:hAnsi="宋体"/>
          <w:bCs/>
          <w:color w:val="auto"/>
          <w:sz w:val="24"/>
          <w:highlight w:val="none"/>
          <w:lang w:val="zh-CN"/>
        </w:rPr>
        <w:t>/</w:t>
      </w:r>
      <w:r>
        <w:rPr>
          <w:rFonts w:hint="eastAsia" w:ascii="宋体" w:hAnsi="宋体"/>
          <w:color w:val="auto"/>
          <w:sz w:val="24"/>
          <w:highlight w:val="none"/>
        </w:rPr>
        <w:t>磋商小组</w:t>
      </w:r>
      <w:r>
        <w:rPr>
          <w:rFonts w:hint="eastAsia" w:ascii="宋体" w:hAnsi="宋体"/>
          <w:bCs/>
          <w:color w:val="auto"/>
          <w:sz w:val="24"/>
          <w:highlight w:val="none"/>
          <w:lang w:val="zh-CN"/>
        </w:rPr>
        <w:t>组成人员数。</w:t>
      </w:r>
    </w:p>
    <w:p w14:paraId="0C7359B4">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ascii="宋体" w:hAnsi="宋体"/>
          <w:bCs/>
          <w:color w:val="auto"/>
          <w:sz w:val="24"/>
          <w:highlight w:val="none"/>
          <w:lang w:val="zh-CN"/>
        </w:rPr>
        <w:t>（三）</w:t>
      </w:r>
      <w:r>
        <w:rPr>
          <w:rFonts w:hint="eastAsia" w:ascii="宋体" w:hAnsi="宋体"/>
          <w:color w:val="auto"/>
          <w:sz w:val="24"/>
          <w:highlight w:val="none"/>
        </w:rPr>
        <w:t>综合评分法中的价格分统一</w:t>
      </w:r>
      <w:r>
        <w:rPr>
          <w:rFonts w:hint="eastAsia" w:ascii="宋体" w:hAnsi="宋体"/>
          <w:color w:val="auto"/>
          <w:sz w:val="24"/>
          <w:highlight w:val="none"/>
          <w:lang w:val="zh-CN"/>
        </w:rPr>
        <w:t>采用低价优先法计算，即满足</w:t>
      </w:r>
      <w:r>
        <w:rPr>
          <w:rFonts w:hint="eastAsia" w:ascii="宋体" w:hAnsi="宋体"/>
          <w:color w:val="auto"/>
          <w:sz w:val="24"/>
          <w:highlight w:val="none"/>
        </w:rPr>
        <w:t>磋商</w:t>
      </w:r>
      <w:r>
        <w:rPr>
          <w:rFonts w:hint="eastAsia" w:ascii="宋体" w:hAnsi="宋体"/>
          <w:color w:val="auto"/>
          <w:sz w:val="24"/>
          <w:highlight w:val="none"/>
          <w:lang w:val="zh-CN"/>
        </w:rPr>
        <w:t>文件要求且最后报价最低的供应商的价格作为</w:t>
      </w:r>
      <w:r>
        <w:rPr>
          <w:rFonts w:hint="eastAsia" w:ascii="宋体" w:hAnsi="宋体"/>
          <w:color w:val="auto"/>
          <w:sz w:val="24"/>
          <w:highlight w:val="none"/>
          <w:lang w:eastAsia="zh-Hans"/>
        </w:rPr>
        <w:t>评标</w:t>
      </w:r>
      <w:r>
        <w:rPr>
          <w:rFonts w:hint="eastAsia" w:ascii="宋体" w:hAnsi="宋体"/>
          <w:color w:val="auto"/>
          <w:sz w:val="24"/>
          <w:highlight w:val="none"/>
          <w:lang w:val="zh-CN"/>
        </w:rPr>
        <w:t>基准价，其报价得满分。其他供应商的价格分统一按照下列公式计算（得分保留</w:t>
      </w:r>
      <w:r>
        <w:rPr>
          <w:rFonts w:ascii="宋体" w:hAnsi="宋体"/>
          <w:color w:val="auto"/>
          <w:sz w:val="24"/>
          <w:highlight w:val="none"/>
          <w:lang w:val="zh-CN"/>
        </w:rPr>
        <w:t>2位小数</w:t>
      </w:r>
      <w:r>
        <w:rPr>
          <w:rFonts w:hint="eastAsia" w:ascii="宋体" w:hAnsi="宋体"/>
          <w:color w:val="auto"/>
          <w:sz w:val="24"/>
          <w:highlight w:val="none"/>
          <w:lang w:val="zh-CN"/>
        </w:rPr>
        <w:t>）：</w:t>
      </w:r>
      <w:r>
        <w:rPr>
          <w:rFonts w:hint="eastAsia" w:ascii="宋体" w:hAnsi="宋体"/>
          <w:color w:val="auto"/>
          <w:sz w:val="24"/>
          <w:highlight w:val="none"/>
          <w:u w:val="single"/>
          <w:lang w:val="zh-CN"/>
        </w:rPr>
        <w:t>投标报价得分=（评标基准价/投标报价）*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lang w:val="zh-CN"/>
        </w:rPr>
        <w:t>0</w:t>
      </w:r>
    </w:p>
    <w:p w14:paraId="36D82FB3">
      <w:pPr>
        <w:pStyle w:val="2"/>
        <w:ind w:firstLine="480" w:firstLineChars="200"/>
        <w:rPr>
          <w:rFonts w:ascii="宋体" w:hAnsi="宋体"/>
          <w:color w:val="auto"/>
          <w:highlight w:val="none"/>
          <w:lang w:eastAsia="zh-Hans"/>
        </w:rPr>
      </w:pPr>
      <w:r>
        <w:rPr>
          <w:rFonts w:hint="eastAsia" w:ascii="宋体" w:hAnsi="宋体"/>
          <w:color w:val="auto"/>
          <w:highlight w:val="none"/>
          <w:lang w:eastAsia="zh-Hans"/>
        </w:rPr>
        <w:t>注</w:t>
      </w:r>
      <w:r>
        <w:rPr>
          <w:rFonts w:ascii="宋体" w:hAnsi="宋体"/>
          <w:color w:val="auto"/>
          <w:highlight w:val="none"/>
          <w:lang w:eastAsia="zh-Hans"/>
        </w:rPr>
        <w:t>：</w:t>
      </w:r>
    </w:p>
    <w:p w14:paraId="2CDC53C9">
      <w:pPr>
        <w:pStyle w:val="2"/>
        <w:ind w:firstLine="480" w:firstLineChars="200"/>
        <w:rPr>
          <w:rFonts w:ascii="宋体" w:hAnsi="宋体"/>
          <w:color w:val="auto"/>
          <w:highlight w:val="none"/>
        </w:rPr>
      </w:pPr>
      <w:r>
        <w:rPr>
          <w:rFonts w:hint="eastAsia" w:ascii="宋体" w:hAnsi="宋体"/>
          <w:color w:val="auto"/>
          <w:highlight w:val="none"/>
        </w:rPr>
        <w:t>1、本次磋商报价共计2轮，供应商上传“政府采购云平台”的投标格式“附件9”即为第一轮报价；</w:t>
      </w:r>
    </w:p>
    <w:p w14:paraId="3C798907">
      <w:pPr>
        <w:pStyle w:val="2"/>
        <w:ind w:firstLine="480" w:firstLineChars="200"/>
        <w:rPr>
          <w:color w:val="auto"/>
          <w:highlight w:val="none"/>
          <w:lang w:eastAsia="zh-Hans"/>
        </w:rPr>
      </w:pPr>
      <w:r>
        <w:rPr>
          <w:rFonts w:hint="eastAsia" w:ascii="宋体" w:hAnsi="宋体"/>
          <w:color w:val="auto"/>
          <w:highlight w:val="none"/>
        </w:rPr>
        <w:t>2、</w:t>
      </w:r>
      <w:r>
        <w:rPr>
          <w:rFonts w:ascii="宋体" w:hAnsi="宋体"/>
          <w:color w:val="auto"/>
          <w:highlight w:val="none"/>
          <w:lang w:eastAsia="zh-Hans"/>
        </w:rPr>
        <w:t>本项目采用综合评估法，</w:t>
      </w:r>
      <w:r>
        <w:rPr>
          <w:rFonts w:hint="eastAsia" w:ascii="宋体" w:hAnsi="宋体"/>
          <w:color w:val="auto"/>
          <w:highlight w:val="none"/>
        </w:rPr>
        <w:t>磋商</w:t>
      </w:r>
      <w:r>
        <w:rPr>
          <w:rFonts w:ascii="宋体" w:hAnsi="宋体"/>
          <w:color w:val="auto"/>
          <w:highlight w:val="none"/>
          <w:lang w:eastAsia="zh-Hans"/>
        </w:rPr>
        <w:t>供应商报价不是中标的最终因素。</w:t>
      </w:r>
      <w:r>
        <w:rPr>
          <w:rFonts w:hint="eastAsia" w:ascii="宋体" w:hAnsi="宋体"/>
          <w:color w:val="auto"/>
          <w:highlight w:val="none"/>
        </w:rPr>
        <w:t>磋商</w:t>
      </w:r>
      <w:r>
        <w:rPr>
          <w:rFonts w:ascii="宋体" w:hAnsi="宋体"/>
          <w:color w:val="auto"/>
          <w:highlight w:val="none"/>
          <w:lang w:eastAsia="zh-Hans"/>
        </w:rPr>
        <w:t>供应商的报价明显低于市场成本或其他通过符合性审查</w:t>
      </w:r>
      <w:r>
        <w:rPr>
          <w:rFonts w:hint="eastAsia" w:ascii="宋体" w:hAnsi="宋体"/>
          <w:color w:val="auto"/>
          <w:highlight w:val="none"/>
        </w:rPr>
        <w:t>磋商</w:t>
      </w:r>
      <w:r>
        <w:rPr>
          <w:rFonts w:ascii="宋体" w:hAnsi="宋体"/>
          <w:color w:val="auto"/>
          <w:highlight w:val="none"/>
          <w:lang w:eastAsia="zh-Hans"/>
        </w:rPr>
        <w:t>供应商的报价，有可能影响产品质量或者不能诚信履约的，应当按评标委员会的要求，在评标现场合理的时间内提供</w:t>
      </w:r>
      <w:r>
        <w:rPr>
          <w:rFonts w:hint="eastAsia" w:ascii="宋体" w:hAnsi="宋体"/>
          <w:color w:val="auto"/>
          <w:highlight w:val="none"/>
        </w:rPr>
        <w:t>在线</w:t>
      </w:r>
      <w:r>
        <w:rPr>
          <w:rFonts w:ascii="宋体" w:hAnsi="宋体"/>
          <w:color w:val="auto"/>
          <w:highlight w:val="none"/>
          <w:lang w:eastAsia="zh-Hans"/>
        </w:rPr>
        <w:t>说明，必要时提交相关证明材料。</w:t>
      </w:r>
      <w:r>
        <w:rPr>
          <w:rFonts w:hint="eastAsia" w:ascii="宋体" w:hAnsi="宋体"/>
          <w:color w:val="auto"/>
          <w:highlight w:val="none"/>
        </w:rPr>
        <w:t>磋商</w:t>
      </w:r>
      <w:r>
        <w:rPr>
          <w:rFonts w:ascii="宋体" w:hAnsi="宋体"/>
          <w:color w:val="auto"/>
          <w:highlight w:val="none"/>
          <w:lang w:eastAsia="zh-Hans"/>
        </w:rPr>
        <w:t>供应商不能证明其报价合理性的，将被作为无效投标处理。</w:t>
      </w:r>
    </w:p>
    <w:p w14:paraId="4631E93F">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（四）政府采购政策及优惠：</w:t>
      </w:r>
    </w:p>
    <w:p w14:paraId="13513761">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ascii="宋体" w:hAnsi="宋体"/>
          <w:color w:val="auto"/>
          <w:sz w:val="24"/>
          <w:highlight w:val="none"/>
          <w:lang w:val="zh-CN"/>
        </w:rPr>
        <w:t>1）中小型企业参加政府采购活动时，</w:t>
      </w:r>
      <w:r>
        <w:rPr>
          <w:rFonts w:hint="eastAsia" w:ascii="宋体" w:hAnsi="宋体"/>
          <w:b/>
          <w:color w:val="auto"/>
          <w:sz w:val="24"/>
          <w:highlight w:val="none"/>
          <w:lang w:val="zh-CN"/>
        </w:rPr>
        <w:t>应符合《政府采购促进中小企业发展管理办法》（财库﹝</w:t>
      </w:r>
      <w:r>
        <w:rPr>
          <w:rFonts w:ascii="宋体" w:hAnsi="宋体"/>
          <w:b/>
          <w:color w:val="auto"/>
          <w:sz w:val="24"/>
          <w:highlight w:val="none"/>
          <w:lang w:val="zh-CN"/>
        </w:rPr>
        <w:t xml:space="preserve">2020﹞46 </w:t>
      </w:r>
      <w:r>
        <w:rPr>
          <w:rFonts w:hint="eastAsia" w:ascii="宋体" w:hAnsi="宋体"/>
          <w:b/>
          <w:color w:val="auto"/>
          <w:sz w:val="24"/>
          <w:highlight w:val="none"/>
          <w:lang w:val="zh-CN"/>
        </w:rPr>
        <w:t>号）第四条、第十二条的规定</w:t>
      </w:r>
      <w:r>
        <w:rPr>
          <w:rFonts w:hint="eastAsia" w:ascii="宋体" w:hAnsi="宋体"/>
          <w:color w:val="auto"/>
          <w:sz w:val="24"/>
          <w:highlight w:val="none"/>
          <w:lang w:val="zh-CN"/>
        </w:rPr>
        <w:t>，提供《中小企业声明函》（见附件）。</w:t>
      </w:r>
    </w:p>
    <w:p w14:paraId="14F5BE40">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ascii="宋体" w:hAnsi="宋体"/>
          <w:color w:val="auto"/>
          <w:sz w:val="24"/>
          <w:highlight w:val="none"/>
          <w:lang w:val="zh-CN"/>
        </w:rPr>
        <w:t>2）监狱企业参加政府采购活动时，应当提供由省级以上监狱管理局、戒毒管理局（含新疆生产建设兵团）出具的属于监狱企业的证明文件，视同小型、微型企业，享受小微企业政府采购优惠政策；</w:t>
      </w:r>
    </w:p>
    <w:p w14:paraId="40FA2D12">
      <w:pPr>
        <w:autoSpaceDE w:val="0"/>
        <w:autoSpaceDN w:val="0"/>
        <w:adjustRightInd w:val="0"/>
        <w:spacing w:line="360" w:lineRule="auto"/>
        <w:ind w:right="85" w:firstLine="480" w:firstLineChars="200"/>
        <w:rPr>
          <w:rFonts w:ascii="宋体" w:hAnsi="宋体"/>
          <w:color w:val="auto"/>
          <w:sz w:val="24"/>
          <w:highlight w:val="none"/>
          <w:lang w:val="zh-CN"/>
        </w:rPr>
      </w:pPr>
      <w:r>
        <w:rPr>
          <w:rFonts w:ascii="宋体" w:hAnsi="宋体"/>
          <w:color w:val="auto"/>
          <w:sz w:val="24"/>
          <w:highlight w:val="none"/>
          <w:lang w:val="zh-CN"/>
        </w:rPr>
        <w:t>（3）残疾人福利性单位在参加政府采购活动时，应提供《残疾人福利性单位声明函》（见附件），视同小型、微型企业，享受小微企业政府采购优惠政策。</w:t>
      </w:r>
    </w:p>
    <w:p w14:paraId="6EA82304">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具体优惠：对于小型、微型企业产品的价格给予</w:t>
      </w:r>
      <w:r>
        <w:rPr>
          <w:rFonts w:ascii="宋体" w:hAnsi="宋体"/>
          <w:color w:val="auto"/>
          <w:sz w:val="24"/>
          <w:highlight w:val="none"/>
          <w:u w:val="single"/>
          <w:lang w:val="zh-CN"/>
        </w:rPr>
        <w:t>6</w:t>
      </w:r>
      <w:r>
        <w:rPr>
          <w:rFonts w:ascii="宋体" w:hAnsi="宋体"/>
          <w:color w:val="auto"/>
          <w:sz w:val="24"/>
          <w:highlight w:val="none"/>
          <w:lang w:val="zh-CN"/>
        </w:rPr>
        <w:t>%的扣除，用扣除后的价格计算评审基准价和最后报价。同一供应商，小微企业、监狱企业、残疾人福利性单位价格扣除优惠只享受一次，不得重复享受。</w:t>
      </w:r>
    </w:p>
    <w:p w14:paraId="6A9DCA3F">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三、在最大限度地满足磋商文件实质性要求前提下，</w:t>
      </w:r>
      <w:r>
        <w:rPr>
          <w:rFonts w:hint="eastAsia" w:ascii="宋体" w:hAnsi="宋体"/>
          <w:color w:val="auto"/>
          <w:sz w:val="24"/>
          <w:highlight w:val="none"/>
        </w:rPr>
        <w:t>磋商小组</w:t>
      </w:r>
      <w:r>
        <w:rPr>
          <w:rFonts w:hint="eastAsia" w:ascii="宋体" w:hAnsi="宋体"/>
          <w:color w:val="auto"/>
          <w:sz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14:paraId="02BB9004">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四、如综合得分相同，最后报价低者为先；如综合得分且最后报价相同的，货物类采购项目以技术性能得分较高者为先，</w:t>
      </w:r>
      <w:r>
        <w:rPr>
          <w:rFonts w:hint="eastAsia" w:ascii="宋体" w:hAnsi="宋体"/>
          <w:color w:val="auto"/>
          <w:sz w:val="24"/>
          <w:highlight w:val="none"/>
          <w:lang w:val="en-US" w:eastAsia="zh-CN"/>
        </w:rPr>
        <w:t>服务</w:t>
      </w:r>
      <w:r>
        <w:rPr>
          <w:rFonts w:hint="eastAsia" w:ascii="宋体" w:hAnsi="宋体"/>
          <w:color w:val="auto"/>
          <w:sz w:val="24"/>
          <w:highlight w:val="none"/>
          <w:lang w:val="zh-CN"/>
        </w:rPr>
        <w:t>类采购项目以</w:t>
      </w:r>
      <w:r>
        <w:rPr>
          <w:rFonts w:hint="eastAsia" w:ascii="宋体" w:hAnsi="宋体"/>
          <w:color w:val="auto"/>
          <w:sz w:val="24"/>
          <w:highlight w:val="none"/>
          <w:lang w:val="en-US" w:eastAsia="zh-CN"/>
        </w:rPr>
        <w:t>抽签方式确定</w:t>
      </w:r>
      <w:r>
        <w:rPr>
          <w:rFonts w:hint="eastAsia" w:ascii="宋体" w:hAnsi="宋体"/>
          <w:color w:val="auto"/>
          <w:sz w:val="24"/>
          <w:highlight w:val="none"/>
          <w:lang w:val="zh-CN"/>
        </w:rPr>
        <w:t>。</w:t>
      </w:r>
    </w:p>
    <w:p w14:paraId="67133FEC">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五、提供相同品牌产品的不同供应商参加同一合同项下磋商的，按一家供应商认定：（</w:t>
      </w:r>
      <w:r>
        <w:rPr>
          <w:rFonts w:ascii="宋体" w:hAnsi="宋体"/>
          <w:color w:val="auto"/>
          <w:sz w:val="24"/>
          <w:highlight w:val="none"/>
          <w:lang w:val="zh-CN"/>
        </w:rPr>
        <w:t>1）采用最低评标价法的采购项目，以其中通过资格审查、符合性审查且报价最低的参加评标；报价相同的，由</w:t>
      </w:r>
      <w:r>
        <w:rPr>
          <w:rFonts w:hint="eastAsia" w:ascii="宋体" w:hAnsi="宋体"/>
          <w:color w:val="auto"/>
          <w:sz w:val="24"/>
          <w:highlight w:val="none"/>
        </w:rPr>
        <w:t>磋商小组</w:t>
      </w:r>
      <w:r>
        <w:rPr>
          <w:rFonts w:hint="eastAsia" w:ascii="宋体" w:hAnsi="宋体"/>
          <w:color w:val="auto"/>
          <w:sz w:val="24"/>
          <w:highlight w:val="none"/>
          <w:lang w:val="zh-CN"/>
        </w:rPr>
        <w:t>集体确定一个供应商参加磋商，其他供应商不再参加。（</w:t>
      </w:r>
      <w:r>
        <w:rPr>
          <w:rFonts w:ascii="宋体" w:hAnsi="宋体"/>
          <w:color w:val="auto"/>
          <w:sz w:val="24"/>
          <w:highlight w:val="none"/>
          <w:lang w:val="zh-CN"/>
        </w:rPr>
        <w:t>2）使用综合评分法的采购项目，评审后得分最高的同品牌供应商获得成交推荐资格；评审得分相同的，由</w:t>
      </w:r>
      <w:r>
        <w:rPr>
          <w:rFonts w:hint="eastAsia" w:ascii="宋体" w:hAnsi="宋体"/>
          <w:color w:val="auto"/>
          <w:sz w:val="24"/>
          <w:highlight w:val="none"/>
        </w:rPr>
        <w:t>磋商小组</w:t>
      </w:r>
      <w:r>
        <w:rPr>
          <w:rFonts w:hint="eastAsia" w:ascii="宋体" w:hAnsi="宋体"/>
          <w:color w:val="auto"/>
          <w:sz w:val="24"/>
          <w:highlight w:val="none"/>
          <w:lang w:val="zh-CN"/>
        </w:rPr>
        <w:t>集体推荐一个供应商作为成交候选人，其他同品牌供应商不作为成交候选人。</w:t>
      </w:r>
    </w:p>
    <w:p w14:paraId="1EE57B45">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六、本次评分具体分值细化条款如下表（缺项的不得分）：</w:t>
      </w:r>
    </w:p>
    <w:p w14:paraId="608078FB">
      <w:pPr>
        <w:pStyle w:val="2"/>
        <w:ind w:firstLine="720"/>
        <w:rPr>
          <w:rFonts w:ascii="宋体" w:hAnsi="宋体"/>
          <w:color w:val="auto"/>
          <w:highlight w:val="none"/>
        </w:rPr>
      </w:pPr>
    </w:p>
    <w:p w14:paraId="41B77D07">
      <w:pPr>
        <w:pStyle w:val="2"/>
        <w:ind w:firstLine="720"/>
        <w:rPr>
          <w:rFonts w:ascii="宋体" w:hAnsi="宋体"/>
          <w:color w:val="auto"/>
          <w:highlight w:val="none"/>
        </w:rPr>
      </w:pPr>
    </w:p>
    <w:p w14:paraId="54C7E359">
      <w:pPr>
        <w:pStyle w:val="2"/>
        <w:ind w:firstLine="720"/>
        <w:rPr>
          <w:rFonts w:ascii="宋体" w:hAnsi="宋体"/>
          <w:color w:val="auto"/>
          <w:highlight w:val="none"/>
        </w:rPr>
      </w:pPr>
    </w:p>
    <w:tbl>
      <w:tblPr>
        <w:tblStyle w:val="30"/>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187"/>
        <w:gridCol w:w="698"/>
        <w:gridCol w:w="7193"/>
      </w:tblGrid>
      <w:tr w14:paraId="2937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77" w:type="dxa"/>
            <w:vAlign w:val="center"/>
          </w:tcPr>
          <w:p w14:paraId="23BD1159">
            <w:pPr>
              <w:keepNext w:val="0"/>
              <w:keepLines w:val="0"/>
              <w:pageBreakBefore w:val="0"/>
              <w:widowControl w:val="0"/>
              <w:numPr>
                <w:ilvl w:val="0"/>
                <w:numId w:val="0"/>
              </w:numPr>
              <w:suppressLineNumbers w:val="0"/>
              <w:kinsoku/>
              <w:wordWrap w:val="0"/>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pacing w:val="0"/>
                <w:position w:val="0"/>
                <w:sz w:val="24"/>
                <w:szCs w:val="24"/>
              </w:rPr>
              <w:t>序号</w:t>
            </w:r>
          </w:p>
        </w:tc>
        <w:tc>
          <w:tcPr>
            <w:tcW w:w="1187" w:type="dxa"/>
            <w:vAlign w:val="center"/>
          </w:tcPr>
          <w:p w14:paraId="38007137">
            <w:pPr>
              <w:keepNext w:val="0"/>
              <w:keepLines w:val="0"/>
              <w:pageBreakBefore w:val="0"/>
              <w:widowControl w:val="0"/>
              <w:numPr>
                <w:ilvl w:val="0"/>
                <w:numId w:val="0"/>
              </w:numPr>
              <w:suppressLineNumbers w:val="0"/>
              <w:kinsoku/>
              <w:wordWrap w:val="0"/>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pacing w:val="0"/>
                <w:position w:val="0"/>
                <w:sz w:val="24"/>
                <w:szCs w:val="24"/>
              </w:rPr>
              <w:t>项目</w:t>
            </w:r>
          </w:p>
        </w:tc>
        <w:tc>
          <w:tcPr>
            <w:tcW w:w="698" w:type="dxa"/>
            <w:vAlign w:val="center"/>
          </w:tcPr>
          <w:p w14:paraId="164A6B7F">
            <w:pPr>
              <w:keepNext w:val="0"/>
              <w:keepLines w:val="0"/>
              <w:pageBreakBefore w:val="0"/>
              <w:widowControl w:val="0"/>
              <w:numPr>
                <w:ilvl w:val="0"/>
                <w:numId w:val="0"/>
              </w:numPr>
              <w:suppressLineNumbers w:val="0"/>
              <w:kinsoku/>
              <w:wordWrap w:val="0"/>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pacing w:val="0"/>
                <w:position w:val="0"/>
                <w:sz w:val="24"/>
                <w:szCs w:val="24"/>
              </w:rPr>
              <w:t>分值</w:t>
            </w:r>
          </w:p>
        </w:tc>
        <w:tc>
          <w:tcPr>
            <w:tcW w:w="7193" w:type="dxa"/>
            <w:vAlign w:val="center"/>
          </w:tcPr>
          <w:p w14:paraId="6429CD13">
            <w:pPr>
              <w:keepNext w:val="0"/>
              <w:keepLines w:val="0"/>
              <w:pageBreakBefore w:val="0"/>
              <w:widowControl w:val="0"/>
              <w:numPr>
                <w:ilvl w:val="0"/>
                <w:numId w:val="0"/>
              </w:numPr>
              <w:suppressLineNumbers w:val="0"/>
              <w:kinsoku/>
              <w:wordWrap w:val="0"/>
              <w:overflowPunct w:val="0"/>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pacing w:val="0"/>
                <w:position w:val="0"/>
                <w:sz w:val="24"/>
                <w:szCs w:val="24"/>
              </w:rPr>
              <w:t>评分内容</w:t>
            </w:r>
          </w:p>
        </w:tc>
      </w:tr>
      <w:tr w14:paraId="3C20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77" w:type="dxa"/>
            <w:vAlign w:val="center"/>
          </w:tcPr>
          <w:p w14:paraId="37E0C9D3">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rPr>
            </w:pPr>
            <w:r>
              <w:rPr>
                <w:rFonts w:hint="eastAsia" w:ascii="宋体" w:hAnsi="宋体" w:eastAsia="宋体" w:cs="宋体"/>
                <w:b w:val="0"/>
                <w:bCs w:val="0"/>
                <w:color w:val="auto"/>
                <w:spacing w:val="0"/>
                <w:position w:val="0"/>
                <w:sz w:val="24"/>
                <w:szCs w:val="24"/>
                <w:highlight w:val="none"/>
                <w:lang w:val="en-US" w:eastAsia="zh-CN"/>
              </w:rPr>
              <w:t>1</w:t>
            </w:r>
          </w:p>
        </w:tc>
        <w:tc>
          <w:tcPr>
            <w:tcW w:w="1187" w:type="dxa"/>
            <w:vAlign w:val="center"/>
          </w:tcPr>
          <w:p w14:paraId="2912477A">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综合信用</w:t>
            </w:r>
          </w:p>
        </w:tc>
        <w:tc>
          <w:tcPr>
            <w:tcW w:w="698" w:type="dxa"/>
            <w:vAlign w:val="center"/>
          </w:tcPr>
          <w:p w14:paraId="0E31F791">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kern w:val="2"/>
                <w:sz w:val="24"/>
                <w:szCs w:val="24"/>
                <w:highlight w:val="none"/>
                <w:vertAlign w:val="baseline"/>
                <w:lang w:val="en-US" w:eastAsia="zh-CN" w:bidi="ar-SA"/>
              </w:rPr>
              <w:t>3</w:t>
            </w:r>
          </w:p>
        </w:tc>
        <w:tc>
          <w:tcPr>
            <w:tcW w:w="7193" w:type="dxa"/>
            <w:vAlign w:val="top"/>
          </w:tcPr>
          <w:p w14:paraId="2A34C145">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b w:val="0"/>
                <w:bCs w:val="0"/>
                <w:color w:val="auto"/>
                <w:kern w:val="2"/>
                <w:sz w:val="24"/>
                <w:szCs w:val="24"/>
                <w:highlight w:val="none"/>
                <w:vertAlign w:val="baseline"/>
                <w:lang w:val="en-US" w:eastAsia="zh-CN" w:bidi="ar"/>
              </w:rPr>
              <w:t>磋商供应商获得有效期内质量管理体系、环境管理体系、职业健康安全管理体系认证的，每个证书得1分。</w:t>
            </w:r>
          </w:p>
          <w:p w14:paraId="5E494310">
            <w:pPr>
              <w:keepNext w:val="0"/>
              <w:keepLines w:val="0"/>
              <w:pageBreakBefore w:val="0"/>
              <w:widowControl/>
              <w:numPr>
                <w:ilvl w:val="-1"/>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highlight w:val="none"/>
                <w:lang w:val="en-US" w:eastAsia="zh-CN" w:bidi="ar"/>
              </w:rPr>
              <w:t>注：须提供认证证书</w:t>
            </w:r>
            <w:r>
              <w:rPr>
                <w:rFonts w:hint="eastAsia" w:ascii="宋体" w:hAnsi="宋体" w:eastAsia="宋体" w:cs="宋体"/>
                <w:b w:val="0"/>
                <w:bCs w:val="0"/>
                <w:color w:val="auto"/>
                <w:spacing w:val="0"/>
                <w:position w:val="0"/>
                <w:sz w:val="24"/>
                <w:szCs w:val="24"/>
                <w:highlight w:val="none"/>
                <w:lang w:val="en-US" w:eastAsia="zh-CN" w:bidi="ar"/>
              </w:rPr>
              <w:t>原件扫描件并加盖电子公章，否则不得分。</w:t>
            </w:r>
          </w:p>
        </w:tc>
      </w:tr>
      <w:tr w14:paraId="76B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77" w:type="dxa"/>
            <w:vAlign w:val="center"/>
          </w:tcPr>
          <w:p w14:paraId="08BB9D84">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rPr>
            </w:pPr>
            <w:r>
              <w:rPr>
                <w:rFonts w:hint="eastAsia" w:ascii="宋体" w:hAnsi="宋体" w:eastAsia="宋体" w:cs="宋体"/>
                <w:b w:val="0"/>
                <w:bCs w:val="0"/>
                <w:color w:val="auto"/>
                <w:spacing w:val="0"/>
                <w:position w:val="0"/>
                <w:sz w:val="24"/>
                <w:szCs w:val="24"/>
                <w:highlight w:val="none"/>
                <w:lang w:val="en-US" w:eastAsia="zh-CN"/>
              </w:rPr>
              <w:t>2</w:t>
            </w:r>
          </w:p>
        </w:tc>
        <w:tc>
          <w:tcPr>
            <w:tcW w:w="1187" w:type="dxa"/>
            <w:vAlign w:val="center"/>
          </w:tcPr>
          <w:p w14:paraId="20BBFA34">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color w:val="auto"/>
                <w:sz w:val="24"/>
                <w:szCs w:val="24"/>
                <w:lang w:val="en-US" w:eastAsia="zh-CN"/>
              </w:rPr>
              <w:t>服务响应时间</w:t>
            </w:r>
          </w:p>
        </w:tc>
        <w:tc>
          <w:tcPr>
            <w:tcW w:w="698" w:type="dxa"/>
            <w:vAlign w:val="center"/>
          </w:tcPr>
          <w:p w14:paraId="56DB41A2">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4</w:t>
            </w:r>
          </w:p>
        </w:tc>
        <w:tc>
          <w:tcPr>
            <w:tcW w:w="7193" w:type="dxa"/>
            <w:vAlign w:val="center"/>
          </w:tcPr>
          <w:p w14:paraId="7FF95D8E">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lang w:val="en-US" w:eastAsia="zh-CN" w:bidi="ar"/>
              </w:rPr>
              <w:t>服务响应时间承诺：6小时＜响应时间≤12小时，得</w:t>
            </w:r>
            <w:r>
              <w:rPr>
                <w:rFonts w:hint="eastAsia" w:ascii="宋体" w:hAnsi="宋体" w:cs="宋体"/>
                <w:b w:val="0"/>
                <w:bCs w:val="0"/>
                <w:color w:val="auto"/>
                <w:sz w:val="24"/>
                <w:szCs w:val="24"/>
                <w:lang w:val="en-US" w:eastAsia="zh-CN" w:bidi="ar"/>
              </w:rPr>
              <w:t>3</w:t>
            </w:r>
            <w:r>
              <w:rPr>
                <w:rFonts w:hint="eastAsia" w:ascii="宋体" w:hAnsi="宋体" w:eastAsia="宋体" w:cs="宋体"/>
                <w:b w:val="0"/>
                <w:bCs w:val="0"/>
                <w:color w:val="auto"/>
                <w:sz w:val="24"/>
                <w:szCs w:val="24"/>
                <w:lang w:val="en-US" w:eastAsia="zh-CN" w:bidi="ar"/>
              </w:rPr>
              <w:t>.0分；响应时间≤6小时，得</w:t>
            </w:r>
            <w:r>
              <w:rPr>
                <w:rFonts w:hint="eastAsia" w:ascii="宋体" w:hAnsi="宋体" w:cs="宋体"/>
                <w:b w:val="0"/>
                <w:bCs w:val="0"/>
                <w:color w:val="auto"/>
                <w:sz w:val="24"/>
                <w:szCs w:val="24"/>
                <w:lang w:val="en-US" w:eastAsia="zh-CN" w:bidi="ar"/>
              </w:rPr>
              <w:t>4</w:t>
            </w:r>
            <w:r>
              <w:rPr>
                <w:rFonts w:hint="eastAsia" w:ascii="宋体" w:hAnsi="宋体" w:eastAsia="宋体" w:cs="宋体"/>
                <w:b w:val="0"/>
                <w:bCs w:val="0"/>
                <w:color w:val="auto"/>
                <w:sz w:val="24"/>
                <w:szCs w:val="24"/>
                <w:lang w:val="en-US" w:eastAsia="zh-CN" w:bidi="ar"/>
              </w:rPr>
              <w:t>.0分，其余的不得分。</w:t>
            </w:r>
          </w:p>
        </w:tc>
      </w:tr>
      <w:tr w14:paraId="2E8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77" w:type="dxa"/>
            <w:vAlign w:val="center"/>
          </w:tcPr>
          <w:p w14:paraId="42B52F01">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pacing w:val="0"/>
                <w:position w:val="0"/>
                <w:sz w:val="24"/>
                <w:szCs w:val="24"/>
                <w:highlight w:val="none"/>
                <w:lang w:val="en-US" w:eastAsia="zh-CN"/>
              </w:rPr>
              <w:t>3</w:t>
            </w:r>
          </w:p>
        </w:tc>
        <w:tc>
          <w:tcPr>
            <w:tcW w:w="1187" w:type="dxa"/>
            <w:vAlign w:val="center"/>
          </w:tcPr>
          <w:p w14:paraId="1B9E3086">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rPr>
            </w:pPr>
            <w:r>
              <w:rPr>
                <w:rFonts w:hint="eastAsia" w:ascii="宋体" w:hAnsi="宋体" w:eastAsia="宋体" w:cs="宋体"/>
                <w:b w:val="0"/>
                <w:bCs w:val="0"/>
                <w:color w:val="auto"/>
                <w:spacing w:val="0"/>
                <w:position w:val="0"/>
                <w:sz w:val="24"/>
                <w:szCs w:val="24"/>
                <w:highlight w:val="none"/>
              </w:rPr>
              <w:t>业绩</w:t>
            </w:r>
          </w:p>
        </w:tc>
        <w:tc>
          <w:tcPr>
            <w:tcW w:w="698" w:type="dxa"/>
            <w:vAlign w:val="center"/>
          </w:tcPr>
          <w:p w14:paraId="539CCCD7">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rPr>
            </w:pPr>
            <w:r>
              <w:rPr>
                <w:rFonts w:hint="eastAsia" w:ascii="宋体" w:hAnsi="宋体" w:cs="宋体"/>
                <w:b w:val="0"/>
                <w:bCs w:val="0"/>
                <w:color w:val="auto"/>
                <w:sz w:val="24"/>
                <w:szCs w:val="24"/>
                <w:highlight w:val="none"/>
                <w:lang w:val="en-US" w:eastAsia="zh-CN"/>
              </w:rPr>
              <w:t>1</w:t>
            </w:r>
          </w:p>
        </w:tc>
        <w:tc>
          <w:tcPr>
            <w:tcW w:w="7193" w:type="dxa"/>
            <w:vAlign w:val="center"/>
          </w:tcPr>
          <w:p w14:paraId="7D25E2EE">
            <w:pPr>
              <w:keepNext w:val="0"/>
              <w:keepLines w:val="0"/>
              <w:pageBreakBefore w:val="0"/>
              <w:widowControl/>
              <w:numPr>
                <w:ilvl w:val="0"/>
                <w:numId w:val="0"/>
              </w:numPr>
              <w:suppressLineNumbers w:val="0"/>
              <w:kinsoku/>
              <w:wordWrap w:val="0"/>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kern w:val="2"/>
                <w:sz w:val="24"/>
                <w:szCs w:val="24"/>
                <w:highlight w:val="none"/>
                <w:lang w:val="en-US" w:eastAsia="zh-CN" w:bidi="ar"/>
              </w:rPr>
              <w:t>磋商供应商自20</w:t>
            </w:r>
            <w:r>
              <w:rPr>
                <w:rFonts w:hint="eastAsia" w:ascii="宋体" w:hAnsi="宋体" w:cs="宋体"/>
                <w:b w:val="0"/>
                <w:bCs w:val="0"/>
                <w:color w:val="auto"/>
                <w:kern w:val="2"/>
                <w:sz w:val="24"/>
                <w:szCs w:val="24"/>
                <w:highlight w:val="none"/>
                <w:lang w:val="en-US" w:eastAsia="zh-CN" w:bidi="ar"/>
              </w:rPr>
              <w:t>21</w:t>
            </w:r>
            <w:r>
              <w:rPr>
                <w:rFonts w:hint="eastAsia" w:ascii="宋体" w:hAnsi="宋体" w:eastAsia="宋体" w:cs="宋体"/>
                <w:b w:val="0"/>
                <w:bCs w:val="0"/>
                <w:color w:val="auto"/>
                <w:kern w:val="2"/>
                <w:sz w:val="24"/>
                <w:szCs w:val="24"/>
                <w:highlight w:val="none"/>
                <w:lang w:val="en-US" w:eastAsia="zh-CN" w:bidi="ar"/>
              </w:rPr>
              <w:t>年1月1日以来（以合同签订时间为准）承接的零星安保服务类似业绩：每个业绩得</w:t>
            </w:r>
            <w:r>
              <w:rPr>
                <w:rFonts w:hint="eastAsia" w:ascii="宋体" w:hAnsi="宋体" w:cs="宋体"/>
                <w:b w:val="0"/>
                <w:bCs w:val="0"/>
                <w:color w:val="auto"/>
                <w:kern w:val="2"/>
                <w:sz w:val="24"/>
                <w:szCs w:val="24"/>
                <w:highlight w:val="none"/>
                <w:lang w:val="en-US" w:eastAsia="zh-CN" w:bidi="ar"/>
              </w:rPr>
              <w:t>0.5</w:t>
            </w:r>
            <w:r>
              <w:rPr>
                <w:rFonts w:hint="eastAsia" w:ascii="宋体" w:hAnsi="宋体" w:eastAsia="宋体" w:cs="宋体"/>
                <w:b w:val="0"/>
                <w:bCs w:val="0"/>
                <w:color w:val="auto"/>
                <w:kern w:val="2"/>
                <w:sz w:val="24"/>
                <w:szCs w:val="24"/>
                <w:highlight w:val="none"/>
                <w:lang w:val="en-US" w:eastAsia="zh-CN" w:bidi="ar"/>
              </w:rPr>
              <w:t>分，本项最高</w:t>
            </w:r>
            <w:r>
              <w:rPr>
                <w:rFonts w:hint="eastAsia" w:ascii="宋体" w:hAnsi="宋体" w:cs="宋体"/>
                <w:b w:val="0"/>
                <w:bCs w:val="0"/>
                <w:color w:val="auto"/>
                <w:kern w:val="2"/>
                <w:sz w:val="24"/>
                <w:szCs w:val="24"/>
                <w:highlight w:val="none"/>
                <w:lang w:val="en-US" w:eastAsia="zh-CN" w:bidi="ar"/>
              </w:rPr>
              <w:t>1</w:t>
            </w:r>
            <w:r>
              <w:rPr>
                <w:rFonts w:hint="eastAsia" w:ascii="宋体" w:hAnsi="宋体" w:eastAsia="宋体" w:cs="宋体"/>
                <w:b w:val="0"/>
                <w:bCs w:val="0"/>
                <w:color w:val="auto"/>
                <w:kern w:val="2"/>
                <w:sz w:val="24"/>
                <w:szCs w:val="24"/>
                <w:highlight w:val="none"/>
                <w:lang w:val="en-US" w:eastAsia="zh-CN" w:bidi="ar"/>
              </w:rPr>
              <w:t>分。</w:t>
            </w:r>
          </w:p>
          <w:p w14:paraId="6C44235C">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highlight w:val="none"/>
                <w:lang w:val="en-US" w:eastAsia="zh-CN" w:bidi="ar"/>
              </w:rPr>
              <w:t>注：须</w:t>
            </w:r>
            <w:r>
              <w:rPr>
                <w:rFonts w:hint="eastAsia" w:ascii="宋体" w:hAnsi="宋体" w:cs="宋体"/>
                <w:b w:val="0"/>
                <w:bCs w:val="0"/>
                <w:color w:val="auto"/>
                <w:kern w:val="2"/>
                <w:sz w:val="24"/>
                <w:szCs w:val="24"/>
                <w:highlight w:val="none"/>
                <w:lang w:val="en-US" w:eastAsia="zh-CN" w:bidi="ar"/>
              </w:rPr>
              <w:t>同时</w:t>
            </w:r>
            <w:r>
              <w:rPr>
                <w:rFonts w:hint="eastAsia" w:ascii="宋体" w:hAnsi="宋体" w:eastAsia="宋体" w:cs="宋体"/>
                <w:b w:val="0"/>
                <w:bCs w:val="0"/>
                <w:color w:val="auto"/>
                <w:kern w:val="2"/>
                <w:sz w:val="24"/>
                <w:szCs w:val="24"/>
                <w:highlight w:val="none"/>
                <w:lang w:val="en-US" w:eastAsia="zh-CN" w:bidi="ar"/>
              </w:rPr>
              <w:t>提供</w:t>
            </w:r>
            <w:r>
              <w:rPr>
                <w:rFonts w:hint="eastAsia" w:ascii="宋体" w:hAnsi="宋体" w:cs="宋体"/>
                <w:b w:val="0"/>
                <w:bCs w:val="0"/>
                <w:color w:val="auto"/>
                <w:kern w:val="2"/>
                <w:sz w:val="24"/>
                <w:szCs w:val="24"/>
                <w:highlight w:val="none"/>
                <w:lang w:val="en-US" w:eastAsia="zh-CN" w:bidi="ar"/>
              </w:rPr>
              <w:t>中标通知书和</w:t>
            </w:r>
            <w:r>
              <w:rPr>
                <w:rFonts w:hint="eastAsia" w:ascii="宋体" w:hAnsi="宋体" w:eastAsia="宋体" w:cs="宋体"/>
                <w:b w:val="0"/>
                <w:bCs w:val="0"/>
                <w:color w:val="auto"/>
                <w:kern w:val="2"/>
                <w:sz w:val="24"/>
                <w:szCs w:val="24"/>
                <w:highlight w:val="none"/>
                <w:lang w:val="en-US" w:eastAsia="zh-CN" w:bidi="ar"/>
              </w:rPr>
              <w:t>零星安保服务类似</w:t>
            </w:r>
            <w:r>
              <w:rPr>
                <w:rFonts w:hint="eastAsia" w:ascii="宋体" w:hAnsi="宋体" w:eastAsia="宋体" w:cs="宋体"/>
                <w:b w:val="0"/>
                <w:bCs w:val="0"/>
                <w:color w:val="auto"/>
                <w:spacing w:val="0"/>
                <w:position w:val="0"/>
                <w:sz w:val="24"/>
                <w:szCs w:val="24"/>
                <w:highlight w:val="none"/>
                <w:lang w:val="en-US" w:eastAsia="zh-CN" w:bidi="ar"/>
              </w:rPr>
              <w:t>业绩合同原件扫描件并加盖电子公章，否则不得分。</w:t>
            </w:r>
          </w:p>
        </w:tc>
      </w:tr>
      <w:tr w14:paraId="67F7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77" w:type="dxa"/>
            <w:vAlign w:val="center"/>
          </w:tcPr>
          <w:p w14:paraId="2128591E">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pacing w:val="0"/>
                <w:position w:val="0"/>
                <w:sz w:val="24"/>
                <w:szCs w:val="24"/>
                <w:highlight w:val="none"/>
                <w:lang w:val="en-US" w:eastAsia="zh-CN"/>
              </w:rPr>
              <w:t>4</w:t>
            </w:r>
          </w:p>
        </w:tc>
        <w:tc>
          <w:tcPr>
            <w:tcW w:w="1187" w:type="dxa"/>
            <w:vAlign w:val="center"/>
          </w:tcPr>
          <w:p w14:paraId="31188F75">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color w:val="auto"/>
                <w:sz w:val="24"/>
                <w:szCs w:val="24"/>
              </w:rPr>
              <w:t>制度情况</w:t>
            </w:r>
          </w:p>
        </w:tc>
        <w:tc>
          <w:tcPr>
            <w:tcW w:w="698" w:type="dxa"/>
            <w:vAlign w:val="center"/>
          </w:tcPr>
          <w:p w14:paraId="395EFD6A">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cs="宋体"/>
                <w:b w:val="0"/>
                <w:bCs w:val="0"/>
                <w:color w:val="auto"/>
                <w:sz w:val="24"/>
                <w:szCs w:val="24"/>
                <w:highlight w:val="none"/>
                <w:lang w:val="en-US" w:eastAsia="zh-CN"/>
              </w:rPr>
              <w:t>9</w:t>
            </w:r>
          </w:p>
        </w:tc>
        <w:tc>
          <w:tcPr>
            <w:tcW w:w="7193" w:type="dxa"/>
            <w:vAlign w:val="center"/>
          </w:tcPr>
          <w:p w14:paraId="5CFEF49F">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eastAsia="zh-CN"/>
              </w:rPr>
              <w:t>投标人情况介绍，</w:t>
            </w:r>
            <w:r>
              <w:rPr>
                <w:rFonts w:hint="eastAsia" w:ascii="宋体" w:hAnsi="宋体" w:cs="宋体"/>
                <w:color w:val="auto"/>
                <w:sz w:val="24"/>
                <w:szCs w:val="24"/>
                <w:lang w:eastAsia="zh-CN"/>
              </w:rPr>
              <w:t>根据</w:t>
            </w:r>
            <w:r>
              <w:rPr>
                <w:rFonts w:hint="eastAsia" w:ascii="宋体" w:hAnsi="宋体" w:eastAsia="宋体" w:cs="宋体"/>
                <w:i w:val="0"/>
                <w:iCs w:val="0"/>
                <w:color w:val="auto"/>
                <w:kern w:val="0"/>
                <w:sz w:val="24"/>
                <w:szCs w:val="24"/>
                <w:u w:val="none"/>
                <w:lang w:val="en-US" w:eastAsia="zh-CN" w:bidi="ar"/>
              </w:rPr>
              <w:t>保安员管理制度、</w:t>
            </w:r>
            <w:r>
              <w:rPr>
                <w:rFonts w:hint="eastAsia" w:ascii="宋体" w:hAnsi="宋体" w:eastAsia="宋体" w:cs="宋体"/>
                <w:color w:val="auto"/>
                <w:sz w:val="24"/>
                <w:szCs w:val="24"/>
              </w:rPr>
              <w:t>档案管理制度</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t>财务管理制度、人事管理制度及向客户单位反馈制度等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有完善的相关规章制度</w:t>
            </w:r>
            <w:r>
              <w:rPr>
                <w:rFonts w:hint="eastAsia" w:ascii="宋体" w:hAnsi="宋体" w:cs="宋体"/>
                <w:color w:val="auto"/>
                <w:sz w:val="24"/>
                <w:szCs w:val="24"/>
                <w:lang w:val="zh-CN"/>
              </w:rPr>
              <w:t>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相关规章制度</w:t>
            </w:r>
            <w:r>
              <w:rPr>
                <w:rFonts w:hint="eastAsia" w:ascii="宋体" w:hAnsi="宋体" w:eastAsia="宋体" w:cs="宋体"/>
                <w:b w:val="0"/>
                <w:bCs w:val="0"/>
                <w:color w:val="auto"/>
                <w:spacing w:val="0"/>
                <w:position w:val="0"/>
                <w:sz w:val="24"/>
                <w:szCs w:val="24"/>
                <w:highlight w:val="none"/>
                <w:lang w:val="en-US" w:eastAsia="zh-CN" w:bidi="ar"/>
              </w:rPr>
              <w:t>针对性一般</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相关规章制度</w:t>
            </w:r>
            <w:r>
              <w:rPr>
                <w:rFonts w:hint="eastAsia" w:ascii="宋体" w:hAnsi="宋体" w:cs="宋体"/>
                <w:color w:val="auto"/>
                <w:sz w:val="24"/>
                <w:szCs w:val="24"/>
                <w:lang w:eastAsia="zh-CN"/>
              </w:rPr>
              <w:t>不够完善或漏项的</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分。</w:t>
            </w:r>
          </w:p>
        </w:tc>
      </w:tr>
      <w:tr w14:paraId="39D1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77" w:type="dxa"/>
            <w:vAlign w:val="center"/>
          </w:tcPr>
          <w:p w14:paraId="421522C3">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5</w:t>
            </w:r>
          </w:p>
        </w:tc>
        <w:tc>
          <w:tcPr>
            <w:tcW w:w="1187" w:type="dxa"/>
            <w:vAlign w:val="center"/>
          </w:tcPr>
          <w:p w14:paraId="0C4B23E8">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color w:val="auto"/>
                <w:sz w:val="24"/>
                <w:szCs w:val="24"/>
              </w:rPr>
              <w:t>组织架构</w:t>
            </w:r>
          </w:p>
        </w:tc>
        <w:tc>
          <w:tcPr>
            <w:tcW w:w="698" w:type="dxa"/>
            <w:vAlign w:val="center"/>
          </w:tcPr>
          <w:p w14:paraId="0C04CBAF">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8</w:t>
            </w:r>
          </w:p>
        </w:tc>
        <w:tc>
          <w:tcPr>
            <w:tcW w:w="7193" w:type="dxa"/>
            <w:vAlign w:val="center"/>
          </w:tcPr>
          <w:p w14:paraId="6ABD57BF">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有比较完善的组织架构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运作流程图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清晰简练地列出主要管理流程</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4.0-2.6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运作流程图</w:t>
            </w:r>
            <w:r>
              <w:rPr>
                <w:rFonts w:hint="eastAsia" w:ascii="宋体" w:hAnsi="宋体" w:cs="宋体"/>
                <w:color w:val="auto"/>
                <w:sz w:val="24"/>
                <w:szCs w:val="24"/>
                <w:lang w:eastAsia="zh-CN"/>
              </w:rPr>
              <w:t>相对性</w:t>
            </w:r>
            <w:r>
              <w:rPr>
                <w:rFonts w:hint="eastAsia" w:ascii="宋体" w:hAnsi="宋体" w:eastAsia="宋体" w:cs="宋体"/>
                <w:b w:val="0"/>
                <w:bCs w:val="0"/>
                <w:color w:val="auto"/>
                <w:spacing w:val="0"/>
                <w:position w:val="0"/>
                <w:sz w:val="24"/>
                <w:szCs w:val="24"/>
                <w:highlight w:val="none"/>
                <w:lang w:val="en-US" w:eastAsia="zh-CN" w:bidi="ar"/>
              </w:rPr>
              <w:t>一般</w:t>
            </w:r>
            <w:r>
              <w:rPr>
                <w:rFonts w:hint="eastAsia" w:ascii="宋体" w:hAnsi="宋体" w:cs="宋体"/>
                <w:b w:val="0"/>
                <w:bCs w:val="0"/>
                <w:color w:val="auto"/>
                <w:spacing w:val="0"/>
                <w:position w:val="0"/>
                <w:sz w:val="24"/>
                <w:szCs w:val="24"/>
                <w:highlight w:val="none"/>
                <w:lang w:val="en-US" w:eastAsia="zh-CN" w:bidi="ar"/>
              </w:rPr>
              <w:t>2.5-1.1分</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运作流程图</w:t>
            </w:r>
            <w:r>
              <w:rPr>
                <w:rFonts w:hint="eastAsia" w:ascii="宋体" w:hAnsi="宋体" w:cs="宋体"/>
                <w:color w:val="auto"/>
                <w:sz w:val="24"/>
                <w:szCs w:val="24"/>
                <w:lang w:eastAsia="zh-CN"/>
              </w:rPr>
              <w:t>不够完善或漏项的</w:t>
            </w:r>
            <w:r>
              <w:rPr>
                <w:rFonts w:hint="eastAsia" w:ascii="宋体" w:hAnsi="宋体" w:cs="宋体"/>
                <w:b w:val="0"/>
                <w:bCs w:val="0"/>
                <w:color w:val="auto"/>
                <w:spacing w:val="0"/>
                <w:position w:val="0"/>
                <w:sz w:val="24"/>
                <w:szCs w:val="24"/>
                <w:highlight w:val="none"/>
                <w:lang w:val="en-US" w:eastAsia="zh-CN" w:bidi="ar"/>
              </w:rPr>
              <w:t>1.0-0分</w:t>
            </w:r>
          </w:p>
          <w:p w14:paraId="443844F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供应商能描述</w:t>
            </w:r>
            <w:r>
              <w:rPr>
                <w:rFonts w:hint="eastAsia" w:ascii="宋体" w:hAnsi="宋体" w:eastAsia="宋体" w:cs="宋体"/>
                <w:color w:val="auto"/>
                <w:sz w:val="24"/>
                <w:szCs w:val="24"/>
                <w:lang w:val="en-US" w:eastAsia="zh-CN"/>
              </w:rPr>
              <w:t>激励、</w:t>
            </w:r>
            <w:r>
              <w:rPr>
                <w:rFonts w:hint="eastAsia" w:ascii="宋体" w:hAnsi="宋体" w:eastAsia="宋体" w:cs="宋体"/>
                <w:color w:val="auto"/>
                <w:sz w:val="24"/>
                <w:szCs w:val="24"/>
              </w:rPr>
              <w:t>监督</w:t>
            </w:r>
            <w:r>
              <w:rPr>
                <w:rFonts w:hint="eastAsia" w:ascii="宋体" w:hAnsi="宋体" w:eastAsia="宋体" w:cs="宋体"/>
                <w:color w:val="auto"/>
                <w:sz w:val="24"/>
                <w:szCs w:val="24"/>
                <w:lang w:eastAsia="zh-CN"/>
              </w:rPr>
              <w:t>及自我约束</w:t>
            </w:r>
            <w:r>
              <w:rPr>
                <w:rFonts w:hint="eastAsia" w:ascii="宋体" w:hAnsi="宋体" w:eastAsia="宋体" w:cs="宋体"/>
                <w:color w:val="auto"/>
                <w:sz w:val="24"/>
                <w:szCs w:val="24"/>
              </w:rPr>
              <w:t>机制</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2.0-0分。</w:t>
            </w:r>
          </w:p>
          <w:p w14:paraId="756DBBD1">
            <w:pPr>
              <w:keepNext w:val="0"/>
              <w:keepLines w:val="0"/>
              <w:pageBreakBefore w:val="0"/>
              <w:widowControl/>
              <w:numPr>
                <w:ilvl w:val="0"/>
                <w:numId w:val="0"/>
              </w:numPr>
              <w:kinsoku/>
              <w:wordWrap w:val="0"/>
              <w:topLinePunct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position w:val="0"/>
                <w:sz w:val="24"/>
                <w:szCs w:val="24"/>
                <w:lang w:val="en-US" w:eastAsia="zh-CN" w:bidi="ar"/>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供应商能描述</w:t>
            </w:r>
            <w:r>
              <w:rPr>
                <w:rFonts w:hint="eastAsia" w:ascii="宋体" w:hAnsi="宋体" w:eastAsia="宋体" w:cs="宋体"/>
                <w:b w:val="0"/>
                <w:bCs/>
                <w:color w:val="auto"/>
                <w:sz w:val="24"/>
                <w:szCs w:val="24"/>
                <w:highlight w:val="none"/>
                <w:lang w:val="en-US" w:eastAsia="zh-CN"/>
              </w:rPr>
              <w:t>信息反馈渠道及处理机制</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2.0-0分。</w:t>
            </w:r>
          </w:p>
        </w:tc>
      </w:tr>
      <w:tr w14:paraId="529D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877" w:type="dxa"/>
            <w:vAlign w:val="center"/>
          </w:tcPr>
          <w:p w14:paraId="4CFCA771">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6</w:t>
            </w:r>
          </w:p>
        </w:tc>
        <w:tc>
          <w:tcPr>
            <w:tcW w:w="1187" w:type="dxa"/>
            <w:vAlign w:val="center"/>
          </w:tcPr>
          <w:p w14:paraId="334CFB73">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cs="宋体"/>
                <w:b w:val="0"/>
                <w:bCs w:val="0"/>
                <w:color w:val="auto"/>
                <w:spacing w:val="0"/>
                <w:position w:val="0"/>
                <w:sz w:val="24"/>
                <w:szCs w:val="24"/>
                <w:highlight w:val="none"/>
                <w:lang w:val="en-US" w:eastAsia="zh-CN"/>
              </w:rPr>
              <w:t>机械设备、器材、工具配备计划合理性</w:t>
            </w:r>
          </w:p>
        </w:tc>
        <w:tc>
          <w:tcPr>
            <w:tcW w:w="698" w:type="dxa"/>
            <w:vAlign w:val="center"/>
          </w:tcPr>
          <w:p w14:paraId="503B5420">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11</w:t>
            </w:r>
          </w:p>
        </w:tc>
        <w:tc>
          <w:tcPr>
            <w:tcW w:w="7193" w:type="dxa"/>
            <w:vAlign w:val="center"/>
          </w:tcPr>
          <w:p w14:paraId="3C141A2C">
            <w:pPr>
              <w:keepNext w:val="0"/>
              <w:keepLines w:val="0"/>
              <w:pageBreakBefore w:val="0"/>
              <w:widowControl/>
              <w:numPr>
                <w:ilvl w:val="0"/>
                <w:numId w:val="0"/>
              </w:numPr>
              <w:kinsoku/>
              <w:wordWrap w:val="0"/>
              <w:topLinePunct w:val="0"/>
              <w:bidi w:val="0"/>
              <w:adjustRightInd w:val="0"/>
              <w:snapToGrid w:val="0"/>
              <w:spacing w:line="240" w:lineRule="auto"/>
              <w:ind w:left="0" w:leftChars="0" w:firstLine="0" w:firstLineChars="0"/>
              <w:jc w:val="left"/>
              <w:textAlignment w:val="auto"/>
              <w:rPr>
                <w:rFonts w:hint="default" w:ascii="宋体" w:hAnsi="宋体" w:eastAsia="宋体" w:cs="宋体"/>
                <w:b w:val="0"/>
                <w:bCs w:val="0"/>
                <w:color w:val="auto"/>
                <w:spacing w:val="0"/>
                <w:position w:val="0"/>
                <w:sz w:val="24"/>
                <w:szCs w:val="24"/>
                <w:lang w:val="en-US" w:eastAsia="zh-CN" w:bidi="ar"/>
              </w:rPr>
            </w:pPr>
            <w:r>
              <w:rPr>
                <w:rFonts w:hint="eastAsia" w:ascii="宋体" w:hAnsi="宋体" w:cs="宋体"/>
                <w:b w:val="0"/>
                <w:bCs w:val="0"/>
                <w:color w:val="auto"/>
                <w:spacing w:val="0"/>
                <w:position w:val="0"/>
                <w:sz w:val="24"/>
                <w:szCs w:val="24"/>
                <w:lang w:val="en-US" w:eastAsia="zh-CN" w:bidi="ar"/>
              </w:rPr>
              <w:t>针对本项目投入设备情况</w:t>
            </w:r>
            <w:r>
              <w:rPr>
                <w:rFonts w:hint="eastAsia" w:ascii="宋体" w:hAnsi="宋体" w:eastAsia="宋体" w:cs="宋体"/>
                <w:b w:val="0"/>
                <w:bCs w:val="0"/>
                <w:color w:val="auto"/>
                <w:spacing w:val="0"/>
                <w:position w:val="0"/>
                <w:sz w:val="24"/>
                <w:szCs w:val="24"/>
                <w:highlight w:val="none"/>
                <w:lang w:val="en-US" w:eastAsia="zh-CN" w:bidi="ar"/>
              </w:rPr>
              <w:t>合理，具有针对性、可操作性得</w:t>
            </w:r>
            <w:r>
              <w:rPr>
                <w:rFonts w:hint="eastAsia" w:ascii="宋体" w:hAnsi="宋体" w:cs="宋体"/>
                <w:b w:val="0"/>
                <w:bCs w:val="0"/>
                <w:color w:val="auto"/>
                <w:spacing w:val="0"/>
                <w:position w:val="0"/>
                <w:sz w:val="24"/>
                <w:szCs w:val="24"/>
                <w:highlight w:val="none"/>
                <w:lang w:val="en-US" w:eastAsia="zh-CN" w:bidi="ar"/>
              </w:rPr>
              <w:t>11</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.1分；</w:t>
            </w:r>
            <w:r>
              <w:rPr>
                <w:rFonts w:hint="eastAsia" w:ascii="宋体" w:hAnsi="宋体" w:cs="宋体"/>
                <w:b w:val="0"/>
                <w:bCs w:val="0"/>
                <w:color w:val="auto"/>
                <w:spacing w:val="0"/>
                <w:position w:val="0"/>
                <w:sz w:val="24"/>
                <w:szCs w:val="24"/>
                <w:lang w:val="en-US" w:eastAsia="zh-CN" w:bidi="ar"/>
              </w:rPr>
              <w:t>投入设备情况</w:t>
            </w:r>
            <w:r>
              <w:rPr>
                <w:rFonts w:hint="eastAsia" w:ascii="宋体" w:hAnsi="宋体" w:eastAsia="宋体" w:cs="宋体"/>
                <w:b w:val="0"/>
                <w:bCs w:val="0"/>
                <w:color w:val="auto"/>
                <w:spacing w:val="0"/>
                <w:position w:val="0"/>
                <w:sz w:val="24"/>
                <w:szCs w:val="24"/>
                <w:highlight w:val="none"/>
                <w:lang w:val="en-US" w:eastAsia="zh-CN" w:bidi="ar"/>
              </w:rPr>
              <w:t>基本</w:t>
            </w:r>
            <w:r>
              <w:rPr>
                <w:rFonts w:hint="eastAsia" w:ascii="宋体" w:hAnsi="宋体" w:cs="宋体"/>
                <w:b w:val="0"/>
                <w:bCs w:val="0"/>
                <w:color w:val="auto"/>
                <w:spacing w:val="0"/>
                <w:position w:val="0"/>
                <w:sz w:val="24"/>
                <w:szCs w:val="24"/>
                <w:highlight w:val="none"/>
                <w:lang w:val="en-US" w:eastAsia="zh-CN" w:bidi="ar"/>
              </w:rPr>
              <w:t>满足要求</w:t>
            </w:r>
            <w:r>
              <w:rPr>
                <w:rFonts w:hint="eastAsia" w:ascii="宋体" w:hAnsi="宋体" w:eastAsia="宋体" w:cs="宋体"/>
                <w:b w:val="0"/>
                <w:bCs w:val="0"/>
                <w:color w:val="auto"/>
                <w:spacing w:val="0"/>
                <w:position w:val="0"/>
                <w:sz w:val="24"/>
                <w:szCs w:val="24"/>
                <w:highlight w:val="none"/>
                <w:lang w:val="en-US" w:eastAsia="zh-CN" w:bidi="ar"/>
              </w:rPr>
              <w:t>，针对性一般得</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.1分；</w:t>
            </w:r>
            <w:r>
              <w:rPr>
                <w:rFonts w:hint="eastAsia" w:ascii="宋体" w:hAnsi="宋体" w:cs="宋体"/>
                <w:b w:val="0"/>
                <w:bCs w:val="0"/>
                <w:color w:val="auto"/>
                <w:spacing w:val="0"/>
                <w:position w:val="0"/>
                <w:sz w:val="24"/>
                <w:szCs w:val="24"/>
                <w:lang w:val="en-US" w:eastAsia="zh-CN" w:bidi="ar"/>
              </w:rPr>
              <w:t>投入设备情况相对较少，</w:t>
            </w:r>
            <w:r>
              <w:rPr>
                <w:rFonts w:hint="eastAsia" w:ascii="宋体" w:hAnsi="宋体" w:eastAsia="宋体" w:cs="宋体"/>
                <w:b w:val="0"/>
                <w:bCs w:val="0"/>
                <w:color w:val="auto"/>
                <w:spacing w:val="0"/>
                <w:position w:val="0"/>
                <w:sz w:val="24"/>
                <w:szCs w:val="24"/>
                <w:highlight w:val="none"/>
                <w:lang w:val="en-US" w:eastAsia="zh-CN" w:bidi="ar"/>
              </w:rPr>
              <w:t>针对性差的，得</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5.0</w:t>
            </w:r>
            <w:r>
              <w:rPr>
                <w:rFonts w:hint="eastAsia" w:ascii="宋体" w:hAnsi="宋体" w:eastAsia="宋体" w:cs="宋体"/>
                <w:b w:val="0"/>
                <w:bCs w:val="0"/>
                <w:color w:val="auto"/>
                <w:spacing w:val="0"/>
                <w:position w:val="0"/>
                <w:sz w:val="24"/>
                <w:szCs w:val="24"/>
                <w:highlight w:val="none"/>
                <w:lang w:val="en-US" w:eastAsia="zh-CN" w:bidi="ar"/>
              </w:rPr>
              <w:t>分</w:t>
            </w:r>
            <w:r>
              <w:rPr>
                <w:rFonts w:hint="eastAsia" w:ascii="宋体" w:hAnsi="宋体" w:cs="宋体"/>
                <w:b w:val="0"/>
                <w:bCs w:val="0"/>
                <w:color w:val="auto"/>
                <w:spacing w:val="0"/>
                <w:position w:val="0"/>
                <w:sz w:val="24"/>
                <w:szCs w:val="24"/>
                <w:highlight w:val="none"/>
                <w:lang w:val="en-US" w:eastAsia="zh-CN" w:bidi="ar"/>
              </w:rPr>
              <w:t>，漏项或缺项不得分。</w:t>
            </w:r>
          </w:p>
        </w:tc>
      </w:tr>
      <w:tr w14:paraId="5220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877" w:type="dxa"/>
            <w:vAlign w:val="center"/>
          </w:tcPr>
          <w:p w14:paraId="3E29C37E">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7</w:t>
            </w:r>
          </w:p>
        </w:tc>
        <w:tc>
          <w:tcPr>
            <w:tcW w:w="1187" w:type="dxa"/>
            <w:vAlign w:val="center"/>
          </w:tcPr>
          <w:p w14:paraId="4226E688">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eastAsia="宋体" w:cs="宋体"/>
                <w:b w:val="0"/>
                <w:bCs w:val="0"/>
                <w:color w:val="auto"/>
                <w:spacing w:val="0"/>
                <w:position w:val="0"/>
                <w:sz w:val="24"/>
                <w:szCs w:val="24"/>
                <w:highlight w:val="none"/>
              </w:rPr>
              <w:t>人员配置</w:t>
            </w:r>
          </w:p>
        </w:tc>
        <w:tc>
          <w:tcPr>
            <w:tcW w:w="698" w:type="dxa"/>
            <w:vAlign w:val="center"/>
          </w:tcPr>
          <w:p w14:paraId="4006DCEE">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10</w:t>
            </w:r>
          </w:p>
        </w:tc>
        <w:tc>
          <w:tcPr>
            <w:tcW w:w="7193" w:type="dxa"/>
            <w:vAlign w:val="top"/>
          </w:tcPr>
          <w:p w14:paraId="5C754EA2">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1、拟派</w:t>
            </w:r>
            <w:r>
              <w:rPr>
                <w:rFonts w:hint="eastAsia" w:ascii="宋体" w:hAnsi="宋体" w:eastAsia="宋体" w:cs="宋体"/>
                <w:b w:val="0"/>
                <w:bCs w:val="0"/>
                <w:color w:val="auto"/>
                <w:sz w:val="24"/>
                <w:szCs w:val="24"/>
                <w:highlight w:val="none"/>
                <w:lang w:val="en-US" w:eastAsia="zh-CN"/>
              </w:rPr>
              <w:t>安保队长具有一级保安员证得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二级保安员证的得</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，本项最高得2分。</w:t>
            </w:r>
          </w:p>
          <w:p w14:paraId="14C85095">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Chars="0" w:right="0" w:rightChars="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拟派保安人员（不含保安队长）具备三级或四级保安员证的，每人得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，最多得4分；</w:t>
            </w:r>
          </w:p>
          <w:p w14:paraId="770A3F16">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具备五级保安员证</w:t>
            </w:r>
            <w:r>
              <w:rPr>
                <w:rFonts w:hint="eastAsia" w:ascii="宋体" w:hAnsi="宋体" w:cs="宋体"/>
                <w:b w:val="0"/>
                <w:bCs w:val="0"/>
                <w:color w:val="auto"/>
                <w:sz w:val="24"/>
                <w:szCs w:val="24"/>
                <w:highlight w:val="none"/>
                <w:lang w:val="en-US" w:eastAsia="zh-CN"/>
              </w:rPr>
              <w:t>或及以上</w:t>
            </w:r>
            <w:r>
              <w:rPr>
                <w:rFonts w:hint="eastAsia" w:ascii="宋体" w:hAnsi="宋体" w:eastAsia="宋体" w:cs="宋体"/>
                <w:b w:val="0"/>
                <w:bCs w:val="0"/>
                <w:color w:val="auto"/>
                <w:sz w:val="24"/>
                <w:szCs w:val="24"/>
                <w:highlight w:val="none"/>
                <w:lang w:val="en-US" w:eastAsia="zh-CN"/>
              </w:rPr>
              <w:t>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最</w:t>
            </w:r>
            <w:r>
              <w:rPr>
                <w:rFonts w:hint="eastAsia" w:ascii="宋体" w:hAnsi="宋体" w:cs="宋体"/>
                <w:b w:val="0"/>
                <w:bCs w:val="0"/>
                <w:color w:val="auto"/>
                <w:sz w:val="24"/>
                <w:szCs w:val="24"/>
                <w:highlight w:val="none"/>
                <w:lang w:val="en-US" w:eastAsia="zh-CN"/>
              </w:rPr>
              <w:t>多</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58A74379">
            <w:pPr>
              <w:keepNext w:val="0"/>
              <w:keepLines w:val="0"/>
              <w:pageBreakBefore w:val="0"/>
              <w:widowControl/>
              <w:numPr>
                <w:ilvl w:val="0"/>
                <w:numId w:val="0"/>
              </w:numPr>
              <w:kinsoku/>
              <w:wordWrap w:val="0"/>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position w:val="0"/>
                <w:sz w:val="24"/>
                <w:szCs w:val="24"/>
                <w:lang w:val="en-US" w:eastAsia="zh-CN" w:bidi="ar"/>
              </w:rPr>
            </w:pPr>
            <w:r>
              <w:rPr>
                <w:rFonts w:hint="eastAsia" w:ascii="宋体" w:hAnsi="宋体" w:eastAsia="宋体" w:cs="宋体"/>
                <w:b w:val="0"/>
                <w:bCs w:val="0"/>
                <w:color w:val="auto"/>
                <w:sz w:val="24"/>
                <w:szCs w:val="24"/>
                <w:highlight w:val="none"/>
                <w:lang w:val="en-US" w:eastAsia="zh-CN"/>
              </w:rPr>
              <w:t>注：以上所有人员须提供保安员证书、最近三个月以上在投标人单位的社保缴纳证明等相关资料原件扫描件并加盖电子公章，否则不得分。</w:t>
            </w:r>
          </w:p>
        </w:tc>
      </w:tr>
      <w:tr w14:paraId="1F9A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77" w:type="dxa"/>
            <w:vAlign w:val="center"/>
          </w:tcPr>
          <w:p w14:paraId="1AD2B34A">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8</w:t>
            </w:r>
          </w:p>
        </w:tc>
        <w:tc>
          <w:tcPr>
            <w:tcW w:w="1187" w:type="dxa"/>
            <w:vAlign w:val="center"/>
          </w:tcPr>
          <w:p w14:paraId="125C04DC">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kern w:val="2"/>
                <w:sz w:val="24"/>
                <w:szCs w:val="24"/>
                <w:shd w:val="clear"/>
                <w:lang w:val="en-US" w:eastAsia="zh-CN" w:bidi="ar-SA"/>
              </w:rPr>
            </w:pPr>
            <w:r>
              <w:rPr>
                <w:rFonts w:hint="eastAsia" w:ascii="宋体" w:hAnsi="宋体" w:eastAsia="宋体" w:cs="宋体"/>
                <w:b w:val="0"/>
                <w:bCs w:val="0"/>
                <w:color w:val="auto"/>
                <w:spacing w:val="0"/>
                <w:position w:val="0"/>
                <w:sz w:val="24"/>
                <w:szCs w:val="24"/>
                <w:highlight w:val="none"/>
                <w:lang w:val="en-US" w:eastAsia="zh-CN"/>
              </w:rPr>
              <w:t>保安服务方案</w:t>
            </w:r>
          </w:p>
        </w:tc>
        <w:tc>
          <w:tcPr>
            <w:tcW w:w="698" w:type="dxa"/>
            <w:vAlign w:val="center"/>
          </w:tcPr>
          <w:p w14:paraId="29373BE2">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highlight w:val="none"/>
                <w:lang w:val="en-US" w:eastAsia="zh-CN"/>
              </w:rPr>
              <w:t>11</w:t>
            </w:r>
          </w:p>
        </w:tc>
        <w:tc>
          <w:tcPr>
            <w:tcW w:w="7193" w:type="dxa"/>
            <w:vAlign w:val="center"/>
          </w:tcPr>
          <w:p w14:paraId="01EA46D1">
            <w:pPr>
              <w:keepNext w:val="0"/>
              <w:keepLines w:val="0"/>
              <w:pageBreakBefore w:val="0"/>
              <w:widowControl/>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pacing w:val="0"/>
                <w:kern w:val="2"/>
                <w:position w:val="0"/>
                <w:sz w:val="24"/>
                <w:szCs w:val="24"/>
                <w:lang w:val="en-US" w:eastAsia="zh-CN" w:bidi="ar"/>
              </w:rPr>
            </w:pPr>
            <w:r>
              <w:rPr>
                <w:rFonts w:hint="eastAsia" w:ascii="宋体" w:hAnsi="宋体" w:eastAsia="宋体" w:cs="宋体"/>
                <w:b w:val="0"/>
                <w:bCs w:val="0"/>
                <w:color w:val="auto"/>
                <w:spacing w:val="0"/>
                <w:position w:val="0"/>
                <w:sz w:val="24"/>
                <w:szCs w:val="24"/>
                <w:highlight w:val="none"/>
                <w:lang w:val="en-US" w:eastAsia="zh-CN" w:bidi="ar"/>
              </w:rPr>
              <w:t>根据</w:t>
            </w:r>
            <w:r>
              <w:rPr>
                <w:rFonts w:hint="eastAsia" w:ascii="宋体" w:hAnsi="宋体" w:eastAsia="宋体" w:cs="宋体"/>
                <w:b w:val="0"/>
                <w:bCs w:val="0"/>
                <w:color w:val="auto"/>
                <w:kern w:val="2"/>
                <w:sz w:val="24"/>
                <w:szCs w:val="24"/>
                <w:highlight w:val="none"/>
                <w:lang w:val="en-US" w:eastAsia="zh-CN" w:bidi="ar"/>
              </w:rPr>
              <w:t>磋商供应商</w:t>
            </w:r>
            <w:r>
              <w:rPr>
                <w:rFonts w:hint="eastAsia" w:ascii="宋体" w:hAnsi="宋体" w:eastAsia="宋体" w:cs="宋体"/>
                <w:b w:val="0"/>
                <w:bCs w:val="0"/>
                <w:color w:val="auto"/>
                <w:spacing w:val="0"/>
                <w:position w:val="0"/>
                <w:sz w:val="24"/>
                <w:szCs w:val="24"/>
                <w:highlight w:val="none"/>
                <w:lang w:val="en-US" w:eastAsia="zh-CN" w:bidi="ar"/>
              </w:rPr>
              <w:t>的保安服务方案情况打分：保安服务方案内容全面、细致，服务标准务实、合理，具有针对性、可操作性，得</w:t>
            </w:r>
            <w:r>
              <w:rPr>
                <w:rFonts w:hint="eastAsia" w:ascii="宋体" w:hAnsi="宋体" w:cs="宋体"/>
                <w:b w:val="0"/>
                <w:bCs w:val="0"/>
                <w:color w:val="auto"/>
                <w:spacing w:val="0"/>
                <w:position w:val="0"/>
                <w:sz w:val="24"/>
                <w:szCs w:val="24"/>
                <w:highlight w:val="none"/>
                <w:lang w:val="en-US" w:eastAsia="zh-CN" w:bidi="ar"/>
              </w:rPr>
              <w:t>11</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.1分；服务方案内容基本齐全，针对性一般，得</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.1分；服务方案内容缺漏较多，可操作性差，针对性差的，得</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5.0</w:t>
            </w:r>
            <w:r>
              <w:rPr>
                <w:rFonts w:hint="eastAsia" w:ascii="宋体" w:hAnsi="宋体" w:eastAsia="宋体" w:cs="宋体"/>
                <w:b w:val="0"/>
                <w:bCs w:val="0"/>
                <w:color w:val="auto"/>
                <w:spacing w:val="0"/>
                <w:position w:val="0"/>
                <w:sz w:val="24"/>
                <w:szCs w:val="24"/>
                <w:highlight w:val="none"/>
                <w:lang w:val="en-US" w:eastAsia="zh-CN" w:bidi="ar"/>
              </w:rPr>
              <w:t>分</w:t>
            </w:r>
            <w:r>
              <w:rPr>
                <w:rFonts w:hint="eastAsia" w:ascii="宋体" w:hAnsi="宋体" w:cs="宋体"/>
                <w:b w:val="0"/>
                <w:bCs w:val="0"/>
                <w:color w:val="auto"/>
                <w:spacing w:val="0"/>
                <w:position w:val="0"/>
                <w:sz w:val="24"/>
                <w:szCs w:val="24"/>
                <w:highlight w:val="none"/>
                <w:lang w:val="en-US" w:eastAsia="zh-CN" w:bidi="ar"/>
              </w:rPr>
              <w:t>；漏项或缺项不得分。</w:t>
            </w:r>
          </w:p>
        </w:tc>
      </w:tr>
      <w:tr w14:paraId="527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7" w:type="dxa"/>
            <w:vAlign w:val="center"/>
          </w:tcPr>
          <w:p w14:paraId="73A4CC83">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9</w:t>
            </w:r>
          </w:p>
        </w:tc>
        <w:tc>
          <w:tcPr>
            <w:tcW w:w="1187" w:type="dxa"/>
            <w:vAlign w:val="center"/>
          </w:tcPr>
          <w:p w14:paraId="5F278D6F">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eastAsia="宋体" w:cs="宋体"/>
                <w:b w:val="0"/>
                <w:bCs w:val="0"/>
                <w:i w:val="0"/>
                <w:caps w:val="0"/>
                <w:color w:val="auto"/>
                <w:spacing w:val="0"/>
                <w:sz w:val="24"/>
                <w:szCs w:val="24"/>
                <w:highlight w:val="none"/>
                <w:shd w:val="clear"/>
                <w:lang w:val="en-US" w:eastAsia="zh-CN"/>
              </w:rPr>
              <w:t>保安人员考核方案</w:t>
            </w:r>
          </w:p>
        </w:tc>
        <w:tc>
          <w:tcPr>
            <w:tcW w:w="698" w:type="dxa"/>
            <w:vAlign w:val="center"/>
          </w:tcPr>
          <w:p w14:paraId="63732582">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11</w:t>
            </w:r>
          </w:p>
        </w:tc>
        <w:tc>
          <w:tcPr>
            <w:tcW w:w="7193" w:type="dxa"/>
            <w:vAlign w:val="center"/>
          </w:tcPr>
          <w:p w14:paraId="09AD8103">
            <w:pPr>
              <w:keepNext w:val="0"/>
              <w:keepLines w:val="0"/>
              <w:pageBreakBefore w:val="0"/>
              <w:widowControl/>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spacing w:val="0"/>
                <w:position w:val="0"/>
                <w:sz w:val="24"/>
                <w:szCs w:val="24"/>
                <w:highlight w:val="none"/>
                <w:lang w:val="en-US" w:eastAsia="zh-CN" w:bidi="ar"/>
              </w:rPr>
              <w:t>根据</w:t>
            </w:r>
            <w:r>
              <w:rPr>
                <w:rFonts w:hint="eastAsia" w:ascii="宋体" w:hAnsi="宋体" w:eastAsia="宋体" w:cs="宋体"/>
                <w:b w:val="0"/>
                <w:bCs w:val="0"/>
                <w:color w:val="auto"/>
                <w:kern w:val="2"/>
                <w:sz w:val="24"/>
                <w:szCs w:val="24"/>
                <w:highlight w:val="none"/>
                <w:lang w:val="en-US" w:eastAsia="zh-CN" w:bidi="ar"/>
              </w:rPr>
              <w:t>磋商供应商</w:t>
            </w:r>
            <w:r>
              <w:rPr>
                <w:rFonts w:hint="eastAsia" w:ascii="宋体" w:hAnsi="宋体" w:eastAsia="宋体" w:cs="宋体"/>
                <w:b w:val="0"/>
                <w:bCs w:val="0"/>
                <w:color w:val="auto"/>
                <w:spacing w:val="0"/>
                <w:position w:val="0"/>
                <w:sz w:val="24"/>
                <w:szCs w:val="24"/>
                <w:highlight w:val="none"/>
                <w:lang w:val="en-US" w:eastAsia="zh-CN" w:bidi="ar"/>
              </w:rPr>
              <w:t>是否设置合理的奖惩、考核制度情况综合比较计分。有明确的奖惩措施、考核制度的得</w:t>
            </w:r>
            <w:r>
              <w:rPr>
                <w:rFonts w:hint="eastAsia" w:ascii="宋体" w:hAnsi="宋体" w:cs="宋体"/>
                <w:b w:val="0"/>
                <w:bCs w:val="0"/>
                <w:color w:val="auto"/>
                <w:spacing w:val="0"/>
                <w:position w:val="0"/>
                <w:sz w:val="24"/>
                <w:szCs w:val="24"/>
                <w:highlight w:val="none"/>
                <w:lang w:val="en-US" w:eastAsia="zh-CN" w:bidi="ar"/>
              </w:rPr>
              <w:t>11</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.1分；奖惩措施及考核制度一般的奖惩措施及考核制度不够明确的得</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.1分。奖惩措施及考核制度空泛或描述缺失的得</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5.0</w:t>
            </w:r>
            <w:r>
              <w:rPr>
                <w:rFonts w:hint="eastAsia" w:ascii="宋体" w:hAnsi="宋体" w:eastAsia="宋体" w:cs="宋体"/>
                <w:b w:val="0"/>
                <w:bCs w:val="0"/>
                <w:color w:val="auto"/>
                <w:spacing w:val="0"/>
                <w:position w:val="0"/>
                <w:sz w:val="24"/>
                <w:szCs w:val="24"/>
                <w:highlight w:val="none"/>
                <w:lang w:val="en-US" w:eastAsia="zh-CN" w:bidi="ar"/>
              </w:rPr>
              <w:t>分</w:t>
            </w:r>
            <w:r>
              <w:rPr>
                <w:rFonts w:hint="eastAsia" w:ascii="宋体" w:hAnsi="宋体" w:cs="宋体"/>
                <w:b w:val="0"/>
                <w:bCs w:val="0"/>
                <w:color w:val="auto"/>
                <w:spacing w:val="0"/>
                <w:position w:val="0"/>
                <w:sz w:val="24"/>
                <w:szCs w:val="24"/>
                <w:highlight w:val="none"/>
                <w:lang w:val="en-US" w:eastAsia="zh-CN" w:bidi="ar"/>
              </w:rPr>
              <w:t>，漏项或缺项不得分。</w:t>
            </w:r>
          </w:p>
        </w:tc>
      </w:tr>
      <w:tr w14:paraId="6715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7" w:type="dxa"/>
            <w:vAlign w:val="center"/>
          </w:tcPr>
          <w:p w14:paraId="723A9A7E">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10</w:t>
            </w:r>
          </w:p>
        </w:tc>
        <w:tc>
          <w:tcPr>
            <w:tcW w:w="1187" w:type="dxa"/>
            <w:vAlign w:val="center"/>
          </w:tcPr>
          <w:p w14:paraId="004416AA">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eastAsia="宋体" w:cs="宋体"/>
                <w:b w:val="0"/>
                <w:bCs w:val="0"/>
                <w:i w:val="0"/>
                <w:caps w:val="0"/>
                <w:color w:val="auto"/>
                <w:spacing w:val="0"/>
                <w:sz w:val="24"/>
                <w:szCs w:val="24"/>
                <w:highlight w:val="none"/>
                <w:shd w:val="clear"/>
                <w:lang w:val="en-US" w:eastAsia="zh-CN"/>
              </w:rPr>
              <w:t>保安人员培训方案</w:t>
            </w:r>
          </w:p>
        </w:tc>
        <w:tc>
          <w:tcPr>
            <w:tcW w:w="698" w:type="dxa"/>
            <w:vAlign w:val="center"/>
          </w:tcPr>
          <w:p w14:paraId="6A61EE26">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11</w:t>
            </w:r>
          </w:p>
        </w:tc>
        <w:tc>
          <w:tcPr>
            <w:tcW w:w="7193" w:type="dxa"/>
            <w:vAlign w:val="center"/>
          </w:tcPr>
          <w:p w14:paraId="79F3C835">
            <w:pPr>
              <w:keepNext w:val="0"/>
              <w:keepLines w:val="0"/>
              <w:pageBreakBefore w:val="0"/>
              <w:widowControl/>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spacing w:val="0"/>
                <w:position w:val="0"/>
                <w:sz w:val="24"/>
                <w:szCs w:val="24"/>
                <w:highlight w:val="none"/>
                <w:lang w:val="en-US" w:eastAsia="zh-CN" w:bidi="ar"/>
              </w:rPr>
              <w:t>根据</w:t>
            </w:r>
            <w:r>
              <w:rPr>
                <w:rFonts w:hint="eastAsia" w:ascii="宋体" w:hAnsi="宋体" w:eastAsia="宋体" w:cs="宋体"/>
                <w:b w:val="0"/>
                <w:bCs w:val="0"/>
                <w:color w:val="auto"/>
                <w:kern w:val="2"/>
                <w:sz w:val="24"/>
                <w:szCs w:val="24"/>
                <w:highlight w:val="none"/>
                <w:lang w:val="en-US" w:eastAsia="zh-CN" w:bidi="ar"/>
              </w:rPr>
              <w:t>磋商供应商</w:t>
            </w:r>
            <w:r>
              <w:rPr>
                <w:rFonts w:hint="eastAsia" w:ascii="宋体" w:hAnsi="宋体" w:eastAsia="宋体" w:cs="宋体"/>
                <w:b w:val="0"/>
                <w:bCs w:val="0"/>
                <w:color w:val="auto"/>
                <w:spacing w:val="0"/>
                <w:position w:val="0"/>
                <w:sz w:val="24"/>
                <w:szCs w:val="24"/>
                <w:highlight w:val="none"/>
                <w:lang w:val="en-US" w:eastAsia="zh-CN" w:bidi="ar"/>
              </w:rPr>
              <w:t>提供的保安人员培训方案进行综合评议：培训计划详细，培训计划具有具体得科目及内容,得</w:t>
            </w:r>
            <w:r>
              <w:rPr>
                <w:rFonts w:hint="eastAsia" w:ascii="宋体" w:hAnsi="宋体" w:cs="宋体"/>
                <w:b w:val="0"/>
                <w:bCs w:val="0"/>
                <w:color w:val="auto"/>
                <w:spacing w:val="0"/>
                <w:position w:val="0"/>
                <w:sz w:val="24"/>
                <w:szCs w:val="24"/>
                <w:highlight w:val="none"/>
                <w:lang w:val="en-US" w:eastAsia="zh-CN" w:bidi="ar"/>
              </w:rPr>
              <w:t>11</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.1分；有培训计划但不详细具体的，得</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.1分；培训计划空泛或描述缺失的，得</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5.</w:t>
            </w:r>
            <w:r>
              <w:rPr>
                <w:rFonts w:hint="eastAsia" w:ascii="宋体" w:hAnsi="宋体" w:eastAsia="宋体" w:cs="宋体"/>
                <w:b w:val="0"/>
                <w:bCs w:val="0"/>
                <w:color w:val="auto"/>
                <w:spacing w:val="0"/>
                <w:position w:val="0"/>
                <w:sz w:val="24"/>
                <w:szCs w:val="24"/>
                <w:highlight w:val="none"/>
                <w:lang w:val="en-US" w:eastAsia="zh-CN" w:bidi="ar"/>
              </w:rPr>
              <w:t>0分</w:t>
            </w:r>
            <w:r>
              <w:rPr>
                <w:rFonts w:hint="eastAsia" w:ascii="宋体" w:hAnsi="宋体" w:cs="宋体"/>
                <w:b w:val="0"/>
                <w:bCs w:val="0"/>
                <w:color w:val="auto"/>
                <w:spacing w:val="0"/>
                <w:position w:val="0"/>
                <w:sz w:val="24"/>
                <w:szCs w:val="24"/>
                <w:highlight w:val="none"/>
                <w:lang w:val="en-US" w:eastAsia="zh-CN" w:bidi="ar"/>
              </w:rPr>
              <w:t>，漏项或缺项不得分。</w:t>
            </w:r>
          </w:p>
        </w:tc>
      </w:tr>
      <w:tr w14:paraId="1565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7" w:type="dxa"/>
            <w:vAlign w:val="center"/>
          </w:tcPr>
          <w:p w14:paraId="407C5652">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4"/>
                <w:szCs w:val="24"/>
                <w:lang w:val="en-US" w:eastAsia="zh-CN"/>
              </w:rPr>
            </w:pPr>
            <w:r>
              <w:rPr>
                <w:rFonts w:hint="eastAsia" w:ascii="宋体" w:hAnsi="宋体" w:eastAsia="宋体" w:cs="宋体"/>
                <w:b w:val="0"/>
                <w:bCs w:val="0"/>
                <w:color w:val="auto"/>
                <w:spacing w:val="0"/>
                <w:position w:val="0"/>
                <w:sz w:val="24"/>
                <w:szCs w:val="24"/>
                <w:highlight w:val="none"/>
                <w:lang w:val="en-US" w:eastAsia="zh-CN"/>
              </w:rPr>
              <w:t>11</w:t>
            </w:r>
          </w:p>
        </w:tc>
        <w:tc>
          <w:tcPr>
            <w:tcW w:w="1187" w:type="dxa"/>
            <w:vAlign w:val="center"/>
          </w:tcPr>
          <w:p w14:paraId="3742EBCA">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eastAsia="宋体" w:cs="宋体"/>
                <w:b w:val="0"/>
                <w:bCs w:val="0"/>
                <w:i w:val="0"/>
                <w:caps w:val="0"/>
                <w:color w:val="auto"/>
                <w:spacing w:val="0"/>
                <w:sz w:val="24"/>
                <w:szCs w:val="24"/>
                <w:highlight w:val="none"/>
                <w:shd w:val="clear"/>
                <w:lang w:val="en-US" w:eastAsia="zh-CN"/>
              </w:rPr>
              <w:t>应急保障方案</w:t>
            </w:r>
          </w:p>
        </w:tc>
        <w:tc>
          <w:tcPr>
            <w:tcW w:w="698" w:type="dxa"/>
            <w:vAlign w:val="center"/>
          </w:tcPr>
          <w:p w14:paraId="099B40F3">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11</w:t>
            </w:r>
          </w:p>
        </w:tc>
        <w:tc>
          <w:tcPr>
            <w:tcW w:w="7193" w:type="dxa"/>
            <w:vAlign w:val="center"/>
          </w:tcPr>
          <w:p w14:paraId="6B75D55C">
            <w:pPr>
              <w:keepNext w:val="0"/>
              <w:keepLines w:val="0"/>
              <w:pageBreakBefore w:val="0"/>
              <w:widowControl/>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highlight w:val="none"/>
                <w:lang w:val="en-US" w:eastAsia="zh-CN" w:bidi="ar"/>
              </w:rPr>
              <w:t>磋商供应商</w:t>
            </w:r>
            <w:r>
              <w:rPr>
                <w:rFonts w:hint="eastAsia" w:ascii="宋体" w:hAnsi="宋体" w:eastAsia="宋体" w:cs="宋体"/>
                <w:b w:val="0"/>
                <w:bCs w:val="0"/>
                <w:color w:val="auto"/>
                <w:spacing w:val="0"/>
                <w:position w:val="0"/>
                <w:sz w:val="24"/>
                <w:szCs w:val="24"/>
                <w:highlight w:val="none"/>
                <w:lang w:val="en-US" w:eastAsia="zh-CN" w:bidi="ar"/>
              </w:rPr>
              <w:t>对管理区域内的突发事件（包括台风、暴雨等灾害性天气及其他突发事件）时的应急预案及相应的措施。应急预案及相应的措施周全、可操作性强得</w:t>
            </w:r>
            <w:r>
              <w:rPr>
                <w:rFonts w:hint="eastAsia" w:ascii="宋体" w:hAnsi="宋体" w:cs="宋体"/>
                <w:b w:val="0"/>
                <w:bCs w:val="0"/>
                <w:color w:val="auto"/>
                <w:spacing w:val="0"/>
                <w:position w:val="0"/>
                <w:sz w:val="24"/>
                <w:szCs w:val="24"/>
                <w:highlight w:val="none"/>
                <w:lang w:val="en-US" w:eastAsia="zh-CN" w:bidi="ar"/>
              </w:rPr>
              <w:t>11</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.1分；应急预案及相应的措施可操作性一般得</w:t>
            </w:r>
            <w:r>
              <w:rPr>
                <w:rFonts w:hint="eastAsia" w:ascii="宋体" w:hAnsi="宋体" w:cs="宋体"/>
                <w:b w:val="0"/>
                <w:bCs w:val="0"/>
                <w:color w:val="auto"/>
                <w:spacing w:val="0"/>
                <w:position w:val="0"/>
                <w:sz w:val="24"/>
                <w:szCs w:val="24"/>
                <w:highlight w:val="none"/>
                <w:lang w:val="en-US" w:eastAsia="zh-CN" w:bidi="ar"/>
              </w:rPr>
              <w:t>9</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.1分；未涉及或措施可操作性差得</w:t>
            </w:r>
            <w:r>
              <w:rPr>
                <w:rFonts w:hint="eastAsia" w:ascii="宋体" w:hAnsi="宋体" w:cs="宋体"/>
                <w:b w:val="0"/>
                <w:bCs w:val="0"/>
                <w:color w:val="auto"/>
                <w:spacing w:val="0"/>
                <w:position w:val="0"/>
                <w:sz w:val="24"/>
                <w:szCs w:val="24"/>
                <w:highlight w:val="none"/>
                <w:lang w:val="en-US" w:eastAsia="zh-CN" w:bidi="ar"/>
              </w:rPr>
              <w:t>7</w:t>
            </w:r>
            <w:r>
              <w:rPr>
                <w:rFonts w:hint="eastAsia" w:ascii="宋体" w:hAnsi="宋体" w:eastAsia="宋体" w:cs="宋体"/>
                <w:b w:val="0"/>
                <w:bCs w:val="0"/>
                <w:color w:val="auto"/>
                <w:spacing w:val="0"/>
                <w:position w:val="0"/>
                <w:sz w:val="24"/>
                <w:szCs w:val="24"/>
                <w:highlight w:val="none"/>
                <w:lang w:val="en-US" w:eastAsia="zh-CN" w:bidi="ar"/>
              </w:rPr>
              <w:t>.0-</w:t>
            </w:r>
            <w:r>
              <w:rPr>
                <w:rFonts w:hint="eastAsia" w:ascii="宋体" w:hAnsi="宋体" w:cs="宋体"/>
                <w:b w:val="0"/>
                <w:bCs w:val="0"/>
                <w:color w:val="auto"/>
                <w:spacing w:val="0"/>
                <w:position w:val="0"/>
                <w:sz w:val="24"/>
                <w:szCs w:val="24"/>
                <w:highlight w:val="none"/>
                <w:lang w:val="en-US" w:eastAsia="zh-CN" w:bidi="ar"/>
              </w:rPr>
              <w:t>5.</w:t>
            </w:r>
            <w:r>
              <w:rPr>
                <w:rFonts w:hint="eastAsia" w:ascii="宋体" w:hAnsi="宋体" w:eastAsia="宋体" w:cs="宋体"/>
                <w:b w:val="0"/>
                <w:bCs w:val="0"/>
                <w:color w:val="auto"/>
                <w:spacing w:val="0"/>
                <w:position w:val="0"/>
                <w:sz w:val="24"/>
                <w:szCs w:val="24"/>
                <w:highlight w:val="none"/>
                <w:lang w:val="en-US" w:eastAsia="zh-CN" w:bidi="ar"/>
              </w:rPr>
              <w:t>0分</w:t>
            </w:r>
            <w:r>
              <w:rPr>
                <w:rFonts w:hint="eastAsia" w:ascii="宋体" w:hAnsi="宋体" w:cs="宋体"/>
                <w:b w:val="0"/>
                <w:bCs w:val="0"/>
                <w:color w:val="auto"/>
                <w:spacing w:val="0"/>
                <w:position w:val="0"/>
                <w:sz w:val="24"/>
                <w:szCs w:val="24"/>
                <w:highlight w:val="none"/>
                <w:lang w:val="en-US" w:eastAsia="zh-CN" w:bidi="ar"/>
              </w:rPr>
              <w:t>，漏项或缺项不得分。</w:t>
            </w:r>
          </w:p>
        </w:tc>
      </w:tr>
      <w:tr w14:paraId="6C3B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77" w:type="dxa"/>
            <w:vAlign w:val="center"/>
          </w:tcPr>
          <w:p w14:paraId="71076ADF">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color w:val="auto"/>
                <w:spacing w:val="0"/>
                <w:position w:val="0"/>
                <w:sz w:val="24"/>
                <w:szCs w:val="24"/>
                <w:lang w:val="en-US" w:eastAsia="zh-CN"/>
              </w:rPr>
            </w:pPr>
            <w:r>
              <w:rPr>
                <w:rFonts w:hint="eastAsia" w:ascii="宋体" w:hAnsi="宋体" w:cs="宋体"/>
                <w:b w:val="0"/>
                <w:bCs w:val="0"/>
                <w:color w:val="auto"/>
                <w:spacing w:val="0"/>
                <w:position w:val="0"/>
                <w:sz w:val="24"/>
                <w:szCs w:val="24"/>
                <w:lang w:val="en-US" w:eastAsia="zh-CN"/>
              </w:rPr>
              <w:t>12</w:t>
            </w:r>
          </w:p>
        </w:tc>
        <w:tc>
          <w:tcPr>
            <w:tcW w:w="1187" w:type="dxa"/>
            <w:vAlign w:val="center"/>
          </w:tcPr>
          <w:p w14:paraId="29FE5831">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caps w:val="0"/>
                <w:color w:val="auto"/>
                <w:spacing w:val="0"/>
                <w:sz w:val="24"/>
                <w:szCs w:val="24"/>
                <w:shd w:val="clear"/>
                <w:lang w:val="en-US" w:eastAsia="zh-CN"/>
              </w:rPr>
            </w:pPr>
            <w:r>
              <w:rPr>
                <w:rFonts w:hint="eastAsia" w:ascii="宋体" w:hAnsi="宋体" w:eastAsia="宋体" w:cs="宋体"/>
                <w:b w:val="0"/>
                <w:bCs w:val="0"/>
                <w:i w:val="0"/>
                <w:caps w:val="0"/>
                <w:color w:val="auto"/>
                <w:spacing w:val="0"/>
                <w:sz w:val="24"/>
                <w:szCs w:val="24"/>
                <w:shd w:val="clear"/>
                <w:lang w:val="en-US" w:eastAsia="zh-CN"/>
              </w:rPr>
              <w:t>价格分</w:t>
            </w:r>
          </w:p>
        </w:tc>
        <w:tc>
          <w:tcPr>
            <w:tcW w:w="698" w:type="dxa"/>
            <w:vAlign w:val="center"/>
          </w:tcPr>
          <w:p w14:paraId="53D13AAE">
            <w:pPr>
              <w:keepNext w:val="0"/>
              <w:keepLines w:val="0"/>
              <w:pageBreakBefore w:val="0"/>
              <w:widowControl w:val="0"/>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i w:val="0"/>
                <w:caps w:val="0"/>
                <w:color w:val="auto"/>
                <w:spacing w:val="0"/>
                <w:sz w:val="24"/>
                <w:szCs w:val="24"/>
                <w:shd w:val="clear"/>
                <w:lang w:val="en-US" w:eastAsia="zh-CN"/>
              </w:rPr>
            </w:pPr>
            <w:r>
              <w:rPr>
                <w:rFonts w:hint="eastAsia" w:ascii="宋体" w:hAnsi="宋体" w:cs="宋体"/>
                <w:b w:val="0"/>
                <w:bCs w:val="0"/>
                <w:i w:val="0"/>
                <w:caps w:val="0"/>
                <w:color w:val="auto"/>
                <w:spacing w:val="0"/>
                <w:sz w:val="24"/>
                <w:szCs w:val="24"/>
                <w:shd w:val="clear"/>
                <w:lang w:val="en-US" w:eastAsia="zh-CN"/>
              </w:rPr>
              <w:t>10</w:t>
            </w:r>
          </w:p>
        </w:tc>
        <w:tc>
          <w:tcPr>
            <w:tcW w:w="7193" w:type="dxa"/>
            <w:vAlign w:val="center"/>
          </w:tcPr>
          <w:p w14:paraId="03A57710">
            <w:pPr>
              <w:keepNext w:val="0"/>
              <w:keepLines w:val="0"/>
              <w:pageBreakBefore w:val="0"/>
              <w:widowControl/>
              <w:numPr>
                <w:ilvl w:val="0"/>
                <w:numId w:val="0"/>
              </w:numPr>
              <w:suppressLineNumbers w:val="0"/>
              <w:kinsoku/>
              <w:wordWrap w:val="0"/>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pacing w:val="0"/>
                <w:position w:val="0"/>
                <w:sz w:val="24"/>
                <w:szCs w:val="24"/>
                <w:lang w:val="en-US" w:eastAsia="zh-CN" w:bidi="ar"/>
              </w:rPr>
            </w:pPr>
            <w:r>
              <w:rPr>
                <w:rFonts w:hint="eastAsia" w:ascii="宋体" w:hAnsi="宋体" w:eastAsia="宋体" w:cs="宋体"/>
                <w:b w:val="0"/>
                <w:bCs w:val="0"/>
                <w:color w:val="auto"/>
                <w:spacing w:val="0"/>
                <w:position w:val="0"/>
                <w:sz w:val="24"/>
                <w:szCs w:val="24"/>
                <w:lang w:val="en-US" w:eastAsia="zh-CN" w:bidi="ar"/>
              </w:rPr>
              <w:t>满足磋商文件要求且最终报价最低的为评审基准价，其报价分为满分。其他磋商供应商的价格分统一按照下列公式计算：投标报价得分=（评标基准价/投标报价）*</w:t>
            </w:r>
            <w:r>
              <w:rPr>
                <w:rFonts w:hint="eastAsia" w:ascii="宋体" w:hAnsi="宋体" w:cs="宋体"/>
                <w:b w:val="0"/>
                <w:bCs w:val="0"/>
                <w:color w:val="auto"/>
                <w:spacing w:val="0"/>
                <w:position w:val="0"/>
                <w:sz w:val="24"/>
                <w:szCs w:val="24"/>
                <w:lang w:val="en-US" w:eastAsia="zh-CN" w:bidi="ar"/>
              </w:rPr>
              <w:t>1</w:t>
            </w:r>
            <w:r>
              <w:rPr>
                <w:rFonts w:hint="eastAsia" w:ascii="宋体" w:hAnsi="宋体" w:eastAsia="宋体" w:cs="宋体"/>
                <w:b w:val="0"/>
                <w:bCs w:val="0"/>
                <w:color w:val="auto"/>
                <w:spacing w:val="0"/>
                <w:position w:val="0"/>
                <w:sz w:val="24"/>
                <w:szCs w:val="24"/>
                <w:lang w:val="en-US" w:eastAsia="zh-CN" w:bidi="ar"/>
              </w:rPr>
              <w:t>0，得分保留两位小数。</w:t>
            </w:r>
          </w:p>
        </w:tc>
      </w:tr>
    </w:tbl>
    <w:p w14:paraId="40FB7607">
      <w:pPr>
        <w:pStyle w:val="2"/>
        <w:ind w:left="0" w:leftChars="0" w:firstLine="0" w:firstLineChars="0"/>
        <w:rPr>
          <w:color w:val="auto"/>
          <w:highlight w:val="none"/>
        </w:rPr>
      </w:pPr>
    </w:p>
    <w:p w14:paraId="2D38ED48">
      <w:pPr>
        <w:pStyle w:val="2"/>
        <w:ind w:left="0" w:leftChars="0" w:firstLine="0" w:firstLineChars="0"/>
        <w:rPr>
          <w:color w:val="auto"/>
          <w:highlight w:val="none"/>
        </w:rPr>
      </w:pPr>
    </w:p>
    <w:p w14:paraId="3DA31497">
      <w:pPr>
        <w:pStyle w:val="2"/>
        <w:ind w:left="0" w:leftChars="0" w:firstLine="0" w:firstLineChars="0"/>
        <w:rPr>
          <w:color w:val="auto"/>
          <w:highlight w:val="none"/>
        </w:rPr>
      </w:pPr>
    </w:p>
    <w:p w14:paraId="76351D94">
      <w:pPr>
        <w:pStyle w:val="2"/>
        <w:ind w:left="0" w:leftChars="0" w:firstLine="0" w:firstLineChars="0"/>
        <w:rPr>
          <w:color w:val="auto"/>
          <w:highlight w:val="none"/>
        </w:rPr>
      </w:pPr>
    </w:p>
    <w:p w14:paraId="4F9758D2">
      <w:pPr>
        <w:pStyle w:val="2"/>
        <w:ind w:left="0" w:leftChars="0" w:firstLine="0" w:firstLineChars="0"/>
        <w:rPr>
          <w:color w:val="auto"/>
          <w:highlight w:val="none"/>
        </w:rPr>
      </w:pPr>
    </w:p>
    <w:p w14:paraId="370C517E">
      <w:pPr>
        <w:pStyle w:val="2"/>
        <w:ind w:left="0" w:leftChars="0" w:firstLine="0" w:firstLineChars="0"/>
        <w:rPr>
          <w:color w:val="auto"/>
          <w:highlight w:val="none"/>
        </w:rPr>
      </w:pPr>
    </w:p>
    <w:p w14:paraId="33B5CE95">
      <w:pPr>
        <w:pStyle w:val="2"/>
        <w:ind w:left="0" w:leftChars="0" w:firstLine="0" w:firstLineChars="0"/>
        <w:rPr>
          <w:color w:val="auto"/>
          <w:highlight w:val="none"/>
        </w:rPr>
      </w:pPr>
    </w:p>
    <w:p w14:paraId="3C42C7CF">
      <w:pPr>
        <w:pStyle w:val="2"/>
        <w:ind w:left="0" w:leftChars="0" w:firstLine="0" w:firstLineChars="0"/>
        <w:rPr>
          <w:color w:val="auto"/>
          <w:highlight w:val="none"/>
        </w:rPr>
      </w:pPr>
    </w:p>
    <w:p w14:paraId="195CAD9D">
      <w:pPr>
        <w:pStyle w:val="2"/>
        <w:ind w:left="0" w:leftChars="0" w:firstLine="0" w:firstLineChars="0"/>
        <w:rPr>
          <w:color w:val="auto"/>
          <w:highlight w:val="none"/>
        </w:rPr>
      </w:pPr>
    </w:p>
    <w:p w14:paraId="26677DA9">
      <w:pPr>
        <w:rPr>
          <w:color w:val="auto"/>
          <w:highlight w:val="none"/>
        </w:rPr>
      </w:pPr>
      <w:r>
        <w:rPr>
          <w:color w:val="auto"/>
          <w:highlight w:val="none"/>
        </w:rPr>
        <w:br w:type="page"/>
      </w:r>
    </w:p>
    <w:p w14:paraId="698276B1">
      <w:pPr>
        <w:pStyle w:val="2"/>
        <w:ind w:left="0" w:leftChars="0" w:firstLine="0" w:firstLineChars="0"/>
        <w:rPr>
          <w:color w:val="auto"/>
          <w:highlight w:val="none"/>
        </w:rPr>
      </w:pPr>
    </w:p>
    <w:p w14:paraId="5CC79F7C">
      <w:pPr>
        <w:pStyle w:val="4"/>
        <w:numPr>
          <w:ilvl w:val="0"/>
          <w:numId w:val="4"/>
        </w:numPr>
        <w:spacing w:before="0" w:after="0" w:line="240" w:lineRule="auto"/>
        <w:jc w:val="center"/>
        <w:rPr>
          <w:rFonts w:ascii="宋体" w:hAnsi="宋体" w:cs="宋体"/>
          <w:b w:val="0"/>
          <w:bCs w:val="0"/>
          <w:color w:val="auto"/>
          <w:sz w:val="36"/>
          <w:szCs w:val="36"/>
          <w:highlight w:val="none"/>
        </w:rPr>
      </w:pPr>
      <w:r>
        <w:rPr>
          <w:rFonts w:hint="eastAsia" w:ascii="宋体" w:hAnsi="宋体" w:cs="宋体"/>
          <w:b w:val="0"/>
          <w:bCs w:val="0"/>
          <w:color w:val="auto"/>
          <w:sz w:val="36"/>
          <w:szCs w:val="36"/>
          <w:highlight w:val="none"/>
        </w:rPr>
        <w:t>项目需求</w:t>
      </w:r>
      <w:bookmarkStart w:id="4" w:name="_Toc441237549"/>
      <w:bookmarkStart w:id="5" w:name="_Toc204483585"/>
      <w:bookmarkStart w:id="6" w:name="_Toc236047431"/>
    </w:p>
    <w:bookmarkEnd w:id="4"/>
    <w:bookmarkEnd w:id="5"/>
    <w:bookmarkEnd w:id="6"/>
    <w:p w14:paraId="371918E0">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项目概述：</w:t>
      </w:r>
      <w:r>
        <w:rPr>
          <w:rFonts w:hint="eastAsia" w:ascii="宋体" w:hAnsi="宋体" w:cs="宋体"/>
          <w:color w:val="auto"/>
          <w:sz w:val="24"/>
          <w:szCs w:val="24"/>
          <w:lang w:eastAsia="zh-CN"/>
        </w:rPr>
        <w:t>路北街道2025年零星安保服务采购项目</w:t>
      </w:r>
      <w:r>
        <w:rPr>
          <w:rFonts w:hint="eastAsia" w:ascii="宋体" w:hAnsi="宋体" w:eastAsia="宋体" w:cs="宋体"/>
          <w:color w:val="auto"/>
          <w:sz w:val="24"/>
          <w:szCs w:val="24"/>
        </w:rPr>
        <w:t>；</w:t>
      </w:r>
    </w:p>
    <w:p w14:paraId="3CE7A7F4">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▲合同期限：</w:t>
      </w:r>
      <w:r>
        <w:rPr>
          <w:rFonts w:hint="eastAsia" w:ascii="宋体" w:hAnsi="宋体" w:cs="宋体"/>
          <w:color w:val="auto"/>
          <w:sz w:val="24"/>
          <w:szCs w:val="24"/>
          <w:lang w:val="en-US" w:eastAsia="zh-CN"/>
        </w:rPr>
        <w:t>12个月</w:t>
      </w:r>
    </w:p>
    <w:p w14:paraId="76EFBFF7">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服务区域：</w:t>
      </w:r>
      <w:r>
        <w:rPr>
          <w:rFonts w:hint="eastAsia" w:ascii="宋体" w:hAnsi="宋体" w:eastAsia="宋体" w:cs="宋体"/>
          <w:color w:val="auto"/>
          <w:sz w:val="24"/>
          <w:szCs w:val="24"/>
          <w:lang w:val="en-US" w:eastAsia="zh-CN"/>
        </w:rPr>
        <w:t>路桥区</w:t>
      </w:r>
      <w:r>
        <w:rPr>
          <w:rFonts w:hint="eastAsia" w:ascii="宋体" w:hAnsi="宋体" w:eastAsia="宋体" w:cs="宋体"/>
          <w:color w:val="auto"/>
          <w:sz w:val="24"/>
          <w:szCs w:val="24"/>
        </w:rPr>
        <w:t>；</w:t>
      </w:r>
    </w:p>
    <w:p w14:paraId="1C7AF693">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投标报价要求：</w:t>
      </w:r>
    </w:p>
    <w:tbl>
      <w:tblPr>
        <w:tblStyle w:val="29"/>
        <w:tblW w:w="9337" w:type="dxa"/>
        <w:jc w:val="center"/>
        <w:tblLayout w:type="fixed"/>
        <w:tblCellMar>
          <w:top w:w="0" w:type="dxa"/>
          <w:left w:w="108" w:type="dxa"/>
          <w:bottom w:w="0" w:type="dxa"/>
          <w:right w:w="108" w:type="dxa"/>
        </w:tblCellMar>
      </w:tblPr>
      <w:tblGrid>
        <w:gridCol w:w="1066"/>
        <w:gridCol w:w="3020"/>
        <w:gridCol w:w="1983"/>
        <w:gridCol w:w="1266"/>
        <w:gridCol w:w="2002"/>
      </w:tblGrid>
      <w:tr w14:paraId="05450A48">
        <w:tblPrEx>
          <w:tblCellMar>
            <w:top w:w="0" w:type="dxa"/>
            <w:left w:w="108" w:type="dxa"/>
            <w:bottom w:w="0" w:type="dxa"/>
            <w:right w:w="108" w:type="dxa"/>
          </w:tblCellMar>
        </w:tblPrEx>
        <w:trPr>
          <w:trHeight w:val="71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CB0DC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3020" w:type="dxa"/>
            <w:tcBorders>
              <w:top w:val="single" w:color="auto" w:sz="4" w:space="0"/>
              <w:left w:val="nil"/>
              <w:bottom w:val="single" w:color="auto" w:sz="4" w:space="0"/>
              <w:right w:val="single" w:color="auto" w:sz="4" w:space="0"/>
            </w:tcBorders>
            <w:vAlign w:val="center"/>
          </w:tcPr>
          <w:p w14:paraId="060473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项目名称</w:t>
            </w:r>
          </w:p>
        </w:tc>
        <w:tc>
          <w:tcPr>
            <w:tcW w:w="1983" w:type="dxa"/>
            <w:tcBorders>
              <w:top w:val="single" w:color="auto" w:sz="4" w:space="0"/>
              <w:left w:val="nil"/>
              <w:bottom w:val="single" w:color="auto" w:sz="4" w:space="0"/>
              <w:right w:val="single" w:color="auto" w:sz="4" w:space="0"/>
            </w:tcBorders>
            <w:vAlign w:val="center"/>
          </w:tcPr>
          <w:p w14:paraId="37CC3A6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color w:val="auto"/>
                <w:sz w:val="21"/>
                <w:szCs w:val="21"/>
              </w:rPr>
              <w:t>▲</w:t>
            </w:r>
            <w:r>
              <w:rPr>
                <w:rFonts w:hint="eastAsia" w:ascii="宋体" w:hAnsi="宋体" w:eastAsia="宋体" w:cs="宋体"/>
                <w:b/>
                <w:bCs/>
                <w:color w:val="auto"/>
                <w:kern w:val="0"/>
                <w:sz w:val="21"/>
                <w:szCs w:val="21"/>
              </w:rPr>
              <w:t>最高单价限价</w:t>
            </w:r>
          </w:p>
        </w:tc>
        <w:tc>
          <w:tcPr>
            <w:tcW w:w="1266" w:type="dxa"/>
            <w:tcBorders>
              <w:top w:val="single" w:color="auto" w:sz="4" w:space="0"/>
              <w:left w:val="nil"/>
              <w:bottom w:val="single" w:color="auto" w:sz="4" w:space="0"/>
              <w:right w:val="single" w:color="auto" w:sz="4" w:space="0"/>
            </w:tcBorders>
            <w:vAlign w:val="center"/>
          </w:tcPr>
          <w:p w14:paraId="2EA9B7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暂定数量</w:t>
            </w:r>
          </w:p>
        </w:tc>
        <w:tc>
          <w:tcPr>
            <w:tcW w:w="2002" w:type="dxa"/>
            <w:tcBorders>
              <w:top w:val="single" w:color="auto" w:sz="4" w:space="0"/>
              <w:left w:val="nil"/>
              <w:bottom w:val="single" w:color="auto" w:sz="4" w:space="0"/>
              <w:right w:val="single" w:color="auto" w:sz="4" w:space="0"/>
            </w:tcBorders>
            <w:vAlign w:val="center"/>
          </w:tcPr>
          <w:p w14:paraId="02E2B0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color w:val="auto"/>
                <w:sz w:val="21"/>
                <w:szCs w:val="21"/>
              </w:rPr>
              <w:t>▲</w:t>
            </w:r>
            <w:r>
              <w:rPr>
                <w:rFonts w:hint="eastAsia" w:ascii="宋体" w:hAnsi="宋体" w:eastAsia="宋体" w:cs="宋体"/>
                <w:b/>
                <w:bCs/>
                <w:color w:val="auto"/>
                <w:kern w:val="0"/>
                <w:sz w:val="21"/>
                <w:szCs w:val="21"/>
              </w:rPr>
              <w:t>备注</w:t>
            </w:r>
          </w:p>
        </w:tc>
      </w:tr>
      <w:tr w14:paraId="4F80FE83">
        <w:tblPrEx>
          <w:tblCellMar>
            <w:top w:w="0" w:type="dxa"/>
            <w:left w:w="108" w:type="dxa"/>
            <w:bottom w:w="0" w:type="dxa"/>
            <w:right w:w="108" w:type="dxa"/>
          </w:tblCellMar>
        </w:tblPrEx>
        <w:trPr>
          <w:trHeight w:val="71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4442E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020" w:type="dxa"/>
            <w:tcBorders>
              <w:top w:val="single" w:color="auto" w:sz="4" w:space="0"/>
              <w:left w:val="nil"/>
              <w:bottom w:val="single" w:color="auto" w:sz="4" w:space="0"/>
              <w:right w:val="single" w:color="auto" w:sz="4" w:space="0"/>
            </w:tcBorders>
            <w:vAlign w:val="center"/>
          </w:tcPr>
          <w:p w14:paraId="3B5A6C9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lang w:eastAsia="zh-CN"/>
              </w:rPr>
              <w:t>路北街道2025年零星安保服务采购项目</w:t>
            </w:r>
          </w:p>
        </w:tc>
        <w:tc>
          <w:tcPr>
            <w:tcW w:w="1983" w:type="dxa"/>
            <w:tcBorders>
              <w:top w:val="single" w:color="auto" w:sz="4" w:space="0"/>
              <w:left w:val="nil"/>
              <w:bottom w:val="single" w:color="auto" w:sz="4" w:space="0"/>
              <w:right w:val="single" w:color="auto" w:sz="4" w:space="0"/>
            </w:tcBorders>
            <w:vAlign w:val="center"/>
          </w:tcPr>
          <w:p w14:paraId="794A20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250元/人/班</w:t>
            </w:r>
          </w:p>
        </w:tc>
        <w:tc>
          <w:tcPr>
            <w:tcW w:w="1266" w:type="dxa"/>
            <w:tcBorders>
              <w:top w:val="single" w:color="auto" w:sz="4" w:space="0"/>
              <w:left w:val="nil"/>
              <w:bottom w:val="single" w:color="auto" w:sz="4" w:space="0"/>
              <w:right w:val="single" w:color="auto" w:sz="4" w:space="0"/>
            </w:tcBorders>
            <w:vAlign w:val="center"/>
          </w:tcPr>
          <w:p w14:paraId="7059E0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8800人班</w:t>
            </w:r>
          </w:p>
        </w:tc>
        <w:tc>
          <w:tcPr>
            <w:tcW w:w="2002" w:type="dxa"/>
            <w:tcBorders>
              <w:top w:val="single" w:color="auto" w:sz="4" w:space="0"/>
              <w:left w:val="nil"/>
              <w:bottom w:val="single" w:color="auto" w:sz="4" w:space="0"/>
              <w:right w:val="single" w:color="auto" w:sz="4" w:space="0"/>
            </w:tcBorders>
            <w:vAlign w:val="center"/>
          </w:tcPr>
          <w:p w14:paraId="0782222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不得高于单价，</w:t>
            </w:r>
            <w:r>
              <w:rPr>
                <w:rFonts w:hint="eastAsia" w:ascii="宋体" w:hAnsi="宋体" w:cs="宋体"/>
                <w:b/>
                <w:color w:val="auto"/>
                <w:kern w:val="0"/>
                <w:sz w:val="21"/>
                <w:szCs w:val="21"/>
                <w:lang w:val="en-US" w:eastAsia="zh-CN"/>
              </w:rPr>
              <w:t>工作实间为8小时。</w:t>
            </w:r>
          </w:p>
        </w:tc>
      </w:tr>
      <w:tr w14:paraId="11D66CEA">
        <w:tblPrEx>
          <w:tblCellMar>
            <w:top w:w="0" w:type="dxa"/>
            <w:left w:w="108" w:type="dxa"/>
            <w:bottom w:w="0" w:type="dxa"/>
            <w:right w:w="108" w:type="dxa"/>
          </w:tblCellMar>
        </w:tblPrEx>
        <w:trPr>
          <w:trHeight w:val="71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F75A5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8271" w:type="dxa"/>
            <w:gridSpan w:val="4"/>
            <w:tcBorders>
              <w:top w:val="single" w:color="auto" w:sz="4" w:space="0"/>
              <w:left w:val="nil"/>
              <w:bottom w:val="single" w:color="auto" w:sz="4" w:space="0"/>
              <w:right w:val="single" w:color="auto" w:sz="4" w:space="0"/>
            </w:tcBorders>
            <w:vAlign w:val="center"/>
          </w:tcPr>
          <w:p w14:paraId="40A450F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sz w:val="21"/>
                <w:szCs w:val="21"/>
              </w:rPr>
              <w:t>▲</w:t>
            </w:r>
            <w:r>
              <w:rPr>
                <w:rFonts w:hint="eastAsia" w:ascii="宋体" w:hAnsi="宋体" w:eastAsia="宋体" w:cs="宋体"/>
                <w:color w:val="auto"/>
                <w:kern w:val="0"/>
                <w:sz w:val="21"/>
                <w:szCs w:val="21"/>
              </w:rPr>
              <w:t>投标总报价≤</w:t>
            </w:r>
            <w:r>
              <w:rPr>
                <w:rFonts w:hint="eastAsia" w:ascii="宋体" w:hAnsi="宋体" w:cs="宋体"/>
                <w:color w:val="auto"/>
                <w:sz w:val="21"/>
                <w:szCs w:val="21"/>
                <w:lang w:val="en-US" w:eastAsia="zh-CN"/>
              </w:rPr>
              <w:t>220万</w:t>
            </w:r>
            <w:r>
              <w:rPr>
                <w:rFonts w:hint="eastAsia" w:ascii="宋体" w:hAnsi="宋体" w:eastAsia="宋体" w:cs="宋体"/>
                <w:color w:val="auto"/>
                <w:sz w:val="21"/>
                <w:szCs w:val="21"/>
                <w:lang w:val="en-US" w:eastAsia="zh-CN"/>
              </w:rPr>
              <w:t>元</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超过上限价格的，按无效标处理。</w:t>
            </w:r>
          </w:p>
        </w:tc>
      </w:tr>
    </w:tbl>
    <w:p w14:paraId="6711E2A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本项目实行固定综合单价方式进行结算，中标供应商的中标单价一次性包干，实际服务人数按实结算，如本项目在实施过程中，合同未到期，但结算总价超过</w:t>
      </w:r>
      <w:r>
        <w:rPr>
          <w:rFonts w:hint="eastAsia" w:ascii="宋体" w:hAnsi="宋体" w:cs="宋体"/>
          <w:color w:val="auto"/>
          <w:sz w:val="24"/>
          <w:szCs w:val="24"/>
          <w:lang w:val="en-US" w:eastAsia="zh-CN"/>
        </w:rPr>
        <w:t>220万</w:t>
      </w:r>
      <w:r>
        <w:rPr>
          <w:rFonts w:hint="eastAsia" w:ascii="宋体" w:hAnsi="宋体" w:eastAsia="宋体" w:cs="宋体"/>
          <w:color w:val="auto"/>
          <w:sz w:val="24"/>
          <w:szCs w:val="24"/>
        </w:rPr>
        <w:t>元的，采购人有权终止合同。</w:t>
      </w:r>
    </w:p>
    <w:p w14:paraId="32F5AA5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6、投标人的报价应为承包完成本次项目需完成全部工作所发生的所有费用（含税），并承担一切风险责任。投标人应结合本项目特点，市场行情及投标人自身的技术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管理水平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竞争能力，确定最终报价。</w:t>
      </w:r>
      <w:r>
        <w:rPr>
          <w:rFonts w:hint="eastAsia" w:ascii="宋体" w:hAnsi="宋体" w:cs="宋体"/>
          <w:color w:val="auto"/>
          <w:sz w:val="24"/>
          <w:szCs w:val="24"/>
          <w:highlight w:val="none"/>
          <w:lang w:eastAsia="zh-CN"/>
        </w:rPr>
        <w:t>餐费、交通费、</w:t>
      </w:r>
      <w:r>
        <w:rPr>
          <w:rFonts w:hint="eastAsia" w:ascii="宋体" w:hAnsi="宋体" w:eastAsia="宋体" w:cs="宋体"/>
          <w:color w:val="auto"/>
          <w:sz w:val="24"/>
          <w:szCs w:val="24"/>
          <w:highlight w:val="none"/>
        </w:rPr>
        <w:t>特殊时间段和夜班费及由此产生的服务风险、责任已包含在供应商的报价中，不再另行增加。</w:t>
      </w:r>
    </w:p>
    <w:p w14:paraId="72EB048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7、▲人员：</w:t>
      </w:r>
    </w:p>
    <w:p w14:paraId="7E0B5F3A">
      <w:pPr>
        <w:pStyle w:val="27"/>
        <w:jc w:val="both"/>
        <w:rPr>
          <w:rFonts w:hint="default" w:eastAsia="宋体"/>
          <w:color w:val="auto"/>
          <w:lang w:val="en-US" w:eastAsia="zh-CN"/>
        </w:rPr>
      </w:pPr>
      <w:r>
        <w:rPr>
          <w:rFonts w:hint="eastAsia" w:ascii="宋体" w:hAnsi="宋体" w:eastAsia="宋体" w:cs="宋体"/>
          <w:color w:val="auto"/>
          <w:sz w:val="24"/>
          <w:szCs w:val="24"/>
          <w:lang w:val="en-US" w:eastAsia="zh-CN"/>
        </w:rPr>
        <w:t>7.1本项目为零星保安，每8个小时/班</w:t>
      </w:r>
    </w:p>
    <w:p w14:paraId="4A4DC9D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当日服务时间小于等于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个小时的按半</w:t>
      </w:r>
      <w:r>
        <w:rPr>
          <w:rFonts w:hint="eastAsia" w:ascii="宋体" w:hAnsi="宋体" w:cs="宋体"/>
          <w:color w:val="auto"/>
          <w:sz w:val="24"/>
          <w:szCs w:val="24"/>
          <w:lang w:eastAsia="zh-CN"/>
        </w:rPr>
        <w:t>班</w:t>
      </w:r>
      <w:r>
        <w:rPr>
          <w:rFonts w:hint="eastAsia" w:ascii="宋体" w:hAnsi="宋体" w:eastAsia="宋体" w:cs="宋体"/>
          <w:color w:val="auto"/>
          <w:sz w:val="24"/>
          <w:szCs w:val="24"/>
        </w:rPr>
        <w:t>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半</w:t>
      </w:r>
      <w:r>
        <w:rPr>
          <w:rFonts w:hint="eastAsia" w:ascii="宋体" w:hAnsi="宋体" w:cs="宋体"/>
          <w:color w:val="auto"/>
          <w:sz w:val="24"/>
          <w:szCs w:val="24"/>
          <w:lang w:val="en-US" w:eastAsia="zh-CN"/>
        </w:rPr>
        <w:t>班</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全</w:t>
      </w:r>
      <w:r>
        <w:rPr>
          <w:rFonts w:hint="eastAsia" w:ascii="宋体" w:hAnsi="宋体" w:cs="宋体"/>
          <w:color w:val="auto"/>
          <w:sz w:val="24"/>
          <w:szCs w:val="24"/>
          <w:lang w:eastAsia="zh-CN"/>
        </w:rPr>
        <w:t>班</w:t>
      </w:r>
      <w:r>
        <w:rPr>
          <w:rFonts w:hint="eastAsia" w:ascii="宋体" w:hAnsi="宋体" w:eastAsia="宋体" w:cs="宋体"/>
          <w:color w:val="auto"/>
          <w:sz w:val="24"/>
          <w:szCs w:val="24"/>
        </w:rPr>
        <w:t>价*</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%计算；</w:t>
      </w:r>
    </w:p>
    <w:p w14:paraId="1B8DA0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当日服务时间大于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个小时但小于等于</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个小时的按全</w:t>
      </w:r>
      <w:r>
        <w:rPr>
          <w:rFonts w:hint="eastAsia" w:ascii="宋体" w:hAnsi="宋体" w:cs="宋体"/>
          <w:color w:val="auto"/>
          <w:sz w:val="24"/>
          <w:szCs w:val="24"/>
          <w:lang w:eastAsia="zh-CN"/>
        </w:rPr>
        <w:t>班</w:t>
      </w:r>
      <w:r>
        <w:rPr>
          <w:rFonts w:hint="eastAsia" w:ascii="宋体" w:hAnsi="宋体" w:eastAsia="宋体" w:cs="宋体"/>
          <w:color w:val="auto"/>
          <w:sz w:val="24"/>
          <w:szCs w:val="24"/>
        </w:rPr>
        <w:t>计算；</w:t>
      </w:r>
    </w:p>
    <w:p w14:paraId="612E77B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供应商承诺在承包服务期内，在执行事务过程中，加强消除现场风险隐患，全力确保现场安全，并做好保密工作。发生安全事故的，责任和损失由供应商自行承担。因供应商原因导致的人员财产损失由供应商负责赔偿。</w:t>
      </w:r>
    </w:p>
    <w:p w14:paraId="73417AB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9、中标供应商主要提供日常安保、</w:t>
      </w:r>
      <w:r>
        <w:rPr>
          <w:rFonts w:hint="eastAsia" w:ascii="宋体" w:hAnsi="宋体" w:cs="宋体"/>
          <w:color w:val="auto"/>
          <w:sz w:val="24"/>
          <w:szCs w:val="24"/>
          <w:lang w:val="en-US" w:eastAsia="zh-CN"/>
        </w:rPr>
        <w:t>防疫</w:t>
      </w:r>
      <w:r>
        <w:rPr>
          <w:rFonts w:hint="eastAsia" w:ascii="宋体" w:hAnsi="宋体" w:eastAsia="宋体" w:cs="宋体"/>
          <w:color w:val="auto"/>
          <w:sz w:val="24"/>
          <w:szCs w:val="24"/>
        </w:rPr>
        <w:t>安保服务，具体服务内容以采购人确定为准。</w:t>
      </w:r>
    </w:p>
    <w:p w14:paraId="4C3660D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10、人员配置要求：</w:t>
      </w:r>
      <w:r>
        <w:rPr>
          <w:rFonts w:hint="eastAsia" w:ascii="宋体" w:hAnsi="宋体" w:cs="宋体"/>
          <w:color w:val="auto"/>
          <w:sz w:val="24"/>
          <w:szCs w:val="24"/>
          <w:highlight w:val="none"/>
          <w:lang w:val="en-US" w:eastAsia="zh-CN"/>
        </w:rPr>
        <w:t>每个班组设置3名安保负责人</w:t>
      </w:r>
      <w:r>
        <w:rPr>
          <w:rFonts w:hint="eastAsia" w:ascii="宋体" w:hAnsi="宋体" w:cs="宋体"/>
          <w:color w:val="auto"/>
          <w:sz w:val="24"/>
          <w:szCs w:val="24"/>
          <w:lang w:eastAsia="zh-CN"/>
        </w:rPr>
        <w:t>，</w:t>
      </w:r>
      <w:r>
        <w:rPr>
          <w:rFonts w:hint="eastAsia" w:ascii="宋体" w:hAnsi="宋体" w:eastAsia="宋体" w:cs="宋体"/>
          <w:color w:val="auto"/>
          <w:sz w:val="24"/>
          <w:szCs w:val="24"/>
        </w:rPr>
        <w:t>在实际执行过程中，中标供应商须按采购人要求派遣人员。</w:t>
      </w:r>
      <w:r>
        <w:rPr>
          <w:rFonts w:hint="eastAsia" w:ascii="宋体" w:hAnsi="宋体" w:cs="宋体"/>
          <w:color w:val="auto"/>
          <w:sz w:val="24"/>
          <w:szCs w:val="24"/>
          <w:highlight w:val="none"/>
          <w:lang w:val="en-US" w:eastAsia="zh-CN"/>
        </w:rPr>
        <w:t>安保负责人</w:t>
      </w:r>
      <w:r>
        <w:rPr>
          <w:rFonts w:hint="eastAsia" w:ascii="宋体" w:hAnsi="宋体" w:eastAsia="宋体" w:cs="宋体"/>
          <w:color w:val="auto"/>
          <w:sz w:val="24"/>
          <w:szCs w:val="24"/>
        </w:rPr>
        <w:t>未经采购人同意不得随意更换。所有人员要求年龄为18周岁至60周岁之间，要求为男性。</w:t>
      </w:r>
      <w:r>
        <w:rPr>
          <w:rFonts w:hint="eastAsia" w:ascii="宋体" w:hAnsi="宋体" w:eastAsia="宋体" w:cs="宋体"/>
          <w:b w:val="0"/>
          <w:bCs w:val="0"/>
          <w:color w:val="auto"/>
          <w:sz w:val="24"/>
          <w:szCs w:val="24"/>
          <w:lang w:val="en-US" w:eastAsia="zh-CN"/>
        </w:rPr>
        <w:t>由采购人决定上岗时间、工作内容，其实际在岗时间、人数不定，按实际在岗时间、人数进行结算。</w:t>
      </w:r>
    </w:p>
    <w:p w14:paraId="0110AD3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11、违规处罚</w:t>
      </w:r>
    </w:p>
    <w:p w14:paraId="4BB6048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11.1如服务人员有违规行为的情况，扣除当次总服务费的50%；</w:t>
      </w:r>
    </w:p>
    <w:p w14:paraId="07CD5A5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11.2如服务人员未穿着佩戴安全帽等相关安全保护装束，扣除违规人员当次服务费的30%；</w:t>
      </w:r>
    </w:p>
    <w:p w14:paraId="5FE7912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11.3如安保人员未穿着统一的保安制服或穿着制服衣冠不整，扣除违规人员当次服务费的30%；</w:t>
      </w:r>
    </w:p>
    <w:p w14:paraId="6F64449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11.4如服务人员存在偷懒、消极怠工等情况，扣除违规人员当次服务费的30%；</w:t>
      </w:r>
    </w:p>
    <w:p w14:paraId="568FA5A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11.5如服务人员未在指定时间到达指定地点，扣除违规人员当次服务费的50%；</w:t>
      </w:r>
    </w:p>
    <w:p w14:paraId="2C7E29A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11.6如未按招标人要求的人数指派服务人员及车辆的，根据具体违规情况，扣除当次服务费的20~100%；</w:t>
      </w:r>
    </w:p>
    <w:p w14:paraId="452888C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11.7如出现违法违规等行动的，招标人有权终止合同并没收履约保证金；</w:t>
      </w:r>
    </w:p>
    <w:p w14:paraId="326D61D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11.8如出现包括但不限于以上的行为，引起恶劣社会影响的，招标人有权终止合同并没收履约保证金。</w:t>
      </w:r>
    </w:p>
    <w:p w14:paraId="4B537E5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rPr>
      </w:pPr>
      <w:r>
        <w:rPr>
          <w:rFonts w:hint="eastAsia" w:ascii="宋体" w:hAnsi="宋体" w:cs="宋体"/>
          <w:color w:val="auto"/>
          <w:sz w:val="24"/>
          <w:szCs w:val="24"/>
          <w:lang w:val="en-US" w:eastAsia="zh-CN"/>
        </w:rPr>
        <w:t>11.9如磋商供应商中标本项目，发现拟派人员为非本单位人员或签订合同后现场服务人员非磋商时承诺的人员，将视为弄虚作假，没收履约保证金，并解除合同。</w:t>
      </w:r>
    </w:p>
    <w:p w14:paraId="3D362A1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12、签定</w:t>
      </w:r>
      <w:r>
        <w:rPr>
          <w:rFonts w:hint="eastAsia" w:ascii="宋体" w:hAnsi="宋体" w:eastAsia="宋体" w:cs="宋体"/>
          <w:color w:val="auto"/>
          <w:sz w:val="24"/>
          <w:szCs w:val="24"/>
          <w:highlight w:val="none"/>
        </w:rPr>
        <w:t>合同前，中标供应商须向采购</w:t>
      </w:r>
      <w:r>
        <w:rPr>
          <w:rFonts w:hint="eastAsia" w:ascii="宋体" w:hAnsi="宋体" w:eastAsia="宋体" w:cs="宋体"/>
          <w:color w:val="auto"/>
          <w:sz w:val="24"/>
          <w:szCs w:val="24"/>
        </w:rPr>
        <w:t>人支付暂定合同价的5%作为履约保证金，中标供应商未按规定提交履约保证金则招标人有权拒签合同。</w:t>
      </w:r>
    </w:p>
    <w:p w14:paraId="69A108C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13、响应时间：接到招标人通知后在半小时内作出响应，并在指定时间达到指定地点。</w:t>
      </w:r>
    </w:p>
    <w:p w14:paraId="109534B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14、签到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"http://www.ahsrst.cn/a/xinchouzhidu/" \t "http://www.ahsrst.cn/a/201601/_blank"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制度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：本项目所需服务人员须在指定时间前，达到指定地点并自觉签到，不许他人代签，由采购人相关人员确认为准。</w:t>
      </w:r>
    </w:p>
    <w:p w14:paraId="1C130088">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15、费用核对：每月服务结束，由中标供应商根据实际服务内容，按中标单价计算服务费用，并交由招标人核对。</w:t>
      </w:r>
    </w:p>
    <w:p w14:paraId="6E4F2BFC">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16、供应商应于次月15日前将当月所有采购人确认的签到表、发票交由采购人，未于次月的15日前提交发票的，自动转为下月结算。采购人收到完整的资料后，10个工作日内支付。</w:t>
      </w:r>
    </w:p>
    <w:p w14:paraId="334868E5">
      <w:pPr>
        <w:keepNext w:val="0"/>
        <w:keepLines w:val="0"/>
        <w:pageBreakBefore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17、▲合同签定生效后，以合同确定的综合单价为最终合同单价，按</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付费，即每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服务结束后的次月招标人向中标供应商付清</w:t>
      </w:r>
      <w:r>
        <w:rPr>
          <w:rFonts w:hint="eastAsia" w:ascii="宋体" w:hAnsi="宋体" w:eastAsia="宋体" w:cs="宋体"/>
          <w:color w:val="auto"/>
          <w:sz w:val="24"/>
          <w:szCs w:val="24"/>
          <w:lang w:val="en-US" w:eastAsia="zh-CN"/>
        </w:rPr>
        <w:t>上</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服务费（中标供应商必须开具正式税务发票）。服务合同履行终止且所有义务已履行完毕后10个工作日内退还履约保证金（无息）</w:t>
      </w:r>
      <w:r>
        <w:rPr>
          <w:rFonts w:hint="eastAsia" w:ascii="宋体" w:hAnsi="宋体" w:eastAsia="宋体" w:cs="宋体"/>
          <w:color w:val="auto"/>
          <w:sz w:val="24"/>
          <w:szCs w:val="24"/>
          <w:lang w:eastAsia="zh-CN"/>
        </w:rPr>
        <w:t>。</w:t>
      </w:r>
    </w:p>
    <w:p w14:paraId="0440699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67C7436A">
      <w:pPr>
        <w:pStyle w:val="4"/>
        <w:jc w:val="center"/>
        <w:rPr>
          <w:rFonts w:ascii="宋体" w:hAnsi="宋体"/>
          <w:color w:val="auto"/>
          <w:sz w:val="36"/>
          <w:szCs w:val="36"/>
          <w:highlight w:val="none"/>
        </w:rPr>
      </w:pPr>
      <w:r>
        <w:rPr>
          <w:rFonts w:hint="eastAsia" w:ascii="宋体" w:hAnsi="宋体"/>
          <w:color w:val="auto"/>
          <w:sz w:val="36"/>
          <w:szCs w:val="36"/>
          <w:highlight w:val="none"/>
        </w:rPr>
        <w:t>第五章　政府采购合同主要条款</w:t>
      </w:r>
    </w:p>
    <w:p w14:paraId="6B26E5B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（此稿为合同样本，最终定稿待双方协商后定）</w:t>
      </w:r>
    </w:p>
    <w:p w14:paraId="04B9FDC0">
      <w:pPr>
        <w:spacing w:line="360" w:lineRule="auto"/>
        <w:jc w:val="left"/>
        <w:rPr>
          <w:rFonts w:hint="eastAsia" w:ascii="宋体" w:hAnsi="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路北街道2025年零星安保服务采购项目</w:t>
      </w:r>
    </w:p>
    <w:p w14:paraId="7E1A06FF">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ZJZL-2025-001</w:t>
      </w:r>
    </w:p>
    <w:p w14:paraId="72A5059C">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甲方（采购人）：</w:t>
      </w:r>
      <w:r>
        <w:rPr>
          <w:rFonts w:hint="eastAsia" w:ascii="宋体" w:hAnsi="宋体" w:cs="宋体"/>
          <w:color w:val="auto"/>
          <w:sz w:val="24"/>
          <w:szCs w:val="24"/>
          <w:u w:val="single"/>
          <w:lang w:eastAsia="zh-CN"/>
        </w:rPr>
        <w:t>台州市路桥区人民政府路北街道办事处</w:t>
      </w:r>
    </w:p>
    <w:p w14:paraId="24A5633A">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乙方（供应商）：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272591E3">
      <w:pPr>
        <w:keepNext w:val="0"/>
        <w:keepLines w:val="0"/>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cs="宋体"/>
          <w:b/>
          <w:bCs/>
          <w:color w:val="auto"/>
          <w:sz w:val="24"/>
          <w:szCs w:val="24"/>
          <w:lang w:val="zh-CN"/>
        </w:rPr>
        <w:t>浙江筑脸全过程工程咨询有限公司</w:t>
      </w:r>
      <w:r>
        <w:rPr>
          <w:rFonts w:hint="eastAsia" w:ascii="宋体" w:hAnsi="宋体" w:eastAsia="宋体" w:cs="宋体"/>
          <w:color w:val="auto"/>
          <w:sz w:val="24"/>
          <w:szCs w:val="24"/>
          <w:lang w:val="zh-CN"/>
        </w:rPr>
        <w:t>关于</w:t>
      </w:r>
      <w:r>
        <w:rPr>
          <w:rFonts w:hint="eastAsia" w:ascii="宋体" w:hAnsi="宋体" w:cs="宋体"/>
          <w:b/>
          <w:bCs/>
          <w:color w:val="auto"/>
          <w:sz w:val="24"/>
          <w:szCs w:val="24"/>
          <w:u w:val="single"/>
          <w:lang w:val="zh-CN"/>
        </w:rPr>
        <w:t>路北街道2025年零星安保服务采购项目</w:t>
      </w:r>
      <w:r>
        <w:rPr>
          <w:rFonts w:hint="eastAsia" w:ascii="宋体" w:hAnsi="宋体" w:eastAsia="宋体" w:cs="宋体"/>
          <w:color w:val="auto"/>
          <w:sz w:val="24"/>
          <w:szCs w:val="24"/>
          <w:lang w:val="zh-CN"/>
        </w:rPr>
        <w:t>（编号为</w:t>
      </w:r>
      <w:r>
        <w:rPr>
          <w:rFonts w:hint="eastAsia" w:ascii="宋体" w:hAnsi="宋体" w:cs="宋体"/>
          <w:b/>
          <w:bCs/>
          <w:color w:val="auto"/>
          <w:sz w:val="24"/>
          <w:szCs w:val="24"/>
          <w:u w:val="single"/>
          <w:lang w:eastAsia="zh-CN"/>
        </w:rPr>
        <w:t>ZJZL-2025-001</w:t>
      </w:r>
      <w:r>
        <w:rPr>
          <w:rFonts w:hint="eastAsia" w:ascii="宋体" w:hAnsi="宋体" w:eastAsia="宋体" w:cs="宋体"/>
          <w:color w:val="auto"/>
          <w:sz w:val="24"/>
          <w:szCs w:val="24"/>
          <w:lang w:val="zh-CN"/>
        </w:rPr>
        <w:t>）公开招标的结果，签署本合同。</w:t>
      </w:r>
    </w:p>
    <w:p w14:paraId="6A27A1CC">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一、合同范围 </w:t>
      </w:r>
    </w:p>
    <w:p w14:paraId="0949A8E6">
      <w:pPr>
        <w:pStyle w:val="14"/>
        <w:keepNext w:val="0"/>
        <w:keepLines w:val="0"/>
        <w:pageBreakBefore w:val="0"/>
        <w:kinsoku w:val="0"/>
        <w:wordWrap/>
        <w:overflowPunct w:val="0"/>
        <w:topLinePunct w:val="0"/>
        <w:bidi w:val="0"/>
        <w:adjustRightInd w:val="0"/>
        <w:snapToGrid w:val="0"/>
        <w:spacing w:line="360" w:lineRule="auto"/>
        <w:ind w:right="26" w:firstLine="468"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pacing w:val="-3"/>
          <w:sz w:val="24"/>
          <w:szCs w:val="24"/>
          <w:lang w:val="en-US"/>
        </w:rPr>
        <w:t>1、</w:t>
      </w:r>
      <w:r>
        <w:rPr>
          <w:rFonts w:hint="eastAsia" w:ascii="宋体" w:hAnsi="宋体" w:eastAsia="宋体" w:cs="宋体"/>
          <w:color w:val="auto"/>
          <w:spacing w:val="-3"/>
          <w:sz w:val="24"/>
          <w:szCs w:val="24"/>
        </w:rPr>
        <w:t>服务项目：</w:t>
      </w:r>
      <w:r>
        <w:rPr>
          <w:rFonts w:hint="eastAsia" w:ascii="宋体" w:hAnsi="宋体" w:cs="宋体"/>
          <w:color w:val="auto"/>
          <w:sz w:val="24"/>
          <w:szCs w:val="24"/>
          <w:u w:val="single"/>
          <w:lang w:eastAsia="zh-CN"/>
        </w:rPr>
        <w:t>路北街道2025年零星安保服务采购项目</w:t>
      </w:r>
      <w:r>
        <w:rPr>
          <w:rFonts w:hint="eastAsia" w:ascii="宋体" w:hAnsi="宋体" w:eastAsia="宋体" w:cs="宋体"/>
          <w:color w:val="auto"/>
          <w:sz w:val="24"/>
          <w:szCs w:val="24"/>
        </w:rPr>
        <w:t>，</w:t>
      </w:r>
    </w:p>
    <w:p w14:paraId="792BAC11">
      <w:pPr>
        <w:pStyle w:val="14"/>
        <w:keepNext w:val="0"/>
        <w:keepLines w:val="0"/>
        <w:pageBreakBefore w:val="0"/>
        <w:kinsoku w:val="0"/>
        <w:wordWrap/>
        <w:overflowPunct w:val="0"/>
        <w:topLinePunct w:val="0"/>
        <w:bidi w:val="0"/>
        <w:adjustRightInd w:val="0"/>
        <w:snapToGrid w:val="0"/>
        <w:spacing w:line="360" w:lineRule="auto"/>
        <w:ind w:right="26"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pacing w:val="-3"/>
          <w:sz w:val="24"/>
          <w:szCs w:val="24"/>
        </w:rPr>
        <w:t>服务</w:t>
      </w:r>
      <w:r>
        <w:rPr>
          <w:rFonts w:hint="eastAsia" w:ascii="宋体" w:hAnsi="宋体" w:eastAsia="宋体" w:cs="宋体"/>
          <w:color w:val="auto"/>
          <w:sz w:val="24"/>
          <w:szCs w:val="24"/>
          <w:lang w:val="en-US"/>
        </w:rPr>
        <w:t>范围包括：</w:t>
      </w:r>
      <w:r>
        <w:rPr>
          <w:rFonts w:hint="eastAsia" w:ascii="宋体" w:hAnsi="宋体" w:eastAsia="宋体" w:cs="宋体"/>
          <w:color w:val="auto"/>
          <w:sz w:val="24"/>
          <w:szCs w:val="24"/>
          <w:u w:val="single"/>
          <w:lang w:val="en-US" w:eastAsia="zh-CN"/>
        </w:rPr>
        <w:t>乙方</w:t>
      </w:r>
      <w:r>
        <w:rPr>
          <w:rFonts w:hint="eastAsia" w:ascii="宋体" w:hAnsi="宋体" w:eastAsia="宋体" w:cs="宋体"/>
          <w:color w:val="auto"/>
          <w:sz w:val="24"/>
          <w:szCs w:val="24"/>
          <w:u w:val="single"/>
          <w:lang w:val="en-US"/>
        </w:rPr>
        <w:t>主要提</w:t>
      </w:r>
      <w:r>
        <w:rPr>
          <w:rFonts w:hint="eastAsia" w:ascii="宋体" w:hAnsi="宋体" w:cs="宋体"/>
          <w:color w:val="auto"/>
          <w:sz w:val="24"/>
          <w:szCs w:val="24"/>
          <w:u w:val="single"/>
          <w:lang w:val="en-US" w:eastAsia="zh-CN"/>
        </w:rPr>
        <w:t>供</w:t>
      </w:r>
      <w:r>
        <w:rPr>
          <w:rFonts w:hint="eastAsia" w:ascii="宋体" w:hAnsi="宋体" w:cs="宋体"/>
          <w:b/>
          <w:bCs/>
          <w:color w:val="auto"/>
          <w:sz w:val="24"/>
          <w:szCs w:val="24"/>
          <w:u w:val="single"/>
          <w:lang w:val="zh-CN"/>
        </w:rPr>
        <w:t>路北街道202</w:t>
      </w:r>
      <w:r>
        <w:rPr>
          <w:rFonts w:hint="eastAsia" w:ascii="宋体" w:hAnsi="宋体" w:cs="宋体"/>
          <w:b/>
          <w:bCs/>
          <w:color w:val="auto"/>
          <w:sz w:val="24"/>
          <w:szCs w:val="24"/>
          <w:u w:val="single"/>
          <w:lang w:val="en-US" w:eastAsia="zh-CN"/>
        </w:rPr>
        <w:t>5</w:t>
      </w:r>
      <w:r>
        <w:rPr>
          <w:rFonts w:hint="eastAsia" w:ascii="宋体" w:hAnsi="宋体" w:cs="宋体"/>
          <w:b/>
          <w:bCs/>
          <w:color w:val="auto"/>
          <w:sz w:val="24"/>
          <w:szCs w:val="24"/>
          <w:u w:val="single"/>
          <w:lang w:val="zh-CN"/>
        </w:rPr>
        <w:t>-202</w:t>
      </w:r>
      <w:r>
        <w:rPr>
          <w:rFonts w:hint="eastAsia" w:ascii="宋体" w:hAnsi="宋体" w:cs="宋体"/>
          <w:b/>
          <w:bCs/>
          <w:color w:val="auto"/>
          <w:sz w:val="24"/>
          <w:szCs w:val="24"/>
          <w:u w:val="single"/>
          <w:lang w:val="en-US" w:eastAsia="zh-CN"/>
        </w:rPr>
        <w:t>6</w:t>
      </w:r>
      <w:r>
        <w:rPr>
          <w:rFonts w:hint="eastAsia" w:ascii="宋体" w:hAnsi="宋体" w:cs="宋体"/>
          <w:b/>
          <w:bCs/>
          <w:color w:val="auto"/>
          <w:sz w:val="24"/>
          <w:szCs w:val="24"/>
          <w:u w:val="single"/>
          <w:lang w:val="zh-CN"/>
        </w:rPr>
        <w:t>年零星安保服务</w:t>
      </w:r>
      <w:r>
        <w:rPr>
          <w:rFonts w:hint="eastAsia" w:ascii="宋体" w:hAnsi="宋体" w:eastAsia="宋体" w:cs="宋体"/>
          <w:color w:val="auto"/>
          <w:sz w:val="24"/>
          <w:szCs w:val="24"/>
          <w:u w:val="single"/>
          <w:lang w:val="en-US"/>
        </w:rPr>
        <w:t>，具体服务内容以</w:t>
      </w:r>
      <w:r>
        <w:rPr>
          <w:rFonts w:hint="eastAsia" w:ascii="宋体" w:hAnsi="宋体" w:eastAsia="宋体" w:cs="宋体"/>
          <w:color w:val="auto"/>
          <w:sz w:val="24"/>
          <w:szCs w:val="24"/>
          <w:u w:val="single"/>
          <w:lang w:val="en-US" w:eastAsia="zh-CN"/>
        </w:rPr>
        <w:t>甲方</w:t>
      </w:r>
      <w:r>
        <w:rPr>
          <w:rFonts w:hint="eastAsia" w:ascii="宋体" w:hAnsi="宋体" w:eastAsia="宋体" w:cs="宋体"/>
          <w:color w:val="auto"/>
          <w:sz w:val="24"/>
          <w:szCs w:val="24"/>
          <w:u w:val="single"/>
          <w:lang w:val="en-US"/>
        </w:rPr>
        <w:t>确定为准。</w:t>
      </w:r>
    </w:p>
    <w:p w14:paraId="00F8D2F1">
      <w:pPr>
        <w:pStyle w:val="14"/>
        <w:keepNext w:val="0"/>
        <w:keepLines w:val="0"/>
        <w:pageBreakBefore w:val="0"/>
        <w:kinsoku w:val="0"/>
        <w:wordWrap/>
        <w:overflowPunct w:val="0"/>
        <w:topLinePunct w:val="0"/>
        <w:bidi w:val="0"/>
        <w:adjustRightInd w:val="0"/>
        <w:snapToGrid w:val="0"/>
        <w:spacing w:line="360" w:lineRule="auto"/>
        <w:ind w:right="26"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rPr>
        <w:t>3、服务地点：</w:t>
      </w:r>
      <w:r>
        <w:rPr>
          <w:rFonts w:hint="eastAsia" w:ascii="宋体" w:hAnsi="宋体" w:eastAsia="宋体" w:cs="宋体"/>
          <w:color w:val="auto"/>
          <w:sz w:val="24"/>
          <w:szCs w:val="24"/>
          <w:u w:val="single"/>
        </w:rPr>
        <w:t>路桥区</w:t>
      </w:r>
    </w:p>
    <w:p w14:paraId="41D10604">
      <w:pPr>
        <w:pStyle w:val="14"/>
        <w:keepNext w:val="0"/>
        <w:keepLines w:val="0"/>
        <w:pageBreakBefore w:val="0"/>
        <w:kinsoku w:val="0"/>
        <w:wordWrap/>
        <w:overflowPunct w:val="0"/>
        <w:topLinePunct w:val="0"/>
        <w:bidi w:val="0"/>
        <w:adjustRightInd w:val="0"/>
        <w:snapToGrid w:val="0"/>
        <w:spacing w:line="360" w:lineRule="auto"/>
        <w:ind w:right="26"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4、服务要求：</w:t>
      </w:r>
      <w:r>
        <w:rPr>
          <w:rFonts w:hint="eastAsia" w:ascii="宋体" w:hAnsi="宋体" w:eastAsia="宋体" w:cs="宋体"/>
          <w:color w:val="auto"/>
          <w:sz w:val="24"/>
          <w:szCs w:val="24"/>
          <w:u w:val="single"/>
          <w:lang w:val="en-US"/>
        </w:rPr>
        <w:t>详见招标文件采购需求</w:t>
      </w:r>
    </w:p>
    <w:p w14:paraId="02F0A909">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二、服务期限：</w:t>
      </w:r>
      <w:r>
        <w:rPr>
          <w:rFonts w:hint="eastAsia" w:ascii="宋体" w:hAnsi="宋体" w:cs="宋体"/>
          <w:color w:val="auto"/>
          <w:sz w:val="24"/>
          <w:szCs w:val="24"/>
          <w:u w:val="single"/>
          <w:lang w:val="en-US" w:eastAsia="zh-CN"/>
        </w:rPr>
        <w:t>12个月，自    年   月   日起至    年   月   日止。</w:t>
      </w:r>
    </w:p>
    <w:p w14:paraId="55B39FEC">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三、合同金额</w:t>
      </w:r>
    </w:p>
    <w:p w14:paraId="04EC14DA">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1、本项目合同价格为：</w:t>
      </w:r>
      <w:r>
        <w:rPr>
          <w:rFonts w:hint="eastAsia" w:ascii="宋体" w:hAnsi="宋体" w:eastAsia="宋体" w:cs="宋体"/>
          <w:bCs/>
          <w:color w:val="auto"/>
          <w:sz w:val="24"/>
          <w:szCs w:val="24"/>
        </w:rPr>
        <w:t>合同价（暂定）：</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元</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大</w:t>
      </w:r>
      <w:r>
        <w:rPr>
          <w:rFonts w:hint="eastAsia" w:ascii="宋体" w:hAnsi="宋体" w:eastAsia="宋体" w:cs="宋体"/>
          <w:bCs/>
          <w:color w:val="auto"/>
          <w:sz w:val="24"/>
          <w:szCs w:val="24"/>
          <w:lang w:val="en-US" w:eastAsia="zh-CN"/>
        </w:rPr>
        <w:t>写</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14:paraId="0DDD3554">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2、合同单价：</w:t>
      </w:r>
    </w:p>
    <w:tbl>
      <w:tblPr>
        <w:tblStyle w:val="29"/>
        <w:tblW w:w="9137" w:type="dxa"/>
        <w:jc w:val="center"/>
        <w:tblLayout w:type="fixed"/>
        <w:tblCellMar>
          <w:top w:w="0" w:type="dxa"/>
          <w:left w:w="108" w:type="dxa"/>
          <w:bottom w:w="0" w:type="dxa"/>
          <w:right w:w="108" w:type="dxa"/>
        </w:tblCellMar>
      </w:tblPr>
      <w:tblGrid>
        <w:gridCol w:w="1135"/>
        <w:gridCol w:w="2951"/>
        <w:gridCol w:w="1983"/>
        <w:gridCol w:w="1266"/>
        <w:gridCol w:w="1802"/>
      </w:tblGrid>
      <w:tr w14:paraId="4C7D63BB">
        <w:tblPrEx>
          <w:tblCellMar>
            <w:top w:w="0" w:type="dxa"/>
            <w:left w:w="108" w:type="dxa"/>
            <w:bottom w:w="0" w:type="dxa"/>
            <w:right w:w="108" w:type="dxa"/>
          </w:tblCellMar>
        </w:tblPrEx>
        <w:trPr>
          <w:trHeight w:val="61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F181CF8">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2951" w:type="dxa"/>
            <w:tcBorders>
              <w:top w:val="single" w:color="auto" w:sz="4" w:space="0"/>
              <w:left w:val="nil"/>
              <w:bottom w:val="single" w:color="auto" w:sz="4" w:space="0"/>
              <w:right w:val="single" w:color="auto" w:sz="4" w:space="0"/>
            </w:tcBorders>
            <w:vAlign w:val="center"/>
          </w:tcPr>
          <w:p w14:paraId="262D4F10">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项目名称</w:t>
            </w:r>
          </w:p>
        </w:tc>
        <w:tc>
          <w:tcPr>
            <w:tcW w:w="1983" w:type="dxa"/>
            <w:tcBorders>
              <w:top w:val="single" w:color="auto" w:sz="4" w:space="0"/>
              <w:left w:val="nil"/>
              <w:bottom w:val="single" w:color="auto" w:sz="4" w:space="0"/>
              <w:right w:val="single" w:color="auto" w:sz="4" w:space="0"/>
            </w:tcBorders>
            <w:vAlign w:val="center"/>
          </w:tcPr>
          <w:p w14:paraId="6625EE4C">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中标单价</w:t>
            </w:r>
          </w:p>
        </w:tc>
        <w:tc>
          <w:tcPr>
            <w:tcW w:w="1266" w:type="dxa"/>
            <w:tcBorders>
              <w:top w:val="single" w:color="auto" w:sz="4" w:space="0"/>
              <w:left w:val="nil"/>
              <w:bottom w:val="single" w:color="auto" w:sz="4" w:space="0"/>
              <w:right w:val="single" w:color="auto" w:sz="4" w:space="0"/>
            </w:tcBorders>
            <w:vAlign w:val="center"/>
          </w:tcPr>
          <w:p w14:paraId="68820121">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暂定数量</w:t>
            </w:r>
          </w:p>
        </w:tc>
        <w:tc>
          <w:tcPr>
            <w:tcW w:w="1802" w:type="dxa"/>
            <w:tcBorders>
              <w:top w:val="single" w:color="auto" w:sz="4" w:space="0"/>
              <w:left w:val="nil"/>
              <w:bottom w:val="single" w:color="auto" w:sz="4" w:space="0"/>
              <w:right w:val="single" w:color="auto" w:sz="4" w:space="0"/>
            </w:tcBorders>
            <w:vAlign w:val="center"/>
          </w:tcPr>
          <w:p w14:paraId="1C4FC394">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4F6BC340">
        <w:tblPrEx>
          <w:tblCellMar>
            <w:top w:w="0" w:type="dxa"/>
            <w:left w:w="108" w:type="dxa"/>
            <w:bottom w:w="0" w:type="dxa"/>
            <w:right w:w="108" w:type="dxa"/>
          </w:tblCellMar>
        </w:tblPrEx>
        <w:trPr>
          <w:trHeight w:val="61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87F0038">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51" w:type="dxa"/>
            <w:tcBorders>
              <w:top w:val="single" w:color="auto" w:sz="4" w:space="0"/>
              <w:left w:val="nil"/>
              <w:bottom w:val="single" w:color="auto" w:sz="4" w:space="0"/>
              <w:right w:val="single" w:color="auto" w:sz="4" w:space="0"/>
            </w:tcBorders>
            <w:vAlign w:val="center"/>
          </w:tcPr>
          <w:p w14:paraId="1881B79E">
            <w:pPr>
              <w:keepNext w:val="0"/>
              <w:keepLines w:val="0"/>
              <w:pageBreakBefore w:val="0"/>
              <w:wordWrap/>
              <w:topLinePunct w:val="0"/>
              <w:bidi w:val="0"/>
              <w:adjustRightInd w:val="0"/>
              <w:snapToGrid w:val="0"/>
              <w:spacing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保安（</w:t>
            </w:r>
            <w:r>
              <w:rPr>
                <w:rFonts w:hint="eastAsia" w:ascii="宋体" w:hAnsi="宋体" w:cs="宋体"/>
                <w:color w:val="auto"/>
                <w:kern w:val="0"/>
                <w:sz w:val="24"/>
                <w:szCs w:val="24"/>
                <w:lang w:eastAsia="zh-CN"/>
              </w:rPr>
              <w:t>班</w:t>
            </w:r>
            <w:r>
              <w:rPr>
                <w:rFonts w:hint="eastAsia" w:ascii="宋体" w:hAnsi="宋体" w:eastAsia="宋体" w:cs="宋体"/>
                <w:color w:val="auto"/>
                <w:kern w:val="0"/>
                <w:sz w:val="24"/>
                <w:szCs w:val="24"/>
              </w:rPr>
              <w:t>/人）</w:t>
            </w:r>
          </w:p>
        </w:tc>
        <w:tc>
          <w:tcPr>
            <w:tcW w:w="1983" w:type="dxa"/>
            <w:tcBorders>
              <w:top w:val="single" w:color="auto" w:sz="4" w:space="0"/>
              <w:left w:val="nil"/>
              <w:bottom w:val="single" w:color="auto" w:sz="4" w:space="0"/>
              <w:right w:val="single" w:color="auto" w:sz="4" w:space="0"/>
            </w:tcBorders>
            <w:vAlign w:val="center"/>
          </w:tcPr>
          <w:p w14:paraId="6FCA038E">
            <w:pPr>
              <w:keepNext w:val="0"/>
              <w:keepLines w:val="0"/>
              <w:pageBreakBefore w:val="0"/>
              <w:wordWrap/>
              <w:topLinePunct w:val="0"/>
              <w:bidi w:val="0"/>
              <w:adjustRightInd w:val="0"/>
              <w:snapToGrid w:val="0"/>
              <w:spacing w:line="24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元/人/</w:t>
            </w:r>
            <w:r>
              <w:rPr>
                <w:rFonts w:hint="eastAsia" w:ascii="宋体" w:hAnsi="宋体" w:cs="宋体"/>
                <w:color w:val="auto"/>
                <w:kern w:val="0"/>
                <w:sz w:val="24"/>
                <w:szCs w:val="24"/>
                <w:lang w:eastAsia="zh-CN"/>
              </w:rPr>
              <w:t>班</w:t>
            </w:r>
          </w:p>
        </w:tc>
        <w:tc>
          <w:tcPr>
            <w:tcW w:w="1266" w:type="dxa"/>
            <w:tcBorders>
              <w:top w:val="single" w:color="auto" w:sz="4" w:space="0"/>
              <w:left w:val="nil"/>
              <w:bottom w:val="single" w:color="auto" w:sz="4" w:space="0"/>
              <w:right w:val="single" w:color="auto" w:sz="4" w:space="0"/>
            </w:tcBorders>
            <w:vAlign w:val="center"/>
          </w:tcPr>
          <w:p w14:paraId="6ABF353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8800人班</w:t>
            </w:r>
          </w:p>
        </w:tc>
        <w:tc>
          <w:tcPr>
            <w:tcW w:w="1802" w:type="dxa"/>
            <w:tcBorders>
              <w:top w:val="single" w:color="auto" w:sz="4" w:space="0"/>
              <w:left w:val="nil"/>
              <w:bottom w:val="single" w:color="auto" w:sz="4" w:space="0"/>
              <w:right w:val="single" w:color="auto" w:sz="4" w:space="0"/>
            </w:tcBorders>
            <w:vAlign w:val="center"/>
          </w:tcPr>
          <w:p w14:paraId="5B95D606">
            <w:pPr>
              <w:keepNext w:val="0"/>
              <w:keepLines w:val="0"/>
              <w:pageBreakBefore w:val="0"/>
              <w:widowControl/>
              <w:wordWrap/>
              <w:topLinePunct w:val="0"/>
              <w:bidi w:val="0"/>
              <w:adjustRightInd w:val="0"/>
              <w:snapToGrid w:val="0"/>
              <w:spacing w:line="240" w:lineRule="auto"/>
              <w:jc w:val="center"/>
              <w:textAlignment w:val="auto"/>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8小时为1班</w:t>
            </w:r>
          </w:p>
        </w:tc>
      </w:tr>
    </w:tbl>
    <w:p w14:paraId="039BCB68">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3、本项目实行固定综合单价方式进行结算，乙方的中标供应商的中标单价一次性包干，实际服务人数按实结算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如本项目在实施过程中，合同</w:t>
      </w:r>
      <w:r>
        <w:rPr>
          <w:rFonts w:hint="eastAsia" w:ascii="宋体" w:hAnsi="宋体" w:eastAsia="宋体" w:cs="宋体"/>
          <w:color w:val="auto"/>
          <w:sz w:val="24"/>
          <w:szCs w:val="24"/>
          <w:lang w:val="en-US" w:eastAsia="zh-CN"/>
        </w:rPr>
        <w:t>期</w:t>
      </w:r>
      <w:r>
        <w:rPr>
          <w:rFonts w:hint="eastAsia" w:ascii="宋体" w:hAnsi="宋体" w:eastAsia="宋体" w:cs="宋体"/>
          <w:color w:val="auto"/>
          <w:sz w:val="24"/>
          <w:szCs w:val="24"/>
        </w:rPr>
        <w:t>未到，但结算总价超过</w:t>
      </w:r>
      <w:r>
        <w:rPr>
          <w:rFonts w:hint="eastAsia" w:ascii="宋体" w:hAnsi="宋体" w:cs="宋体"/>
          <w:color w:val="auto"/>
          <w:sz w:val="24"/>
          <w:szCs w:val="24"/>
          <w:lang w:val="en-US" w:eastAsia="zh-CN"/>
        </w:rPr>
        <w:t>220万</w:t>
      </w:r>
      <w:r>
        <w:rPr>
          <w:rFonts w:hint="eastAsia" w:ascii="宋体" w:hAnsi="宋体" w:eastAsia="宋体" w:cs="宋体"/>
          <w:color w:val="auto"/>
          <w:sz w:val="24"/>
          <w:szCs w:val="24"/>
        </w:rPr>
        <w:t>元的，甲方有权</w:t>
      </w:r>
      <w:r>
        <w:rPr>
          <w:rFonts w:hint="eastAsia" w:ascii="宋体" w:hAnsi="宋体" w:eastAsia="宋体" w:cs="宋体"/>
          <w:color w:val="auto"/>
          <w:sz w:val="24"/>
          <w:szCs w:val="24"/>
          <w:lang w:val="en-US" w:eastAsia="zh-CN"/>
        </w:rPr>
        <w:t>中止</w:t>
      </w:r>
      <w:r>
        <w:rPr>
          <w:rFonts w:hint="eastAsia" w:ascii="宋体" w:hAnsi="宋体" w:eastAsia="宋体" w:cs="宋体"/>
          <w:color w:val="auto"/>
          <w:sz w:val="24"/>
          <w:szCs w:val="24"/>
        </w:rPr>
        <w:t>合同；</w:t>
      </w:r>
    </w:p>
    <w:p w14:paraId="327E6866">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4、合同履行期间，不因政策性调整、物价涨跌等任何因素调整合同单价价格；</w:t>
      </w:r>
    </w:p>
    <w:p w14:paraId="544148B3">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5、乙方的报价应为承包完成本次项目需完成全部工作所发生的所有费用（含税），并承担一切风险责任。餐饮</w:t>
      </w:r>
      <w:r>
        <w:rPr>
          <w:rFonts w:hint="eastAsia" w:ascii="宋体" w:hAnsi="宋体" w:cs="宋体"/>
          <w:color w:val="auto"/>
          <w:sz w:val="24"/>
          <w:szCs w:val="24"/>
          <w:lang w:eastAsia="zh-CN"/>
        </w:rPr>
        <w:t>、交通费</w:t>
      </w:r>
      <w:r>
        <w:rPr>
          <w:rFonts w:hint="eastAsia" w:ascii="宋体" w:hAnsi="宋体" w:eastAsia="宋体" w:cs="宋体"/>
          <w:color w:val="auto"/>
          <w:sz w:val="24"/>
          <w:szCs w:val="24"/>
        </w:rPr>
        <w:t>、特殊时间段和夜班费及由此产生的服务风险、责任已包含在</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的报价中，不再另行增加；</w:t>
      </w:r>
    </w:p>
    <w:p w14:paraId="63E76E88">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6、人员服务费计算方式：</w:t>
      </w:r>
    </w:p>
    <w:p w14:paraId="393868BA">
      <w:pPr>
        <w:pStyle w:val="27"/>
        <w:ind w:firstLine="482" w:firstLineChars="200"/>
        <w:jc w:val="both"/>
        <w:rPr>
          <w:rFonts w:hint="default" w:eastAsia="宋体"/>
          <w:color w:val="auto"/>
          <w:lang w:val="en-US" w:eastAsia="zh-CN"/>
        </w:rPr>
      </w:pPr>
      <w:r>
        <w:rPr>
          <w:rFonts w:hint="eastAsia" w:ascii="宋体" w:hAnsi="宋体" w:eastAsia="宋体" w:cs="宋体"/>
          <w:color w:val="auto"/>
          <w:sz w:val="24"/>
          <w:szCs w:val="24"/>
          <w:lang w:val="en-US" w:eastAsia="zh-CN"/>
        </w:rPr>
        <w:t>6.1本项目为零星保安，每8个小时/班</w:t>
      </w:r>
    </w:p>
    <w:p w14:paraId="06223E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当日服务时间小于等于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个小时的按半</w:t>
      </w:r>
      <w:r>
        <w:rPr>
          <w:rFonts w:hint="eastAsia" w:ascii="宋体" w:hAnsi="宋体" w:cs="宋体"/>
          <w:color w:val="auto"/>
          <w:sz w:val="24"/>
          <w:szCs w:val="24"/>
          <w:lang w:eastAsia="zh-CN"/>
        </w:rPr>
        <w:t>班</w:t>
      </w:r>
      <w:r>
        <w:rPr>
          <w:rFonts w:hint="eastAsia" w:ascii="宋体" w:hAnsi="宋体" w:eastAsia="宋体" w:cs="宋体"/>
          <w:color w:val="auto"/>
          <w:sz w:val="24"/>
          <w:szCs w:val="24"/>
        </w:rPr>
        <w:t>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半</w:t>
      </w:r>
      <w:r>
        <w:rPr>
          <w:rFonts w:hint="eastAsia" w:ascii="宋体" w:hAnsi="宋体" w:cs="宋体"/>
          <w:color w:val="auto"/>
          <w:sz w:val="24"/>
          <w:szCs w:val="24"/>
          <w:lang w:val="en-US" w:eastAsia="zh-CN"/>
        </w:rPr>
        <w:t>班</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全</w:t>
      </w:r>
      <w:r>
        <w:rPr>
          <w:rFonts w:hint="eastAsia" w:ascii="宋体" w:hAnsi="宋体" w:cs="宋体"/>
          <w:color w:val="auto"/>
          <w:sz w:val="24"/>
          <w:szCs w:val="24"/>
          <w:lang w:eastAsia="zh-CN"/>
        </w:rPr>
        <w:t>班</w:t>
      </w:r>
      <w:r>
        <w:rPr>
          <w:rFonts w:hint="eastAsia" w:ascii="宋体" w:hAnsi="宋体" w:eastAsia="宋体" w:cs="宋体"/>
          <w:color w:val="auto"/>
          <w:sz w:val="24"/>
          <w:szCs w:val="24"/>
        </w:rPr>
        <w:t>价*</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%计算；</w:t>
      </w:r>
    </w:p>
    <w:p w14:paraId="519DC82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当日服务时间大于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个小时但小于等于</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个小时的按全</w:t>
      </w:r>
      <w:r>
        <w:rPr>
          <w:rFonts w:hint="eastAsia" w:ascii="宋体" w:hAnsi="宋体" w:cs="宋体"/>
          <w:color w:val="auto"/>
          <w:sz w:val="24"/>
          <w:szCs w:val="24"/>
          <w:lang w:eastAsia="zh-CN"/>
        </w:rPr>
        <w:t>班</w:t>
      </w:r>
      <w:r>
        <w:rPr>
          <w:rFonts w:hint="eastAsia" w:ascii="宋体" w:hAnsi="宋体" w:eastAsia="宋体" w:cs="宋体"/>
          <w:color w:val="auto"/>
          <w:sz w:val="24"/>
          <w:szCs w:val="24"/>
        </w:rPr>
        <w:t>计算；</w:t>
      </w:r>
    </w:p>
    <w:p w14:paraId="163BA36F">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7、人员配置：详见乙方投标文件。</w:t>
      </w:r>
    </w:p>
    <w:p w14:paraId="399BB030">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四、资料的保密</w:t>
      </w:r>
    </w:p>
    <w:p w14:paraId="4B011A76">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1、没有甲方事先书面同意，乙方不得将由甲方提供的有关合同或任何合同条文、规格、计划、样品或资料、技术咨询服务提供给与履行本合同无关的任何其他人。</w:t>
      </w:r>
    </w:p>
    <w:p w14:paraId="2E8189B5">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2、未经甲方同意，不得将本项目技术成果提交给与本项目无关的第三方。</w:t>
      </w:r>
    </w:p>
    <w:p w14:paraId="5C610AFA">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合同文件</w:t>
      </w:r>
    </w:p>
    <w:p w14:paraId="4CACBD35">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1、合同条款；</w:t>
      </w:r>
    </w:p>
    <w:p w14:paraId="246DF605">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2、中标通知书；</w:t>
      </w:r>
    </w:p>
    <w:p w14:paraId="5BCE71C7">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3、更正补充文件；</w:t>
      </w:r>
    </w:p>
    <w:p w14:paraId="54301FDF">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4、招标文件；</w:t>
      </w:r>
    </w:p>
    <w:p w14:paraId="259D911C">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5、中标供应商投标文件；</w:t>
      </w:r>
    </w:p>
    <w:p w14:paraId="7C8FD30E">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6、其他。</w:t>
      </w:r>
    </w:p>
    <w:p w14:paraId="5A2653A5">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上述所指合同文件应认为是互相补充和解释的，但是有模棱两可或互相矛盾之处，以其所列内容顺序为准。</w:t>
      </w:r>
    </w:p>
    <w:p w14:paraId="487B2A4E">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付款方式</w:t>
      </w:r>
    </w:p>
    <w:p w14:paraId="6B0401FB">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以合同确定的综合单价为最终合同单价，按</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付费，即每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服务结束后的次月</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付清</w:t>
      </w:r>
      <w:r>
        <w:rPr>
          <w:rFonts w:hint="eastAsia" w:ascii="宋体" w:hAnsi="宋体" w:eastAsia="宋体" w:cs="宋体"/>
          <w:color w:val="auto"/>
          <w:sz w:val="24"/>
          <w:szCs w:val="24"/>
          <w:lang w:val="en-US" w:eastAsia="zh-CN"/>
        </w:rPr>
        <w:t>上</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服务费（</w:t>
      </w:r>
      <w:r>
        <w:rPr>
          <w:rFonts w:hint="eastAsia" w:ascii="宋体" w:hAnsi="宋体" w:eastAsia="宋体" w:cs="宋体"/>
          <w:color w:val="auto"/>
          <w:sz w:val="24"/>
          <w:szCs w:val="24"/>
          <w:lang w:val="en-US" w:eastAsia="zh-CN"/>
        </w:rPr>
        <w:t>乙方应当</w:t>
      </w:r>
      <w:bookmarkStart w:id="7" w:name="_GoBack"/>
      <w:bookmarkEnd w:id="7"/>
      <w:r>
        <w:rPr>
          <w:rFonts w:hint="eastAsia" w:ascii="宋体" w:hAnsi="宋体" w:eastAsia="宋体" w:cs="宋体"/>
          <w:color w:val="auto"/>
          <w:sz w:val="24"/>
          <w:szCs w:val="24"/>
          <w:lang w:val="en-US" w:eastAsia="zh-CN"/>
        </w:rPr>
        <w:t>在每月服务结束后，根据实际人员出勤结果，向甲方提交该阶段对应金额的发票，逾期提交发票的，甲方有权顺延支付该阶段的款项，且无需承担违约责任</w:t>
      </w:r>
      <w:r>
        <w:rPr>
          <w:rFonts w:hint="eastAsia" w:ascii="宋体" w:hAnsi="宋体" w:eastAsia="宋体" w:cs="宋体"/>
          <w:color w:val="auto"/>
          <w:sz w:val="24"/>
          <w:szCs w:val="24"/>
        </w:rPr>
        <w:t>）。服务合同履行终止且所有义务已履行完毕后10个工作日内退还履约保证金（无息）。</w:t>
      </w:r>
    </w:p>
    <w:p w14:paraId="54EA1A1F">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七、履约担保</w:t>
      </w:r>
    </w:p>
    <w:p w14:paraId="4A979DFC">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履约保证金：乙方在本合同签订之日起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日内向甲方交纳暂定合同价的</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%作为本合同的履约保证金，履约保证金在</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按合同约定完成所有工作、合同到期、经</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确认后无息退还。</w:t>
      </w:r>
    </w:p>
    <w:p w14:paraId="2AA3C53C">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八、安全措施</w:t>
      </w:r>
    </w:p>
    <w:p w14:paraId="7730C8F1">
      <w:pPr>
        <w:pStyle w:val="14"/>
        <w:keepNext w:val="0"/>
        <w:keepLines w:val="0"/>
        <w:pageBreakBefore w:val="0"/>
        <w:kinsoku w:val="0"/>
        <w:wordWrap/>
        <w:overflowPunct w:val="0"/>
        <w:topLinePunct w:val="0"/>
        <w:bidi w:val="0"/>
        <w:adjustRightInd w:val="0"/>
        <w:snapToGrid w:val="0"/>
        <w:spacing w:line="360" w:lineRule="auto"/>
        <w:ind w:right="223"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en-US"/>
        </w:rPr>
        <w:t>承诺在承包服务期内，在执行事务过程中，加强消除现场风险隐患，全力确保现场安全，并做好保密工作。发生安全事故的，责任和损失由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en-US"/>
        </w:rPr>
        <w:t>自行承担。因</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en-US"/>
        </w:rPr>
        <w:t>原因导致的人员财产损失由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en-US"/>
        </w:rPr>
        <w:t>负责赔偿</w:t>
      </w:r>
      <w:r>
        <w:rPr>
          <w:rFonts w:hint="eastAsia" w:ascii="宋体" w:hAnsi="宋体" w:eastAsia="宋体" w:cs="宋体"/>
          <w:color w:val="auto"/>
          <w:sz w:val="24"/>
          <w:szCs w:val="24"/>
        </w:rPr>
        <w:t>。若甲方由此承担相应的赔偿责任后，有权从乙方的履约保证金和服务费中扣除相应款项，若乙方的履约保证金和服务费均不足弥补甲方损失的，对不足部分乙方仍应当承担赔偿责任。</w:t>
      </w:r>
    </w:p>
    <w:p w14:paraId="18307ED4">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九、违约责任</w:t>
      </w:r>
    </w:p>
    <w:p w14:paraId="0DBFFC82">
      <w:pPr>
        <w:keepNext w:val="0"/>
        <w:keepLines w:val="0"/>
        <w:pageBreakBefore w:val="0"/>
        <w:wordWrap/>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1、由于甲方原因造成合同解除的，应向乙方支付违约金，违约金按服务费总额的5%计算。</w:t>
      </w:r>
    </w:p>
    <w:p w14:paraId="63AFD556">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2、乙方违约责任</w:t>
      </w:r>
    </w:p>
    <w:p w14:paraId="79AC3AF3">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2.1、如服务人员有违规行为的情况，扣除当次总服务费的50%；</w:t>
      </w:r>
    </w:p>
    <w:p w14:paraId="2964C038">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2.2、如服务人员未穿着佩戴安全帽等相关安全保护装束，扣除违规人员当次服务费的30%；</w:t>
      </w:r>
    </w:p>
    <w:p w14:paraId="1CCAD6E7">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2.3、如安保人员未穿着统一的保安制服或穿着制服衣冠不整，扣除违规人员当次服务费的30%；</w:t>
      </w:r>
    </w:p>
    <w:p w14:paraId="5195F23B">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2.4、如服务人员存在偷懒、消极怠工等情况，扣除违规人员当次服务费的30%；</w:t>
      </w:r>
    </w:p>
    <w:p w14:paraId="6CD19231">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2.5、如服务人员未在指定时间到达指定地点，扣除违规人员当次服务费的50%；</w:t>
      </w:r>
    </w:p>
    <w:p w14:paraId="2B392878">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2.6、如未按招标人要求的人数指派服务人员及车辆的，根据具体违规情况，扣除当次服务费的20~100%；</w:t>
      </w:r>
    </w:p>
    <w:p w14:paraId="41CDF2EB">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2.7、如出现违法违规等行动的，</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有权终止合同并没收履约保证金；</w:t>
      </w:r>
    </w:p>
    <w:p w14:paraId="23DC3C01">
      <w:pPr>
        <w:keepNext w:val="0"/>
        <w:keepLines w:val="0"/>
        <w:pageBreakBefore w:val="0"/>
        <w:wordWrap/>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2.8、如出现包括但不限于以上的行为，引起恶劣社会影响的，</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有权终止合同并没收履约保证金。</w:t>
      </w:r>
    </w:p>
    <w:p w14:paraId="0EFD154B">
      <w:pPr>
        <w:keepNext w:val="0"/>
        <w:keepLines w:val="0"/>
        <w:pageBreakBefore w:val="0"/>
        <w:wordWrap/>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如发现拟派人员为非本单位人员或签订合同后现场服务人员非磋商时承诺的人员，将视为弄虚作假，没收履约保证金，并解除合同。</w:t>
      </w:r>
    </w:p>
    <w:p w14:paraId="3184E80C">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十、</w:t>
      </w:r>
      <w:r>
        <w:rPr>
          <w:rFonts w:hint="eastAsia" w:ascii="宋体" w:hAnsi="宋体" w:eastAsia="宋体" w:cs="宋体"/>
          <w:color w:val="auto"/>
          <w:sz w:val="24"/>
          <w:szCs w:val="24"/>
          <w:lang w:val="zh-CN"/>
        </w:rPr>
        <w:t>转包或分包</w:t>
      </w:r>
    </w:p>
    <w:p w14:paraId="19AD8E9D">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 本合同范围的服务，应由乙方直接供应，不得转让他人供应；</w:t>
      </w:r>
    </w:p>
    <w:p w14:paraId="56002423">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 除非得到甲方的书面同意，乙方不得将本合同范围的服务全部或部分分包给他人供应；</w:t>
      </w:r>
    </w:p>
    <w:p w14:paraId="38AF0F67">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 如有转让和未经甲方同意的分包行为，甲方有权解除合同，没收履约保证金并追究乙方的违约责任。</w:t>
      </w:r>
    </w:p>
    <w:p w14:paraId="32DD5B9A">
      <w:pPr>
        <w:keepNext w:val="0"/>
        <w:keepLines w:val="0"/>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十一、争议的解决：</w:t>
      </w:r>
    </w:p>
    <w:p w14:paraId="77AEA4C4">
      <w:pPr>
        <w:pStyle w:val="14"/>
        <w:keepNext w:val="0"/>
        <w:keepLines w:val="0"/>
        <w:pageBreakBefore w:val="0"/>
        <w:kinsoku w:val="0"/>
        <w:wordWrap/>
        <w:overflowPunct w:val="0"/>
        <w:topLinePunct w:val="0"/>
        <w:bidi w:val="0"/>
        <w:adjustRightInd w:val="0"/>
        <w:snapToGrid w:val="0"/>
        <w:spacing w:line="360" w:lineRule="auto"/>
        <w:ind w:right="182"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如双方在履行合同时发生纠纷，应协商解决；协商不成时，可提请政府采购管理部门调解；调解不成的通过以下方式解决（两种解决方式只能择其一）：</w:t>
      </w:r>
    </w:p>
    <w:p w14:paraId="3BE29BB0">
      <w:pPr>
        <w:pStyle w:val="14"/>
        <w:keepNext w:val="0"/>
        <w:keepLines w:val="0"/>
        <w:pageBreakBefore w:val="0"/>
        <w:kinsoku w:val="0"/>
        <w:wordWrap/>
        <w:overflowPunct w:val="0"/>
        <w:topLinePunct w:val="0"/>
        <w:bidi w:val="0"/>
        <w:adjustRightInd w:val="0"/>
        <w:snapToGrid w:val="0"/>
        <w:spacing w:line="360" w:lineRule="auto"/>
        <w:ind w:right="182"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提交台州仲裁委员会仲裁。</w:t>
      </w:r>
    </w:p>
    <w:p w14:paraId="2E9299FC">
      <w:pPr>
        <w:pStyle w:val="14"/>
        <w:keepNext w:val="0"/>
        <w:keepLines w:val="0"/>
        <w:pageBreakBefore w:val="0"/>
        <w:kinsoku w:val="0"/>
        <w:wordWrap/>
        <w:overflowPunct w:val="0"/>
        <w:topLinePunct w:val="0"/>
        <w:bidi w:val="0"/>
        <w:adjustRightInd w:val="0"/>
        <w:snapToGrid w:val="0"/>
        <w:spacing w:line="360" w:lineRule="auto"/>
        <w:ind w:right="182"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依法向当地人民法院提起诉讼。</w:t>
      </w:r>
    </w:p>
    <w:p w14:paraId="54F5CE59">
      <w:pPr>
        <w:pStyle w:val="14"/>
        <w:kinsoku w:val="0"/>
        <w:overflowPunct w:val="0"/>
        <w:adjustRightInd w:val="0"/>
        <w:snapToGrid w:val="0"/>
        <w:spacing w:line="360" w:lineRule="auto"/>
        <w:ind w:right="182" w:firstLine="480"/>
        <w:rPr>
          <w:rFonts w:hint="eastAsia" w:ascii="宋体" w:hAnsi="宋体" w:eastAsia="宋体" w:cs="宋体"/>
          <w:color w:val="auto"/>
          <w:sz w:val="24"/>
        </w:rPr>
      </w:pPr>
      <w:r>
        <w:rPr>
          <w:rFonts w:hint="eastAsia" w:ascii="宋体" w:hAnsi="宋体" w:eastAsia="宋体" w:cs="宋体"/>
          <w:color w:val="auto"/>
          <w:sz w:val="24"/>
        </w:rPr>
        <w:t>2.为维护自身合法权益产生的一切费用 （包括但不限于差旅费、律师费、诉讼费、仲裁费、保全费等）由违约方承担。</w:t>
      </w:r>
    </w:p>
    <w:p w14:paraId="2F2723E3">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十二、甲、乙双方在合同期内必须遵守国家法律、法规及保护甲、乙双方的合法权益。</w:t>
      </w:r>
    </w:p>
    <w:p w14:paraId="2B6A0BF8">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十三、本合同未尽事宜，遵照《</w:t>
      </w:r>
      <w:r>
        <w:rPr>
          <w:rFonts w:hint="eastAsia" w:ascii="宋体" w:hAnsi="宋体" w:eastAsia="宋体" w:cs="宋体"/>
          <w:color w:val="auto"/>
          <w:sz w:val="24"/>
          <w:szCs w:val="24"/>
          <w:lang w:val="en-US" w:eastAsia="zh-CN"/>
        </w:rPr>
        <w:t>中华人民共和国民法典</w:t>
      </w:r>
      <w:r>
        <w:rPr>
          <w:rFonts w:hint="eastAsia" w:ascii="宋体" w:hAnsi="宋体" w:eastAsia="宋体" w:cs="宋体"/>
          <w:color w:val="auto"/>
          <w:sz w:val="24"/>
          <w:szCs w:val="24"/>
        </w:rPr>
        <w:t>》有关条文执行。</w:t>
      </w:r>
    </w:p>
    <w:p w14:paraId="614B6C21">
      <w:pPr>
        <w:keepNext w:val="0"/>
        <w:keepLines w:val="0"/>
        <w:pageBreakBefore w:val="0"/>
        <w:widowControl/>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十四、其他</w:t>
      </w:r>
    </w:p>
    <w:p w14:paraId="52E8EC3C">
      <w:pPr>
        <w:pStyle w:val="14"/>
        <w:keepNext w:val="0"/>
        <w:keepLines w:val="0"/>
        <w:pageBreakBefore w:val="0"/>
        <w:kinsoku w:val="0"/>
        <w:wordWrap/>
        <w:overflowPunct w:val="0"/>
        <w:topLinePunct w:val="0"/>
        <w:bidi w:val="0"/>
        <w:adjustRightInd w:val="0"/>
        <w:snapToGrid w:val="0"/>
        <w:spacing w:line="360" w:lineRule="auto"/>
        <w:ind w:right="1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1．本合同一式陆份，甲、乙双方各执两份，采购办一份，代理机构一份。</w:t>
      </w:r>
    </w:p>
    <w:p w14:paraId="6A1A50FB">
      <w:pPr>
        <w:pStyle w:val="14"/>
        <w:keepNext w:val="0"/>
        <w:keepLines w:val="0"/>
        <w:pageBreakBefore w:val="0"/>
        <w:kinsoku w:val="0"/>
        <w:wordWrap/>
        <w:overflowPunct w:val="0"/>
        <w:topLinePunct w:val="0"/>
        <w:bidi w:val="0"/>
        <w:adjustRightInd w:val="0"/>
        <w:snapToGrid w:val="0"/>
        <w:spacing w:line="360" w:lineRule="auto"/>
        <w:ind w:right="1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2．本合同经甲乙双方法定代表人或委托代理人签字并加盖公章经见证方见证后生效。</w:t>
      </w:r>
    </w:p>
    <w:p w14:paraId="670CEA7F">
      <w:pPr>
        <w:pStyle w:val="14"/>
        <w:keepNext w:val="0"/>
        <w:keepLines w:val="0"/>
        <w:pageBreakBefore w:val="0"/>
        <w:kinsoku w:val="0"/>
        <w:wordWrap/>
        <w:overflowPunct w:val="0"/>
        <w:topLinePunct w:val="0"/>
        <w:bidi w:val="0"/>
        <w:adjustRightInd w:val="0"/>
        <w:snapToGrid w:val="0"/>
        <w:spacing w:line="360" w:lineRule="auto"/>
        <w:ind w:right="182"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3．本合同未尽事宜，经双方商议可续签补充协议。该补充协议与本合同具有相同法律效力，但该补充协议的内容不能实质性修改招标文件的主要条款</w:t>
      </w:r>
    </w:p>
    <w:p w14:paraId="5B7C810C">
      <w:pPr>
        <w:pStyle w:val="14"/>
        <w:keepNext w:val="0"/>
        <w:keepLines w:val="0"/>
        <w:pageBreakBefore w:val="0"/>
        <w:kinsoku w:val="0"/>
        <w:wordWrap/>
        <w:overflowPunct w:val="0"/>
        <w:topLinePunct w:val="0"/>
        <w:bidi w:val="0"/>
        <w:adjustRightInd w:val="0"/>
        <w:snapToGrid w:val="0"/>
        <w:spacing w:line="360" w:lineRule="auto"/>
        <w:ind w:right="18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4．本合同未涉及的部分以采购文件（项目编号：招标编号</w:t>
      </w:r>
      <w:r>
        <w:rPr>
          <w:rFonts w:hint="eastAsia" w:ascii="宋体" w:hAnsi="宋体" w:cs="宋体"/>
          <w:color w:val="auto"/>
          <w:sz w:val="24"/>
          <w:szCs w:val="24"/>
          <w:lang w:eastAsia="zh-CN"/>
        </w:rPr>
        <w:t>ZJZL-2025-001</w:t>
      </w:r>
      <w:r>
        <w:rPr>
          <w:rFonts w:hint="eastAsia" w:ascii="宋体" w:hAnsi="宋体" w:eastAsia="宋体" w:cs="宋体"/>
          <w:color w:val="auto"/>
          <w:sz w:val="24"/>
          <w:szCs w:val="24"/>
        </w:rPr>
        <w:t>）（包括补充更正，如有）为准，上述招标文件与乙方针对本项目投标文件及记录是本合同的附件，与本合同具有同等法律效力，但附件与主合同的规定不一致时，以主合同为准。</w:t>
      </w:r>
    </w:p>
    <w:p w14:paraId="6680B39C">
      <w:pPr>
        <w:widowControl/>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30F90F98">
      <w:pPr>
        <w:widowControl/>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00C46F8">
      <w:pPr>
        <w:widowControl/>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C7B93FE">
      <w:pPr>
        <w:widowControl/>
        <w:numPr>
          <w:ilvl w:val="-1"/>
          <w:numId w:val="0"/>
        </w:numPr>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签订</w:t>
      </w:r>
      <w:r>
        <w:rPr>
          <w:rFonts w:hint="eastAsia" w:ascii="宋体" w:hAnsi="宋体" w:cs="宋体"/>
          <w:color w:val="auto"/>
          <w:sz w:val="24"/>
          <w:szCs w:val="24"/>
          <w:highlight w:val="none"/>
          <w:lang w:val="en-US" w:eastAsia="zh-CN"/>
        </w:rPr>
        <w:t>日期</w:t>
      </w:r>
      <w:r>
        <w:rPr>
          <w:rFonts w:hint="eastAsia" w:ascii="宋体" w:hAnsi="宋体" w:eastAsia="宋体" w:cs="宋体"/>
          <w:color w:val="auto"/>
          <w:sz w:val="24"/>
          <w:szCs w:val="24"/>
          <w:highlight w:val="none"/>
        </w:rPr>
        <w:t>：                               签订日期：      年  月  日</w:t>
      </w:r>
    </w:p>
    <w:p w14:paraId="774FE1DB">
      <w:pPr>
        <w:spacing w:line="360" w:lineRule="auto"/>
        <w:ind w:firstLine="480" w:firstLineChars="200"/>
        <w:jc w:val="left"/>
        <w:rPr>
          <w:rFonts w:hint="eastAsia" w:ascii="宋体" w:hAnsi="宋体" w:eastAsia="宋体" w:cs="宋体"/>
          <w:color w:val="auto"/>
          <w:sz w:val="24"/>
          <w:szCs w:val="24"/>
          <w:lang w:val="zh-CN"/>
        </w:rPr>
      </w:pPr>
    </w:p>
    <w:p w14:paraId="25CF5F76">
      <w:pPr>
        <w:spacing w:line="360" w:lineRule="auto"/>
        <w:jc w:val="left"/>
        <w:rPr>
          <w:rFonts w:hint="eastAsia" w:ascii="宋体" w:hAnsi="宋体" w:eastAsia="宋体" w:cs="宋体"/>
          <w:color w:val="auto"/>
          <w:sz w:val="24"/>
          <w:szCs w:val="24"/>
          <w:lang w:val="zh-CN"/>
        </w:rPr>
      </w:pPr>
    </w:p>
    <w:p w14:paraId="34099388">
      <w:pPr>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签订时间：    年   月    日</w:t>
      </w:r>
    </w:p>
    <w:p w14:paraId="5961E3A7">
      <w:pPr>
        <w:pStyle w:val="18"/>
        <w:snapToGrid w:val="0"/>
        <w:jc w:val="both"/>
        <w:rPr>
          <w:rFonts w:hint="eastAsia" w:ascii="宋体" w:hAnsi="宋体" w:eastAsia="宋体" w:cs="宋体"/>
          <w:b/>
          <w:bCs/>
          <w:color w:val="auto"/>
          <w:sz w:val="36"/>
          <w:szCs w:val="36"/>
          <w:highlight w:val="none"/>
        </w:rPr>
      </w:pPr>
    </w:p>
    <w:p w14:paraId="2FEC2F8E">
      <w:pPr>
        <w:pStyle w:val="18"/>
        <w:snapToGrid w:val="0"/>
        <w:jc w:val="center"/>
        <w:rPr>
          <w:rFonts w:hint="eastAsia" w:ascii="宋体" w:hAnsi="宋体" w:eastAsia="宋体" w:cs="宋体"/>
          <w:b/>
          <w:bCs/>
          <w:color w:val="auto"/>
          <w:sz w:val="36"/>
          <w:szCs w:val="36"/>
          <w:highlight w:val="none"/>
        </w:rPr>
      </w:pPr>
    </w:p>
    <w:p w14:paraId="1338171D">
      <w:pPr>
        <w:pStyle w:val="18"/>
        <w:snapToGrid w:val="0"/>
        <w:jc w:val="center"/>
        <w:rPr>
          <w:rFonts w:hint="eastAsia" w:ascii="宋体" w:hAnsi="宋体" w:eastAsia="宋体" w:cs="宋体"/>
          <w:b/>
          <w:bCs/>
          <w:color w:val="auto"/>
          <w:sz w:val="36"/>
          <w:szCs w:val="36"/>
          <w:highlight w:val="none"/>
        </w:rPr>
      </w:pPr>
    </w:p>
    <w:p w14:paraId="0E55F383">
      <w:pPr>
        <w:pStyle w:val="18"/>
        <w:snapToGrid w:val="0"/>
        <w:jc w:val="center"/>
        <w:rPr>
          <w:rFonts w:hint="eastAsia" w:ascii="宋体" w:hAnsi="宋体" w:eastAsia="宋体" w:cs="宋体"/>
          <w:b/>
          <w:bCs/>
          <w:color w:val="auto"/>
          <w:sz w:val="36"/>
          <w:szCs w:val="36"/>
          <w:highlight w:val="none"/>
        </w:rPr>
      </w:pPr>
    </w:p>
    <w:p w14:paraId="1B07621D">
      <w:pPr>
        <w:pStyle w:val="18"/>
        <w:snapToGrid w:val="0"/>
        <w:jc w:val="center"/>
        <w:rPr>
          <w:rFonts w:hint="eastAsia" w:ascii="宋体" w:hAnsi="宋体" w:eastAsia="宋体" w:cs="宋体"/>
          <w:b/>
          <w:bCs/>
          <w:color w:val="auto"/>
          <w:sz w:val="36"/>
          <w:szCs w:val="36"/>
          <w:highlight w:val="none"/>
        </w:rPr>
      </w:pPr>
    </w:p>
    <w:p w14:paraId="15E07FFA">
      <w:pPr>
        <w:pStyle w:val="18"/>
        <w:snapToGrid w:val="0"/>
        <w:jc w:val="center"/>
        <w:rPr>
          <w:rFonts w:hint="eastAsia" w:ascii="宋体" w:hAnsi="宋体" w:eastAsia="宋体" w:cs="宋体"/>
          <w:b/>
          <w:bCs/>
          <w:color w:val="auto"/>
          <w:sz w:val="36"/>
          <w:szCs w:val="36"/>
          <w:highlight w:val="none"/>
        </w:rPr>
      </w:pPr>
    </w:p>
    <w:p w14:paraId="5DDE0F1B">
      <w:pPr>
        <w:pStyle w:val="18"/>
        <w:snapToGrid w:val="0"/>
        <w:jc w:val="center"/>
        <w:rPr>
          <w:rFonts w:hint="eastAsia" w:ascii="宋体" w:hAnsi="宋体" w:eastAsia="宋体" w:cs="宋体"/>
          <w:b/>
          <w:bCs/>
          <w:color w:val="auto"/>
          <w:sz w:val="36"/>
          <w:szCs w:val="36"/>
          <w:highlight w:val="none"/>
        </w:rPr>
      </w:pPr>
    </w:p>
    <w:p w14:paraId="48CC4159">
      <w:pPr>
        <w:pStyle w:val="18"/>
        <w:snapToGrid w:val="0"/>
        <w:jc w:val="center"/>
        <w:rPr>
          <w:rFonts w:hint="eastAsia" w:ascii="宋体" w:hAnsi="宋体" w:eastAsia="宋体" w:cs="宋体"/>
          <w:b/>
          <w:bCs/>
          <w:color w:val="auto"/>
          <w:sz w:val="36"/>
          <w:szCs w:val="36"/>
          <w:highlight w:val="none"/>
        </w:rPr>
      </w:pPr>
    </w:p>
    <w:p w14:paraId="6A8B42FF">
      <w:pPr>
        <w:pStyle w:val="18"/>
        <w:snapToGrid w:val="0"/>
        <w:jc w:val="center"/>
        <w:rPr>
          <w:rFonts w:hint="eastAsia" w:ascii="宋体" w:hAnsi="宋体" w:eastAsia="宋体" w:cs="宋体"/>
          <w:b/>
          <w:bCs/>
          <w:color w:val="auto"/>
          <w:sz w:val="36"/>
          <w:szCs w:val="36"/>
          <w:highlight w:val="none"/>
        </w:rPr>
      </w:pPr>
    </w:p>
    <w:p w14:paraId="69D49088">
      <w:pPr>
        <w:pStyle w:val="18"/>
        <w:snapToGrid w:val="0"/>
        <w:jc w:val="center"/>
        <w:rPr>
          <w:rFonts w:hint="eastAsia" w:ascii="宋体" w:hAnsi="宋体" w:eastAsia="宋体" w:cs="宋体"/>
          <w:b/>
          <w:bCs/>
          <w:color w:val="auto"/>
          <w:sz w:val="36"/>
          <w:szCs w:val="36"/>
          <w:highlight w:val="none"/>
        </w:rPr>
      </w:pPr>
    </w:p>
    <w:p w14:paraId="7B0F9CBA">
      <w:pPr>
        <w:pStyle w:val="18"/>
        <w:snapToGrid w:val="0"/>
        <w:jc w:val="center"/>
        <w:rPr>
          <w:rFonts w:hint="eastAsia" w:ascii="宋体" w:hAnsi="宋体" w:eastAsia="宋体" w:cs="宋体"/>
          <w:b/>
          <w:bCs/>
          <w:color w:val="auto"/>
          <w:sz w:val="36"/>
          <w:szCs w:val="36"/>
          <w:highlight w:val="none"/>
        </w:rPr>
      </w:pPr>
    </w:p>
    <w:p w14:paraId="4313D882">
      <w:pPr>
        <w:pStyle w:val="18"/>
        <w:snapToGrid w:val="0"/>
        <w:jc w:val="center"/>
        <w:rPr>
          <w:rFonts w:hint="eastAsia" w:ascii="宋体" w:hAnsi="宋体" w:eastAsia="宋体" w:cs="宋体"/>
          <w:b/>
          <w:bCs/>
          <w:color w:val="auto"/>
          <w:sz w:val="36"/>
          <w:szCs w:val="36"/>
          <w:highlight w:val="none"/>
        </w:rPr>
      </w:pPr>
    </w:p>
    <w:p w14:paraId="21F7982F">
      <w:pPr>
        <w:pStyle w:val="18"/>
        <w:snapToGrid w:val="0"/>
        <w:jc w:val="center"/>
        <w:rPr>
          <w:rFonts w:hint="eastAsia" w:ascii="宋体" w:hAnsi="宋体" w:eastAsia="宋体" w:cs="宋体"/>
          <w:b/>
          <w:bCs/>
          <w:color w:val="auto"/>
          <w:sz w:val="36"/>
          <w:szCs w:val="36"/>
          <w:highlight w:val="none"/>
        </w:rPr>
      </w:pPr>
    </w:p>
    <w:p w14:paraId="4D14F385">
      <w:pPr>
        <w:pStyle w:val="18"/>
        <w:snapToGrid w:val="0"/>
        <w:jc w:val="center"/>
        <w:rPr>
          <w:rFonts w:hint="eastAsia" w:ascii="宋体" w:hAnsi="宋体" w:eastAsia="宋体" w:cs="宋体"/>
          <w:b/>
          <w:bCs/>
          <w:color w:val="auto"/>
          <w:sz w:val="36"/>
          <w:szCs w:val="36"/>
          <w:highlight w:val="none"/>
        </w:rPr>
      </w:pPr>
    </w:p>
    <w:p w14:paraId="7A91F365">
      <w:pPr>
        <w:pStyle w:val="18"/>
        <w:snapToGrid w:val="0"/>
        <w:jc w:val="center"/>
        <w:rPr>
          <w:rFonts w:hint="eastAsia" w:ascii="宋体" w:hAnsi="宋体" w:eastAsia="宋体" w:cs="宋体"/>
          <w:b/>
          <w:bCs/>
          <w:color w:val="auto"/>
          <w:sz w:val="36"/>
          <w:szCs w:val="36"/>
          <w:highlight w:val="none"/>
        </w:rPr>
      </w:pPr>
    </w:p>
    <w:p w14:paraId="7FDE5017">
      <w:pPr>
        <w:pStyle w:val="18"/>
        <w:snapToGrid w:val="0"/>
        <w:jc w:val="center"/>
        <w:rPr>
          <w:rFonts w:hint="eastAsia" w:ascii="宋体" w:hAnsi="宋体" w:eastAsia="宋体" w:cs="宋体"/>
          <w:b/>
          <w:bCs/>
          <w:color w:val="auto"/>
          <w:sz w:val="36"/>
          <w:szCs w:val="36"/>
          <w:highlight w:val="none"/>
        </w:rPr>
      </w:pPr>
    </w:p>
    <w:p w14:paraId="0E96304F">
      <w:pPr>
        <w:pStyle w:val="18"/>
        <w:snapToGrid w:val="0"/>
        <w:jc w:val="center"/>
        <w:rPr>
          <w:rFonts w:hint="eastAsia" w:ascii="宋体" w:hAnsi="宋体" w:eastAsia="宋体" w:cs="宋体"/>
          <w:b/>
          <w:bCs/>
          <w:color w:val="auto"/>
          <w:sz w:val="36"/>
          <w:szCs w:val="36"/>
          <w:highlight w:val="none"/>
        </w:rPr>
      </w:pPr>
    </w:p>
    <w:p w14:paraId="26875703">
      <w:pPr>
        <w:pStyle w:val="18"/>
        <w:snapToGrid w:val="0"/>
        <w:jc w:val="center"/>
        <w:rPr>
          <w:rFonts w:hint="eastAsia" w:ascii="宋体" w:hAnsi="宋体" w:eastAsia="宋体" w:cs="宋体"/>
          <w:b/>
          <w:bCs/>
          <w:color w:val="auto"/>
          <w:sz w:val="36"/>
          <w:szCs w:val="36"/>
          <w:highlight w:val="none"/>
        </w:rPr>
      </w:pPr>
    </w:p>
    <w:p w14:paraId="3E3E21EE">
      <w:pPr>
        <w:pStyle w:val="18"/>
        <w:snapToGrid w:val="0"/>
        <w:jc w:val="center"/>
        <w:rPr>
          <w:rFonts w:hint="eastAsia" w:ascii="宋体" w:hAnsi="宋体" w:eastAsia="宋体" w:cs="宋体"/>
          <w:b/>
          <w:bCs/>
          <w:color w:val="auto"/>
          <w:sz w:val="36"/>
          <w:szCs w:val="36"/>
          <w:highlight w:val="none"/>
        </w:rPr>
      </w:pPr>
    </w:p>
    <w:p w14:paraId="1EE39C49">
      <w:pPr>
        <w:pStyle w:val="18"/>
        <w:snapToGrid w:val="0"/>
        <w:jc w:val="center"/>
        <w:rPr>
          <w:rFonts w:hint="eastAsia" w:ascii="宋体" w:hAnsi="宋体" w:eastAsia="宋体" w:cs="宋体"/>
          <w:b/>
          <w:bCs/>
          <w:color w:val="auto"/>
          <w:sz w:val="36"/>
          <w:szCs w:val="36"/>
          <w:highlight w:val="none"/>
        </w:rPr>
      </w:pPr>
    </w:p>
    <w:p w14:paraId="60AFBFDF">
      <w:pPr>
        <w:pStyle w:val="18"/>
        <w:snapToGrid w:val="0"/>
        <w:jc w:val="center"/>
        <w:rPr>
          <w:rFonts w:hint="eastAsia" w:ascii="宋体" w:hAnsi="宋体" w:eastAsia="宋体" w:cs="宋体"/>
          <w:b/>
          <w:bCs/>
          <w:color w:val="auto"/>
          <w:sz w:val="36"/>
          <w:szCs w:val="36"/>
          <w:highlight w:val="none"/>
        </w:rPr>
      </w:pPr>
    </w:p>
    <w:p w14:paraId="55249C1E">
      <w:pPr>
        <w:pStyle w:val="18"/>
        <w:snapToGrid w:val="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响应文件格式附件</w:t>
      </w:r>
    </w:p>
    <w:p w14:paraId="081B39EF">
      <w:pPr>
        <w:jc w:val="left"/>
        <w:rPr>
          <w:rFonts w:ascii="宋体" w:hAnsi="宋体"/>
          <w:b/>
          <w:color w:val="auto"/>
          <w:kern w:val="0"/>
          <w:sz w:val="28"/>
          <w:szCs w:val="28"/>
          <w:highlight w:val="none"/>
        </w:rPr>
      </w:pPr>
    </w:p>
    <w:p w14:paraId="0057AB9E">
      <w:pPr>
        <w:jc w:val="left"/>
        <w:rPr>
          <w:rFonts w:ascii="宋体" w:hAnsi="宋体"/>
          <w:b/>
          <w:color w:val="auto"/>
          <w:kern w:val="0"/>
          <w:sz w:val="28"/>
          <w:szCs w:val="28"/>
          <w:highlight w:val="none"/>
        </w:rPr>
      </w:pPr>
    </w:p>
    <w:p w14:paraId="738E833A">
      <w:pPr>
        <w:jc w:val="left"/>
        <w:rPr>
          <w:rFonts w:ascii="宋体" w:hAnsi="宋体"/>
          <w:b/>
          <w:color w:val="auto"/>
          <w:kern w:val="0"/>
          <w:sz w:val="28"/>
          <w:szCs w:val="28"/>
          <w:highlight w:val="none"/>
        </w:rPr>
      </w:pPr>
    </w:p>
    <w:p w14:paraId="0F2D53FF">
      <w:pPr>
        <w:jc w:val="left"/>
        <w:rPr>
          <w:rFonts w:ascii="宋体" w:hAnsi="宋体"/>
          <w:b/>
          <w:color w:val="auto"/>
          <w:kern w:val="0"/>
          <w:sz w:val="28"/>
          <w:szCs w:val="28"/>
          <w:highlight w:val="none"/>
        </w:rPr>
      </w:pPr>
    </w:p>
    <w:p w14:paraId="434EC67A">
      <w:pPr>
        <w:jc w:val="left"/>
        <w:rPr>
          <w:rFonts w:ascii="宋体" w:hAnsi="宋体"/>
          <w:b/>
          <w:color w:val="auto"/>
          <w:kern w:val="0"/>
          <w:sz w:val="28"/>
          <w:szCs w:val="28"/>
          <w:highlight w:val="none"/>
        </w:rPr>
      </w:pPr>
    </w:p>
    <w:p w14:paraId="30768223">
      <w:pPr>
        <w:jc w:val="left"/>
        <w:rPr>
          <w:rFonts w:ascii="宋体" w:hAnsi="宋体"/>
          <w:b/>
          <w:color w:val="auto"/>
          <w:kern w:val="0"/>
          <w:sz w:val="28"/>
          <w:szCs w:val="28"/>
          <w:highlight w:val="none"/>
        </w:rPr>
      </w:pPr>
    </w:p>
    <w:p w14:paraId="19967215">
      <w:pPr>
        <w:jc w:val="left"/>
        <w:rPr>
          <w:rFonts w:ascii="宋体" w:hAnsi="宋体"/>
          <w:b/>
          <w:color w:val="auto"/>
          <w:kern w:val="0"/>
          <w:sz w:val="28"/>
          <w:szCs w:val="28"/>
          <w:highlight w:val="none"/>
        </w:rPr>
      </w:pPr>
    </w:p>
    <w:p w14:paraId="0A54150D">
      <w:pPr>
        <w:jc w:val="left"/>
        <w:rPr>
          <w:rFonts w:ascii="宋体" w:hAnsi="宋体"/>
          <w:b/>
          <w:color w:val="auto"/>
          <w:kern w:val="0"/>
          <w:sz w:val="28"/>
          <w:szCs w:val="28"/>
          <w:highlight w:val="none"/>
        </w:rPr>
      </w:pPr>
    </w:p>
    <w:p w14:paraId="686C9133">
      <w:pPr>
        <w:jc w:val="left"/>
        <w:rPr>
          <w:rFonts w:ascii="宋体" w:hAnsi="宋体"/>
          <w:b/>
          <w:color w:val="auto"/>
          <w:kern w:val="0"/>
          <w:sz w:val="28"/>
          <w:szCs w:val="28"/>
          <w:highlight w:val="none"/>
        </w:rPr>
      </w:pPr>
    </w:p>
    <w:p w14:paraId="61FED1B8">
      <w:pPr>
        <w:jc w:val="left"/>
        <w:rPr>
          <w:rFonts w:ascii="宋体" w:hAnsi="宋体"/>
          <w:b/>
          <w:color w:val="auto"/>
          <w:kern w:val="0"/>
          <w:sz w:val="28"/>
          <w:szCs w:val="28"/>
          <w:highlight w:val="none"/>
        </w:rPr>
      </w:pPr>
    </w:p>
    <w:p w14:paraId="02A7A6CF">
      <w:pPr>
        <w:jc w:val="left"/>
        <w:rPr>
          <w:rFonts w:ascii="宋体" w:hAnsi="宋体"/>
          <w:b/>
          <w:color w:val="auto"/>
          <w:kern w:val="0"/>
          <w:sz w:val="28"/>
          <w:szCs w:val="28"/>
          <w:highlight w:val="none"/>
        </w:rPr>
      </w:pPr>
    </w:p>
    <w:p w14:paraId="6D256E2B">
      <w:pPr>
        <w:jc w:val="left"/>
        <w:rPr>
          <w:rFonts w:ascii="宋体" w:hAnsi="宋体"/>
          <w:b/>
          <w:color w:val="auto"/>
          <w:kern w:val="0"/>
          <w:sz w:val="28"/>
          <w:szCs w:val="28"/>
          <w:highlight w:val="none"/>
        </w:rPr>
      </w:pPr>
    </w:p>
    <w:p w14:paraId="02A9CE6B">
      <w:pPr>
        <w:jc w:val="left"/>
        <w:rPr>
          <w:rFonts w:ascii="宋体" w:hAnsi="宋体"/>
          <w:b/>
          <w:color w:val="auto"/>
          <w:kern w:val="0"/>
          <w:sz w:val="28"/>
          <w:szCs w:val="28"/>
          <w:highlight w:val="none"/>
        </w:rPr>
      </w:pPr>
    </w:p>
    <w:p w14:paraId="51E12AFB">
      <w:pPr>
        <w:jc w:val="left"/>
        <w:rPr>
          <w:rFonts w:ascii="宋体" w:hAnsi="宋体"/>
          <w:b/>
          <w:color w:val="auto"/>
          <w:kern w:val="0"/>
          <w:sz w:val="28"/>
          <w:szCs w:val="28"/>
          <w:highlight w:val="none"/>
        </w:rPr>
      </w:pPr>
    </w:p>
    <w:p w14:paraId="13721D36">
      <w:pPr>
        <w:jc w:val="left"/>
        <w:rPr>
          <w:rFonts w:ascii="宋体" w:hAnsi="宋体"/>
          <w:b/>
          <w:color w:val="auto"/>
          <w:kern w:val="0"/>
          <w:sz w:val="28"/>
          <w:szCs w:val="28"/>
          <w:highlight w:val="none"/>
        </w:rPr>
      </w:pPr>
    </w:p>
    <w:p w14:paraId="44DF0E42">
      <w:pPr>
        <w:jc w:val="left"/>
        <w:rPr>
          <w:rFonts w:ascii="宋体" w:hAnsi="宋体"/>
          <w:b/>
          <w:color w:val="auto"/>
          <w:kern w:val="0"/>
          <w:sz w:val="28"/>
          <w:szCs w:val="28"/>
          <w:highlight w:val="none"/>
        </w:rPr>
      </w:pPr>
    </w:p>
    <w:p w14:paraId="32E46A4D">
      <w:pPr>
        <w:jc w:val="left"/>
        <w:rPr>
          <w:rFonts w:ascii="宋体" w:hAnsi="宋体"/>
          <w:b/>
          <w:color w:val="auto"/>
          <w:kern w:val="0"/>
          <w:sz w:val="28"/>
          <w:szCs w:val="28"/>
          <w:highlight w:val="none"/>
        </w:rPr>
      </w:pPr>
    </w:p>
    <w:p w14:paraId="0AFB1811">
      <w:pPr>
        <w:jc w:val="left"/>
        <w:rPr>
          <w:rFonts w:hint="eastAsia" w:ascii="宋体" w:hAnsi="宋体"/>
          <w:b/>
          <w:color w:val="auto"/>
          <w:kern w:val="0"/>
          <w:sz w:val="28"/>
          <w:szCs w:val="28"/>
          <w:highlight w:val="none"/>
        </w:rPr>
      </w:pPr>
    </w:p>
    <w:p w14:paraId="363B24B1">
      <w:pPr>
        <w:pStyle w:val="27"/>
        <w:rPr>
          <w:rFonts w:hint="eastAsia" w:ascii="宋体" w:hAnsi="宋体"/>
          <w:b/>
          <w:color w:val="auto"/>
          <w:kern w:val="0"/>
          <w:sz w:val="28"/>
          <w:szCs w:val="28"/>
          <w:highlight w:val="none"/>
        </w:rPr>
      </w:pPr>
    </w:p>
    <w:p w14:paraId="7D90758E">
      <w:pPr>
        <w:rPr>
          <w:rFonts w:hint="eastAsia" w:ascii="宋体" w:hAnsi="宋体"/>
          <w:b/>
          <w:color w:val="auto"/>
          <w:kern w:val="0"/>
          <w:sz w:val="28"/>
          <w:szCs w:val="28"/>
          <w:highlight w:val="none"/>
        </w:rPr>
      </w:pPr>
    </w:p>
    <w:p w14:paraId="73DF733C">
      <w:pPr>
        <w:pStyle w:val="27"/>
        <w:rPr>
          <w:rFonts w:hint="eastAsia" w:ascii="宋体" w:hAnsi="宋体"/>
          <w:b/>
          <w:color w:val="auto"/>
          <w:kern w:val="0"/>
          <w:sz w:val="28"/>
          <w:szCs w:val="28"/>
          <w:highlight w:val="none"/>
        </w:rPr>
      </w:pPr>
    </w:p>
    <w:p w14:paraId="07367285">
      <w:pPr>
        <w:rPr>
          <w:rFonts w:hint="eastAsia"/>
          <w:color w:val="auto"/>
        </w:rPr>
      </w:pPr>
    </w:p>
    <w:p w14:paraId="6CC16C9B">
      <w:pPr>
        <w:jc w:val="left"/>
        <w:rPr>
          <w:rFonts w:ascii="宋体" w:hAns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b/>
          <w:color w:val="auto"/>
          <w:kern w:val="0"/>
          <w:sz w:val="28"/>
          <w:szCs w:val="28"/>
          <w:highlight w:val="none"/>
        </w:rPr>
        <w:t>：</w:t>
      </w:r>
    </w:p>
    <w:p w14:paraId="48854E3E">
      <w:pPr>
        <w:spacing w:before="312" w:beforeLines="100" w:line="360" w:lineRule="auto"/>
        <w:ind w:right="-108"/>
        <w:jc w:val="center"/>
        <w:rPr>
          <w:rFonts w:hint="eastAsia" w:ascii="宋体" w:hAnsi="宋体"/>
          <w:color w:val="auto"/>
          <w:spacing w:val="40"/>
          <w:sz w:val="36"/>
          <w:szCs w:val="36"/>
          <w:highlight w:val="none"/>
          <w:lang w:eastAsia="zh-CN"/>
        </w:rPr>
      </w:pPr>
      <w:r>
        <w:rPr>
          <w:rFonts w:hint="eastAsia" w:ascii="宋体" w:hAnsi="宋体"/>
          <w:color w:val="auto"/>
          <w:spacing w:val="40"/>
          <w:sz w:val="36"/>
          <w:szCs w:val="36"/>
          <w:highlight w:val="none"/>
          <w:lang w:eastAsia="zh-CN"/>
        </w:rPr>
        <w:t>路北街道2025年零星安保服务采购项目</w:t>
      </w:r>
    </w:p>
    <w:p w14:paraId="122B6523">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ZJZL-2025-001</w:t>
      </w:r>
      <w:r>
        <w:rPr>
          <w:rFonts w:hint="eastAsia" w:ascii="宋体" w:hAnsi="宋体"/>
          <w:color w:val="auto"/>
          <w:sz w:val="36"/>
          <w:szCs w:val="36"/>
          <w:highlight w:val="none"/>
        </w:rPr>
        <w:t>（</w:t>
      </w:r>
      <w:r>
        <w:rPr>
          <w:rFonts w:hint="eastAsia" w:ascii="宋体" w:hAnsi="宋体"/>
          <w:i/>
          <w:iCs/>
          <w:color w:val="auto"/>
          <w:sz w:val="36"/>
          <w:szCs w:val="36"/>
          <w:highlight w:val="none"/>
          <w:u w:val="single"/>
        </w:rPr>
        <w:t>标项</w:t>
      </w:r>
      <w:r>
        <w:rPr>
          <w:rFonts w:hint="eastAsia" w:ascii="宋体" w:hAnsi="宋体"/>
          <w:color w:val="auto"/>
          <w:sz w:val="36"/>
          <w:szCs w:val="36"/>
          <w:highlight w:val="none"/>
        </w:rPr>
        <w:t>）</w:t>
      </w:r>
    </w:p>
    <w:p w14:paraId="6587BA4A">
      <w:pPr>
        <w:spacing w:before="312" w:beforeLines="100" w:line="240" w:lineRule="atLeast"/>
        <w:ind w:right="-108"/>
        <w:jc w:val="center"/>
        <w:rPr>
          <w:rFonts w:ascii="宋体" w:hAnsi="宋体"/>
          <w:color w:val="auto"/>
          <w:sz w:val="32"/>
          <w:szCs w:val="32"/>
          <w:highlight w:val="none"/>
        </w:rPr>
      </w:pPr>
    </w:p>
    <w:p w14:paraId="27C3EA7F">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6DCD85CC">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7F612F90">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47A4BE90">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23880D09">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7D23868">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7A0E358">
      <w:pPr>
        <w:spacing w:line="500" w:lineRule="exact"/>
        <w:ind w:right="532"/>
        <w:jc w:val="center"/>
        <w:rPr>
          <w:rFonts w:ascii="宋体" w:hAnsi="宋体"/>
          <w:color w:val="auto"/>
          <w:sz w:val="36"/>
          <w:szCs w:val="36"/>
          <w:highlight w:val="none"/>
        </w:rPr>
      </w:pPr>
    </w:p>
    <w:p w14:paraId="3C321268">
      <w:pPr>
        <w:spacing w:line="5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磋商供应商全称（电子公章）：</w:t>
      </w:r>
    </w:p>
    <w:p w14:paraId="14227F0A">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w:t>
      </w:r>
      <w:r>
        <w:rPr>
          <w:rFonts w:ascii="宋体" w:hAnsi="宋体"/>
          <w:color w:val="auto"/>
          <w:sz w:val="36"/>
          <w:szCs w:val="36"/>
          <w:highlight w:val="none"/>
        </w:rPr>
        <w:t xml:space="preserve">    </w:t>
      </w:r>
      <w:r>
        <w:rPr>
          <w:rFonts w:hint="eastAsia" w:ascii="宋体" w:hAnsi="宋体"/>
          <w:color w:val="auto"/>
          <w:sz w:val="36"/>
          <w:szCs w:val="36"/>
          <w:highlight w:val="none"/>
        </w:rPr>
        <w:t>址：</w:t>
      </w:r>
    </w:p>
    <w:p w14:paraId="62B9E70D">
      <w:pPr>
        <w:wordWrap w:val="0"/>
        <w:spacing w:line="500" w:lineRule="exact"/>
        <w:ind w:right="-108" w:firstLine="720" w:firstLineChars="200"/>
        <w:rPr>
          <w:rFonts w:ascii="宋体" w:hAnsi="宋体"/>
          <w:b/>
          <w:bCs/>
          <w:color w:val="auto"/>
          <w:sz w:val="32"/>
          <w:szCs w:val="32"/>
          <w:highlight w:val="none"/>
        </w:rPr>
      </w:pPr>
      <w:r>
        <w:rPr>
          <w:rFonts w:hint="eastAsia" w:ascii="宋体" w:hAnsi="宋体"/>
          <w:color w:val="auto"/>
          <w:sz w:val="36"/>
          <w:szCs w:val="36"/>
          <w:highlight w:val="none"/>
        </w:rPr>
        <w:t>时</w:t>
      </w:r>
      <w:r>
        <w:rPr>
          <w:rFonts w:ascii="宋体" w:hAnsi="宋体"/>
          <w:color w:val="auto"/>
          <w:sz w:val="36"/>
          <w:szCs w:val="36"/>
          <w:highlight w:val="none"/>
        </w:rPr>
        <w:t xml:space="preserve">    </w:t>
      </w:r>
      <w:r>
        <w:rPr>
          <w:rFonts w:hint="eastAsia" w:ascii="宋体" w:hAnsi="宋体"/>
          <w:color w:val="auto"/>
          <w:sz w:val="36"/>
          <w:szCs w:val="36"/>
          <w:highlight w:val="none"/>
        </w:rPr>
        <w:t>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 xml:space="preserve">年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 xml:space="preserve"> 月   日</w:t>
      </w:r>
    </w:p>
    <w:p w14:paraId="308D44CE">
      <w:pPr>
        <w:snapToGrid w:val="0"/>
        <w:spacing w:before="50" w:after="50" w:line="360" w:lineRule="auto"/>
        <w:jc w:val="center"/>
        <w:rPr>
          <w:rFonts w:ascii="宋体" w:hAnsi="宋体"/>
          <w:b/>
          <w:bCs/>
          <w:color w:val="auto"/>
          <w:sz w:val="32"/>
          <w:szCs w:val="32"/>
          <w:highlight w:val="none"/>
        </w:rPr>
      </w:pPr>
      <w:r>
        <w:rPr>
          <w:rFonts w:ascii="宋体" w:hAnsi="宋体"/>
          <w:b/>
          <w:bCs/>
          <w:color w:val="auto"/>
          <w:sz w:val="36"/>
          <w:szCs w:val="36"/>
          <w:highlight w:val="none"/>
        </w:rPr>
        <w:br w:type="page"/>
      </w:r>
      <w:r>
        <w:rPr>
          <w:rFonts w:hint="eastAsia" w:ascii="宋体" w:hAnsi="宋体"/>
          <w:b/>
          <w:bCs/>
          <w:color w:val="auto"/>
          <w:sz w:val="36"/>
          <w:szCs w:val="36"/>
          <w:highlight w:val="none"/>
        </w:rPr>
        <w:t>磋商响应文件目录</w:t>
      </w:r>
    </w:p>
    <w:p w14:paraId="18A6EB64">
      <w:pPr>
        <w:snapToGrid w:val="0"/>
        <w:spacing w:before="50" w:after="50" w:line="360" w:lineRule="auto"/>
        <w:ind w:firstLine="422" w:firstLineChars="150"/>
        <w:rPr>
          <w:rFonts w:ascii="宋体" w:hAnsi="宋体" w:cs="楷体_GB2312"/>
          <w:b/>
          <w:bCs/>
          <w:color w:val="auto"/>
          <w:sz w:val="28"/>
          <w:szCs w:val="28"/>
          <w:highlight w:val="none"/>
        </w:rPr>
      </w:pPr>
      <w:r>
        <w:rPr>
          <w:rFonts w:hint="eastAsia" w:ascii="宋体" w:hAnsi="宋体" w:cs="楷体_GB2312"/>
          <w:b/>
          <w:bCs/>
          <w:color w:val="auto"/>
          <w:sz w:val="28"/>
          <w:szCs w:val="28"/>
          <w:highlight w:val="none"/>
        </w:rPr>
        <w:t>第一部分：资格证明文件</w:t>
      </w:r>
    </w:p>
    <w:p w14:paraId="313B0367">
      <w:pPr>
        <w:pStyle w:val="43"/>
        <w:adjustRightInd w:val="0"/>
        <w:snapToGrid w:val="0"/>
        <w:spacing w:line="312" w:lineRule="auto"/>
        <w:ind w:left="0" w:leftChars="0" w:firstLine="470"/>
        <w:rPr>
          <w:rStyle w:val="34"/>
          <w:rFonts w:hint="eastAsia" w:ascii="宋体" w:hAnsi="宋体" w:eastAsia="宋体" w:cs="宋体"/>
          <w:b w:val="0"/>
          <w:color w:val="auto"/>
          <w:highlight w:val="none"/>
          <w:u w:val="none"/>
        </w:rPr>
      </w:pPr>
      <w:r>
        <w:rPr>
          <w:rStyle w:val="34"/>
          <w:rFonts w:hint="eastAsia" w:ascii="宋体" w:hAnsi="宋体" w:eastAsia="宋体" w:cs="宋体"/>
          <w:b w:val="0"/>
          <w:color w:val="auto"/>
          <w:highlight w:val="none"/>
          <w:u w:val="none"/>
        </w:rPr>
        <w:t>（1）磋商声明书；</w:t>
      </w:r>
    </w:p>
    <w:p w14:paraId="0EBA6E8B">
      <w:pPr>
        <w:widowControl/>
        <w:adjustRightInd w:val="0"/>
        <w:snapToGrid w:val="0"/>
        <w:spacing w:line="312" w:lineRule="auto"/>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（2）授权委托书（若规定签字或盖章位置由法定代表人签字盖章的，则无需提供法定代表人授权书，仅提供法定代表人身份证明即可，法定代表人须与营业执照上载明的一致）；</w:t>
      </w:r>
    </w:p>
    <w:p w14:paraId="318EC1E2">
      <w:pPr>
        <w:widowControl/>
        <w:adjustRightInd w:val="0"/>
        <w:snapToGrid w:val="0"/>
        <w:spacing w:line="312" w:lineRule="auto"/>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（3）企业营业执照或事业单位法人证书；</w:t>
      </w:r>
    </w:p>
    <w:p w14:paraId="5B22EC14">
      <w:pPr>
        <w:widowControl/>
        <w:adjustRightInd w:val="0"/>
        <w:snapToGrid w:val="0"/>
        <w:spacing w:line="312" w:lineRule="auto"/>
        <w:ind w:firstLine="480" w:firstLineChars="20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（4）中小企业声明函</w:t>
      </w:r>
      <w:r>
        <w:rPr>
          <w:rFonts w:hint="eastAsia" w:ascii="宋体" w:hAnsi="宋体" w:eastAsia="宋体" w:cs="宋体"/>
          <w:color w:val="auto"/>
          <w:sz w:val="24"/>
          <w:highlight w:val="none"/>
          <w:lang w:eastAsia="zh-CN"/>
        </w:rPr>
        <w:t>；</w:t>
      </w:r>
    </w:p>
    <w:p w14:paraId="40A265AE">
      <w:pPr>
        <w:widowControl/>
        <w:adjustRightInd w:val="0"/>
        <w:snapToGrid w:val="0"/>
        <w:spacing w:line="312" w:lineRule="auto"/>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）经省公安厅核准具有保安服务许可证</w:t>
      </w:r>
      <w:r>
        <w:rPr>
          <w:rFonts w:hint="eastAsia" w:ascii="宋体" w:hAnsi="宋体" w:eastAsia="宋体" w:cs="宋体"/>
          <w:color w:val="auto"/>
          <w:sz w:val="24"/>
          <w:highlight w:val="none"/>
        </w:rPr>
        <w:t>；</w:t>
      </w:r>
    </w:p>
    <w:p w14:paraId="44D7D5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）供应商认为需要说明的其他资料。</w:t>
      </w:r>
    </w:p>
    <w:p w14:paraId="4A92F2D1">
      <w:pPr>
        <w:snapToGrid w:val="0"/>
        <w:spacing w:line="360" w:lineRule="auto"/>
        <w:ind w:firstLine="422" w:firstLineChars="150"/>
        <w:rPr>
          <w:rFonts w:ascii="宋体" w:hAnsi="宋体" w:cs="楷体_GB2312"/>
          <w:b/>
          <w:bCs/>
          <w:color w:val="auto"/>
          <w:sz w:val="28"/>
          <w:szCs w:val="28"/>
          <w:highlight w:val="none"/>
        </w:rPr>
      </w:pPr>
      <w:r>
        <w:rPr>
          <w:rFonts w:hint="eastAsia" w:ascii="宋体" w:hAnsi="宋体" w:cs="楷体_GB2312"/>
          <w:b/>
          <w:bCs/>
          <w:color w:val="auto"/>
          <w:sz w:val="28"/>
          <w:szCs w:val="28"/>
          <w:highlight w:val="none"/>
          <w:lang w:val="zh-CN"/>
        </w:rPr>
        <w:t>第二部分：商务与技术</w:t>
      </w:r>
      <w:r>
        <w:rPr>
          <w:rFonts w:hint="eastAsia" w:ascii="宋体" w:hAnsi="宋体" w:cs="楷体_GB2312"/>
          <w:b/>
          <w:bCs/>
          <w:color w:val="auto"/>
          <w:sz w:val="28"/>
          <w:szCs w:val="28"/>
          <w:highlight w:val="none"/>
        </w:rPr>
        <w:t>响应文件</w:t>
      </w:r>
    </w:p>
    <w:p w14:paraId="6ABECDB1">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1）商务及技术响应表</w:t>
      </w:r>
      <w:r>
        <w:rPr>
          <w:rFonts w:hint="eastAsia" w:ascii="宋体" w:hAnsi="宋体"/>
          <w:color w:val="auto"/>
          <w:sz w:val="24"/>
          <w:highlight w:val="none"/>
        </w:rPr>
        <w:t>；</w:t>
      </w:r>
    </w:p>
    <w:p w14:paraId="03CFC665">
      <w:pPr>
        <w:adjustRightInd w:val="0"/>
        <w:snapToGrid w:val="0"/>
        <w:spacing w:line="312" w:lineRule="auto"/>
        <w:ind w:firstLine="480" w:firstLineChars="200"/>
        <w:rPr>
          <w:rFonts w:ascii="宋体" w:hAnsi="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）其余内容根据评标办法自拟</w:t>
      </w:r>
      <w:r>
        <w:rPr>
          <w:rFonts w:hint="eastAsia" w:ascii="宋体" w:hAnsi="宋体"/>
          <w:color w:val="auto"/>
          <w:kern w:val="0"/>
          <w:sz w:val="24"/>
          <w:highlight w:val="none"/>
        </w:rPr>
        <w:t>；</w:t>
      </w:r>
    </w:p>
    <w:p w14:paraId="68B65D03">
      <w:pPr>
        <w:pStyle w:val="10"/>
        <w:widowControl/>
        <w:adjustRightInd w:val="0"/>
        <w:snapToGrid w:val="0"/>
        <w:spacing w:line="312" w:lineRule="auto"/>
        <w:ind w:firstLine="622" w:firstLineChars="258"/>
        <w:rPr>
          <w:rFonts w:ascii="宋体" w:hAnsi="宋体" w:cs="Calibri Light"/>
          <w:color w:val="auto"/>
          <w:sz w:val="24"/>
          <w:szCs w:val="24"/>
          <w:highlight w:val="none"/>
        </w:rPr>
      </w:pPr>
      <w:r>
        <w:rPr>
          <w:rFonts w:hint="eastAsia" w:ascii="宋体" w:hAnsi="宋体"/>
          <w:b/>
          <w:color w:val="auto"/>
          <w:kern w:val="0"/>
          <w:sz w:val="24"/>
          <w:highlight w:val="none"/>
        </w:rPr>
        <w:t>招标需求中要求提供的相关证明材料及根据评标办法提供的证明材料均需在投标文件中提供原件的扫描件。</w:t>
      </w:r>
    </w:p>
    <w:p w14:paraId="50543D4C">
      <w:pPr>
        <w:spacing w:line="360" w:lineRule="auto"/>
        <w:ind w:right="-108" w:firstLine="422" w:firstLineChars="150"/>
        <w:rPr>
          <w:rFonts w:ascii="宋体" w:hAnsi="宋体" w:cs="楷体_GB2312"/>
          <w:color w:val="auto"/>
          <w:sz w:val="24"/>
          <w:highlight w:val="none"/>
        </w:rPr>
      </w:pPr>
      <w:r>
        <w:rPr>
          <w:rFonts w:hint="eastAsia" w:ascii="宋体" w:hAnsi="宋体" w:cs="楷体_GB2312"/>
          <w:b/>
          <w:bCs/>
          <w:color w:val="auto"/>
          <w:kern w:val="0"/>
          <w:sz w:val="28"/>
          <w:szCs w:val="28"/>
          <w:highlight w:val="none"/>
        </w:rPr>
        <w:t>第三部分</w:t>
      </w:r>
      <w:r>
        <w:rPr>
          <w:rFonts w:ascii="宋体" w:hAnsi="宋体" w:cs="楷体_GB2312"/>
          <w:b/>
          <w:bCs/>
          <w:color w:val="auto"/>
          <w:kern w:val="0"/>
          <w:sz w:val="28"/>
          <w:szCs w:val="28"/>
          <w:highlight w:val="none"/>
        </w:rPr>
        <w:t xml:space="preserve"> </w:t>
      </w:r>
      <w:r>
        <w:rPr>
          <w:rFonts w:hint="eastAsia" w:ascii="宋体" w:hAnsi="宋体" w:cs="楷体_GB2312"/>
          <w:b/>
          <w:bCs/>
          <w:color w:val="auto"/>
          <w:kern w:val="0"/>
          <w:sz w:val="28"/>
          <w:szCs w:val="28"/>
          <w:highlight w:val="none"/>
        </w:rPr>
        <w:t>：</w:t>
      </w:r>
      <w:r>
        <w:rPr>
          <w:rFonts w:hint="eastAsia" w:ascii="宋体" w:hAnsi="宋体" w:cs="楷体_GB2312"/>
          <w:b/>
          <w:color w:val="auto"/>
          <w:sz w:val="28"/>
          <w:szCs w:val="28"/>
          <w:highlight w:val="none"/>
        </w:rPr>
        <w:t>报价响应文件</w:t>
      </w:r>
    </w:p>
    <w:p w14:paraId="39CC54A2">
      <w:pPr>
        <w:snapToGrid w:val="0"/>
        <w:spacing w:line="360" w:lineRule="auto"/>
        <w:ind w:firstLine="480" w:firstLineChars="200"/>
        <w:jc w:val="left"/>
        <w:rPr>
          <w:rFonts w:ascii="宋体" w:hAnsi="宋体" w:cs="楷体_GB2312"/>
          <w:color w:val="auto"/>
          <w:kern w:val="0"/>
          <w:sz w:val="24"/>
          <w:highlight w:val="none"/>
        </w:rPr>
      </w:pPr>
      <w:r>
        <w:rPr>
          <w:rFonts w:hint="eastAsia" w:ascii="宋体" w:hAnsi="宋体" w:cs="楷体_GB2312"/>
          <w:color w:val="auto"/>
          <w:sz w:val="24"/>
          <w:highlight w:val="none"/>
        </w:rPr>
        <w:t>（1）</w:t>
      </w:r>
      <w:r>
        <w:rPr>
          <w:rFonts w:ascii="宋体" w:hAnsi="宋体" w:cs="楷体_GB2312"/>
          <w:color w:val="auto"/>
          <w:sz w:val="24"/>
          <w:highlight w:val="none"/>
        </w:rPr>
        <w:t>首次报价一览表</w:t>
      </w:r>
      <w:r>
        <w:rPr>
          <w:rFonts w:hint="eastAsia" w:ascii="宋体" w:hAnsi="宋体" w:cs="楷体_GB2312"/>
          <w:color w:val="auto"/>
          <w:sz w:val="24"/>
          <w:highlight w:val="none"/>
        </w:rPr>
        <w:t>、详细工程量清单报价表，以及供应商认为其他需要说明的内容。</w:t>
      </w:r>
    </w:p>
    <w:p w14:paraId="66A26A91">
      <w:pPr>
        <w:spacing w:line="360" w:lineRule="auto"/>
        <w:ind w:left="420"/>
        <w:rPr>
          <w:rFonts w:ascii="宋体" w:hAnsi="宋体"/>
          <w:b/>
          <w:color w:val="auto"/>
          <w:sz w:val="28"/>
          <w:highlight w:val="none"/>
        </w:rPr>
      </w:pPr>
    </w:p>
    <w:p w14:paraId="5069256A">
      <w:pPr>
        <w:spacing w:line="360" w:lineRule="auto"/>
        <w:ind w:left="420"/>
        <w:rPr>
          <w:rFonts w:ascii="宋体" w:hAnsi="宋体"/>
          <w:b/>
          <w:color w:val="auto"/>
          <w:sz w:val="28"/>
          <w:highlight w:val="none"/>
        </w:rPr>
        <w:sectPr>
          <w:headerReference r:id="rId7" w:type="first"/>
          <w:headerReference r:id="rId5" w:type="default"/>
          <w:headerReference r:id="rId6" w:type="even"/>
          <w:pgSz w:w="11906" w:h="16838"/>
          <w:pgMar w:top="1440" w:right="1800" w:bottom="1440" w:left="1800" w:header="851" w:footer="992" w:gutter="0"/>
          <w:pgNumType w:fmt="decimal"/>
          <w:cols w:space="720" w:num="1"/>
          <w:docGrid w:type="lines" w:linePitch="312" w:charSpace="0"/>
        </w:sectPr>
      </w:pPr>
    </w:p>
    <w:p w14:paraId="724D341C">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r>
        <w:rPr>
          <w:rFonts w:hint="eastAsia" w:ascii="宋体" w:hAnsi="宋体"/>
          <w:b/>
          <w:color w:val="auto"/>
          <w:sz w:val="28"/>
          <w:highlight w:val="none"/>
        </w:rPr>
        <w:t>：</w:t>
      </w:r>
    </w:p>
    <w:p w14:paraId="17DE8D5D">
      <w:pPr>
        <w:snapToGrid w:val="0"/>
        <w:spacing w:before="156" w:beforeLines="50" w:after="50" w:line="360" w:lineRule="auto"/>
        <w:ind w:firstLine="643" w:firstLineChars="200"/>
        <w:jc w:val="center"/>
        <w:rPr>
          <w:rStyle w:val="34"/>
          <w:rFonts w:ascii="宋体" w:hAnsi="宋体" w:eastAsia="楷体_GB2312"/>
          <w:b/>
          <w:color w:val="auto"/>
          <w:sz w:val="32"/>
          <w:szCs w:val="32"/>
          <w:highlight w:val="none"/>
          <w:u w:val="none"/>
        </w:rPr>
      </w:pPr>
      <w:r>
        <w:rPr>
          <w:rStyle w:val="34"/>
          <w:rFonts w:hint="eastAsia" w:ascii="宋体" w:hAnsi="宋体"/>
          <w:b/>
          <w:color w:val="auto"/>
          <w:sz w:val="32"/>
          <w:szCs w:val="32"/>
          <w:highlight w:val="none"/>
          <w:u w:val="none"/>
        </w:rPr>
        <w:t>磋商声明书</w:t>
      </w:r>
    </w:p>
    <w:p w14:paraId="6BA546E3">
      <w:pPr>
        <w:snapToGrid w:val="0"/>
        <w:spacing w:before="156" w:beforeLines="50" w:after="50" w:line="288" w:lineRule="auto"/>
        <w:rPr>
          <w:rFonts w:ascii="宋体" w:hAnsi="宋体" w:cs="楷体_GB2312"/>
          <w:color w:val="auto"/>
          <w:kern w:val="0"/>
          <w:sz w:val="24"/>
          <w:highlight w:val="none"/>
        </w:rPr>
      </w:pPr>
      <w:r>
        <w:rPr>
          <w:rFonts w:hint="eastAsia" w:ascii="宋体" w:hAnsi="宋体" w:cs="楷体_GB2312"/>
          <w:color w:val="auto"/>
          <w:kern w:val="0"/>
          <w:sz w:val="24"/>
          <w:highlight w:val="none"/>
          <w:u w:val="single"/>
          <w:lang w:eastAsia="zh-CN"/>
        </w:rPr>
        <w:t>台州市路桥区人民政府路北街道办事处</w:t>
      </w:r>
      <w:r>
        <w:rPr>
          <w:rFonts w:hint="eastAsia" w:ascii="宋体" w:hAnsi="宋体" w:cs="楷体_GB2312"/>
          <w:color w:val="auto"/>
          <w:kern w:val="0"/>
          <w:sz w:val="24"/>
          <w:highlight w:val="none"/>
        </w:rPr>
        <w:t>：</w:t>
      </w:r>
    </w:p>
    <w:p w14:paraId="5F7582CC">
      <w:pPr>
        <w:snapToGrid w:val="0"/>
        <w:spacing w:before="156" w:beforeLines="50" w:after="50" w:line="288" w:lineRule="auto"/>
        <w:ind w:firstLine="480" w:firstLineChars="200"/>
        <w:rPr>
          <w:rFonts w:ascii="宋体" w:hAnsi="宋体" w:cs="楷体_GB2312"/>
          <w:color w:val="auto"/>
          <w:kern w:val="0"/>
          <w:sz w:val="24"/>
          <w:highlight w:val="none"/>
        </w:rPr>
      </w:pPr>
      <w:r>
        <w:rPr>
          <w:rFonts w:hint="eastAsia" w:ascii="宋体" w:hAnsi="宋体" w:cs="楷体_GB2312"/>
          <w:color w:val="auto"/>
          <w:kern w:val="0"/>
          <w:sz w:val="24"/>
          <w:highlight w:val="none"/>
        </w:rPr>
        <w:t>我（</w:t>
      </w:r>
      <w:r>
        <w:rPr>
          <w:rFonts w:ascii="宋体" w:hAnsi="宋体" w:cs="楷体_GB2312"/>
          <w:color w:val="auto"/>
          <w:kern w:val="0"/>
          <w:sz w:val="24"/>
          <w:highlight w:val="none"/>
          <w:u w:val="single"/>
        </w:rPr>
        <w:t xml:space="preserve"> 姓名 </w:t>
      </w:r>
      <w:r>
        <w:rPr>
          <w:rFonts w:hint="eastAsia" w:ascii="宋体" w:hAnsi="宋体" w:cs="楷体_GB2312"/>
          <w:color w:val="auto"/>
          <w:kern w:val="0"/>
          <w:sz w:val="24"/>
          <w:highlight w:val="none"/>
        </w:rPr>
        <w:t>）系（</w:t>
      </w:r>
      <w:r>
        <w:rPr>
          <w:rFonts w:ascii="宋体" w:hAnsi="宋体" w:cs="楷体_GB2312"/>
          <w:color w:val="auto"/>
          <w:kern w:val="0"/>
          <w:sz w:val="24"/>
          <w:highlight w:val="none"/>
          <w:u w:val="single"/>
        </w:rPr>
        <w:t xml:space="preserve"> </w:t>
      </w:r>
      <w:r>
        <w:rPr>
          <w:rFonts w:hint="eastAsia" w:ascii="宋体" w:hAnsi="宋体" w:cs="楷体_GB2312"/>
          <w:color w:val="auto"/>
          <w:kern w:val="0"/>
          <w:sz w:val="24"/>
          <w:highlight w:val="none"/>
          <w:u w:val="single"/>
        </w:rPr>
        <w:t xml:space="preserve">   </w:t>
      </w:r>
      <w:r>
        <w:rPr>
          <w:rFonts w:ascii="宋体" w:hAnsi="宋体" w:cs="楷体_GB2312"/>
          <w:color w:val="auto"/>
          <w:kern w:val="0"/>
          <w:sz w:val="24"/>
          <w:highlight w:val="none"/>
          <w:u w:val="single"/>
        </w:rPr>
        <w:t>供应商名称</w:t>
      </w:r>
      <w:r>
        <w:rPr>
          <w:rFonts w:hint="eastAsia" w:ascii="宋体" w:hAnsi="宋体" w:cs="楷体_GB2312"/>
          <w:color w:val="auto"/>
          <w:kern w:val="0"/>
          <w:sz w:val="24"/>
          <w:highlight w:val="none"/>
          <w:u w:val="single"/>
        </w:rPr>
        <w:t xml:space="preserve">   </w:t>
      </w:r>
      <w:r>
        <w:rPr>
          <w:rFonts w:ascii="宋体" w:hAnsi="宋体" w:cs="楷体_GB2312"/>
          <w:color w:val="auto"/>
          <w:kern w:val="0"/>
          <w:sz w:val="24"/>
          <w:highlight w:val="none"/>
          <w:u w:val="single"/>
        </w:rPr>
        <w:t xml:space="preserve"> </w:t>
      </w:r>
      <w:r>
        <w:rPr>
          <w:rFonts w:hint="eastAsia" w:ascii="宋体" w:hAnsi="宋体" w:cs="楷体_GB2312"/>
          <w:color w:val="auto"/>
          <w:kern w:val="0"/>
          <w:sz w:val="24"/>
          <w:highlight w:val="none"/>
        </w:rPr>
        <w:t>）的法定代表人，我公司自愿参加贵方组织的</w:t>
      </w:r>
      <w:r>
        <w:rPr>
          <w:rFonts w:hint="eastAsia" w:ascii="宋体" w:hAnsi="宋体" w:cs="楷体_GB2312"/>
          <w:color w:val="auto"/>
          <w:kern w:val="0"/>
          <w:sz w:val="24"/>
          <w:highlight w:val="none"/>
          <w:u w:val="single"/>
          <w:lang w:eastAsia="zh-CN"/>
        </w:rPr>
        <w:t>路北街道2025年零星安保服务采购项目</w:t>
      </w:r>
      <w:r>
        <w:rPr>
          <w:rFonts w:hint="eastAsia" w:ascii="宋体" w:hAnsi="宋体" w:cs="楷体_GB2312"/>
          <w:color w:val="auto"/>
          <w:kern w:val="0"/>
          <w:sz w:val="24"/>
          <w:highlight w:val="none"/>
        </w:rPr>
        <w:t>（项目编号为</w:t>
      </w:r>
      <w:r>
        <w:rPr>
          <w:rFonts w:hint="eastAsia" w:ascii="宋体" w:hAnsi="宋体" w:cs="楷体_GB2312"/>
          <w:color w:val="auto"/>
          <w:kern w:val="0"/>
          <w:sz w:val="24"/>
          <w:highlight w:val="none"/>
          <w:u w:val="single"/>
          <w:lang w:eastAsia="zh-CN"/>
        </w:rPr>
        <w:t>ZJZL-2025-001</w:t>
      </w:r>
      <w:r>
        <w:rPr>
          <w:rFonts w:hint="eastAsia" w:ascii="宋体" w:hAnsi="宋体" w:cs="楷体_GB2312"/>
          <w:color w:val="auto"/>
          <w:kern w:val="0"/>
          <w:sz w:val="24"/>
          <w:highlight w:val="none"/>
        </w:rPr>
        <w:t>）的磋商，为此，我公司就本次磋商有关事项郑重声明如下：</w:t>
      </w:r>
    </w:p>
    <w:p w14:paraId="27F0D36E">
      <w:pPr>
        <w:numPr>
          <w:ilvl w:val="0"/>
          <w:numId w:val="6"/>
        </w:numPr>
        <w:snapToGrid w:val="0"/>
        <w:spacing w:before="156" w:beforeLines="50" w:after="50" w:line="288" w:lineRule="auto"/>
        <w:ind w:firstLine="480" w:firstLineChars="200"/>
        <w:rPr>
          <w:rFonts w:ascii="宋体" w:hAnsi="宋体" w:cs="楷体_GB2312"/>
          <w:b/>
          <w:color w:val="auto"/>
          <w:kern w:val="0"/>
          <w:sz w:val="24"/>
          <w:highlight w:val="none"/>
        </w:rPr>
      </w:pPr>
      <w:r>
        <w:rPr>
          <w:rFonts w:hint="eastAsia" w:ascii="宋体" w:hAnsi="宋体" w:cs="Tahoma"/>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40686188">
      <w:pPr>
        <w:numPr>
          <w:ilvl w:val="0"/>
          <w:numId w:val="6"/>
        </w:numPr>
        <w:snapToGrid w:val="0"/>
        <w:spacing w:before="156" w:beforeLines="50" w:after="50" w:line="288" w:lineRule="auto"/>
        <w:ind w:firstLine="480" w:firstLineChars="200"/>
        <w:rPr>
          <w:rFonts w:ascii="宋体" w:hAnsi="宋体" w:cs="楷体_GB2312"/>
          <w:color w:val="auto"/>
          <w:kern w:val="0"/>
          <w:sz w:val="24"/>
          <w:highlight w:val="none"/>
        </w:rPr>
      </w:pPr>
      <w:r>
        <w:rPr>
          <w:rFonts w:hint="eastAsia" w:ascii="宋体" w:hAnsi="宋体" w:cs="楷体_GB2312"/>
          <w:color w:val="auto"/>
          <w:kern w:val="0"/>
          <w:sz w:val="24"/>
          <w:highlight w:val="none"/>
        </w:rPr>
        <w:t>我公司</w:t>
      </w:r>
      <w:r>
        <w:rPr>
          <w:rFonts w:ascii="宋体" w:hAnsi="宋体" w:cs="楷体_GB2312"/>
          <w:color w:val="auto"/>
          <w:kern w:val="0"/>
          <w:sz w:val="24"/>
          <w:highlight w:val="none"/>
        </w:rPr>
        <w:t>在参与</w:t>
      </w:r>
      <w:r>
        <w:rPr>
          <w:rFonts w:hint="eastAsia" w:ascii="宋体" w:hAnsi="宋体" w:cs="楷体_GB2312"/>
          <w:color w:val="auto"/>
          <w:kern w:val="0"/>
          <w:sz w:val="24"/>
          <w:highlight w:val="none"/>
        </w:rPr>
        <w:t>磋商</w:t>
      </w:r>
      <w:r>
        <w:rPr>
          <w:rFonts w:ascii="宋体" w:hAnsi="宋体" w:cs="楷体_GB2312"/>
          <w:color w:val="auto"/>
          <w:kern w:val="0"/>
          <w:sz w:val="24"/>
          <w:highlight w:val="none"/>
        </w:rPr>
        <w:t>前已</w:t>
      </w:r>
      <w:r>
        <w:rPr>
          <w:rFonts w:hint="eastAsia" w:ascii="宋体" w:hAnsi="宋体" w:cs="楷体_GB2312"/>
          <w:color w:val="auto"/>
          <w:kern w:val="0"/>
          <w:sz w:val="24"/>
          <w:highlight w:val="none"/>
        </w:rPr>
        <w:t>详细审查</w:t>
      </w:r>
      <w:r>
        <w:rPr>
          <w:rFonts w:ascii="宋体" w:hAnsi="宋体" w:cs="楷体_GB2312"/>
          <w:color w:val="auto"/>
          <w:kern w:val="0"/>
          <w:sz w:val="24"/>
          <w:highlight w:val="none"/>
        </w:rPr>
        <w:t>了</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文件和所有相关资料，我方完全明白并认为此</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文件没有倾向性，也没有存在排斥潜在</w:t>
      </w:r>
      <w:r>
        <w:rPr>
          <w:rFonts w:hint="eastAsia" w:ascii="宋体" w:hAnsi="宋体" w:cs="楷体_GB2312"/>
          <w:color w:val="auto"/>
          <w:kern w:val="0"/>
          <w:sz w:val="24"/>
          <w:highlight w:val="none"/>
        </w:rPr>
        <w:t>供应商</w:t>
      </w:r>
      <w:r>
        <w:rPr>
          <w:rFonts w:ascii="宋体" w:hAnsi="宋体" w:cs="楷体_GB2312"/>
          <w:color w:val="auto"/>
          <w:kern w:val="0"/>
          <w:sz w:val="24"/>
          <w:highlight w:val="none"/>
        </w:rPr>
        <w:t>的内容，我方同意</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文件的相关条款，放弃对</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文件提出误解和质疑的一切权</w:t>
      </w:r>
      <w:r>
        <w:rPr>
          <w:rFonts w:hint="eastAsia" w:ascii="宋体" w:hAnsi="宋体" w:cs="楷体_GB2312"/>
          <w:color w:val="auto"/>
          <w:kern w:val="0"/>
          <w:sz w:val="24"/>
          <w:highlight w:val="none"/>
        </w:rPr>
        <w:t>利。</w:t>
      </w:r>
    </w:p>
    <w:p w14:paraId="26696CF9">
      <w:pPr>
        <w:snapToGrid w:val="0"/>
        <w:spacing w:before="156" w:beforeLines="50" w:after="50" w:line="288" w:lineRule="auto"/>
        <w:ind w:firstLine="480" w:firstLineChars="200"/>
        <w:rPr>
          <w:rFonts w:ascii="宋体" w:hAnsi="宋体"/>
          <w:color w:val="auto"/>
          <w:sz w:val="24"/>
          <w:highlight w:val="none"/>
        </w:rPr>
      </w:pPr>
      <w:r>
        <w:rPr>
          <w:rFonts w:ascii="宋体" w:hAnsi="宋体"/>
          <w:color w:val="auto"/>
          <w:sz w:val="24"/>
          <w:highlight w:val="none"/>
        </w:rPr>
        <w:t>3、我</w:t>
      </w:r>
      <w:r>
        <w:rPr>
          <w:rFonts w:hint="eastAsia" w:ascii="宋体" w:hAnsi="宋体" w:cs="方正书宋简体"/>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599EEE57">
      <w:pPr>
        <w:snapToGrid w:val="0"/>
        <w:spacing w:before="156" w:beforeLines="50" w:after="50" w:line="288" w:lineRule="auto"/>
        <w:ind w:firstLine="480" w:firstLineChars="200"/>
        <w:rPr>
          <w:rFonts w:ascii="宋体" w:hAnsi="宋体"/>
          <w:color w:val="auto"/>
          <w:kern w:val="0"/>
          <w:sz w:val="24"/>
          <w:highlight w:val="none"/>
          <w:lang w:val="af-ZA"/>
        </w:rPr>
      </w:pPr>
      <w:r>
        <w:rPr>
          <w:rFonts w:ascii="宋体" w:hAnsi="宋体"/>
          <w:color w:val="auto"/>
          <w:sz w:val="24"/>
          <w:highlight w:val="none"/>
        </w:rPr>
        <w:t>4、</w:t>
      </w:r>
      <w:r>
        <w:rPr>
          <w:rFonts w:hint="eastAsia" w:ascii="宋体" w:hAnsi="宋体" w:cs="楷体_GB2312"/>
          <w:color w:val="auto"/>
          <w:kern w:val="0"/>
          <w:sz w:val="24"/>
          <w:highlight w:val="none"/>
        </w:rPr>
        <w:t>我</w:t>
      </w:r>
      <w:r>
        <w:rPr>
          <w:rFonts w:hint="eastAsia" w:ascii="宋体" w:hAnsi="宋体" w:cs="方正书宋简体"/>
          <w:color w:val="auto"/>
          <w:kern w:val="0"/>
          <w:sz w:val="24"/>
          <w:highlight w:val="none"/>
          <w:lang w:val="zh-CN"/>
        </w:rPr>
        <w:t>公司</w:t>
      </w:r>
      <w:r>
        <w:rPr>
          <w:rFonts w:hint="eastAsia" w:ascii="宋体" w:hAnsi="宋体" w:cs="楷体_GB2312"/>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楷体_GB2312"/>
          <w:color w:val="auto"/>
          <w:kern w:val="0"/>
          <w:sz w:val="24"/>
          <w:highlight w:val="none"/>
        </w:rPr>
        <w:t>我</w:t>
      </w:r>
      <w:r>
        <w:rPr>
          <w:rFonts w:hint="eastAsia" w:ascii="宋体" w:hAnsi="宋体" w:cs="方正书宋简体"/>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楷体_GB2312"/>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楷体_GB2312"/>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011F9544">
      <w:pPr>
        <w:snapToGrid w:val="0"/>
        <w:spacing w:before="156" w:beforeLines="50" w:after="50" w:line="288" w:lineRule="auto"/>
        <w:ind w:firstLine="480" w:firstLineChars="200"/>
        <w:rPr>
          <w:rFonts w:ascii="宋体" w:hAnsi="宋体" w:cs="方正书宋简体"/>
          <w:color w:val="auto"/>
          <w:sz w:val="24"/>
          <w:highlight w:val="none"/>
        </w:rPr>
      </w:pPr>
      <w:r>
        <w:rPr>
          <w:rFonts w:ascii="宋体" w:hAnsi="宋体" w:cs="楷体_GB2312"/>
          <w:color w:val="auto"/>
          <w:kern w:val="0"/>
          <w:sz w:val="24"/>
          <w:highlight w:val="none"/>
          <w:lang w:val="af-ZA"/>
        </w:rPr>
        <w:t>5、我</w:t>
      </w:r>
      <w:r>
        <w:rPr>
          <w:rFonts w:hint="eastAsia" w:ascii="宋体" w:hAnsi="宋体" w:cs="楷体_GB2312"/>
          <w:color w:val="auto"/>
          <w:kern w:val="0"/>
          <w:sz w:val="24"/>
          <w:highlight w:val="none"/>
          <w:lang w:val="zh-CN"/>
        </w:rPr>
        <w:t>公司</w:t>
      </w:r>
      <w:r>
        <w:rPr>
          <w:rFonts w:hint="eastAsia" w:ascii="宋体" w:hAnsi="宋体" w:cs="楷体_GB2312"/>
          <w:color w:val="auto"/>
          <w:kern w:val="0"/>
          <w:sz w:val="24"/>
          <w:highlight w:val="none"/>
          <w:lang w:val="af-ZA"/>
        </w:rPr>
        <w:t>严格履行政府采购合同，不降低合同约定的产品质量和服务，不擅自变更、中止、终止合同，或拒绝履行合同义务；</w:t>
      </w:r>
    </w:p>
    <w:p w14:paraId="24A4785D">
      <w:pPr>
        <w:snapToGrid w:val="0"/>
        <w:spacing w:before="156" w:beforeLines="50" w:after="50" w:line="288" w:lineRule="auto"/>
        <w:ind w:firstLine="480" w:firstLineChars="200"/>
        <w:rPr>
          <w:rFonts w:ascii="宋体" w:hAnsi="宋体"/>
          <w:color w:val="auto"/>
          <w:sz w:val="24"/>
          <w:highlight w:val="none"/>
        </w:rPr>
      </w:pPr>
      <w:r>
        <w:rPr>
          <w:rFonts w:ascii="宋体" w:hAnsi="宋体"/>
          <w:color w:val="auto"/>
          <w:sz w:val="24"/>
          <w:highlight w:val="none"/>
        </w:rPr>
        <w:t>6、以上事项如有虚假或隐瞒，我</w:t>
      </w:r>
      <w:r>
        <w:rPr>
          <w:rFonts w:hint="eastAsia" w:ascii="宋体" w:hAnsi="宋体" w:cs="方正书宋简体"/>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4A73A43D">
      <w:pPr>
        <w:adjustRightInd w:val="0"/>
        <w:snapToGrid w:val="0"/>
        <w:spacing w:line="360" w:lineRule="auto"/>
        <w:ind w:firstLine="480"/>
        <w:rPr>
          <w:rFonts w:ascii="宋体" w:hAnsi="宋体" w:cs="方正书宋简体"/>
          <w:color w:val="auto"/>
          <w:kern w:val="0"/>
          <w:sz w:val="24"/>
          <w:highlight w:val="none"/>
        </w:rPr>
      </w:pPr>
    </w:p>
    <w:p w14:paraId="623AD3CA">
      <w:pPr>
        <w:adjustRightInd w:val="0"/>
        <w:snapToGrid w:val="0"/>
        <w:spacing w:line="360" w:lineRule="auto"/>
        <w:ind w:firstLine="3360" w:firstLineChars="1400"/>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7CD8BEA5">
      <w:pPr>
        <w:adjustRightInd w:val="0"/>
        <w:snapToGrid w:val="0"/>
        <w:spacing w:line="360" w:lineRule="auto"/>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 xml:space="preserve">                            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44627434">
      <w:pPr>
        <w:adjustRightInd w:val="0"/>
        <w:snapToGrid w:val="0"/>
        <w:spacing w:line="360" w:lineRule="auto"/>
        <w:ind w:right="480"/>
        <w:jc w:val="center"/>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 xml:space="preserve">                        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  月   日</w:t>
      </w:r>
    </w:p>
    <w:p w14:paraId="45A32565">
      <w:pPr>
        <w:adjustRightInd w:val="0"/>
        <w:snapToGrid w:val="0"/>
        <w:spacing w:line="360" w:lineRule="auto"/>
        <w:ind w:right="480"/>
        <w:rPr>
          <w:rFonts w:ascii="宋体" w:hAnsi="宋体"/>
          <w:b/>
          <w:color w:val="auto"/>
          <w:sz w:val="28"/>
          <w:highlight w:val="none"/>
        </w:rPr>
      </w:pPr>
    </w:p>
    <w:p w14:paraId="0F9B75BF">
      <w:pPr>
        <w:adjustRightInd w:val="0"/>
        <w:snapToGrid w:val="0"/>
        <w:spacing w:line="360" w:lineRule="auto"/>
        <w:ind w:right="480"/>
        <w:rPr>
          <w:rFonts w:ascii="宋体" w:hAnsi="宋体"/>
          <w:b/>
          <w:color w:val="auto"/>
          <w:sz w:val="28"/>
          <w:highlight w:val="none"/>
        </w:rPr>
      </w:pPr>
    </w:p>
    <w:p w14:paraId="08C76D17">
      <w:pPr>
        <w:adjustRightInd w:val="0"/>
        <w:snapToGrid w:val="0"/>
        <w:spacing w:line="360" w:lineRule="auto"/>
        <w:ind w:right="480"/>
        <w:rPr>
          <w:rFonts w:ascii="宋体" w:hAns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r>
        <w:rPr>
          <w:rFonts w:hint="eastAsia" w:ascii="宋体" w:hAnsi="宋体"/>
          <w:b/>
          <w:color w:val="auto"/>
          <w:sz w:val="28"/>
          <w:highlight w:val="none"/>
        </w:rPr>
        <w:t>：</w:t>
      </w:r>
    </w:p>
    <w:p w14:paraId="3EE79908">
      <w:pPr>
        <w:spacing w:line="360" w:lineRule="auto"/>
        <w:ind w:firstLine="321" w:firstLineChars="100"/>
        <w:jc w:val="center"/>
        <w:rPr>
          <w:rFonts w:ascii="宋体" w:hAnsi="宋体"/>
          <w:b/>
          <w:color w:val="auto"/>
          <w:sz w:val="32"/>
          <w:szCs w:val="32"/>
          <w:highlight w:val="none"/>
          <w:u w:val="single"/>
        </w:rPr>
      </w:pPr>
      <w:r>
        <w:rPr>
          <w:rFonts w:ascii="宋体" w:hAnsi="宋体"/>
          <w:b/>
          <w:color w:val="auto"/>
          <w:sz w:val="32"/>
          <w:szCs w:val="32"/>
          <w:highlight w:val="none"/>
        </w:rPr>
        <w:t>授权</w:t>
      </w:r>
      <w:r>
        <w:rPr>
          <w:rFonts w:hint="eastAsia" w:ascii="宋体" w:hAnsi="宋体"/>
          <w:b/>
          <w:color w:val="auto"/>
          <w:sz w:val="32"/>
          <w:szCs w:val="32"/>
          <w:highlight w:val="none"/>
        </w:rPr>
        <w:t>委托</w:t>
      </w:r>
      <w:r>
        <w:rPr>
          <w:rFonts w:ascii="宋体" w:hAnsi="宋体"/>
          <w:b/>
          <w:color w:val="auto"/>
          <w:sz w:val="32"/>
          <w:szCs w:val="32"/>
          <w:highlight w:val="none"/>
        </w:rPr>
        <w:t>书</w:t>
      </w:r>
    </w:p>
    <w:p w14:paraId="049B2163">
      <w:pPr>
        <w:pStyle w:val="18"/>
        <w:spacing w:line="500" w:lineRule="exact"/>
        <w:rPr>
          <w:rFonts w:ascii="宋体" w:hAnsi="宋体" w:eastAsia="宋体"/>
          <w:b/>
          <w:color w:val="auto"/>
          <w:sz w:val="24"/>
          <w:highlight w:val="none"/>
        </w:rPr>
      </w:pPr>
      <w:r>
        <w:rPr>
          <w:rFonts w:hint="eastAsia" w:ascii="宋体" w:hAnsi="宋体" w:eastAsia="宋体"/>
          <w:color w:val="auto"/>
          <w:sz w:val="24"/>
          <w:highlight w:val="none"/>
          <w:u w:val="single"/>
          <w:lang w:eastAsia="zh-CN"/>
        </w:rPr>
        <w:t>台州市路桥区人民政府路北街道办事处</w:t>
      </w:r>
      <w:r>
        <w:rPr>
          <w:rFonts w:ascii="宋体" w:hAnsi="宋体" w:eastAsia="宋体"/>
          <w:b/>
          <w:color w:val="auto"/>
          <w:sz w:val="24"/>
          <w:highlight w:val="none"/>
        </w:rPr>
        <w:t>：</w:t>
      </w:r>
    </w:p>
    <w:p w14:paraId="5580B5D6">
      <w:pPr>
        <w:pStyle w:val="18"/>
        <w:spacing w:line="500" w:lineRule="exact"/>
        <w:ind w:left="1" w:firstLine="480" w:firstLineChars="200"/>
        <w:rPr>
          <w:rFonts w:ascii="宋体" w:hAnsi="宋体" w:eastAsia="宋体"/>
          <w:color w:val="auto"/>
          <w:sz w:val="24"/>
          <w:highlight w:val="none"/>
        </w:rPr>
      </w:pPr>
      <w:r>
        <w:rPr>
          <w:rFonts w:ascii="宋体" w:hAnsi="宋体" w:eastAsia="宋体"/>
          <w:color w:val="auto"/>
          <w:sz w:val="24"/>
          <w:highlight w:val="none"/>
          <w:u w:val="single"/>
        </w:rPr>
        <w:t>（</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全称）</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ascii="宋体" w:hAnsi="宋体" w:eastAsia="宋体"/>
          <w:color w:val="auto"/>
          <w:sz w:val="24"/>
          <w:highlight w:val="none"/>
        </w:rPr>
        <w:t>法定代表人</w:t>
      </w:r>
      <w:r>
        <w:rPr>
          <w:rFonts w:hint="eastAsia" w:ascii="宋体" w:hAnsi="宋体" w:eastAsia="宋体" w:cs="Tahoma"/>
          <w:color w:val="auto"/>
          <w:sz w:val="24"/>
          <w:highlight w:val="none"/>
        </w:rPr>
        <w:t>（或营业执照中单位负责人）</w:t>
      </w:r>
      <w:r>
        <w:rPr>
          <w:rFonts w:ascii="宋体" w:hAnsi="宋体" w:eastAsia="宋体"/>
          <w:color w:val="auto"/>
          <w:sz w:val="24"/>
          <w:highlight w:val="none"/>
          <w:u w:val="single"/>
        </w:rPr>
        <w:tab/>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（法定代表</w:t>
      </w:r>
      <w:r>
        <w:rPr>
          <w:rFonts w:hint="eastAsia" w:ascii="宋体" w:hAnsi="宋体" w:eastAsia="宋体"/>
          <w:color w:val="auto"/>
          <w:sz w:val="24"/>
          <w:highlight w:val="none"/>
          <w:u w:val="single"/>
        </w:rPr>
        <w:t>人</w:t>
      </w:r>
      <w:r>
        <w:rPr>
          <w:rFonts w:hint="eastAsia" w:ascii="宋体" w:hAnsi="宋体" w:eastAsia="宋体" w:cs="Tahoma"/>
          <w:color w:val="auto"/>
          <w:sz w:val="24"/>
          <w:highlight w:val="none"/>
          <w:u w:val="single"/>
        </w:rPr>
        <w:t>或营业执照中单位负责人</w:t>
      </w:r>
      <w:r>
        <w:rPr>
          <w:rFonts w:ascii="宋体" w:hAnsi="宋体" w:eastAsia="宋体"/>
          <w:color w:val="auto"/>
          <w:sz w:val="24"/>
          <w:highlight w:val="none"/>
          <w:u w:val="single"/>
        </w:rPr>
        <w:t>姓名）</w:t>
      </w:r>
      <w:r>
        <w:rPr>
          <w:rFonts w:ascii="宋体" w:hAnsi="宋体" w:eastAsia="宋体"/>
          <w:color w:val="auto"/>
          <w:sz w:val="24"/>
          <w:highlight w:val="none"/>
        </w:rPr>
        <w:t>授权</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授权委托代理人</w:t>
      </w:r>
      <w:r>
        <w:rPr>
          <w:rFonts w:ascii="宋体" w:hAnsi="宋体" w:eastAsia="宋体"/>
          <w:color w:val="auto"/>
          <w:sz w:val="24"/>
          <w:highlight w:val="none"/>
          <w:u w:val="single"/>
        </w:rPr>
        <w:t>姓名</w:t>
      </w:r>
      <w:r>
        <w:rPr>
          <w:rFonts w:hint="eastAsia" w:ascii="宋体" w:hAnsi="宋体" w:eastAsia="宋体"/>
          <w:color w:val="auto"/>
          <w:sz w:val="24"/>
          <w:highlight w:val="none"/>
          <w:u w:val="single"/>
        </w:rPr>
        <w:t>）</w:t>
      </w:r>
      <w:r>
        <w:rPr>
          <w:rFonts w:ascii="宋体" w:hAnsi="宋体" w:eastAsia="宋体"/>
          <w:color w:val="auto"/>
          <w:sz w:val="24"/>
          <w:highlight w:val="none"/>
        </w:rPr>
        <w:t>为</w:t>
      </w:r>
      <w:r>
        <w:rPr>
          <w:rFonts w:hint="eastAsia" w:ascii="宋体" w:hAnsi="宋体" w:eastAsia="宋体"/>
          <w:color w:val="auto"/>
          <w:sz w:val="24"/>
          <w:highlight w:val="none"/>
        </w:rPr>
        <w:t>代理人</w:t>
      </w:r>
      <w:r>
        <w:rPr>
          <w:rFonts w:ascii="宋体" w:hAnsi="宋体" w:eastAsia="宋体"/>
          <w:color w:val="auto"/>
          <w:sz w:val="24"/>
          <w:highlight w:val="none"/>
        </w:rPr>
        <w:t>，参加贵单位组织的</w:t>
      </w:r>
      <w:r>
        <w:rPr>
          <w:rFonts w:hint="eastAsia" w:ascii="宋体" w:hAnsi="宋体" w:eastAsia="宋体"/>
          <w:color w:val="auto"/>
          <w:sz w:val="24"/>
          <w:highlight w:val="none"/>
          <w:u w:val="single"/>
          <w:lang w:eastAsia="zh-CN"/>
        </w:rPr>
        <w:t>路北街道2025年零星安保服务采购项目</w:t>
      </w:r>
      <w:r>
        <w:rPr>
          <w:rFonts w:ascii="宋体" w:hAnsi="宋体" w:eastAsia="宋体"/>
          <w:color w:val="auto"/>
          <w:sz w:val="24"/>
          <w:highlight w:val="none"/>
        </w:rPr>
        <w:t>的采购活动，并代表我方全权办理针对上述项目的磋商、签约等具体事务和签署相关文件。</w:t>
      </w:r>
      <w:r>
        <w:rPr>
          <w:rFonts w:hint="eastAsia" w:ascii="宋体" w:hAnsi="宋体" w:eastAsia="宋体"/>
          <w:color w:val="auto"/>
          <w:sz w:val="24"/>
          <w:highlight w:val="none"/>
        </w:rPr>
        <w:t>我方对授权委托代理人的签字事项负全部责任。</w:t>
      </w:r>
    </w:p>
    <w:p w14:paraId="01AAD658">
      <w:pPr>
        <w:pStyle w:val="18"/>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在撤销授权的书面通知以前，本授权书一直有效。授权委托代理人在授权委托书有效期内签署的所有文件不因授权的撤销而失效。</w:t>
      </w:r>
    </w:p>
    <w:p w14:paraId="6A2AD71D">
      <w:pPr>
        <w:pStyle w:val="18"/>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授权委托代理人无转委托权，特此委托。</w:t>
      </w:r>
    </w:p>
    <w:p w14:paraId="54D14207">
      <w:pPr>
        <w:spacing w:line="360" w:lineRule="auto"/>
        <w:rPr>
          <w:rFonts w:ascii="宋体" w:hAnsi="宋体"/>
          <w:color w:val="auto"/>
          <w:sz w:val="24"/>
          <w:highlight w:val="none"/>
        </w:rPr>
      </w:pPr>
    </w:p>
    <w:p w14:paraId="1A97D2D5">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法定代表人（签字或盖章）：</w:t>
      </w:r>
    </w:p>
    <w:p w14:paraId="37FF12C6">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磋商供应商（电子公章）：</w:t>
      </w:r>
      <w:r>
        <w:rPr>
          <w:rFonts w:ascii="宋体" w:hAnsi="宋体"/>
          <w:color w:val="auto"/>
          <w:sz w:val="24"/>
          <w:highlight w:val="none"/>
        </w:rPr>
        <w:t xml:space="preserve">                       </w:t>
      </w:r>
    </w:p>
    <w:p w14:paraId="516B8449">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日期：</w:t>
      </w:r>
    </w:p>
    <w:p w14:paraId="6102D86E">
      <w:pPr>
        <w:spacing w:line="360" w:lineRule="auto"/>
        <w:rPr>
          <w:rFonts w:ascii="宋体" w:hAnsi="宋体"/>
          <w:color w:val="auto"/>
          <w:sz w:val="24"/>
          <w:highlight w:val="none"/>
        </w:rPr>
      </w:pPr>
    </w:p>
    <w:p w14:paraId="45538F02">
      <w:pPr>
        <w:spacing w:line="360" w:lineRule="auto"/>
        <w:rPr>
          <w:rFonts w:ascii="宋体" w:hAnsi="宋体"/>
          <w:b/>
          <w:color w:val="auto"/>
          <w:sz w:val="24"/>
          <w:highlight w:val="none"/>
        </w:rPr>
      </w:pPr>
      <w:r>
        <w:rPr>
          <w:rFonts w:hint="eastAsia" w:ascii="宋体" w:hAnsi="宋体"/>
          <w:b/>
          <w:color w:val="auto"/>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A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4F698A2">
            <w:pPr>
              <w:spacing w:line="360" w:lineRule="auto"/>
              <w:rPr>
                <w:rFonts w:ascii="宋体" w:hAnsi="宋体"/>
                <w:b/>
                <w:color w:val="auto"/>
                <w:sz w:val="24"/>
                <w:highlight w:val="none"/>
              </w:rPr>
            </w:pPr>
          </w:p>
          <w:p w14:paraId="5E831F94">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法定代表身份证复印件粘帖处</w:t>
            </w:r>
          </w:p>
        </w:tc>
      </w:tr>
    </w:tbl>
    <w:p w14:paraId="2DD13384">
      <w:pPr>
        <w:spacing w:line="360" w:lineRule="auto"/>
        <w:rPr>
          <w:rFonts w:ascii="宋体" w:hAnsi="宋体"/>
          <w:color w:val="auto"/>
          <w:sz w:val="24"/>
          <w:highlight w:val="none"/>
        </w:rPr>
      </w:pPr>
      <w:r>
        <w:rPr>
          <w:rFonts w:hint="eastAsia" w:ascii="宋体" w:hAnsi="宋体"/>
          <w:color w:val="auto"/>
          <w:sz w:val="24"/>
          <w:highlight w:val="none"/>
        </w:rPr>
        <w:t>法定代表人姓名：</w:t>
      </w:r>
      <w:r>
        <w:rPr>
          <w:rFonts w:ascii="宋体" w:hAnsi="宋体"/>
          <w:color w:val="auto"/>
          <w:sz w:val="24"/>
          <w:highlight w:val="none"/>
        </w:rPr>
        <w:t xml:space="preserve">                                 </w:t>
      </w:r>
    </w:p>
    <w:p w14:paraId="74950A95">
      <w:pPr>
        <w:spacing w:line="360" w:lineRule="auto"/>
        <w:rPr>
          <w:rFonts w:ascii="宋体" w:hAnsi="宋体"/>
          <w:color w:val="auto"/>
          <w:sz w:val="24"/>
          <w:highlight w:val="none"/>
        </w:rPr>
      </w:pPr>
      <w:r>
        <w:rPr>
          <w:rFonts w:hint="eastAsia" w:ascii="宋体" w:hAnsi="宋体"/>
          <w:color w:val="auto"/>
          <w:sz w:val="24"/>
          <w:highlight w:val="none"/>
        </w:rPr>
        <w:t>手机号码：</w:t>
      </w:r>
    </w:p>
    <w:p w14:paraId="091EB786">
      <w:pPr>
        <w:spacing w:line="360" w:lineRule="auto"/>
        <w:rPr>
          <w:rFonts w:ascii="宋体" w:hAnsi="宋体"/>
          <w:color w:val="auto"/>
          <w:sz w:val="24"/>
          <w:highlight w:val="none"/>
        </w:rPr>
      </w:pPr>
      <w:r>
        <w:rPr>
          <w:rFonts w:hint="eastAsia" w:ascii="宋体" w:hAnsi="宋体"/>
          <w:color w:val="auto"/>
          <w:sz w:val="24"/>
          <w:highlight w:val="none"/>
        </w:rPr>
        <w:t>电子邮箱（建议为qq邮箱）：</w:t>
      </w:r>
    </w:p>
    <w:p w14:paraId="12010ACF">
      <w:pPr>
        <w:spacing w:line="360" w:lineRule="auto"/>
        <w:rPr>
          <w:rFonts w:ascii="宋体" w:hAnsi="宋体"/>
          <w:b/>
          <w:color w:val="auto"/>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11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B96519C">
            <w:pPr>
              <w:spacing w:line="360" w:lineRule="auto"/>
              <w:rPr>
                <w:rFonts w:ascii="宋体" w:hAnsi="宋体"/>
                <w:b/>
                <w:color w:val="auto"/>
                <w:sz w:val="24"/>
                <w:highlight w:val="none"/>
              </w:rPr>
            </w:pPr>
          </w:p>
          <w:p w14:paraId="3874C5B2">
            <w:pPr>
              <w:spacing w:line="360" w:lineRule="auto"/>
              <w:rPr>
                <w:rFonts w:ascii="宋体" w:hAnsi="宋体"/>
                <w:b/>
                <w:color w:val="auto"/>
                <w:sz w:val="24"/>
                <w:highlight w:val="none"/>
              </w:rPr>
            </w:pPr>
            <w:r>
              <w:rPr>
                <w:rFonts w:hint="eastAsia" w:ascii="宋体" w:hAnsi="宋体"/>
                <w:b/>
                <w:color w:val="auto"/>
                <w:sz w:val="24"/>
                <w:highlight w:val="none"/>
              </w:rPr>
              <w:t>授权委托代理人身份证复印件粘帖处</w:t>
            </w:r>
          </w:p>
        </w:tc>
      </w:tr>
    </w:tbl>
    <w:p w14:paraId="74C4E588">
      <w:pPr>
        <w:spacing w:line="360" w:lineRule="auto"/>
        <w:rPr>
          <w:rFonts w:ascii="宋体" w:hAnsi="宋体"/>
          <w:color w:val="auto"/>
          <w:sz w:val="24"/>
          <w:highlight w:val="none"/>
        </w:rPr>
      </w:pPr>
    </w:p>
    <w:p w14:paraId="1AB16979">
      <w:pPr>
        <w:spacing w:line="360" w:lineRule="auto"/>
        <w:rPr>
          <w:rFonts w:ascii="宋体" w:hAnsi="宋体"/>
          <w:color w:val="auto"/>
          <w:sz w:val="24"/>
          <w:highlight w:val="none"/>
        </w:rPr>
      </w:pPr>
      <w:r>
        <w:rPr>
          <w:rFonts w:hint="eastAsia" w:ascii="宋体" w:hAnsi="宋体"/>
          <w:color w:val="auto"/>
          <w:sz w:val="24"/>
          <w:highlight w:val="none"/>
        </w:rPr>
        <w:t>授权委托代理人姓名：</w:t>
      </w:r>
      <w:r>
        <w:rPr>
          <w:rFonts w:ascii="宋体" w:hAnsi="宋体"/>
          <w:color w:val="auto"/>
          <w:sz w:val="24"/>
          <w:highlight w:val="none"/>
        </w:rPr>
        <w:t xml:space="preserve">       </w:t>
      </w:r>
    </w:p>
    <w:p w14:paraId="595EFAA3">
      <w:pPr>
        <w:spacing w:line="360" w:lineRule="auto"/>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rPr>
        <w:t xml:space="preserve">                           </w:t>
      </w:r>
    </w:p>
    <w:p w14:paraId="0353FC0B">
      <w:pPr>
        <w:spacing w:line="360" w:lineRule="auto"/>
        <w:rPr>
          <w:rFonts w:ascii="宋体" w:hAnsi="宋体"/>
          <w:color w:val="auto"/>
          <w:sz w:val="24"/>
          <w:highlight w:val="none"/>
        </w:rPr>
      </w:pPr>
      <w:r>
        <w:rPr>
          <w:rFonts w:hint="eastAsia" w:ascii="宋体" w:hAnsi="宋体"/>
          <w:color w:val="auto"/>
          <w:sz w:val="24"/>
          <w:highlight w:val="none"/>
        </w:rPr>
        <w:t>手机号码：</w:t>
      </w:r>
    </w:p>
    <w:p w14:paraId="752E5D5E">
      <w:pPr>
        <w:spacing w:line="360" w:lineRule="auto"/>
        <w:rPr>
          <w:rFonts w:ascii="宋体" w:hAnsi="宋体"/>
          <w:color w:val="auto"/>
          <w:sz w:val="24"/>
          <w:highlight w:val="none"/>
        </w:rPr>
      </w:pPr>
      <w:r>
        <w:rPr>
          <w:rFonts w:hint="eastAsia" w:ascii="宋体" w:hAnsi="宋体"/>
          <w:color w:val="auto"/>
          <w:sz w:val="24"/>
          <w:highlight w:val="none"/>
        </w:rPr>
        <w:t>电子邮箱（建议为qq邮箱）：</w:t>
      </w:r>
    </w:p>
    <w:p w14:paraId="668E6928">
      <w:pPr>
        <w:pStyle w:val="54"/>
        <w:shd w:val="clear" w:color="auto" w:fill="FFFFFF"/>
        <w:spacing w:before="0" w:beforeAutospacing="0" w:after="0" w:afterAutospacing="0" w:line="360" w:lineRule="auto"/>
        <w:rPr>
          <w:rFonts w:ascii="宋体" w:hAnsi="宋体"/>
          <w:b/>
          <w:color w:val="auto"/>
          <w:sz w:val="28"/>
          <w:highlight w:val="none"/>
        </w:rPr>
        <w:sectPr>
          <w:pgSz w:w="11906" w:h="16838"/>
          <w:pgMar w:top="1440" w:right="1800" w:bottom="1440" w:left="1800" w:header="851" w:footer="992" w:gutter="0"/>
          <w:pgNumType w:fmt="decimal"/>
          <w:cols w:space="720" w:num="1"/>
          <w:docGrid w:type="lines" w:linePitch="312" w:charSpace="0"/>
        </w:sectPr>
      </w:pPr>
    </w:p>
    <w:p w14:paraId="3ED8FFEC">
      <w:pPr>
        <w:pStyle w:val="54"/>
        <w:shd w:val="clear" w:color="auto" w:fill="FFFFFF"/>
        <w:spacing w:before="0" w:beforeAutospacing="0" w:after="0" w:afterAutospacing="0"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4：</w:t>
      </w:r>
    </w:p>
    <w:p w14:paraId="3AA88419">
      <w:pPr>
        <w:ind w:left="72" w:leftChars="-150" w:right="-296" w:rightChars="-141" w:hanging="387" w:hangingChars="121"/>
        <w:jc w:val="center"/>
        <w:rPr>
          <w:rFonts w:ascii="宋体" w:hAnsi="宋体"/>
          <w:bCs/>
          <w:color w:val="auto"/>
          <w:sz w:val="32"/>
          <w:szCs w:val="32"/>
          <w:highlight w:val="none"/>
        </w:rPr>
      </w:pPr>
      <w:r>
        <w:rPr>
          <w:rFonts w:hint="eastAsia" w:ascii="宋体" w:hAnsi="宋体"/>
          <w:bCs/>
          <w:color w:val="auto"/>
          <w:sz w:val="32"/>
          <w:szCs w:val="32"/>
          <w:highlight w:val="none"/>
        </w:rPr>
        <w:t>法定代表人身份证明</w:t>
      </w:r>
    </w:p>
    <w:p w14:paraId="355B1A72">
      <w:pPr>
        <w:ind w:left="72" w:leftChars="-150" w:right="-296" w:rightChars="-141" w:hanging="387" w:hangingChars="121"/>
        <w:jc w:val="center"/>
        <w:rPr>
          <w:rFonts w:ascii="宋体" w:hAnsi="宋体"/>
          <w:bCs/>
          <w:color w:val="auto"/>
          <w:sz w:val="32"/>
          <w:szCs w:val="32"/>
          <w:highlight w:val="none"/>
        </w:rPr>
      </w:pPr>
    </w:p>
    <w:p w14:paraId="621BC48D">
      <w:pPr>
        <w:pStyle w:val="80"/>
        <w:ind w:firstLine="420"/>
        <w:rPr>
          <w:rFonts w:hAnsi="宋体" w:eastAsia="宋体"/>
          <w:color w:val="auto"/>
          <w:sz w:val="24"/>
          <w:szCs w:val="24"/>
          <w:highlight w:val="none"/>
        </w:rPr>
      </w:pPr>
      <w:r>
        <w:rPr>
          <w:rFonts w:hint="eastAsia" w:hAnsi="宋体" w:eastAsia="宋体" w:cs="宋体"/>
          <w:color w:val="auto"/>
          <w:sz w:val="24"/>
          <w:szCs w:val="24"/>
          <w:highlight w:val="none"/>
        </w:rPr>
        <w:t>磋商供应商名称：</w:t>
      </w:r>
      <w:r>
        <w:rPr>
          <w:rFonts w:hint="eastAsia" w:hAnsi="宋体" w:eastAsia="宋体" w:cs="宋体"/>
          <w:color w:val="auto"/>
          <w:sz w:val="24"/>
          <w:szCs w:val="24"/>
          <w:highlight w:val="none"/>
          <w:u w:val="single"/>
        </w:rPr>
        <w:t>　　　　　　　　　　　　　　　　　　</w:t>
      </w:r>
    </w:p>
    <w:p w14:paraId="7D1F8E84">
      <w:pPr>
        <w:pStyle w:val="80"/>
        <w:ind w:firstLine="420"/>
        <w:rPr>
          <w:rFonts w:hAnsi="宋体" w:eastAsia="宋体" w:cs="宋体"/>
          <w:color w:val="auto"/>
          <w:sz w:val="24"/>
          <w:szCs w:val="24"/>
          <w:highlight w:val="none"/>
          <w:u w:val="single"/>
        </w:rPr>
      </w:pPr>
    </w:p>
    <w:p w14:paraId="6CAA1CCD">
      <w:pPr>
        <w:pStyle w:val="80"/>
        <w:ind w:firstLine="420"/>
        <w:rPr>
          <w:rFonts w:hAnsi="宋体" w:eastAsia="宋体" w:cs="宋体"/>
          <w:color w:val="auto"/>
          <w:sz w:val="24"/>
          <w:szCs w:val="24"/>
          <w:highlight w:val="none"/>
        </w:rPr>
      </w:pPr>
      <w:r>
        <w:rPr>
          <w:rFonts w:hint="eastAsia" w:hAnsi="宋体" w:eastAsia="宋体" w:cs="宋体"/>
          <w:color w:val="auto"/>
          <w:sz w:val="24"/>
          <w:szCs w:val="24"/>
          <w:highlight w:val="none"/>
        </w:rPr>
        <w:t>我单位的法定代表人身份信息如下：</w:t>
      </w:r>
    </w:p>
    <w:p w14:paraId="07F62255">
      <w:pPr>
        <w:pStyle w:val="80"/>
        <w:ind w:firstLine="420"/>
        <w:rPr>
          <w:rFonts w:hAnsi="宋体" w:eastAsia="宋体" w:cs="宋体"/>
          <w:color w:val="auto"/>
          <w:sz w:val="24"/>
          <w:szCs w:val="24"/>
          <w:highlight w:val="none"/>
        </w:rPr>
      </w:pPr>
    </w:p>
    <w:p w14:paraId="52B37B90">
      <w:pPr>
        <w:pStyle w:val="80"/>
        <w:ind w:firstLine="420"/>
        <w:rPr>
          <w:rFonts w:hAnsi="宋体" w:eastAsia="宋体" w:cs="宋体"/>
          <w:color w:val="auto"/>
          <w:sz w:val="24"/>
          <w:szCs w:val="24"/>
          <w:highlight w:val="none"/>
        </w:rPr>
      </w:pPr>
      <w:r>
        <w:rPr>
          <w:rFonts w:hint="eastAsia" w:hAnsi="宋体" w:eastAsia="宋体" w:cs="宋体"/>
          <w:color w:val="auto"/>
          <w:sz w:val="24"/>
          <w:szCs w:val="24"/>
          <w:highlight w:val="none"/>
        </w:rPr>
        <w:t>姓名：</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；性别：</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p>
    <w:p w14:paraId="3E3E6A60">
      <w:pPr>
        <w:pStyle w:val="80"/>
        <w:ind w:firstLine="420"/>
        <w:rPr>
          <w:rFonts w:hAnsi="宋体" w:eastAsia="宋体" w:cs="宋体"/>
          <w:color w:val="auto"/>
          <w:sz w:val="24"/>
          <w:szCs w:val="24"/>
          <w:highlight w:val="none"/>
        </w:rPr>
      </w:pPr>
    </w:p>
    <w:p w14:paraId="1D29839C">
      <w:pPr>
        <w:pStyle w:val="80"/>
        <w:ind w:firstLine="420"/>
        <w:rPr>
          <w:rFonts w:hAnsi="宋体" w:eastAsia="宋体"/>
          <w:color w:val="auto"/>
          <w:sz w:val="24"/>
          <w:szCs w:val="24"/>
          <w:highlight w:val="none"/>
        </w:rPr>
      </w:pPr>
      <w:r>
        <w:rPr>
          <w:rFonts w:hint="eastAsia" w:hAnsi="宋体" w:eastAsia="宋体" w:cs="宋体"/>
          <w:color w:val="auto"/>
          <w:sz w:val="24"/>
          <w:szCs w:val="24"/>
          <w:highlight w:val="none"/>
        </w:rPr>
        <w:t>身份证号码：</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r>
        <w:rPr>
          <w:rFonts w:hAnsi="宋体" w:eastAsia="宋体"/>
          <w:color w:val="auto"/>
          <w:sz w:val="24"/>
          <w:szCs w:val="24"/>
          <w:highlight w:val="none"/>
        </w:rPr>
        <w:t xml:space="preserve"> </w:t>
      </w:r>
    </w:p>
    <w:p w14:paraId="6574B1CF">
      <w:pPr>
        <w:pStyle w:val="80"/>
        <w:ind w:firstLine="420"/>
        <w:rPr>
          <w:rFonts w:hAnsi="宋体" w:eastAsia="宋体"/>
          <w:color w:val="auto"/>
          <w:sz w:val="24"/>
          <w:szCs w:val="24"/>
          <w:highlight w:val="none"/>
        </w:rPr>
      </w:pPr>
    </w:p>
    <w:p w14:paraId="563437BB">
      <w:pPr>
        <w:pStyle w:val="80"/>
        <w:ind w:firstLine="420"/>
        <w:rPr>
          <w:rFonts w:hAnsi="宋体" w:eastAsia="宋体" w:cs="宋体"/>
          <w:color w:val="auto"/>
          <w:sz w:val="24"/>
          <w:szCs w:val="24"/>
          <w:highlight w:val="none"/>
        </w:rPr>
      </w:pPr>
      <w:r>
        <w:rPr>
          <w:rFonts w:hint="eastAsia" w:hAnsi="宋体" w:eastAsia="宋体"/>
          <w:color w:val="auto"/>
          <w:sz w:val="24"/>
          <w:szCs w:val="24"/>
          <w:highlight w:val="none"/>
        </w:rPr>
        <w:t>手机号码：</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p>
    <w:p w14:paraId="406055E8">
      <w:pPr>
        <w:pStyle w:val="80"/>
        <w:ind w:firstLine="420"/>
        <w:rPr>
          <w:rFonts w:hAnsi="宋体" w:eastAsia="宋体"/>
          <w:color w:val="auto"/>
          <w:sz w:val="24"/>
          <w:szCs w:val="24"/>
          <w:highlight w:val="none"/>
        </w:rPr>
      </w:pPr>
    </w:p>
    <w:p w14:paraId="2195B54D">
      <w:pPr>
        <w:pStyle w:val="80"/>
        <w:ind w:firstLine="420"/>
        <w:rPr>
          <w:rFonts w:hAnsi="宋体" w:eastAsia="宋体"/>
          <w:color w:val="auto"/>
          <w:sz w:val="24"/>
          <w:szCs w:val="24"/>
          <w:highlight w:val="none"/>
        </w:rPr>
      </w:pPr>
      <w:r>
        <w:rPr>
          <w:rFonts w:hint="eastAsia" w:hAnsi="宋体" w:eastAsia="宋体"/>
          <w:color w:val="auto"/>
          <w:sz w:val="24"/>
          <w:szCs w:val="24"/>
          <w:highlight w:val="none"/>
        </w:rPr>
        <w:t>电子邮箱（建议为qq邮箱）：</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p>
    <w:p w14:paraId="3CC5EC01">
      <w:pPr>
        <w:pStyle w:val="80"/>
        <w:ind w:firstLine="420"/>
        <w:rPr>
          <w:rFonts w:hAnsi="宋体" w:eastAsia="宋体"/>
          <w:color w:val="auto"/>
          <w:sz w:val="24"/>
          <w:szCs w:val="24"/>
          <w:highlight w:val="none"/>
        </w:rPr>
      </w:pPr>
    </w:p>
    <w:p w14:paraId="3996ECBA">
      <w:pPr>
        <w:pStyle w:val="80"/>
        <w:ind w:firstLine="420"/>
        <w:rPr>
          <w:rFonts w:hAnsi="宋体" w:eastAsia="宋体" w:cs="宋体"/>
          <w:color w:val="auto"/>
          <w:sz w:val="24"/>
          <w:szCs w:val="24"/>
          <w:highlight w:val="none"/>
        </w:rPr>
      </w:pPr>
      <w:r>
        <w:rPr>
          <w:rFonts w:hint="eastAsia" w:hAnsi="宋体" w:eastAsia="宋体" w:cs="宋体"/>
          <w:color w:val="auto"/>
          <w:sz w:val="24"/>
          <w:szCs w:val="24"/>
          <w:highlight w:val="none"/>
        </w:rPr>
        <w:t>特此证明。</w:t>
      </w:r>
    </w:p>
    <w:p w14:paraId="2E3EE32A">
      <w:pPr>
        <w:pStyle w:val="80"/>
        <w:ind w:firstLine="420"/>
        <w:rPr>
          <w:rFonts w:hAnsi="宋体" w:eastAsia="宋体"/>
          <w:color w:val="auto"/>
          <w:sz w:val="24"/>
          <w:szCs w:val="24"/>
          <w:highlight w:val="none"/>
        </w:rPr>
      </w:pPr>
    </w:p>
    <w:tbl>
      <w:tblPr>
        <w:tblStyle w:val="29"/>
        <w:tblW w:w="6071" w:type="dxa"/>
        <w:tblInd w:w="1511" w:type="dxa"/>
        <w:tblLayout w:type="fixed"/>
        <w:tblCellMar>
          <w:top w:w="0" w:type="dxa"/>
          <w:left w:w="108" w:type="dxa"/>
          <w:bottom w:w="0" w:type="dxa"/>
          <w:right w:w="108" w:type="dxa"/>
        </w:tblCellMar>
      </w:tblPr>
      <w:tblGrid>
        <w:gridCol w:w="6071"/>
      </w:tblGrid>
      <w:tr w14:paraId="1B423CF4">
        <w:tblPrEx>
          <w:tblCellMar>
            <w:top w:w="0" w:type="dxa"/>
            <w:left w:w="108" w:type="dxa"/>
            <w:bottom w:w="0" w:type="dxa"/>
            <w:right w:w="108" w:type="dxa"/>
          </w:tblCellMar>
        </w:tblPrEx>
        <w:trPr>
          <w:trHeight w:val="2485" w:hRule="atLeast"/>
        </w:trPr>
        <w:tc>
          <w:tcPr>
            <w:tcW w:w="6071" w:type="dxa"/>
            <w:tcBorders>
              <w:top w:val="single" w:color="000000" w:sz="4" w:space="0"/>
              <w:left w:val="single" w:color="000000" w:sz="4" w:space="0"/>
              <w:bottom w:val="single" w:color="000000" w:sz="4" w:space="0"/>
              <w:right w:val="single" w:color="000000" w:sz="4" w:space="0"/>
            </w:tcBorders>
            <w:vAlign w:val="center"/>
          </w:tcPr>
          <w:p w14:paraId="75477000">
            <w:pPr>
              <w:pStyle w:val="80"/>
              <w:ind w:firstLine="560"/>
              <w:jc w:val="center"/>
              <w:rPr>
                <w:rFonts w:hAnsi="宋体" w:eastAsia="宋体"/>
                <w:color w:val="auto"/>
                <w:sz w:val="24"/>
                <w:szCs w:val="24"/>
                <w:highlight w:val="none"/>
              </w:rPr>
            </w:pPr>
            <w:r>
              <w:rPr>
                <w:rFonts w:hint="eastAsia" w:hAnsi="宋体" w:eastAsia="宋体" w:cs="宋体"/>
                <w:color w:val="auto"/>
                <w:sz w:val="24"/>
                <w:szCs w:val="24"/>
                <w:highlight w:val="none"/>
              </w:rPr>
              <w:t>法定代表人身份证复印件</w:t>
            </w:r>
            <w:r>
              <w:rPr>
                <w:rFonts w:hint="eastAsia" w:hAnsi="宋体" w:eastAsia="宋体"/>
                <w:color w:val="auto"/>
                <w:sz w:val="24"/>
                <w:highlight w:val="none"/>
              </w:rPr>
              <w:t>粘帖处（或附后）</w:t>
            </w:r>
          </w:p>
        </w:tc>
      </w:tr>
    </w:tbl>
    <w:p w14:paraId="3D4C9C16">
      <w:pPr>
        <w:pStyle w:val="80"/>
        <w:ind w:firstLine="420"/>
        <w:rPr>
          <w:rFonts w:hAnsi="宋体" w:eastAsia="宋体"/>
          <w:color w:val="auto"/>
          <w:sz w:val="24"/>
          <w:szCs w:val="24"/>
          <w:highlight w:val="none"/>
        </w:rPr>
      </w:pPr>
    </w:p>
    <w:p w14:paraId="08E0A744">
      <w:pPr>
        <w:adjustRightInd w:val="0"/>
        <w:snapToGrid w:val="0"/>
        <w:spacing w:line="360" w:lineRule="auto"/>
        <w:ind w:firstLine="4080" w:firstLineChars="1700"/>
        <w:rPr>
          <w:rFonts w:ascii="宋体" w:hAnsi="宋体" w:cs="方正书宋简体"/>
          <w:color w:val="auto"/>
          <w:kern w:val="0"/>
          <w:sz w:val="24"/>
          <w:highlight w:val="none"/>
          <w:lang w:val="zh-CN"/>
        </w:rPr>
      </w:pPr>
    </w:p>
    <w:p w14:paraId="31EE6E90">
      <w:pPr>
        <w:adjustRightInd w:val="0"/>
        <w:snapToGrid w:val="0"/>
        <w:spacing w:line="360" w:lineRule="auto"/>
        <w:ind w:firstLine="4080" w:firstLineChars="1700"/>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6A3CC3F3">
      <w:pPr>
        <w:adjustRightInd w:val="0"/>
        <w:snapToGrid w:val="0"/>
        <w:spacing w:line="360" w:lineRule="auto"/>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 xml:space="preserve">                                 </w:t>
      </w:r>
      <w:r>
        <w:rPr>
          <w:rFonts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  月   日</w:t>
      </w:r>
    </w:p>
    <w:p w14:paraId="49E34F78">
      <w:pPr>
        <w:pStyle w:val="80"/>
        <w:ind w:firstLine="420"/>
        <w:rPr>
          <w:rFonts w:hAnsi="宋体" w:eastAsia="宋体"/>
          <w:b/>
          <w:color w:val="auto"/>
          <w:sz w:val="24"/>
          <w:szCs w:val="24"/>
          <w:highlight w:val="none"/>
        </w:rPr>
      </w:pPr>
    </w:p>
    <w:p w14:paraId="5002C19A">
      <w:pPr>
        <w:pStyle w:val="80"/>
        <w:ind w:firstLine="420"/>
        <w:rPr>
          <w:rFonts w:hAnsi="宋体" w:eastAsia="宋体"/>
          <w:b/>
          <w:color w:val="auto"/>
          <w:sz w:val="24"/>
          <w:szCs w:val="24"/>
          <w:highlight w:val="none"/>
        </w:rPr>
      </w:pPr>
    </w:p>
    <w:p w14:paraId="42CF056B">
      <w:pPr>
        <w:pStyle w:val="54"/>
        <w:shd w:val="clear" w:color="auto" w:fill="FFFFFF"/>
        <w:spacing w:before="0" w:beforeAutospacing="0" w:after="0" w:afterAutospacing="0" w:line="360" w:lineRule="auto"/>
        <w:rPr>
          <w:rFonts w:ascii="宋体" w:hAnsi="宋体"/>
          <w:b/>
          <w:color w:val="auto"/>
          <w:sz w:val="28"/>
          <w:highlight w:val="none"/>
        </w:rPr>
      </w:pPr>
    </w:p>
    <w:p w14:paraId="0FB9217E">
      <w:pPr>
        <w:pStyle w:val="54"/>
        <w:shd w:val="clear" w:color="auto" w:fill="FFFFFF"/>
        <w:spacing w:before="0" w:beforeAutospacing="0" w:after="0" w:afterAutospacing="0" w:line="360" w:lineRule="auto"/>
        <w:rPr>
          <w:rFonts w:ascii="宋体" w:hAnsi="宋体"/>
          <w:b/>
          <w:color w:val="auto"/>
          <w:sz w:val="28"/>
          <w:highlight w:val="none"/>
        </w:rPr>
      </w:pPr>
    </w:p>
    <w:p w14:paraId="38C2C4A6">
      <w:pPr>
        <w:pStyle w:val="54"/>
        <w:shd w:val="clear" w:color="auto" w:fill="FFFFFF"/>
        <w:spacing w:before="0" w:beforeAutospacing="0" w:after="0" w:afterAutospacing="0" w:line="360" w:lineRule="auto"/>
        <w:rPr>
          <w:rFonts w:ascii="宋体" w:hAnsi="宋体"/>
          <w:b/>
          <w:color w:val="auto"/>
          <w:sz w:val="28"/>
          <w:highlight w:val="none"/>
        </w:rPr>
      </w:pPr>
    </w:p>
    <w:p w14:paraId="65689E1D">
      <w:pPr>
        <w:pStyle w:val="54"/>
        <w:shd w:val="clear" w:color="auto" w:fill="FFFFFF"/>
        <w:spacing w:before="0" w:beforeAutospacing="0" w:after="0" w:afterAutospacing="0" w:line="360" w:lineRule="auto"/>
        <w:rPr>
          <w:rFonts w:ascii="宋体" w:hAnsi="宋体"/>
          <w:b/>
          <w:color w:val="auto"/>
          <w:sz w:val="28"/>
          <w:highlight w:val="none"/>
        </w:rPr>
      </w:pPr>
    </w:p>
    <w:p w14:paraId="17E9B637">
      <w:pPr>
        <w:pStyle w:val="54"/>
        <w:shd w:val="clear" w:color="auto" w:fill="FFFFFF"/>
        <w:spacing w:before="0" w:beforeAutospacing="0" w:after="0" w:afterAutospacing="0" w:line="360" w:lineRule="auto"/>
        <w:rPr>
          <w:rFonts w:ascii="宋体" w:hAnsi="宋体"/>
          <w:b/>
          <w:color w:val="auto"/>
          <w:sz w:val="28"/>
          <w:highlight w:val="none"/>
        </w:rPr>
      </w:pPr>
      <w:r>
        <w:rPr>
          <w:rFonts w:hint="eastAsia" w:ascii="宋体" w:hAnsi="宋体"/>
          <w:b/>
          <w:color w:val="auto"/>
          <w:sz w:val="28"/>
          <w:highlight w:val="none"/>
        </w:rPr>
        <w:t>附件5</w:t>
      </w:r>
      <w:r>
        <w:rPr>
          <w:rFonts w:ascii="宋体" w:hAnsi="宋体"/>
          <w:b/>
          <w:color w:val="auto"/>
          <w:sz w:val="28"/>
          <w:highlight w:val="none"/>
        </w:rPr>
        <w:t xml:space="preserve">：       </w:t>
      </w:r>
    </w:p>
    <w:p w14:paraId="7868BCEF">
      <w:pPr>
        <w:pStyle w:val="54"/>
        <w:shd w:val="clear" w:color="auto" w:fill="FFFFFF"/>
        <w:spacing w:before="0" w:beforeAutospacing="0" w:after="0" w:afterAutospacing="0" w:line="360" w:lineRule="auto"/>
        <w:jc w:val="center"/>
        <w:rPr>
          <w:rFonts w:ascii="宋体" w:hAnsi="宋体"/>
          <w:b/>
          <w:bCs/>
          <w:color w:val="auto"/>
          <w:spacing w:val="21"/>
          <w:sz w:val="32"/>
          <w:szCs w:val="32"/>
          <w:highlight w:val="none"/>
        </w:rPr>
      </w:pPr>
      <w:r>
        <w:rPr>
          <w:rFonts w:ascii="宋体" w:hAnsi="宋体"/>
          <w:b/>
          <w:color w:val="auto"/>
          <w:sz w:val="32"/>
          <w:szCs w:val="32"/>
          <w:highlight w:val="none"/>
        </w:rPr>
        <w:t xml:space="preserve">  </w:t>
      </w:r>
      <w:r>
        <w:rPr>
          <w:rFonts w:hint="eastAsia" w:ascii="宋体" w:hAnsi="宋体"/>
          <w:b/>
          <w:color w:val="auto"/>
          <w:sz w:val="32"/>
          <w:szCs w:val="32"/>
          <w:highlight w:val="none"/>
        </w:rPr>
        <w:t>磋商</w:t>
      </w:r>
      <w:r>
        <w:rPr>
          <w:rFonts w:ascii="宋体" w:hAnsi="宋体"/>
          <w:b/>
          <w:color w:val="auto"/>
          <w:sz w:val="32"/>
          <w:szCs w:val="32"/>
          <w:highlight w:val="none"/>
        </w:rPr>
        <w:t>供应商</w:t>
      </w:r>
      <w:r>
        <w:rPr>
          <w:rFonts w:hint="eastAsia" w:ascii="宋体" w:hAnsi="宋体"/>
          <w:b/>
          <w:bCs/>
          <w:color w:val="auto"/>
          <w:spacing w:val="21"/>
          <w:sz w:val="32"/>
          <w:szCs w:val="32"/>
          <w:highlight w:val="none"/>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910"/>
        <w:gridCol w:w="1163"/>
        <w:gridCol w:w="1205"/>
        <w:gridCol w:w="2001"/>
        <w:gridCol w:w="1218"/>
        <w:gridCol w:w="933"/>
      </w:tblGrid>
      <w:tr w14:paraId="71FA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7C0A57AB">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27"/>
                <w:highlight w:val="none"/>
              </w:rPr>
              <w:t>企业名称</w:t>
            </w:r>
          </w:p>
        </w:tc>
        <w:tc>
          <w:tcPr>
            <w:tcW w:w="3979" w:type="dxa"/>
            <w:gridSpan w:val="4"/>
            <w:vAlign w:val="center"/>
          </w:tcPr>
          <w:p w14:paraId="0D9FEBD5">
            <w:pPr>
              <w:pStyle w:val="54"/>
              <w:shd w:val="clear" w:color="auto" w:fill="FFFFFF"/>
              <w:spacing w:line="360" w:lineRule="auto"/>
              <w:jc w:val="center"/>
              <w:rPr>
                <w:rFonts w:ascii="宋体" w:hAnsi="宋体"/>
                <w:bCs/>
                <w:color w:val="auto"/>
                <w:highlight w:val="none"/>
              </w:rPr>
            </w:pPr>
          </w:p>
        </w:tc>
        <w:tc>
          <w:tcPr>
            <w:tcW w:w="2001" w:type="dxa"/>
            <w:vAlign w:val="center"/>
          </w:tcPr>
          <w:p w14:paraId="3809B177">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16"/>
                <w:highlight w:val="none"/>
              </w:rPr>
              <w:t>法定代表人</w:t>
            </w:r>
          </w:p>
        </w:tc>
        <w:tc>
          <w:tcPr>
            <w:tcW w:w="2151" w:type="dxa"/>
            <w:gridSpan w:val="2"/>
            <w:vAlign w:val="center"/>
          </w:tcPr>
          <w:p w14:paraId="67E1EE30">
            <w:pPr>
              <w:pStyle w:val="54"/>
              <w:shd w:val="clear" w:color="auto" w:fill="FFFFFF"/>
              <w:spacing w:line="360" w:lineRule="auto"/>
              <w:jc w:val="center"/>
              <w:rPr>
                <w:rFonts w:ascii="宋体" w:hAnsi="宋体"/>
                <w:bCs/>
                <w:color w:val="auto"/>
                <w:highlight w:val="none"/>
              </w:rPr>
            </w:pPr>
          </w:p>
        </w:tc>
      </w:tr>
      <w:tr w14:paraId="108A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607B64B3">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27"/>
                <w:highlight w:val="none"/>
              </w:rPr>
              <w:t>地址</w:t>
            </w:r>
          </w:p>
        </w:tc>
        <w:tc>
          <w:tcPr>
            <w:tcW w:w="3979" w:type="dxa"/>
            <w:gridSpan w:val="4"/>
            <w:tcBorders>
              <w:bottom w:val="single" w:color="auto" w:sz="4" w:space="0"/>
            </w:tcBorders>
            <w:vAlign w:val="center"/>
          </w:tcPr>
          <w:p w14:paraId="6C933B75">
            <w:pPr>
              <w:pStyle w:val="54"/>
              <w:shd w:val="clear" w:color="auto" w:fill="FFFFFF"/>
              <w:spacing w:line="360" w:lineRule="auto"/>
              <w:jc w:val="center"/>
              <w:rPr>
                <w:rFonts w:ascii="宋体" w:hAnsi="宋体"/>
                <w:bCs/>
                <w:color w:val="auto"/>
                <w:spacing w:val="16"/>
                <w:highlight w:val="none"/>
              </w:rPr>
            </w:pPr>
          </w:p>
        </w:tc>
        <w:tc>
          <w:tcPr>
            <w:tcW w:w="2001" w:type="dxa"/>
            <w:vAlign w:val="center"/>
          </w:tcPr>
          <w:p w14:paraId="38DE2F77">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16"/>
                <w:highlight w:val="none"/>
              </w:rPr>
              <w:t>企业性质</w:t>
            </w:r>
          </w:p>
        </w:tc>
        <w:tc>
          <w:tcPr>
            <w:tcW w:w="2151" w:type="dxa"/>
            <w:gridSpan w:val="2"/>
            <w:vAlign w:val="center"/>
          </w:tcPr>
          <w:p w14:paraId="4CABFD16">
            <w:pPr>
              <w:pStyle w:val="54"/>
              <w:shd w:val="clear" w:color="auto" w:fill="FFFFFF"/>
              <w:spacing w:line="360" w:lineRule="auto"/>
              <w:jc w:val="center"/>
              <w:rPr>
                <w:rFonts w:ascii="宋体" w:hAnsi="宋体"/>
                <w:bCs/>
                <w:color w:val="auto"/>
                <w:spacing w:val="16"/>
                <w:highlight w:val="none"/>
              </w:rPr>
            </w:pPr>
          </w:p>
        </w:tc>
      </w:tr>
      <w:tr w14:paraId="20DF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center"/>
          </w:tcPr>
          <w:p w14:paraId="07CB4C22">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27"/>
                <w:highlight w:val="none"/>
              </w:rPr>
              <w:t>股东姓名</w:t>
            </w:r>
          </w:p>
        </w:tc>
        <w:tc>
          <w:tcPr>
            <w:tcW w:w="701" w:type="dxa"/>
            <w:tcBorders>
              <w:bottom w:val="single" w:color="auto" w:sz="4" w:space="0"/>
            </w:tcBorders>
            <w:vAlign w:val="center"/>
          </w:tcPr>
          <w:p w14:paraId="67D0981A">
            <w:pPr>
              <w:pStyle w:val="54"/>
              <w:shd w:val="clear" w:color="auto" w:fill="FFFFFF"/>
              <w:spacing w:before="0" w:beforeAutospacing="0" w:after="0" w:afterAutospacing="0" w:line="360" w:lineRule="auto"/>
              <w:jc w:val="center"/>
              <w:rPr>
                <w:rFonts w:ascii="宋体" w:hAnsi="宋体"/>
                <w:bCs/>
                <w:color w:val="auto"/>
                <w:spacing w:val="16"/>
                <w:highlight w:val="none"/>
              </w:rPr>
            </w:pPr>
          </w:p>
        </w:tc>
        <w:tc>
          <w:tcPr>
            <w:tcW w:w="910" w:type="dxa"/>
            <w:tcBorders>
              <w:bottom w:val="single" w:color="auto" w:sz="4" w:space="0"/>
            </w:tcBorders>
            <w:vAlign w:val="center"/>
          </w:tcPr>
          <w:p w14:paraId="477E0D9D">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16"/>
                <w:highlight w:val="none"/>
              </w:rPr>
              <w:t>股权结构（</w:t>
            </w:r>
            <w:r>
              <w:rPr>
                <w:rFonts w:ascii="宋体" w:hAnsi="宋体"/>
                <w:bCs/>
                <w:color w:val="auto"/>
                <w:spacing w:val="16"/>
                <w:highlight w:val="none"/>
              </w:rPr>
              <w:t>%）</w:t>
            </w:r>
          </w:p>
        </w:tc>
        <w:tc>
          <w:tcPr>
            <w:tcW w:w="2368" w:type="dxa"/>
            <w:gridSpan w:val="2"/>
            <w:tcBorders>
              <w:bottom w:val="single" w:color="auto" w:sz="4" w:space="0"/>
            </w:tcBorders>
            <w:vAlign w:val="center"/>
          </w:tcPr>
          <w:p w14:paraId="526C61F4">
            <w:pPr>
              <w:widowControl/>
              <w:spacing w:line="360" w:lineRule="auto"/>
              <w:jc w:val="center"/>
              <w:rPr>
                <w:rFonts w:ascii="宋体" w:hAnsi="宋体" w:cs="楷体_GB2312"/>
                <w:bCs/>
                <w:color w:val="auto"/>
                <w:spacing w:val="16"/>
                <w:kern w:val="0"/>
                <w:sz w:val="24"/>
                <w:highlight w:val="none"/>
              </w:rPr>
            </w:pPr>
          </w:p>
          <w:p w14:paraId="5202507D">
            <w:pPr>
              <w:pStyle w:val="54"/>
              <w:shd w:val="clear" w:color="auto" w:fill="FFFFFF"/>
              <w:spacing w:line="360" w:lineRule="auto"/>
              <w:jc w:val="center"/>
              <w:rPr>
                <w:rFonts w:ascii="宋体" w:hAnsi="宋体"/>
                <w:bCs/>
                <w:color w:val="auto"/>
                <w:spacing w:val="16"/>
                <w:highlight w:val="none"/>
              </w:rPr>
            </w:pPr>
          </w:p>
        </w:tc>
        <w:tc>
          <w:tcPr>
            <w:tcW w:w="2001" w:type="dxa"/>
            <w:vAlign w:val="center"/>
          </w:tcPr>
          <w:p w14:paraId="574B24DC">
            <w:pPr>
              <w:pStyle w:val="54"/>
              <w:shd w:val="clear" w:color="auto" w:fill="FFFFFF"/>
              <w:spacing w:line="360" w:lineRule="auto"/>
              <w:ind w:left="107"/>
              <w:jc w:val="center"/>
              <w:rPr>
                <w:rFonts w:ascii="宋体" w:hAnsi="宋体"/>
                <w:bCs/>
                <w:color w:val="auto"/>
                <w:spacing w:val="16"/>
                <w:highlight w:val="none"/>
              </w:rPr>
            </w:pPr>
            <w:r>
              <w:rPr>
                <w:rFonts w:hint="eastAsia" w:ascii="宋体" w:hAnsi="宋体"/>
                <w:bCs/>
                <w:color w:val="auto"/>
                <w:spacing w:val="16"/>
                <w:highlight w:val="none"/>
              </w:rPr>
              <w:t>股东关系</w:t>
            </w:r>
          </w:p>
        </w:tc>
        <w:tc>
          <w:tcPr>
            <w:tcW w:w="2151" w:type="dxa"/>
            <w:gridSpan w:val="2"/>
            <w:vAlign w:val="center"/>
          </w:tcPr>
          <w:p w14:paraId="1B374AAF">
            <w:pPr>
              <w:pStyle w:val="54"/>
              <w:shd w:val="clear" w:color="auto" w:fill="FFFFFF"/>
              <w:spacing w:line="360" w:lineRule="auto"/>
              <w:ind w:left="107"/>
              <w:jc w:val="center"/>
              <w:rPr>
                <w:rFonts w:ascii="宋体" w:hAnsi="宋体"/>
                <w:bCs/>
                <w:color w:val="auto"/>
                <w:spacing w:val="16"/>
                <w:highlight w:val="none"/>
              </w:rPr>
            </w:pPr>
          </w:p>
        </w:tc>
      </w:tr>
      <w:tr w14:paraId="438A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center"/>
          </w:tcPr>
          <w:p w14:paraId="2967C834">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12"/>
                <w:highlight w:val="none"/>
              </w:rPr>
              <w:t>联系人</w:t>
            </w:r>
            <w:r>
              <w:rPr>
                <w:rFonts w:hint="eastAsia" w:ascii="宋体" w:hAnsi="宋体"/>
                <w:bCs/>
                <w:color w:val="auto"/>
                <w:spacing w:val="27"/>
                <w:highlight w:val="none"/>
              </w:rPr>
              <w:t>姓名</w:t>
            </w:r>
          </w:p>
        </w:tc>
        <w:tc>
          <w:tcPr>
            <w:tcW w:w="701" w:type="dxa"/>
            <w:vMerge w:val="restart"/>
            <w:tcBorders>
              <w:top w:val="nil"/>
            </w:tcBorders>
            <w:vAlign w:val="center"/>
          </w:tcPr>
          <w:p w14:paraId="6F423716">
            <w:pPr>
              <w:pStyle w:val="54"/>
              <w:shd w:val="clear" w:color="auto" w:fill="FFFFFF"/>
              <w:spacing w:line="360" w:lineRule="auto"/>
              <w:jc w:val="center"/>
              <w:rPr>
                <w:rFonts w:ascii="宋体" w:hAnsi="宋体"/>
                <w:bCs/>
                <w:color w:val="auto"/>
                <w:spacing w:val="16"/>
                <w:highlight w:val="none"/>
              </w:rPr>
            </w:pPr>
          </w:p>
        </w:tc>
        <w:tc>
          <w:tcPr>
            <w:tcW w:w="910" w:type="dxa"/>
            <w:tcBorders>
              <w:top w:val="nil"/>
              <w:bottom w:val="single" w:color="auto" w:sz="4" w:space="0"/>
            </w:tcBorders>
            <w:vAlign w:val="center"/>
          </w:tcPr>
          <w:p w14:paraId="295E453D">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16"/>
                <w:highlight w:val="none"/>
              </w:rPr>
              <w:t>固定电话</w:t>
            </w:r>
          </w:p>
        </w:tc>
        <w:tc>
          <w:tcPr>
            <w:tcW w:w="2368" w:type="dxa"/>
            <w:gridSpan w:val="2"/>
            <w:tcBorders>
              <w:top w:val="nil"/>
              <w:bottom w:val="single" w:color="auto" w:sz="4" w:space="0"/>
            </w:tcBorders>
            <w:vAlign w:val="center"/>
          </w:tcPr>
          <w:p w14:paraId="559290E6">
            <w:pPr>
              <w:widowControl/>
              <w:spacing w:line="360" w:lineRule="auto"/>
              <w:jc w:val="center"/>
              <w:rPr>
                <w:rFonts w:ascii="宋体" w:hAnsi="宋体" w:cs="楷体_GB2312"/>
                <w:bCs/>
                <w:color w:val="auto"/>
                <w:spacing w:val="16"/>
                <w:kern w:val="0"/>
                <w:sz w:val="24"/>
                <w:highlight w:val="none"/>
              </w:rPr>
            </w:pPr>
          </w:p>
          <w:p w14:paraId="1245303D">
            <w:pPr>
              <w:pStyle w:val="54"/>
              <w:shd w:val="clear" w:color="auto" w:fill="FFFFFF"/>
              <w:spacing w:line="360" w:lineRule="auto"/>
              <w:jc w:val="center"/>
              <w:rPr>
                <w:rFonts w:ascii="宋体" w:hAnsi="宋体"/>
                <w:bCs/>
                <w:color w:val="auto"/>
                <w:spacing w:val="16"/>
                <w:highlight w:val="none"/>
              </w:rPr>
            </w:pPr>
          </w:p>
        </w:tc>
        <w:tc>
          <w:tcPr>
            <w:tcW w:w="2001" w:type="dxa"/>
            <w:vMerge w:val="restart"/>
            <w:vAlign w:val="center"/>
          </w:tcPr>
          <w:p w14:paraId="2B1B38E0">
            <w:pPr>
              <w:pStyle w:val="54"/>
              <w:shd w:val="clear" w:color="auto" w:fill="FFFFFF"/>
              <w:spacing w:before="0" w:beforeAutospacing="0" w:after="0" w:afterAutospacing="0" w:line="360" w:lineRule="auto"/>
              <w:jc w:val="center"/>
              <w:rPr>
                <w:rFonts w:ascii="宋体" w:hAnsi="宋体"/>
                <w:bCs/>
                <w:color w:val="auto"/>
                <w:spacing w:val="16"/>
                <w:highlight w:val="none"/>
              </w:rPr>
            </w:pPr>
            <w:r>
              <w:rPr>
                <w:rFonts w:hint="eastAsia" w:ascii="宋体" w:hAnsi="宋体"/>
                <w:bCs/>
                <w:color w:val="auto"/>
                <w:spacing w:val="16"/>
                <w:highlight w:val="none"/>
              </w:rPr>
              <w:t>传真</w:t>
            </w:r>
          </w:p>
        </w:tc>
        <w:tc>
          <w:tcPr>
            <w:tcW w:w="2151" w:type="dxa"/>
            <w:gridSpan w:val="2"/>
            <w:vMerge w:val="restart"/>
            <w:vAlign w:val="center"/>
          </w:tcPr>
          <w:p w14:paraId="1DD32612">
            <w:pPr>
              <w:pStyle w:val="54"/>
              <w:shd w:val="clear" w:color="auto" w:fill="FFFFFF"/>
              <w:spacing w:line="360" w:lineRule="auto"/>
              <w:jc w:val="center"/>
              <w:rPr>
                <w:rFonts w:ascii="宋体" w:hAnsi="宋体"/>
                <w:bCs/>
                <w:color w:val="auto"/>
                <w:spacing w:val="16"/>
                <w:highlight w:val="none"/>
              </w:rPr>
            </w:pPr>
          </w:p>
        </w:tc>
      </w:tr>
      <w:tr w14:paraId="737E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center"/>
          </w:tcPr>
          <w:p w14:paraId="05007DA7">
            <w:pPr>
              <w:pStyle w:val="54"/>
              <w:shd w:val="clear" w:color="auto" w:fill="FFFFFF"/>
              <w:spacing w:line="360" w:lineRule="auto"/>
              <w:ind w:left="107"/>
              <w:jc w:val="center"/>
              <w:rPr>
                <w:rFonts w:ascii="宋体" w:hAnsi="宋体"/>
                <w:bCs/>
                <w:color w:val="auto"/>
                <w:highlight w:val="none"/>
              </w:rPr>
            </w:pPr>
          </w:p>
        </w:tc>
        <w:tc>
          <w:tcPr>
            <w:tcW w:w="701" w:type="dxa"/>
            <w:vMerge w:val="continue"/>
            <w:tcBorders>
              <w:bottom w:val="single" w:color="auto" w:sz="4" w:space="0"/>
            </w:tcBorders>
            <w:vAlign w:val="center"/>
          </w:tcPr>
          <w:p w14:paraId="7054E4C2">
            <w:pPr>
              <w:pStyle w:val="54"/>
              <w:shd w:val="clear" w:color="auto" w:fill="FFFFFF"/>
              <w:spacing w:line="360" w:lineRule="auto"/>
              <w:jc w:val="center"/>
              <w:rPr>
                <w:rFonts w:ascii="宋体" w:hAnsi="宋体"/>
                <w:bCs/>
                <w:color w:val="auto"/>
                <w:spacing w:val="16"/>
                <w:highlight w:val="none"/>
              </w:rPr>
            </w:pPr>
          </w:p>
        </w:tc>
        <w:tc>
          <w:tcPr>
            <w:tcW w:w="910" w:type="dxa"/>
            <w:tcBorders>
              <w:bottom w:val="single" w:color="auto" w:sz="4" w:space="0"/>
            </w:tcBorders>
            <w:vAlign w:val="center"/>
          </w:tcPr>
          <w:p w14:paraId="35D7EB65">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27"/>
                <w:highlight w:val="none"/>
              </w:rPr>
              <w:t>手机</w:t>
            </w:r>
          </w:p>
        </w:tc>
        <w:tc>
          <w:tcPr>
            <w:tcW w:w="2368" w:type="dxa"/>
            <w:gridSpan w:val="2"/>
            <w:tcBorders>
              <w:bottom w:val="single" w:color="auto" w:sz="4" w:space="0"/>
            </w:tcBorders>
            <w:vAlign w:val="center"/>
          </w:tcPr>
          <w:p w14:paraId="28C5AB4B">
            <w:pPr>
              <w:pStyle w:val="54"/>
              <w:shd w:val="clear" w:color="auto" w:fill="FFFFFF"/>
              <w:spacing w:line="360" w:lineRule="auto"/>
              <w:jc w:val="center"/>
              <w:rPr>
                <w:rFonts w:ascii="宋体" w:hAnsi="宋体"/>
                <w:bCs/>
                <w:color w:val="auto"/>
                <w:spacing w:val="16"/>
                <w:highlight w:val="none"/>
              </w:rPr>
            </w:pPr>
          </w:p>
        </w:tc>
        <w:tc>
          <w:tcPr>
            <w:tcW w:w="2001" w:type="dxa"/>
            <w:vMerge w:val="continue"/>
            <w:tcBorders>
              <w:bottom w:val="single" w:color="auto" w:sz="4" w:space="0"/>
            </w:tcBorders>
            <w:vAlign w:val="center"/>
          </w:tcPr>
          <w:p w14:paraId="38C4A5C5">
            <w:pPr>
              <w:pStyle w:val="54"/>
              <w:shd w:val="clear" w:color="auto" w:fill="FFFFFF"/>
              <w:spacing w:line="360" w:lineRule="auto"/>
              <w:jc w:val="center"/>
              <w:rPr>
                <w:rFonts w:ascii="宋体" w:hAnsi="宋体"/>
                <w:bCs/>
                <w:color w:val="auto"/>
                <w:spacing w:val="16"/>
                <w:highlight w:val="none"/>
              </w:rPr>
            </w:pPr>
          </w:p>
        </w:tc>
        <w:tc>
          <w:tcPr>
            <w:tcW w:w="2151" w:type="dxa"/>
            <w:gridSpan w:val="2"/>
            <w:vMerge w:val="continue"/>
            <w:tcBorders>
              <w:bottom w:val="single" w:color="auto" w:sz="4" w:space="0"/>
            </w:tcBorders>
            <w:vAlign w:val="center"/>
          </w:tcPr>
          <w:p w14:paraId="55B5BF23">
            <w:pPr>
              <w:pStyle w:val="54"/>
              <w:shd w:val="clear" w:color="auto" w:fill="FFFFFF"/>
              <w:spacing w:line="360" w:lineRule="auto"/>
              <w:jc w:val="center"/>
              <w:rPr>
                <w:rFonts w:ascii="宋体" w:hAnsi="宋体"/>
                <w:bCs/>
                <w:color w:val="auto"/>
                <w:spacing w:val="16"/>
                <w:highlight w:val="none"/>
              </w:rPr>
            </w:pPr>
          </w:p>
        </w:tc>
      </w:tr>
      <w:tr w14:paraId="009C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vAlign w:val="center"/>
          </w:tcPr>
          <w:p w14:paraId="7D2E7715">
            <w:pPr>
              <w:pStyle w:val="54"/>
              <w:shd w:val="clear" w:color="auto" w:fill="FFFFFF"/>
              <w:spacing w:line="360" w:lineRule="auto"/>
              <w:ind w:left="107"/>
              <w:jc w:val="center"/>
              <w:rPr>
                <w:rFonts w:ascii="宋体" w:hAnsi="宋体"/>
                <w:bCs/>
                <w:color w:val="auto"/>
                <w:highlight w:val="none"/>
              </w:rPr>
            </w:pPr>
            <w:r>
              <w:rPr>
                <w:rFonts w:hint="eastAsia" w:ascii="宋体" w:hAnsi="宋体"/>
                <w:bCs/>
                <w:color w:val="auto"/>
                <w:highlight w:val="none"/>
              </w:rPr>
              <w:t>企</w:t>
            </w:r>
          </w:p>
          <w:p w14:paraId="515C9674">
            <w:pPr>
              <w:pStyle w:val="54"/>
              <w:shd w:val="clear" w:color="auto" w:fill="FFFFFF"/>
              <w:spacing w:line="360" w:lineRule="auto"/>
              <w:ind w:left="107"/>
              <w:jc w:val="center"/>
              <w:rPr>
                <w:rFonts w:ascii="宋体" w:hAnsi="宋体"/>
                <w:bCs/>
                <w:color w:val="auto"/>
                <w:highlight w:val="none"/>
              </w:rPr>
            </w:pPr>
            <w:r>
              <w:rPr>
                <w:rFonts w:hint="eastAsia" w:ascii="宋体" w:hAnsi="宋体"/>
                <w:bCs/>
                <w:color w:val="auto"/>
                <w:highlight w:val="none"/>
              </w:rPr>
              <w:t>业</w:t>
            </w:r>
          </w:p>
          <w:p w14:paraId="44AA0353">
            <w:pPr>
              <w:pStyle w:val="54"/>
              <w:shd w:val="clear" w:color="auto" w:fill="FFFFFF"/>
              <w:spacing w:line="360" w:lineRule="auto"/>
              <w:ind w:left="107"/>
              <w:jc w:val="center"/>
              <w:rPr>
                <w:rFonts w:ascii="宋体" w:hAnsi="宋体"/>
                <w:bCs/>
                <w:color w:val="auto"/>
                <w:spacing w:val="27"/>
                <w:highlight w:val="none"/>
              </w:rPr>
            </w:pPr>
            <w:r>
              <w:rPr>
                <w:rFonts w:hint="eastAsia" w:ascii="宋体" w:hAnsi="宋体"/>
                <w:bCs/>
                <w:color w:val="auto"/>
                <w:spacing w:val="27"/>
                <w:highlight w:val="none"/>
              </w:rPr>
              <w:t>概</w:t>
            </w:r>
          </w:p>
          <w:p w14:paraId="75F55D23">
            <w:pPr>
              <w:pStyle w:val="54"/>
              <w:shd w:val="clear" w:color="auto" w:fill="FFFFFF"/>
              <w:spacing w:line="360" w:lineRule="auto"/>
              <w:ind w:left="107"/>
              <w:jc w:val="center"/>
              <w:rPr>
                <w:rFonts w:ascii="宋体" w:hAnsi="宋体"/>
                <w:bCs/>
                <w:color w:val="auto"/>
                <w:highlight w:val="none"/>
              </w:rPr>
            </w:pPr>
            <w:r>
              <w:rPr>
                <w:rFonts w:hint="eastAsia" w:ascii="宋体" w:hAnsi="宋体"/>
                <w:bCs/>
                <w:color w:val="auto"/>
                <w:spacing w:val="27"/>
                <w:highlight w:val="none"/>
              </w:rPr>
              <w:t>况</w:t>
            </w:r>
          </w:p>
        </w:tc>
        <w:tc>
          <w:tcPr>
            <w:tcW w:w="701" w:type="dxa"/>
            <w:tcBorders>
              <w:top w:val="single" w:color="auto" w:sz="4" w:space="0"/>
            </w:tcBorders>
            <w:vAlign w:val="center"/>
          </w:tcPr>
          <w:p w14:paraId="67491AD0">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16"/>
                <w:highlight w:val="none"/>
              </w:rPr>
              <w:t>职工人数</w:t>
            </w:r>
          </w:p>
        </w:tc>
        <w:tc>
          <w:tcPr>
            <w:tcW w:w="910" w:type="dxa"/>
            <w:tcBorders>
              <w:top w:val="single" w:color="auto" w:sz="4" w:space="0"/>
            </w:tcBorders>
            <w:vAlign w:val="center"/>
          </w:tcPr>
          <w:p w14:paraId="715897D6">
            <w:pPr>
              <w:pStyle w:val="54"/>
              <w:shd w:val="clear" w:color="auto" w:fill="FFFFFF"/>
              <w:spacing w:line="360" w:lineRule="auto"/>
              <w:jc w:val="center"/>
              <w:rPr>
                <w:rFonts w:ascii="宋体" w:hAnsi="宋体"/>
                <w:bCs/>
                <w:color w:val="auto"/>
                <w:spacing w:val="16"/>
                <w:highlight w:val="none"/>
              </w:rPr>
            </w:pPr>
          </w:p>
        </w:tc>
        <w:tc>
          <w:tcPr>
            <w:tcW w:w="1163" w:type="dxa"/>
            <w:tcBorders>
              <w:top w:val="single" w:color="auto" w:sz="4" w:space="0"/>
            </w:tcBorders>
            <w:vAlign w:val="center"/>
          </w:tcPr>
          <w:p w14:paraId="1FCA11E5">
            <w:pPr>
              <w:pStyle w:val="54"/>
              <w:shd w:val="clear" w:color="auto" w:fill="FFFFFF"/>
              <w:spacing w:before="0" w:beforeAutospacing="0" w:after="0" w:afterAutospacing="0" w:line="360" w:lineRule="auto"/>
              <w:jc w:val="center"/>
              <w:rPr>
                <w:rFonts w:ascii="宋体" w:hAnsi="宋体"/>
                <w:bCs/>
                <w:color w:val="auto"/>
                <w:highlight w:val="none"/>
              </w:rPr>
            </w:pPr>
            <w:r>
              <w:rPr>
                <w:rFonts w:hint="eastAsia" w:ascii="宋体" w:hAnsi="宋体"/>
                <w:bCs/>
                <w:color w:val="auto"/>
                <w:spacing w:val="18"/>
                <w:highlight w:val="none"/>
              </w:rPr>
              <w:t>具备大专以</w:t>
            </w:r>
            <w:r>
              <w:rPr>
                <w:rFonts w:hint="eastAsia" w:ascii="宋体" w:hAnsi="宋体"/>
                <w:bCs/>
                <w:color w:val="auto"/>
                <w:spacing w:val="12"/>
                <w:highlight w:val="none"/>
              </w:rPr>
              <w:t>上学历人数</w:t>
            </w:r>
          </w:p>
        </w:tc>
        <w:tc>
          <w:tcPr>
            <w:tcW w:w="1205" w:type="dxa"/>
            <w:tcBorders>
              <w:top w:val="single" w:color="auto" w:sz="4" w:space="0"/>
            </w:tcBorders>
            <w:vAlign w:val="center"/>
          </w:tcPr>
          <w:p w14:paraId="659609B9">
            <w:pPr>
              <w:widowControl/>
              <w:spacing w:line="360" w:lineRule="auto"/>
              <w:jc w:val="center"/>
              <w:rPr>
                <w:rFonts w:ascii="宋体" w:hAnsi="宋体" w:cs="楷体_GB2312"/>
                <w:bCs/>
                <w:color w:val="auto"/>
                <w:spacing w:val="16"/>
                <w:kern w:val="0"/>
                <w:sz w:val="24"/>
                <w:highlight w:val="none"/>
              </w:rPr>
            </w:pPr>
          </w:p>
          <w:p w14:paraId="7A003FEB">
            <w:pPr>
              <w:widowControl/>
              <w:spacing w:line="360" w:lineRule="auto"/>
              <w:jc w:val="center"/>
              <w:rPr>
                <w:rFonts w:ascii="宋体" w:hAnsi="宋体" w:cs="楷体_GB2312"/>
                <w:bCs/>
                <w:color w:val="auto"/>
                <w:spacing w:val="16"/>
                <w:kern w:val="0"/>
                <w:sz w:val="24"/>
                <w:highlight w:val="none"/>
              </w:rPr>
            </w:pPr>
          </w:p>
          <w:p w14:paraId="13187184">
            <w:pPr>
              <w:pStyle w:val="54"/>
              <w:shd w:val="clear" w:color="auto" w:fill="FFFFFF"/>
              <w:spacing w:line="360" w:lineRule="auto"/>
              <w:jc w:val="center"/>
              <w:rPr>
                <w:rFonts w:ascii="宋体" w:hAnsi="宋体"/>
                <w:bCs/>
                <w:color w:val="auto"/>
                <w:spacing w:val="16"/>
                <w:highlight w:val="none"/>
              </w:rPr>
            </w:pPr>
          </w:p>
        </w:tc>
        <w:tc>
          <w:tcPr>
            <w:tcW w:w="2001" w:type="dxa"/>
            <w:tcBorders>
              <w:top w:val="single" w:color="auto" w:sz="4" w:space="0"/>
            </w:tcBorders>
            <w:vAlign w:val="center"/>
          </w:tcPr>
          <w:p w14:paraId="718A8937">
            <w:pPr>
              <w:pStyle w:val="54"/>
              <w:shd w:val="clear" w:color="auto" w:fill="FFFFFF"/>
              <w:spacing w:line="360" w:lineRule="auto"/>
              <w:jc w:val="center"/>
              <w:rPr>
                <w:rFonts w:ascii="宋体" w:hAnsi="宋体"/>
                <w:bCs/>
                <w:color w:val="auto"/>
                <w:spacing w:val="16"/>
                <w:highlight w:val="none"/>
              </w:rPr>
            </w:pPr>
            <w:r>
              <w:rPr>
                <w:rFonts w:hint="eastAsia" w:ascii="宋体" w:hAnsi="宋体"/>
                <w:bCs/>
                <w:color w:val="auto"/>
                <w:spacing w:val="65"/>
                <w:highlight w:val="none"/>
              </w:rPr>
              <w:t>国家授予技</w:t>
            </w:r>
            <w:r>
              <w:rPr>
                <w:rFonts w:hint="eastAsia" w:ascii="宋体" w:hAnsi="宋体"/>
                <w:bCs/>
                <w:color w:val="auto"/>
                <w:spacing w:val="12"/>
                <w:highlight w:val="none"/>
              </w:rPr>
              <w:t>术职称人数</w:t>
            </w:r>
          </w:p>
        </w:tc>
        <w:tc>
          <w:tcPr>
            <w:tcW w:w="2151" w:type="dxa"/>
            <w:gridSpan w:val="2"/>
            <w:tcBorders>
              <w:top w:val="single" w:color="auto" w:sz="4" w:space="0"/>
            </w:tcBorders>
            <w:vAlign w:val="center"/>
          </w:tcPr>
          <w:p w14:paraId="184C0595">
            <w:pPr>
              <w:widowControl/>
              <w:spacing w:line="360" w:lineRule="auto"/>
              <w:jc w:val="center"/>
              <w:rPr>
                <w:rFonts w:ascii="宋体" w:hAnsi="宋体" w:cs="楷体_GB2312"/>
                <w:bCs/>
                <w:color w:val="auto"/>
                <w:spacing w:val="16"/>
                <w:kern w:val="0"/>
                <w:sz w:val="24"/>
                <w:highlight w:val="none"/>
              </w:rPr>
            </w:pPr>
          </w:p>
          <w:p w14:paraId="31C74DE6">
            <w:pPr>
              <w:pStyle w:val="54"/>
              <w:shd w:val="clear" w:color="auto" w:fill="FFFFFF"/>
              <w:spacing w:line="360" w:lineRule="auto"/>
              <w:jc w:val="center"/>
              <w:rPr>
                <w:rFonts w:ascii="宋体" w:hAnsi="宋体"/>
                <w:bCs/>
                <w:color w:val="auto"/>
                <w:spacing w:val="16"/>
                <w:highlight w:val="none"/>
              </w:rPr>
            </w:pPr>
          </w:p>
        </w:tc>
      </w:tr>
      <w:tr w14:paraId="37F7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center"/>
          </w:tcPr>
          <w:p w14:paraId="364405C9">
            <w:pPr>
              <w:pStyle w:val="54"/>
              <w:shd w:val="clear" w:color="auto" w:fill="FFFFFF"/>
              <w:spacing w:line="360" w:lineRule="auto"/>
              <w:ind w:left="107"/>
              <w:jc w:val="center"/>
              <w:rPr>
                <w:rFonts w:ascii="宋体" w:hAnsi="宋体"/>
                <w:bCs/>
                <w:color w:val="auto"/>
                <w:highlight w:val="none"/>
              </w:rPr>
            </w:pPr>
          </w:p>
        </w:tc>
        <w:tc>
          <w:tcPr>
            <w:tcW w:w="701" w:type="dxa"/>
            <w:vAlign w:val="center"/>
          </w:tcPr>
          <w:p w14:paraId="5101F3BB">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16"/>
                <w:highlight w:val="none"/>
              </w:rPr>
              <w:t>占地面积</w:t>
            </w:r>
          </w:p>
        </w:tc>
        <w:tc>
          <w:tcPr>
            <w:tcW w:w="910" w:type="dxa"/>
            <w:vAlign w:val="center"/>
          </w:tcPr>
          <w:p w14:paraId="59642A43">
            <w:pPr>
              <w:pStyle w:val="54"/>
              <w:shd w:val="clear" w:color="auto" w:fill="FFFFFF"/>
              <w:spacing w:line="360" w:lineRule="auto"/>
              <w:jc w:val="center"/>
              <w:rPr>
                <w:rFonts w:ascii="宋体" w:hAnsi="宋体"/>
                <w:bCs/>
                <w:color w:val="auto"/>
                <w:highlight w:val="none"/>
              </w:rPr>
            </w:pPr>
          </w:p>
        </w:tc>
        <w:tc>
          <w:tcPr>
            <w:tcW w:w="1163" w:type="dxa"/>
            <w:vAlign w:val="center"/>
          </w:tcPr>
          <w:p w14:paraId="01F44DF5">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16"/>
                <w:highlight w:val="none"/>
              </w:rPr>
              <w:t>建筑面积</w:t>
            </w:r>
          </w:p>
        </w:tc>
        <w:tc>
          <w:tcPr>
            <w:tcW w:w="1205" w:type="dxa"/>
            <w:vAlign w:val="center"/>
          </w:tcPr>
          <w:p w14:paraId="1B52A961">
            <w:pPr>
              <w:pStyle w:val="54"/>
              <w:shd w:val="clear" w:color="auto" w:fill="FFFFFF"/>
              <w:spacing w:line="360" w:lineRule="auto"/>
              <w:ind w:firstLine="480" w:firstLineChars="200"/>
              <w:jc w:val="center"/>
              <w:rPr>
                <w:rFonts w:ascii="宋体" w:hAnsi="宋体"/>
                <w:bCs/>
                <w:color w:val="auto"/>
                <w:highlight w:val="none"/>
              </w:rPr>
            </w:pPr>
            <w:r>
              <w:rPr>
                <w:rFonts w:hint="eastAsia" w:ascii="宋体" w:hAnsi="宋体"/>
                <w:bCs/>
                <w:color w:val="auto"/>
                <w:highlight w:val="none"/>
              </w:rPr>
              <w:t>平方米</w:t>
            </w:r>
          </w:p>
          <w:p w14:paraId="25151A1A">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16"/>
                <w:highlight w:val="none"/>
              </w:rPr>
              <w:t>□自有□租賃</w:t>
            </w:r>
          </w:p>
        </w:tc>
        <w:tc>
          <w:tcPr>
            <w:tcW w:w="2001" w:type="dxa"/>
            <w:vAlign w:val="center"/>
          </w:tcPr>
          <w:p w14:paraId="6F18D840">
            <w:pPr>
              <w:pStyle w:val="54"/>
              <w:shd w:val="clear" w:color="auto" w:fill="FFFFFF"/>
              <w:spacing w:line="360" w:lineRule="auto"/>
              <w:jc w:val="center"/>
              <w:rPr>
                <w:rFonts w:ascii="宋体" w:hAnsi="宋体"/>
                <w:bCs/>
                <w:color w:val="auto"/>
                <w:highlight w:val="none"/>
              </w:rPr>
            </w:pPr>
            <w:r>
              <w:rPr>
                <w:rFonts w:hint="eastAsia" w:ascii="宋体" w:hAnsi="宋体"/>
                <w:bCs/>
                <w:color w:val="auto"/>
                <w:spacing w:val="16"/>
                <w:highlight w:val="none"/>
              </w:rPr>
              <w:t>生产经营场所及场所的设施与设备</w:t>
            </w:r>
          </w:p>
        </w:tc>
        <w:tc>
          <w:tcPr>
            <w:tcW w:w="2151" w:type="dxa"/>
            <w:gridSpan w:val="2"/>
            <w:vAlign w:val="center"/>
          </w:tcPr>
          <w:p w14:paraId="15D51F01">
            <w:pPr>
              <w:pStyle w:val="54"/>
              <w:shd w:val="clear" w:color="auto" w:fill="FFFFFF"/>
              <w:spacing w:before="0" w:beforeAutospacing="0" w:after="0" w:afterAutospacing="0" w:line="360" w:lineRule="auto"/>
              <w:jc w:val="center"/>
              <w:rPr>
                <w:rFonts w:ascii="宋体" w:hAnsi="宋体"/>
                <w:bCs/>
                <w:color w:val="auto"/>
                <w:spacing w:val="16"/>
                <w:highlight w:val="none"/>
              </w:rPr>
            </w:pPr>
          </w:p>
        </w:tc>
      </w:tr>
      <w:tr w14:paraId="3511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4F7AB534">
            <w:pPr>
              <w:pStyle w:val="54"/>
              <w:shd w:val="clear" w:color="auto" w:fill="FFFFFF"/>
              <w:spacing w:line="360" w:lineRule="auto"/>
              <w:ind w:left="107"/>
              <w:jc w:val="center"/>
              <w:rPr>
                <w:rFonts w:ascii="宋体" w:hAnsi="宋体"/>
                <w:bCs/>
                <w:color w:val="auto"/>
                <w:highlight w:val="none"/>
              </w:rPr>
            </w:pPr>
          </w:p>
        </w:tc>
        <w:tc>
          <w:tcPr>
            <w:tcW w:w="701" w:type="dxa"/>
            <w:vAlign w:val="center"/>
          </w:tcPr>
          <w:p w14:paraId="7678F89C">
            <w:pPr>
              <w:pStyle w:val="54"/>
              <w:shd w:val="clear" w:color="auto" w:fill="FFFFFF"/>
              <w:spacing w:line="360" w:lineRule="auto"/>
              <w:ind w:left="2"/>
              <w:jc w:val="center"/>
              <w:rPr>
                <w:rFonts w:ascii="宋体" w:hAnsi="宋体"/>
                <w:bCs/>
                <w:color w:val="auto"/>
                <w:spacing w:val="16"/>
                <w:highlight w:val="none"/>
              </w:rPr>
            </w:pPr>
            <w:r>
              <w:rPr>
                <w:rFonts w:hint="eastAsia" w:ascii="宋体" w:hAnsi="宋体"/>
                <w:bCs/>
                <w:color w:val="auto"/>
                <w:spacing w:val="16"/>
                <w:highlight w:val="none"/>
              </w:rPr>
              <w:t>注册资金</w:t>
            </w:r>
          </w:p>
        </w:tc>
        <w:tc>
          <w:tcPr>
            <w:tcW w:w="910" w:type="dxa"/>
            <w:vAlign w:val="center"/>
          </w:tcPr>
          <w:p w14:paraId="6619A70B">
            <w:pPr>
              <w:pStyle w:val="54"/>
              <w:shd w:val="clear" w:color="auto" w:fill="FFFFFF"/>
              <w:spacing w:line="360" w:lineRule="auto"/>
              <w:ind w:left="2"/>
              <w:jc w:val="center"/>
              <w:rPr>
                <w:rFonts w:ascii="宋体" w:hAnsi="宋体"/>
                <w:bCs/>
                <w:color w:val="auto"/>
                <w:highlight w:val="none"/>
              </w:rPr>
            </w:pPr>
          </w:p>
        </w:tc>
        <w:tc>
          <w:tcPr>
            <w:tcW w:w="1163" w:type="dxa"/>
            <w:vAlign w:val="center"/>
          </w:tcPr>
          <w:p w14:paraId="6F993153">
            <w:pPr>
              <w:pStyle w:val="54"/>
              <w:shd w:val="clear" w:color="auto" w:fill="FFFFFF"/>
              <w:spacing w:line="360" w:lineRule="auto"/>
              <w:ind w:left="107"/>
              <w:jc w:val="center"/>
              <w:rPr>
                <w:rFonts w:ascii="宋体" w:hAnsi="宋体"/>
                <w:bCs/>
                <w:color w:val="auto"/>
                <w:highlight w:val="none"/>
              </w:rPr>
            </w:pPr>
            <w:r>
              <w:rPr>
                <w:rFonts w:hint="eastAsia" w:ascii="宋体" w:hAnsi="宋体"/>
                <w:bCs/>
                <w:color w:val="auto"/>
                <w:spacing w:val="16"/>
                <w:highlight w:val="none"/>
              </w:rPr>
              <w:t>注册发证</w:t>
            </w:r>
            <w:r>
              <w:rPr>
                <w:rFonts w:hint="eastAsia" w:ascii="宋体" w:hAnsi="宋体"/>
                <w:bCs/>
                <w:color w:val="auto"/>
                <w:spacing w:val="27"/>
                <w:highlight w:val="none"/>
              </w:rPr>
              <w:t>机关</w:t>
            </w:r>
          </w:p>
        </w:tc>
        <w:tc>
          <w:tcPr>
            <w:tcW w:w="3206" w:type="dxa"/>
            <w:gridSpan w:val="2"/>
            <w:vAlign w:val="center"/>
          </w:tcPr>
          <w:p w14:paraId="30127167">
            <w:pPr>
              <w:widowControl/>
              <w:spacing w:line="360" w:lineRule="auto"/>
              <w:jc w:val="center"/>
              <w:rPr>
                <w:rFonts w:ascii="宋体" w:hAnsi="宋体" w:cs="楷体_GB2312"/>
                <w:bCs/>
                <w:color w:val="auto"/>
                <w:kern w:val="0"/>
                <w:sz w:val="24"/>
                <w:highlight w:val="none"/>
              </w:rPr>
            </w:pPr>
          </w:p>
          <w:p w14:paraId="44223CDF">
            <w:pPr>
              <w:pStyle w:val="54"/>
              <w:shd w:val="clear" w:color="auto" w:fill="FFFFFF"/>
              <w:spacing w:line="360" w:lineRule="auto"/>
              <w:ind w:left="107"/>
              <w:jc w:val="center"/>
              <w:rPr>
                <w:rFonts w:ascii="宋体" w:hAnsi="宋体"/>
                <w:bCs/>
                <w:color w:val="auto"/>
                <w:highlight w:val="none"/>
              </w:rPr>
            </w:pPr>
          </w:p>
        </w:tc>
        <w:tc>
          <w:tcPr>
            <w:tcW w:w="1218" w:type="dxa"/>
            <w:vAlign w:val="center"/>
          </w:tcPr>
          <w:p w14:paraId="721B85C2">
            <w:pPr>
              <w:pStyle w:val="54"/>
              <w:shd w:val="clear" w:color="auto" w:fill="FFFFFF"/>
              <w:spacing w:line="360" w:lineRule="auto"/>
              <w:ind w:left="107"/>
              <w:jc w:val="center"/>
              <w:rPr>
                <w:rFonts w:ascii="宋体" w:hAnsi="宋体"/>
                <w:bCs/>
                <w:color w:val="auto"/>
                <w:highlight w:val="none"/>
              </w:rPr>
            </w:pPr>
            <w:r>
              <w:rPr>
                <w:rFonts w:hint="eastAsia" w:ascii="宋体" w:hAnsi="宋体"/>
                <w:bCs/>
                <w:color w:val="auto"/>
                <w:highlight w:val="none"/>
              </w:rPr>
              <w:t>公司成</w:t>
            </w:r>
            <w:r>
              <w:rPr>
                <w:rFonts w:hint="eastAsia" w:ascii="宋体" w:hAnsi="宋体"/>
                <w:bCs/>
                <w:color w:val="auto"/>
                <w:spacing w:val="12"/>
                <w:highlight w:val="none"/>
              </w:rPr>
              <w:t>立时间</w:t>
            </w:r>
          </w:p>
        </w:tc>
        <w:tc>
          <w:tcPr>
            <w:tcW w:w="933" w:type="dxa"/>
            <w:vAlign w:val="center"/>
          </w:tcPr>
          <w:p w14:paraId="4CE5795F">
            <w:pPr>
              <w:pStyle w:val="54"/>
              <w:shd w:val="clear" w:color="auto" w:fill="FFFFFF"/>
              <w:spacing w:line="360" w:lineRule="auto"/>
              <w:ind w:left="107"/>
              <w:jc w:val="center"/>
              <w:rPr>
                <w:rFonts w:ascii="宋体" w:hAnsi="宋体"/>
                <w:bCs/>
                <w:color w:val="auto"/>
                <w:highlight w:val="none"/>
              </w:rPr>
            </w:pPr>
          </w:p>
        </w:tc>
      </w:tr>
      <w:tr w14:paraId="5F19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1E89614">
            <w:pPr>
              <w:pStyle w:val="54"/>
              <w:shd w:val="clear" w:color="auto" w:fill="FFFFFF"/>
              <w:spacing w:line="360" w:lineRule="auto"/>
              <w:ind w:left="107"/>
              <w:jc w:val="center"/>
              <w:rPr>
                <w:rFonts w:ascii="宋体" w:hAnsi="宋体"/>
                <w:bCs/>
                <w:color w:val="auto"/>
                <w:highlight w:val="none"/>
              </w:rPr>
            </w:pPr>
          </w:p>
        </w:tc>
        <w:tc>
          <w:tcPr>
            <w:tcW w:w="701" w:type="dxa"/>
            <w:vAlign w:val="center"/>
          </w:tcPr>
          <w:p w14:paraId="5BDA46C4">
            <w:pPr>
              <w:pStyle w:val="54"/>
              <w:shd w:val="clear" w:color="auto" w:fill="FFFFFF"/>
              <w:spacing w:line="360" w:lineRule="auto"/>
              <w:ind w:left="2"/>
              <w:jc w:val="center"/>
              <w:rPr>
                <w:rFonts w:ascii="宋体" w:hAnsi="宋体"/>
                <w:bCs/>
                <w:color w:val="auto"/>
                <w:highlight w:val="none"/>
              </w:rPr>
            </w:pPr>
            <w:r>
              <w:rPr>
                <w:rFonts w:hint="eastAsia" w:ascii="宋体" w:hAnsi="宋体"/>
                <w:bCs/>
                <w:color w:val="auto"/>
                <w:highlight w:val="none"/>
              </w:rPr>
              <w:t>核准经营范围</w:t>
            </w:r>
          </w:p>
        </w:tc>
        <w:tc>
          <w:tcPr>
            <w:tcW w:w="7430" w:type="dxa"/>
            <w:gridSpan w:val="6"/>
            <w:vAlign w:val="center"/>
          </w:tcPr>
          <w:p w14:paraId="2432172C">
            <w:pPr>
              <w:pStyle w:val="54"/>
              <w:shd w:val="clear" w:color="auto" w:fill="FFFFFF"/>
              <w:spacing w:line="360" w:lineRule="auto"/>
              <w:ind w:left="107"/>
              <w:jc w:val="center"/>
              <w:rPr>
                <w:rFonts w:ascii="宋体" w:hAnsi="宋体"/>
                <w:bCs/>
                <w:color w:val="auto"/>
                <w:highlight w:val="none"/>
              </w:rPr>
            </w:pPr>
          </w:p>
        </w:tc>
      </w:tr>
      <w:tr w14:paraId="00FB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center"/>
          </w:tcPr>
          <w:p w14:paraId="6693C078">
            <w:pPr>
              <w:pStyle w:val="54"/>
              <w:shd w:val="clear" w:color="auto" w:fill="FFFFFF"/>
              <w:spacing w:line="360" w:lineRule="auto"/>
              <w:ind w:left="107"/>
              <w:jc w:val="center"/>
              <w:rPr>
                <w:rFonts w:ascii="宋体" w:hAnsi="宋体"/>
                <w:bCs/>
                <w:color w:val="auto"/>
                <w:highlight w:val="none"/>
              </w:rPr>
            </w:pPr>
          </w:p>
        </w:tc>
        <w:tc>
          <w:tcPr>
            <w:tcW w:w="8131" w:type="dxa"/>
            <w:gridSpan w:val="7"/>
            <w:vAlign w:val="center"/>
          </w:tcPr>
          <w:p w14:paraId="5E210B88">
            <w:pPr>
              <w:pStyle w:val="54"/>
              <w:shd w:val="clear" w:color="auto" w:fill="FFFFFF"/>
              <w:spacing w:line="360" w:lineRule="auto"/>
              <w:rPr>
                <w:rFonts w:ascii="宋体" w:hAnsi="宋体"/>
                <w:bCs/>
                <w:color w:val="auto"/>
                <w:spacing w:val="13"/>
                <w:highlight w:val="none"/>
              </w:rPr>
            </w:pPr>
            <w:r>
              <w:rPr>
                <w:rFonts w:hint="eastAsia" w:ascii="宋体" w:hAnsi="宋体"/>
                <w:bCs/>
                <w:color w:val="auto"/>
                <w:spacing w:val="13"/>
                <w:highlight w:val="none"/>
              </w:rPr>
              <w:t>发展历程及主要荣誉：</w:t>
            </w:r>
          </w:p>
          <w:p w14:paraId="78606D3A">
            <w:pPr>
              <w:pStyle w:val="54"/>
              <w:shd w:val="clear" w:color="auto" w:fill="FFFFFF"/>
              <w:spacing w:line="360" w:lineRule="auto"/>
              <w:rPr>
                <w:rFonts w:ascii="宋体" w:hAnsi="宋体"/>
                <w:bCs/>
                <w:color w:val="auto"/>
                <w:spacing w:val="13"/>
                <w:highlight w:val="none"/>
              </w:rPr>
            </w:pPr>
          </w:p>
          <w:p w14:paraId="53EB0D29">
            <w:pPr>
              <w:pStyle w:val="54"/>
              <w:shd w:val="clear" w:color="auto" w:fill="FFFFFF"/>
              <w:spacing w:line="360" w:lineRule="auto"/>
              <w:rPr>
                <w:rFonts w:ascii="宋体" w:hAnsi="宋体"/>
                <w:bCs/>
                <w:color w:val="auto"/>
                <w:spacing w:val="13"/>
                <w:highlight w:val="none"/>
              </w:rPr>
            </w:pPr>
          </w:p>
        </w:tc>
      </w:tr>
    </w:tbl>
    <w:p w14:paraId="30C0B6A4">
      <w:pPr>
        <w:pStyle w:val="54"/>
        <w:shd w:val="clear" w:color="auto" w:fill="FFFFFF"/>
        <w:spacing w:before="0" w:beforeAutospacing="0" w:after="0" w:afterAutospacing="0" w:line="360" w:lineRule="auto"/>
        <w:rPr>
          <w:rFonts w:ascii="宋体" w:hAnsi="宋体"/>
          <w:b/>
          <w:color w:val="auto"/>
          <w:sz w:val="21"/>
          <w:szCs w:val="21"/>
          <w:highlight w:val="none"/>
        </w:rPr>
      </w:pPr>
      <w:r>
        <w:rPr>
          <w:rFonts w:hint="eastAsia" w:ascii="宋体" w:hAnsi="宋体"/>
          <w:b/>
          <w:color w:val="auto"/>
          <w:sz w:val="21"/>
          <w:szCs w:val="21"/>
          <w:highlight w:val="none"/>
        </w:rPr>
        <w:t>要求：</w:t>
      </w:r>
    </w:p>
    <w:p w14:paraId="60B035E9">
      <w:pPr>
        <w:pStyle w:val="54"/>
        <w:shd w:val="clear" w:color="auto" w:fill="FFFFFF"/>
        <w:spacing w:before="0" w:beforeAutospacing="0" w:after="0" w:afterAutospacing="0" w:line="360" w:lineRule="auto"/>
        <w:ind w:firstLine="424" w:firstLineChars="202"/>
        <w:rPr>
          <w:rFonts w:ascii="宋体" w:hAnsi="宋体"/>
          <w:color w:val="auto"/>
          <w:sz w:val="24"/>
          <w:highlight w:val="none"/>
        </w:rPr>
      </w:pPr>
      <w:r>
        <w:rPr>
          <w:rFonts w:ascii="宋体" w:hAnsi="宋体"/>
          <w:color w:val="auto"/>
          <w:sz w:val="21"/>
          <w:szCs w:val="21"/>
          <w:highlight w:val="none"/>
        </w:rPr>
        <w:t>1.姓名栏必须将所有股东都统计在内，若非股份公司此行（第三行）无需填写</w:t>
      </w:r>
      <w:r>
        <w:rPr>
          <w:rFonts w:hint="eastAsia" w:ascii="宋体" w:hAnsi="宋体"/>
          <w:color w:val="auto"/>
          <w:sz w:val="21"/>
          <w:szCs w:val="21"/>
          <w:highlight w:val="none"/>
        </w:rPr>
        <w:t>。</w:t>
      </w:r>
    </w:p>
    <w:p w14:paraId="5DD10B80">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03D7A007">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20CBBD5E">
      <w:pPr>
        <w:adjustRightInd w:val="0"/>
        <w:snapToGrid w:val="0"/>
        <w:spacing w:line="360" w:lineRule="auto"/>
        <w:ind w:right="480"/>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6CF216CA">
      <w:pPr>
        <w:snapToGrid w:val="0"/>
        <w:spacing w:before="50" w:after="50" w:line="360" w:lineRule="auto"/>
        <w:jc w:val="left"/>
        <w:rPr>
          <w:rFonts w:ascii="宋体" w:hAnsi="宋体"/>
          <w:b/>
          <w:color w:val="auto"/>
          <w:sz w:val="28"/>
          <w:highlight w:val="none"/>
        </w:rPr>
      </w:pPr>
    </w:p>
    <w:p w14:paraId="15B67359">
      <w:pPr>
        <w:snapToGrid w:val="0"/>
        <w:spacing w:before="50" w:after="50" w:line="360" w:lineRule="auto"/>
        <w:rPr>
          <w:rFonts w:ascii="宋体" w:hAnsi="宋体"/>
          <w:b/>
          <w:color w:val="auto"/>
          <w:sz w:val="28"/>
          <w:highlight w:val="none"/>
        </w:rPr>
      </w:pPr>
    </w:p>
    <w:p w14:paraId="0211A0E2">
      <w:pPr>
        <w:snapToGrid w:val="0"/>
        <w:spacing w:before="50" w:after="50" w:line="360" w:lineRule="auto"/>
        <w:rPr>
          <w:rFonts w:hint="eastAsia" w:ascii="宋体" w:hAnsi="宋体"/>
          <w:b/>
          <w:color w:val="auto"/>
          <w:sz w:val="28"/>
          <w:highlight w:val="none"/>
        </w:rPr>
      </w:pPr>
    </w:p>
    <w:p w14:paraId="02519A41">
      <w:pPr>
        <w:snapToGrid w:val="0"/>
        <w:spacing w:before="50" w:after="50" w:line="360" w:lineRule="auto"/>
        <w:rPr>
          <w:rFonts w:hint="eastAsia" w:ascii="宋体" w:hAnsi="宋体"/>
          <w:b/>
          <w:color w:val="auto"/>
          <w:sz w:val="28"/>
          <w:highlight w:val="none"/>
        </w:rPr>
      </w:pPr>
    </w:p>
    <w:p w14:paraId="1EA2F06F">
      <w:pPr>
        <w:snapToGrid w:val="0"/>
        <w:spacing w:before="50" w:after="50" w:line="360" w:lineRule="auto"/>
        <w:rPr>
          <w:rFonts w:hint="eastAsia" w:ascii="宋体" w:hAnsi="宋体"/>
          <w:b/>
          <w:color w:val="auto"/>
          <w:sz w:val="28"/>
          <w:highlight w:val="none"/>
        </w:rPr>
      </w:pPr>
    </w:p>
    <w:p w14:paraId="242347DD">
      <w:pPr>
        <w:snapToGrid w:val="0"/>
        <w:spacing w:before="50" w:after="50" w:line="360" w:lineRule="auto"/>
        <w:rPr>
          <w:rFonts w:hint="eastAsia" w:ascii="宋体" w:hAnsi="宋体"/>
          <w:b/>
          <w:color w:val="auto"/>
          <w:sz w:val="28"/>
          <w:highlight w:val="none"/>
        </w:rPr>
      </w:pPr>
    </w:p>
    <w:p w14:paraId="03124230">
      <w:pPr>
        <w:snapToGrid w:val="0"/>
        <w:spacing w:before="50" w:after="50" w:line="360" w:lineRule="auto"/>
        <w:rPr>
          <w:rFonts w:hint="eastAsia" w:ascii="宋体" w:hAnsi="宋体"/>
          <w:b/>
          <w:color w:val="auto"/>
          <w:sz w:val="28"/>
          <w:highlight w:val="none"/>
        </w:rPr>
      </w:pPr>
    </w:p>
    <w:p w14:paraId="0B4A61BC">
      <w:pPr>
        <w:snapToGrid w:val="0"/>
        <w:spacing w:before="50" w:after="50" w:line="360" w:lineRule="auto"/>
        <w:rPr>
          <w:rFonts w:hint="eastAsia" w:ascii="宋体" w:hAnsi="宋体"/>
          <w:b/>
          <w:color w:val="auto"/>
          <w:sz w:val="28"/>
          <w:highlight w:val="none"/>
        </w:rPr>
      </w:pPr>
    </w:p>
    <w:p w14:paraId="1D575D2F">
      <w:pPr>
        <w:snapToGrid w:val="0"/>
        <w:spacing w:before="50" w:after="50" w:line="360" w:lineRule="auto"/>
        <w:rPr>
          <w:rFonts w:hint="eastAsia" w:ascii="宋体" w:hAnsi="宋体"/>
          <w:b/>
          <w:color w:val="auto"/>
          <w:sz w:val="28"/>
          <w:highlight w:val="none"/>
        </w:rPr>
      </w:pPr>
    </w:p>
    <w:p w14:paraId="65CC00A1">
      <w:pPr>
        <w:snapToGrid w:val="0"/>
        <w:spacing w:before="50" w:after="50" w:line="360" w:lineRule="auto"/>
        <w:rPr>
          <w:rFonts w:hint="eastAsia" w:ascii="宋体" w:hAnsi="宋体"/>
          <w:b/>
          <w:color w:val="auto"/>
          <w:sz w:val="28"/>
          <w:highlight w:val="none"/>
        </w:rPr>
      </w:pPr>
    </w:p>
    <w:p w14:paraId="6E9C3452">
      <w:pPr>
        <w:snapToGrid w:val="0"/>
        <w:spacing w:before="50" w:after="50" w:line="360" w:lineRule="auto"/>
        <w:rPr>
          <w:rFonts w:hint="eastAsia" w:ascii="宋体" w:hAnsi="宋体"/>
          <w:b/>
          <w:color w:val="auto"/>
          <w:sz w:val="28"/>
          <w:highlight w:val="none"/>
        </w:rPr>
      </w:pPr>
    </w:p>
    <w:p w14:paraId="184E90A4">
      <w:pPr>
        <w:snapToGrid w:val="0"/>
        <w:spacing w:before="50" w:after="50" w:line="360" w:lineRule="auto"/>
        <w:rPr>
          <w:rFonts w:hint="eastAsia" w:ascii="宋体" w:hAnsi="宋体"/>
          <w:b/>
          <w:color w:val="auto"/>
          <w:sz w:val="28"/>
          <w:highlight w:val="none"/>
        </w:rPr>
      </w:pPr>
    </w:p>
    <w:p w14:paraId="628E04CA">
      <w:pPr>
        <w:pStyle w:val="27"/>
        <w:rPr>
          <w:rFonts w:hint="eastAsia"/>
          <w:color w:val="auto"/>
        </w:rPr>
      </w:pPr>
    </w:p>
    <w:p w14:paraId="6BC7D460">
      <w:pPr>
        <w:snapToGrid w:val="0"/>
        <w:spacing w:before="50" w:after="50" w:line="360" w:lineRule="auto"/>
        <w:rPr>
          <w:rFonts w:ascii="宋体" w:hAnsi="宋体"/>
          <w:b/>
          <w:color w:val="auto"/>
          <w:sz w:val="32"/>
          <w:szCs w:val="32"/>
          <w:highlight w:val="none"/>
        </w:rPr>
      </w:pPr>
      <w:r>
        <w:rPr>
          <w:rFonts w:hint="eastAsia" w:ascii="宋体" w:hAnsi="宋体"/>
          <w:b/>
          <w:color w:val="auto"/>
          <w:sz w:val="28"/>
          <w:highlight w:val="none"/>
        </w:rPr>
        <w:t>附件6</w:t>
      </w:r>
      <w:r>
        <w:rPr>
          <w:rFonts w:ascii="宋体" w:hAnsi="宋体"/>
          <w:b/>
          <w:color w:val="auto"/>
          <w:sz w:val="28"/>
          <w:highlight w:val="none"/>
        </w:rPr>
        <w:t>：</w:t>
      </w:r>
    </w:p>
    <w:p w14:paraId="525C6BDA">
      <w:pPr>
        <w:snapToGrid w:val="0"/>
        <w:spacing w:before="156"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6C68641C">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47E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1EF4383">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6F5CC35">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3690B3D">
            <w:pPr>
              <w:snapToGrid w:val="0"/>
              <w:spacing w:before="156" w:beforeLines="50" w:after="50" w:line="360" w:lineRule="auto"/>
              <w:jc w:val="center"/>
              <w:rPr>
                <w:rFonts w:ascii="宋体" w:hAnsi="宋体"/>
                <w:b/>
                <w:color w:val="auto"/>
                <w:sz w:val="24"/>
                <w:highlight w:val="none"/>
              </w:rPr>
            </w:pPr>
            <w:r>
              <w:rPr>
                <w:rFonts w:hint="eastAsia" w:ascii="宋体" w:hAnsi="宋体"/>
                <w:b/>
                <w:color w:val="auto"/>
                <w:sz w:val="24"/>
                <w:highlight w:val="none"/>
              </w:rPr>
              <w:t>单位</w:t>
            </w:r>
          </w:p>
          <w:p w14:paraId="2AEA7902">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9C1A88E">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项目职责</w:t>
            </w:r>
          </w:p>
        </w:tc>
        <w:tc>
          <w:tcPr>
            <w:tcW w:w="1276" w:type="dxa"/>
            <w:tcBorders>
              <w:top w:val="single" w:color="auto" w:sz="4" w:space="0"/>
              <w:left w:val="single" w:color="auto" w:sz="4" w:space="0"/>
              <w:bottom w:val="single" w:color="auto" w:sz="4" w:space="0"/>
              <w:right w:val="single" w:color="auto" w:sz="4" w:space="0"/>
            </w:tcBorders>
            <w:vAlign w:val="center"/>
          </w:tcPr>
          <w:p w14:paraId="77A12180">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专业技术资格或</w:t>
            </w:r>
            <w:r>
              <w:rPr>
                <w:rFonts w:ascii="宋体" w:hAnsi="宋体"/>
                <w:b/>
                <w:color w:val="auto"/>
                <w:sz w:val="24"/>
                <w:highlight w:val="none"/>
              </w:rPr>
              <w:t>职称</w:t>
            </w:r>
          </w:p>
        </w:tc>
        <w:tc>
          <w:tcPr>
            <w:tcW w:w="1275" w:type="dxa"/>
            <w:tcBorders>
              <w:top w:val="single" w:color="auto" w:sz="4" w:space="0"/>
              <w:left w:val="single" w:color="auto" w:sz="4" w:space="0"/>
              <w:bottom w:val="single" w:color="auto" w:sz="4" w:space="0"/>
              <w:right w:val="single" w:color="auto" w:sz="4" w:space="0"/>
            </w:tcBorders>
            <w:vAlign w:val="center"/>
          </w:tcPr>
          <w:p w14:paraId="6DB89944">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EF8AC18">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学历</w:t>
            </w:r>
            <w:r>
              <w:rPr>
                <w:rFonts w:ascii="宋体" w:hAnsi="宋体"/>
                <w:b/>
                <w:bCs/>
                <w:color w:val="auto"/>
                <w:sz w:val="24"/>
                <w:highlight w:val="none"/>
              </w:rPr>
              <w:t>与专业</w:t>
            </w:r>
          </w:p>
        </w:tc>
        <w:tc>
          <w:tcPr>
            <w:tcW w:w="2126" w:type="dxa"/>
            <w:tcBorders>
              <w:top w:val="single" w:color="auto" w:sz="4" w:space="0"/>
              <w:left w:val="single" w:color="auto" w:sz="4" w:space="0"/>
              <w:bottom w:val="single" w:color="auto" w:sz="4" w:space="0"/>
              <w:right w:val="single" w:color="auto" w:sz="4" w:space="0"/>
            </w:tcBorders>
            <w:vAlign w:val="center"/>
          </w:tcPr>
          <w:p w14:paraId="4B913A7D">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在</w:t>
            </w:r>
            <w:r>
              <w:rPr>
                <w:rFonts w:ascii="宋体" w:hAnsi="宋体"/>
                <w:b/>
                <w:color w:val="auto"/>
                <w:sz w:val="24"/>
                <w:highlight w:val="none"/>
              </w:rPr>
              <w:t>投标人单位</w:t>
            </w:r>
            <w:r>
              <w:rPr>
                <w:rFonts w:hint="eastAsia" w:ascii="宋体" w:hAnsi="宋体"/>
                <w:b/>
                <w:color w:val="auto"/>
                <w:sz w:val="24"/>
                <w:highlight w:val="none"/>
              </w:rPr>
              <w:t>缴纳</w:t>
            </w:r>
            <w:r>
              <w:rPr>
                <w:rFonts w:ascii="宋体" w:hAnsi="宋体"/>
                <w:b/>
                <w:color w:val="auto"/>
                <w:sz w:val="24"/>
                <w:highlight w:val="none"/>
              </w:rPr>
              <w:t>社保</w:t>
            </w:r>
            <w:r>
              <w:rPr>
                <w:rFonts w:hint="eastAsia" w:ascii="宋体" w:hAnsi="宋体"/>
                <w:b/>
                <w:color w:val="auto"/>
                <w:sz w:val="24"/>
                <w:highlight w:val="none"/>
              </w:rPr>
              <w:t>起</w:t>
            </w:r>
            <w:r>
              <w:rPr>
                <w:rFonts w:ascii="宋体" w:hAnsi="宋体"/>
                <w:b/>
                <w:color w:val="auto"/>
                <w:sz w:val="24"/>
                <w:highlight w:val="none"/>
              </w:rPr>
              <w:t>始时间（年、月）</w:t>
            </w:r>
          </w:p>
        </w:tc>
      </w:tr>
      <w:tr w14:paraId="1F204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993E112">
            <w:pPr>
              <w:keepNext/>
              <w:keepLines/>
              <w:snapToGrid w:val="0"/>
              <w:spacing w:before="156" w:beforeLines="50" w:after="50" w:line="360" w:lineRule="auto"/>
              <w:outlineLvl w:val="0"/>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1EF522F">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A931735">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A3019DE">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FBE2B2">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295EF32">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DA5EDA8">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37B91EA">
            <w:pPr>
              <w:keepNext/>
              <w:keepLines/>
              <w:snapToGrid w:val="0"/>
              <w:spacing w:before="156" w:beforeLines="50" w:after="50" w:line="360" w:lineRule="auto"/>
              <w:outlineLvl w:val="0"/>
              <w:rPr>
                <w:rFonts w:ascii="宋体" w:hAnsi="宋体"/>
                <w:b/>
                <w:bCs/>
                <w:color w:val="auto"/>
                <w:kern w:val="44"/>
                <w:sz w:val="24"/>
                <w:szCs w:val="20"/>
                <w:highlight w:val="none"/>
              </w:rPr>
            </w:pPr>
          </w:p>
        </w:tc>
      </w:tr>
      <w:tr w14:paraId="67804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037788C">
            <w:pPr>
              <w:keepNext/>
              <w:keepLines/>
              <w:snapToGrid w:val="0"/>
              <w:spacing w:before="156" w:beforeLines="50" w:after="50" w:line="360" w:lineRule="auto"/>
              <w:outlineLvl w:val="0"/>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61FBBFD">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AD6F0FF">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CF23029">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C006083">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0B26BEE">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E3DE285">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26C34BE">
            <w:pPr>
              <w:keepNext/>
              <w:keepLines/>
              <w:snapToGrid w:val="0"/>
              <w:spacing w:before="156" w:beforeLines="50" w:after="50" w:line="360" w:lineRule="auto"/>
              <w:outlineLvl w:val="0"/>
              <w:rPr>
                <w:rFonts w:ascii="宋体" w:hAnsi="宋体"/>
                <w:b/>
                <w:bCs/>
                <w:color w:val="auto"/>
                <w:kern w:val="44"/>
                <w:sz w:val="24"/>
                <w:szCs w:val="20"/>
                <w:highlight w:val="none"/>
              </w:rPr>
            </w:pPr>
          </w:p>
        </w:tc>
      </w:tr>
      <w:tr w14:paraId="384C5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106861">
            <w:pPr>
              <w:keepNext/>
              <w:keepLines/>
              <w:snapToGrid w:val="0"/>
              <w:spacing w:before="156" w:beforeLines="50" w:after="50" w:line="360" w:lineRule="auto"/>
              <w:outlineLvl w:val="0"/>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3F3AF38">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65522CC">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A78921D">
            <w:pPr>
              <w:pStyle w:val="19"/>
              <w:keepNext/>
              <w:keepLines/>
              <w:snapToGrid w:val="0"/>
              <w:spacing w:before="156" w:beforeLines="50" w:after="50" w:line="360" w:lineRule="auto"/>
              <w:ind w:left="5250"/>
              <w:outlineLvl w:val="0"/>
              <w:rPr>
                <w:rFonts w:ascii="宋体" w:hAnsi="宋体" w:eastAsia="宋体"/>
                <w:b/>
                <w:bCs/>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21F0A7DE">
            <w:pPr>
              <w:pStyle w:val="19"/>
              <w:keepNext/>
              <w:keepLines/>
              <w:snapToGrid w:val="0"/>
              <w:spacing w:before="156" w:beforeLines="50" w:after="50" w:line="360" w:lineRule="auto"/>
              <w:ind w:left="5250"/>
              <w:outlineLvl w:val="0"/>
              <w:rPr>
                <w:rFonts w:ascii="宋体" w:hAnsi="宋体" w:eastAsia="宋体"/>
                <w:b/>
                <w:bCs/>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0EB75AEB">
            <w:pPr>
              <w:pStyle w:val="19"/>
              <w:keepNext/>
              <w:keepLines/>
              <w:spacing w:before="340" w:after="330" w:line="360" w:lineRule="auto"/>
              <w:ind w:left="5250"/>
              <w:outlineLvl w:val="0"/>
              <w:rPr>
                <w:rFonts w:ascii="宋体" w:hAnsi="宋体" w:eastAsia="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0972BB5">
            <w:pPr>
              <w:keepNext/>
              <w:keepLines/>
              <w:snapToGrid w:val="0"/>
              <w:spacing w:before="156" w:beforeLines="50" w:after="50" w:line="360" w:lineRule="auto"/>
              <w:outlineLvl w:val="0"/>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A8EEC94">
            <w:pPr>
              <w:keepNext/>
              <w:keepLines/>
              <w:snapToGrid w:val="0"/>
              <w:spacing w:before="156" w:beforeLines="50" w:after="50" w:line="360" w:lineRule="auto"/>
              <w:outlineLvl w:val="0"/>
              <w:rPr>
                <w:rFonts w:ascii="宋体" w:hAnsi="宋体"/>
                <w:b/>
                <w:bCs/>
                <w:color w:val="auto"/>
                <w:kern w:val="44"/>
                <w:sz w:val="24"/>
                <w:szCs w:val="20"/>
                <w:highlight w:val="none"/>
              </w:rPr>
            </w:pPr>
          </w:p>
        </w:tc>
      </w:tr>
      <w:tr w14:paraId="59549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E71AE7C">
            <w:pPr>
              <w:keepNext/>
              <w:keepLines/>
              <w:snapToGrid w:val="0"/>
              <w:spacing w:before="156" w:beforeLines="50" w:after="50" w:line="360" w:lineRule="auto"/>
              <w:outlineLvl w:val="0"/>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253D03E">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3EA62D0">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66C9F02">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86E842A">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C71F095">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2537B34">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3C9D387">
            <w:pPr>
              <w:keepNext/>
              <w:keepLines/>
              <w:snapToGrid w:val="0"/>
              <w:spacing w:before="156" w:beforeLines="50" w:after="50" w:line="360" w:lineRule="auto"/>
              <w:outlineLvl w:val="0"/>
              <w:rPr>
                <w:rFonts w:ascii="宋体" w:hAnsi="宋体"/>
                <w:b/>
                <w:bCs/>
                <w:color w:val="auto"/>
                <w:kern w:val="44"/>
                <w:sz w:val="24"/>
                <w:szCs w:val="20"/>
                <w:highlight w:val="none"/>
              </w:rPr>
            </w:pPr>
          </w:p>
        </w:tc>
      </w:tr>
      <w:tr w14:paraId="134BB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FB2E92D">
            <w:pPr>
              <w:keepNext/>
              <w:keepLines/>
              <w:snapToGrid w:val="0"/>
              <w:spacing w:before="156" w:beforeLines="50" w:after="50" w:line="360" w:lineRule="auto"/>
              <w:outlineLvl w:val="0"/>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57B74DC">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7746888">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02C0311">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B5B8C3">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F371532">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849381D">
            <w:pPr>
              <w:keepNext/>
              <w:keepLines/>
              <w:snapToGrid w:val="0"/>
              <w:spacing w:before="156" w:beforeLines="50" w:after="50" w:line="360" w:lineRule="auto"/>
              <w:outlineLvl w:val="0"/>
              <w:rPr>
                <w:rFonts w:ascii="宋体" w:hAnsi="宋体"/>
                <w:b/>
                <w:bCs/>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4837F24">
            <w:pPr>
              <w:keepNext/>
              <w:keepLines/>
              <w:snapToGrid w:val="0"/>
              <w:spacing w:before="156" w:beforeLines="50" w:after="50" w:line="360" w:lineRule="auto"/>
              <w:outlineLvl w:val="0"/>
              <w:rPr>
                <w:rFonts w:ascii="宋体" w:hAnsi="宋体"/>
                <w:b/>
                <w:bCs/>
                <w:color w:val="auto"/>
                <w:kern w:val="44"/>
                <w:sz w:val="24"/>
                <w:szCs w:val="20"/>
                <w:highlight w:val="none"/>
              </w:rPr>
            </w:pPr>
          </w:p>
        </w:tc>
      </w:tr>
    </w:tbl>
    <w:p w14:paraId="4E489DE9">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0D1F9824">
      <w:pPr>
        <w:spacing w:line="360" w:lineRule="auto"/>
        <w:ind w:left="437"/>
        <w:rPr>
          <w:rFonts w:ascii="宋体" w:hAnsi="宋体"/>
          <w:color w:val="auto"/>
          <w:sz w:val="24"/>
          <w:szCs w:val="20"/>
          <w:highlight w:val="none"/>
        </w:rPr>
      </w:pPr>
      <w:r>
        <w:rPr>
          <w:rFonts w:ascii="宋体" w:hAnsi="宋体"/>
          <w:bCs/>
          <w:color w:val="auto"/>
          <w:szCs w:val="21"/>
          <w:highlight w:val="none"/>
        </w:rPr>
        <w:t>1.</w:t>
      </w:r>
      <w:r>
        <w:rPr>
          <w:rFonts w:hint="eastAsia" w:ascii="宋体" w:hAnsi="宋体"/>
          <w:color w:val="auto"/>
          <w:szCs w:val="21"/>
          <w:highlight w:val="none"/>
        </w:rPr>
        <w:t>在填写时，如本表格不适合磋商供应商的实际情况，可根据本表格式自行划表填写。</w:t>
      </w:r>
    </w:p>
    <w:p w14:paraId="193677A4">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37AED1EE">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75614663">
      <w:pPr>
        <w:adjustRightInd w:val="0"/>
        <w:snapToGrid w:val="0"/>
        <w:spacing w:line="360" w:lineRule="auto"/>
        <w:ind w:right="480"/>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133C17D5">
      <w:pPr>
        <w:spacing w:line="360" w:lineRule="auto"/>
        <w:ind w:firstLine="993"/>
        <w:rPr>
          <w:rFonts w:ascii="宋体" w:hAnsi="宋体"/>
          <w:color w:val="auto"/>
          <w:sz w:val="24"/>
          <w:highlight w:val="none"/>
        </w:rPr>
      </w:pPr>
    </w:p>
    <w:p w14:paraId="5768CD9F">
      <w:pPr>
        <w:spacing w:line="360" w:lineRule="auto"/>
        <w:rPr>
          <w:rFonts w:ascii="宋体" w:hAnsi="宋体"/>
          <w:b/>
          <w:color w:val="auto"/>
          <w:sz w:val="28"/>
          <w:highlight w:val="none"/>
        </w:rPr>
      </w:pPr>
    </w:p>
    <w:p w14:paraId="29E2C1C0">
      <w:pPr>
        <w:spacing w:line="360" w:lineRule="auto"/>
        <w:rPr>
          <w:rFonts w:ascii="宋体" w:hAnsi="宋体"/>
          <w:b/>
          <w:color w:val="auto"/>
          <w:sz w:val="28"/>
          <w:highlight w:val="none"/>
        </w:rPr>
      </w:pPr>
    </w:p>
    <w:p w14:paraId="6EAC0955">
      <w:pPr>
        <w:pStyle w:val="10"/>
        <w:rPr>
          <w:color w:val="auto"/>
          <w:highlight w:val="none"/>
        </w:rPr>
      </w:pPr>
    </w:p>
    <w:p w14:paraId="3606EEC1">
      <w:pPr>
        <w:rPr>
          <w:color w:val="auto"/>
          <w:highlight w:val="none"/>
        </w:rPr>
      </w:pPr>
    </w:p>
    <w:p w14:paraId="0DE2D43A">
      <w:pPr>
        <w:pStyle w:val="10"/>
        <w:rPr>
          <w:color w:val="auto"/>
          <w:highlight w:val="none"/>
        </w:rPr>
      </w:pPr>
    </w:p>
    <w:p w14:paraId="3F5ECE51">
      <w:pPr>
        <w:rPr>
          <w:color w:val="auto"/>
          <w:highlight w:val="none"/>
        </w:rPr>
      </w:pPr>
    </w:p>
    <w:p w14:paraId="38035562">
      <w:pPr>
        <w:pStyle w:val="27"/>
        <w:rPr>
          <w:color w:val="auto"/>
          <w:highlight w:val="none"/>
        </w:rPr>
      </w:pPr>
    </w:p>
    <w:p w14:paraId="6F83A0FE">
      <w:pPr>
        <w:rPr>
          <w:color w:val="auto"/>
        </w:rPr>
      </w:pPr>
    </w:p>
    <w:p w14:paraId="7F533490">
      <w:pPr>
        <w:spacing w:line="360" w:lineRule="auto"/>
        <w:rPr>
          <w:rFonts w:ascii="宋体"/>
          <w:b/>
          <w:color w:val="auto"/>
          <w:sz w:val="28"/>
          <w:highlight w:val="none"/>
        </w:rPr>
      </w:pPr>
      <w:r>
        <w:rPr>
          <w:rFonts w:hint="eastAsia" w:ascii="宋体" w:hAnsi="宋体"/>
          <w:b/>
          <w:color w:val="auto"/>
          <w:sz w:val="28"/>
          <w:highlight w:val="none"/>
        </w:rPr>
        <w:t>附件7：</w:t>
      </w:r>
    </w:p>
    <w:p w14:paraId="02F3D940">
      <w:pPr>
        <w:pStyle w:val="63"/>
        <w:spacing w:line="360" w:lineRule="auto"/>
        <w:jc w:val="center"/>
        <w:rPr>
          <w:rFonts w:ascii="宋体"/>
          <w:b/>
          <w:color w:val="auto"/>
          <w:sz w:val="32"/>
          <w:szCs w:val="32"/>
          <w:highlight w:val="none"/>
        </w:rPr>
      </w:pPr>
      <w:r>
        <w:rPr>
          <w:rFonts w:hint="eastAsia" w:ascii="宋体" w:hAnsi="宋体"/>
          <w:b/>
          <w:color w:val="auto"/>
          <w:sz w:val="32"/>
          <w:szCs w:val="32"/>
          <w:highlight w:val="none"/>
        </w:rPr>
        <w:t>类似项目实施情况一览表</w:t>
      </w:r>
    </w:p>
    <w:p w14:paraId="6F1AC156">
      <w:pPr>
        <w:pStyle w:val="63"/>
        <w:spacing w:line="360" w:lineRule="auto"/>
        <w:jc w:val="center"/>
        <w:rPr>
          <w:rFonts w:ascii="仿宋_GB2312" w:eastAsia="仿宋_GB2312"/>
          <w:b/>
          <w:color w:val="auto"/>
          <w:sz w:val="28"/>
          <w:szCs w:val="28"/>
          <w:highlight w:val="none"/>
        </w:rPr>
      </w:pPr>
    </w:p>
    <w:tbl>
      <w:tblPr>
        <w:tblStyle w:val="29"/>
        <w:tblW w:w="8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5"/>
        <w:gridCol w:w="1764"/>
        <w:gridCol w:w="1351"/>
        <w:gridCol w:w="1484"/>
        <w:gridCol w:w="1215"/>
        <w:gridCol w:w="1982"/>
      </w:tblGrid>
      <w:tr w14:paraId="626D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20BD86B5">
            <w:pPr>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764" w:type="dxa"/>
            <w:tcBorders>
              <w:top w:val="single" w:color="auto" w:sz="6" w:space="0"/>
              <w:left w:val="single" w:color="auto" w:sz="6" w:space="0"/>
              <w:bottom w:val="single" w:color="auto" w:sz="6" w:space="0"/>
              <w:right w:val="single" w:color="auto" w:sz="6" w:space="0"/>
            </w:tcBorders>
            <w:vAlign w:val="center"/>
          </w:tcPr>
          <w:p w14:paraId="36E0C389">
            <w:pPr>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351" w:type="dxa"/>
            <w:tcBorders>
              <w:top w:val="single" w:color="auto" w:sz="6" w:space="0"/>
              <w:left w:val="single" w:color="auto" w:sz="6" w:space="0"/>
              <w:bottom w:val="single" w:color="auto" w:sz="6" w:space="0"/>
              <w:right w:val="single" w:color="auto" w:sz="6" w:space="0"/>
            </w:tcBorders>
            <w:vAlign w:val="center"/>
          </w:tcPr>
          <w:p w14:paraId="445300E5">
            <w:pPr>
              <w:jc w:val="center"/>
              <w:rPr>
                <w:rFonts w:ascii="宋体" w:cs="Arial"/>
                <w:b/>
                <w:bCs/>
                <w:color w:val="auto"/>
                <w:sz w:val="24"/>
                <w:highlight w:val="none"/>
              </w:rPr>
            </w:pPr>
            <w:r>
              <w:rPr>
                <w:rFonts w:hint="eastAsia" w:ascii="宋体" w:hAnsi="宋体" w:cs="Arial"/>
                <w:b/>
                <w:bCs/>
                <w:color w:val="auto"/>
                <w:sz w:val="24"/>
                <w:highlight w:val="none"/>
              </w:rPr>
              <w:t>合同签订时间</w:t>
            </w:r>
          </w:p>
        </w:tc>
        <w:tc>
          <w:tcPr>
            <w:tcW w:w="1484" w:type="dxa"/>
            <w:tcBorders>
              <w:top w:val="single" w:color="auto" w:sz="6" w:space="0"/>
              <w:left w:val="single" w:color="auto" w:sz="6" w:space="0"/>
              <w:bottom w:val="single" w:color="auto" w:sz="6" w:space="0"/>
              <w:right w:val="single" w:color="auto" w:sz="6" w:space="0"/>
            </w:tcBorders>
            <w:vAlign w:val="center"/>
          </w:tcPr>
          <w:p w14:paraId="683A55C1">
            <w:pPr>
              <w:jc w:val="center"/>
              <w:rPr>
                <w:rFonts w:ascii="宋体" w:cs="Arial"/>
                <w:b/>
                <w:bCs/>
                <w:color w:val="auto"/>
                <w:sz w:val="24"/>
                <w:highlight w:val="none"/>
              </w:rPr>
            </w:pPr>
            <w:r>
              <w:rPr>
                <w:rFonts w:hint="eastAsia" w:ascii="宋体" w:hAnsi="宋体" w:cs="Arial"/>
                <w:b/>
                <w:bCs/>
                <w:color w:val="auto"/>
                <w:sz w:val="24"/>
                <w:highlight w:val="none"/>
              </w:rPr>
              <w:t>项目情况简介</w:t>
            </w:r>
          </w:p>
        </w:tc>
        <w:tc>
          <w:tcPr>
            <w:tcW w:w="1215" w:type="dxa"/>
            <w:tcBorders>
              <w:top w:val="single" w:color="auto" w:sz="6" w:space="0"/>
              <w:left w:val="single" w:color="auto" w:sz="6" w:space="0"/>
              <w:bottom w:val="single" w:color="auto" w:sz="6" w:space="0"/>
              <w:right w:val="single" w:color="auto" w:sz="6" w:space="0"/>
            </w:tcBorders>
            <w:vAlign w:val="center"/>
          </w:tcPr>
          <w:p w14:paraId="01BABB06">
            <w:pPr>
              <w:jc w:val="center"/>
              <w:rPr>
                <w:rFonts w:ascii="宋体" w:cs="Arial"/>
                <w:b/>
                <w:bCs/>
                <w:color w:val="auto"/>
                <w:sz w:val="24"/>
                <w:highlight w:val="none"/>
              </w:rPr>
            </w:pPr>
            <w:r>
              <w:rPr>
                <w:rFonts w:hint="eastAsia" w:ascii="宋体" w:hAnsi="宋体" w:cs="Arial"/>
                <w:b/>
                <w:bCs/>
                <w:color w:val="auto"/>
                <w:sz w:val="24"/>
                <w:highlight w:val="none"/>
              </w:rPr>
              <w:t>合同金额</w:t>
            </w:r>
          </w:p>
        </w:tc>
        <w:tc>
          <w:tcPr>
            <w:tcW w:w="1982" w:type="dxa"/>
            <w:tcBorders>
              <w:top w:val="single" w:color="auto" w:sz="6" w:space="0"/>
              <w:left w:val="single" w:color="auto" w:sz="6" w:space="0"/>
              <w:bottom w:val="single" w:color="auto" w:sz="6" w:space="0"/>
              <w:right w:val="single" w:color="auto" w:sz="6" w:space="0"/>
            </w:tcBorders>
            <w:vAlign w:val="center"/>
          </w:tcPr>
          <w:p w14:paraId="17124B19">
            <w:pPr>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14:paraId="40F3D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25497B75">
            <w:pPr>
              <w:pStyle w:val="63"/>
              <w:spacing w:line="360" w:lineRule="auto"/>
              <w:jc w:val="center"/>
              <w:rPr>
                <w:rFonts w:ascii="宋体" w:cs="Arial"/>
                <w:color w:val="auto"/>
                <w:sz w:val="24"/>
                <w:highlight w:val="none"/>
              </w:rPr>
            </w:pPr>
            <w:r>
              <w:rPr>
                <w:rFonts w:ascii="宋体" w:hAnsi="宋体" w:cs="Arial"/>
                <w:color w:val="auto"/>
                <w:sz w:val="24"/>
                <w:highlight w:val="none"/>
              </w:rPr>
              <w:t>1</w:t>
            </w:r>
          </w:p>
        </w:tc>
        <w:tc>
          <w:tcPr>
            <w:tcW w:w="1764" w:type="dxa"/>
            <w:tcBorders>
              <w:top w:val="single" w:color="auto" w:sz="6" w:space="0"/>
              <w:left w:val="single" w:color="auto" w:sz="6" w:space="0"/>
              <w:bottom w:val="single" w:color="auto" w:sz="6" w:space="0"/>
              <w:right w:val="single" w:color="auto" w:sz="6" w:space="0"/>
            </w:tcBorders>
          </w:tcPr>
          <w:p w14:paraId="6B86A30D">
            <w:pPr>
              <w:pStyle w:val="63"/>
              <w:keepNext/>
              <w:keepLines/>
              <w:spacing w:before="340" w:after="330" w:line="360" w:lineRule="auto"/>
              <w:outlineLvl w:val="0"/>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2B76AB73">
            <w:pPr>
              <w:pStyle w:val="63"/>
              <w:keepNext/>
              <w:keepLines/>
              <w:spacing w:before="340" w:after="330" w:line="360" w:lineRule="auto"/>
              <w:outlineLvl w:val="0"/>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6D570024">
            <w:pPr>
              <w:pStyle w:val="63"/>
              <w:keepNext/>
              <w:keepLines/>
              <w:spacing w:before="340" w:after="330" w:line="360" w:lineRule="auto"/>
              <w:outlineLvl w:val="0"/>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33B18E9">
            <w:pPr>
              <w:pStyle w:val="63"/>
              <w:keepNext/>
              <w:keepLines/>
              <w:spacing w:before="340" w:after="330" w:line="360" w:lineRule="auto"/>
              <w:outlineLvl w:val="0"/>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28CE826A">
            <w:pPr>
              <w:pStyle w:val="63"/>
              <w:keepNext/>
              <w:keepLines/>
              <w:spacing w:before="340" w:after="330" w:line="360" w:lineRule="auto"/>
              <w:outlineLvl w:val="0"/>
              <w:rPr>
                <w:rFonts w:ascii="宋体" w:cs="Arial"/>
                <w:color w:val="auto"/>
                <w:sz w:val="24"/>
                <w:highlight w:val="none"/>
              </w:rPr>
            </w:pPr>
          </w:p>
        </w:tc>
      </w:tr>
      <w:tr w14:paraId="7CD41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0D9B892D">
            <w:pPr>
              <w:pStyle w:val="63"/>
              <w:spacing w:line="360" w:lineRule="auto"/>
              <w:jc w:val="center"/>
              <w:rPr>
                <w:rFonts w:ascii="宋体" w:cs="Arial"/>
                <w:color w:val="auto"/>
                <w:sz w:val="24"/>
                <w:highlight w:val="none"/>
              </w:rPr>
            </w:pPr>
            <w:r>
              <w:rPr>
                <w:rFonts w:ascii="宋体" w:hAnsi="宋体" w:cs="Arial"/>
                <w:color w:val="auto"/>
                <w:sz w:val="24"/>
                <w:highlight w:val="none"/>
              </w:rPr>
              <w:t>2</w:t>
            </w:r>
          </w:p>
        </w:tc>
        <w:tc>
          <w:tcPr>
            <w:tcW w:w="1764" w:type="dxa"/>
            <w:tcBorders>
              <w:top w:val="single" w:color="auto" w:sz="6" w:space="0"/>
              <w:left w:val="single" w:color="auto" w:sz="6" w:space="0"/>
              <w:bottom w:val="single" w:color="auto" w:sz="6" w:space="0"/>
              <w:right w:val="single" w:color="auto" w:sz="6" w:space="0"/>
            </w:tcBorders>
          </w:tcPr>
          <w:p w14:paraId="158C1D1A">
            <w:pPr>
              <w:pStyle w:val="63"/>
              <w:keepNext/>
              <w:keepLines/>
              <w:spacing w:before="340" w:after="330" w:line="360" w:lineRule="auto"/>
              <w:outlineLvl w:val="0"/>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021D2D1C">
            <w:pPr>
              <w:pStyle w:val="63"/>
              <w:keepNext/>
              <w:keepLines/>
              <w:spacing w:before="340" w:after="330" w:line="360" w:lineRule="auto"/>
              <w:outlineLvl w:val="0"/>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555C7413">
            <w:pPr>
              <w:pStyle w:val="63"/>
              <w:keepNext/>
              <w:keepLines/>
              <w:spacing w:before="340" w:after="330" w:line="360" w:lineRule="auto"/>
              <w:outlineLvl w:val="0"/>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9E66A62">
            <w:pPr>
              <w:pStyle w:val="63"/>
              <w:keepNext/>
              <w:keepLines/>
              <w:spacing w:before="340" w:after="330" w:line="360" w:lineRule="auto"/>
              <w:outlineLvl w:val="0"/>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00A66D64">
            <w:pPr>
              <w:pStyle w:val="63"/>
              <w:keepNext/>
              <w:keepLines/>
              <w:spacing w:before="340" w:after="330" w:line="360" w:lineRule="auto"/>
              <w:outlineLvl w:val="0"/>
              <w:rPr>
                <w:rFonts w:ascii="宋体" w:cs="Arial"/>
                <w:color w:val="auto"/>
                <w:sz w:val="24"/>
                <w:highlight w:val="none"/>
              </w:rPr>
            </w:pPr>
          </w:p>
        </w:tc>
      </w:tr>
      <w:tr w14:paraId="55D83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4344CBA2">
            <w:pPr>
              <w:pStyle w:val="63"/>
              <w:spacing w:line="360" w:lineRule="auto"/>
              <w:jc w:val="center"/>
              <w:rPr>
                <w:rFonts w:ascii="宋体" w:cs="Arial"/>
                <w:color w:val="auto"/>
                <w:sz w:val="24"/>
                <w:highlight w:val="none"/>
              </w:rPr>
            </w:pPr>
            <w:r>
              <w:rPr>
                <w:rFonts w:ascii="宋体" w:hAnsi="宋体" w:cs="Arial"/>
                <w:color w:val="auto"/>
                <w:sz w:val="24"/>
                <w:highlight w:val="none"/>
              </w:rPr>
              <w:t>3</w:t>
            </w:r>
          </w:p>
        </w:tc>
        <w:tc>
          <w:tcPr>
            <w:tcW w:w="1764" w:type="dxa"/>
            <w:tcBorders>
              <w:top w:val="single" w:color="auto" w:sz="6" w:space="0"/>
              <w:left w:val="single" w:color="auto" w:sz="6" w:space="0"/>
              <w:bottom w:val="single" w:color="auto" w:sz="6" w:space="0"/>
              <w:right w:val="single" w:color="auto" w:sz="6" w:space="0"/>
            </w:tcBorders>
          </w:tcPr>
          <w:p w14:paraId="089055DF">
            <w:pPr>
              <w:pStyle w:val="63"/>
              <w:keepNext/>
              <w:keepLines/>
              <w:spacing w:before="340" w:after="330" w:line="360" w:lineRule="auto"/>
              <w:outlineLvl w:val="0"/>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754E317E">
            <w:pPr>
              <w:pStyle w:val="63"/>
              <w:keepNext/>
              <w:keepLines/>
              <w:spacing w:before="340" w:after="330" w:line="360" w:lineRule="auto"/>
              <w:outlineLvl w:val="0"/>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5F6AA174">
            <w:pPr>
              <w:pStyle w:val="63"/>
              <w:keepNext/>
              <w:keepLines/>
              <w:spacing w:before="340" w:after="330" w:line="360" w:lineRule="auto"/>
              <w:outlineLvl w:val="0"/>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6F74739">
            <w:pPr>
              <w:pStyle w:val="63"/>
              <w:keepNext/>
              <w:keepLines/>
              <w:spacing w:before="340" w:after="330" w:line="360" w:lineRule="auto"/>
              <w:outlineLvl w:val="0"/>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77748F90">
            <w:pPr>
              <w:pStyle w:val="63"/>
              <w:keepNext/>
              <w:keepLines/>
              <w:spacing w:before="340" w:after="330" w:line="360" w:lineRule="auto"/>
              <w:outlineLvl w:val="0"/>
              <w:rPr>
                <w:rFonts w:ascii="宋体" w:cs="Arial"/>
                <w:color w:val="auto"/>
                <w:sz w:val="24"/>
                <w:highlight w:val="none"/>
              </w:rPr>
            </w:pPr>
          </w:p>
        </w:tc>
      </w:tr>
      <w:tr w14:paraId="6DD0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607BCDCE">
            <w:pPr>
              <w:pStyle w:val="63"/>
              <w:spacing w:line="360" w:lineRule="auto"/>
              <w:jc w:val="center"/>
              <w:rPr>
                <w:rFonts w:ascii="宋体" w:cs="Arial"/>
                <w:color w:val="auto"/>
                <w:sz w:val="24"/>
                <w:highlight w:val="none"/>
              </w:rPr>
            </w:pPr>
            <w:r>
              <w:rPr>
                <w:rFonts w:hint="eastAsia" w:ascii="宋体" w:hAnsi="宋体" w:cs="Arial"/>
                <w:color w:val="auto"/>
                <w:sz w:val="24"/>
                <w:highlight w:val="none"/>
              </w:rPr>
              <w:t>…</w:t>
            </w:r>
          </w:p>
        </w:tc>
        <w:tc>
          <w:tcPr>
            <w:tcW w:w="1764" w:type="dxa"/>
            <w:tcBorders>
              <w:top w:val="single" w:color="auto" w:sz="6" w:space="0"/>
              <w:left w:val="single" w:color="auto" w:sz="6" w:space="0"/>
              <w:bottom w:val="single" w:color="auto" w:sz="6" w:space="0"/>
              <w:right w:val="single" w:color="auto" w:sz="6" w:space="0"/>
            </w:tcBorders>
          </w:tcPr>
          <w:p w14:paraId="19191C4E">
            <w:pPr>
              <w:pStyle w:val="63"/>
              <w:keepNext/>
              <w:keepLines/>
              <w:spacing w:before="260" w:after="260" w:line="360" w:lineRule="auto"/>
              <w:ind w:firstLine="480" w:firstLineChars="200"/>
              <w:outlineLvl w:val="2"/>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6D4D8A28">
            <w:pPr>
              <w:pStyle w:val="63"/>
              <w:keepNext/>
              <w:keepLines/>
              <w:spacing w:before="260" w:after="260" w:line="360" w:lineRule="auto"/>
              <w:ind w:firstLine="480" w:firstLineChars="200"/>
              <w:outlineLvl w:val="2"/>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38A936A2">
            <w:pPr>
              <w:pStyle w:val="63"/>
              <w:keepNext/>
              <w:keepLines/>
              <w:spacing w:before="260" w:after="260" w:line="360" w:lineRule="auto"/>
              <w:ind w:firstLine="480" w:firstLineChars="200"/>
              <w:outlineLvl w:val="2"/>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7DD2D3">
            <w:pPr>
              <w:pStyle w:val="63"/>
              <w:keepNext/>
              <w:keepLines/>
              <w:spacing w:before="260" w:after="260" w:line="360" w:lineRule="auto"/>
              <w:ind w:firstLine="480" w:firstLineChars="200"/>
              <w:outlineLvl w:val="2"/>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4E66C09E">
            <w:pPr>
              <w:pStyle w:val="63"/>
              <w:keepNext/>
              <w:keepLines/>
              <w:spacing w:before="260" w:after="260" w:line="360" w:lineRule="auto"/>
              <w:ind w:firstLine="480" w:firstLineChars="200"/>
              <w:outlineLvl w:val="2"/>
              <w:rPr>
                <w:rFonts w:ascii="宋体" w:cs="Arial"/>
                <w:color w:val="auto"/>
                <w:sz w:val="24"/>
                <w:highlight w:val="none"/>
              </w:rPr>
            </w:pPr>
          </w:p>
        </w:tc>
      </w:tr>
      <w:tr w14:paraId="51D57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3F9FF3EF">
            <w:pPr>
              <w:pStyle w:val="63"/>
              <w:keepNext/>
              <w:keepLines/>
              <w:spacing w:before="260" w:after="260" w:line="360" w:lineRule="auto"/>
              <w:ind w:firstLine="480" w:firstLineChars="200"/>
              <w:jc w:val="center"/>
              <w:outlineLvl w:val="2"/>
              <w:rPr>
                <w:rFonts w:ascii="宋体" w:cs="Arial"/>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tcPr>
          <w:p w14:paraId="61453050">
            <w:pPr>
              <w:pStyle w:val="63"/>
              <w:keepNext/>
              <w:keepLines/>
              <w:spacing w:before="260" w:after="260" w:line="360" w:lineRule="auto"/>
              <w:ind w:firstLine="480" w:firstLineChars="200"/>
              <w:outlineLvl w:val="2"/>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5455D472">
            <w:pPr>
              <w:pStyle w:val="63"/>
              <w:keepNext/>
              <w:keepLines/>
              <w:spacing w:before="260" w:after="260" w:line="360" w:lineRule="auto"/>
              <w:ind w:firstLine="480" w:firstLineChars="200"/>
              <w:outlineLvl w:val="2"/>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325E79A0">
            <w:pPr>
              <w:pStyle w:val="63"/>
              <w:keepNext/>
              <w:keepLines/>
              <w:spacing w:before="260" w:after="260" w:line="360" w:lineRule="auto"/>
              <w:ind w:firstLine="480" w:firstLineChars="200"/>
              <w:outlineLvl w:val="2"/>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D85DF22">
            <w:pPr>
              <w:pStyle w:val="63"/>
              <w:keepNext/>
              <w:keepLines/>
              <w:spacing w:before="260" w:after="260" w:line="360" w:lineRule="auto"/>
              <w:ind w:firstLine="480" w:firstLineChars="200"/>
              <w:outlineLvl w:val="2"/>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1FBB8607">
            <w:pPr>
              <w:pStyle w:val="63"/>
              <w:keepNext/>
              <w:keepLines/>
              <w:spacing w:before="260" w:after="260" w:line="360" w:lineRule="auto"/>
              <w:ind w:firstLine="480" w:firstLineChars="200"/>
              <w:outlineLvl w:val="2"/>
              <w:rPr>
                <w:rFonts w:ascii="宋体" w:cs="Arial"/>
                <w:color w:val="auto"/>
                <w:sz w:val="24"/>
                <w:highlight w:val="none"/>
              </w:rPr>
            </w:pPr>
          </w:p>
        </w:tc>
      </w:tr>
      <w:tr w14:paraId="2FB99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145" w:type="dxa"/>
            <w:tcBorders>
              <w:top w:val="single" w:color="auto" w:sz="6" w:space="0"/>
              <w:left w:val="single" w:color="auto" w:sz="6" w:space="0"/>
              <w:bottom w:val="single" w:color="auto" w:sz="6" w:space="0"/>
              <w:right w:val="single" w:color="auto" w:sz="6" w:space="0"/>
            </w:tcBorders>
            <w:vAlign w:val="center"/>
          </w:tcPr>
          <w:p w14:paraId="22B60EC8">
            <w:pPr>
              <w:pStyle w:val="63"/>
              <w:keepNext/>
              <w:keepLines/>
              <w:spacing w:before="260" w:after="260" w:line="360" w:lineRule="auto"/>
              <w:ind w:firstLine="480" w:firstLineChars="200"/>
              <w:jc w:val="center"/>
              <w:outlineLvl w:val="2"/>
              <w:rPr>
                <w:rFonts w:ascii="宋体" w:cs="Arial"/>
                <w:color w:val="auto"/>
                <w:sz w:val="24"/>
                <w:highlight w:val="none"/>
              </w:rPr>
            </w:pPr>
          </w:p>
        </w:tc>
        <w:tc>
          <w:tcPr>
            <w:tcW w:w="1764" w:type="dxa"/>
            <w:tcBorders>
              <w:top w:val="single" w:color="auto" w:sz="6" w:space="0"/>
              <w:left w:val="single" w:color="auto" w:sz="6" w:space="0"/>
              <w:bottom w:val="single" w:color="auto" w:sz="6" w:space="0"/>
              <w:right w:val="single" w:color="auto" w:sz="6" w:space="0"/>
            </w:tcBorders>
          </w:tcPr>
          <w:p w14:paraId="025100C3">
            <w:pPr>
              <w:pStyle w:val="63"/>
              <w:keepNext/>
              <w:keepLines/>
              <w:spacing w:before="260" w:after="260" w:line="360" w:lineRule="auto"/>
              <w:ind w:firstLine="480" w:firstLineChars="200"/>
              <w:outlineLvl w:val="2"/>
              <w:rPr>
                <w:rFonts w:ascii="宋体" w:cs="Arial"/>
                <w:color w:val="auto"/>
                <w:sz w:val="24"/>
                <w:highlight w:val="none"/>
              </w:rPr>
            </w:pPr>
          </w:p>
        </w:tc>
        <w:tc>
          <w:tcPr>
            <w:tcW w:w="1351" w:type="dxa"/>
            <w:tcBorders>
              <w:top w:val="single" w:color="auto" w:sz="6" w:space="0"/>
              <w:left w:val="single" w:color="auto" w:sz="6" w:space="0"/>
              <w:bottom w:val="single" w:color="auto" w:sz="6" w:space="0"/>
              <w:right w:val="single" w:color="auto" w:sz="6" w:space="0"/>
            </w:tcBorders>
          </w:tcPr>
          <w:p w14:paraId="0D5F18F5">
            <w:pPr>
              <w:pStyle w:val="63"/>
              <w:keepNext/>
              <w:keepLines/>
              <w:spacing w:before="260" w:after="260" w:line="360" w:lineRule="auto"/>
              <w:ind w:firstLine="480" w:firstLineChars="200"/>
              <w:outlineLvl w:val="2"/>
              <w:rPr>
                <w:rFonts w:ascii="宋体" w:cs="Arial"/>
                <w:color w:val="auto"/>
                <w:sz w:val="24"/>
                <w:highlight w:val="none"/>
              </w:rPr>
            </w:pPr>
          </w:p>
        </w:tc>
        <w:tc>
          <w:tcPr>
            <w:tcW w:w="1484" w:type="dxa"/>
            <w:tcBorders>
              <w:top w:val="single" w:color="auto" w:sz="6" w:space="0"/>
              <w:left w:val="single" w:color="auto" w:sz="6" w:space="0"/>
              <w:bottom w:val="single" w:color="auto" w:sz="6" w:space="0"/>
              <w:right w:val="single" w:color="auto" w:sz="6" w:space="0"/>
            </w:tcBorders>
          </w:tcPr>
          <w:p w14:paraId="5A80B269">
            <w:pPr>
              <w:pStyle w:val="63"/>
              <w:keepNext/>
              <w:keepLines/>
              <w:spacing w:before="260" w:after="260" w:line="360" w:lineRule="auto"/>
              <w:ind w:firstLine="480" w:firstLineChars="200"/>
              <w:outlineLvl w:val="2"/>
              <w:rPr>
                <w:rFonts w:ascii="宋体" w:cs="Arial"/>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B913A2A">
            <w:pPr>
              <w:pStyle w:val="63"/>
              <w:keepNext/>
              <w:keepLines/>
              <w:spacing w:before="260" w:after="260" w:line="360" w:lineRule="auto"/>
              <w:ind w:firstLine="480" w:firstLineChars="200"/>
              <w:outlineLvl w:val="2"/>
              <w:rPr>
                <w:rFonts w:ascii="宋体" w:cs="Arial"/>
                <w:color w:val="auto"/>
                <w:sz w:val="24"/>
                <w:highlight w:val="none"/>
              </w:rPr>
            </w:pPr>
          </w:p>
        </w:tc>
        <w:tc>
          <w:tcPr>
            <w:tcW w:w="1982" w:type="dxa"/>
            <w:tcBorders>
              <w:top w:val="single" w:color="auto" w:sz="6" w:space="0"/>
              <w:left w:val="single" w:color="auto" w:sz="6" w:space="0"/>
              <w:bottom w:val="single" w:color="auto" w:sz="6" w:space="0"/>
              <w:right w:val="single" w:color="auto" w:sz="6" w:space="0"/>
            </w:tcBorders>
          </w:tcPr>
          <w:p w14:paraId="258C54A9">
            <w:pPr>
              <w:pStyle w:val="63"/>
              <w:keepNext/>
              <w:keepLines/>
              <w:spacing w:before="260" w:after="260" w:line="360" w:lineRule="auto"/>
              <w:ind w:firstLine="480" w:firstLineChars="200"/>
              <w:outlineLvl w:val="2"/>
              <w:rPr>
                <w:rFonts w:ascii="宋体" w:cs="Arial"/>
                <w:color w:val="auto"/>
                <w:sz w:val="24"/>
                <w:highlight w:val="none"/>
              </w:rPr>
            </w:pPr>
          </w:p>
        </w:tc>
      </w:tr>
    </w:tbl>
    <w:p w14:paraId="34DD21D1">
      <w:pPr>
        <w:autoSpaceDE w:val="0"/>
        <w:autoSpaceDN w:val="0"/>
        <w:adjustRightInd w:val="0"/>
        <w:spacing w:before="156" w:beforeLines="50" w:line="360" w:lineRule="auto"/>
        <w:rPr>
          <w:rFonts w:ascii="宋体" w:cs="Arial"/>
          <w:b/>
          <w:color w:val="auto"/>
          <w:szCs w:val="21"/>
          <w:highlight w:val="none"/>
        </w:rPr>
      </w:pPr>
      <w:r>
        <w:rPr>
          <w:rFonts w:hint="eastAsia" w:ascii="宋体" w:hAnsi="宋体" w:cs="Arial"/>
          <w:b/>
          <w:color w:val="auto"/>
          <w:szCs w:val="21"/>
          <w:highlight w:val="none"/>
        </w:rPr>
        <w:t>要求：</w:t>
      </w:r>
    </w:p>
    <w:p w14:paraId="5E42362E">
      <w:pPr>
        <w:autoSpaceDE w:val="0"/>
        <w:autoSpaceDN w:val="0"/>
        <w:adjustRightInd w:val="0"/>
        <w:spacing w:before="156" w:beforeLines="50" w:line="360" w:lineRule="auto"/>
        <w:ind w:firstLine="424" w:firstLineChars="202"/>
        <w:rPr>
          <w:rFonts w:ascii="宋体" w:cs="Arial"/>
          <w:b/>
          <w:color w:val="auto"/>
          <w:szCs w:val="21"/>
          <w:highlight w:val="none"/>
        </w:rPr>
      </w:pPr>
      <w:r>
        <w:rPr>
          <w:rFonts w:ascii="宋体" w:hAnsi="宋体" w:cs="Arial"/>
          <w:color w:val="auto"/>
          <w:szCs w:val="21"/>
          <w:highlight w:val="none"/>
        </w:rPr>
        <w:t>1</w:t>
      </w:r>
      <w:r>
        <w:rPr>
          <w:rFonts w:ascii="宋体" w:cs="Arial"/>
          <w:color w:val="auto"/>
          <w:szCs w:val="21"/>
          <w:highlight w:val="none"/>
        </w:rPr>
        <w:t>.</w:t>
      </w:r>
      <w:r>
        <w:rPr>
          <w:rFonts w:hint="eastAsia" w:ascii="宋体" w:hAnsi="宋体" w:cs="Arial"/>
          <w:color w:val="auto"/>
          <w:szCs w:val="21"/>
          <w:highlight w:val="none"/>
        </w:rPr>
        <w:t>业绩证明应按评分标准要求提供证明材料；</w:t>
      </w:r>
    </w:p>
    <w:p w14:paraId="612904A4">
      <w:pPr>
        <w:spacing w:line="360" w:lineRule="auto"/>
        <w:ind w:firstLine="424" w:firstLineChars="202"/>
        <w:jc w:val="left"/>
        <w:rPr>
          <w:rFonts w:asci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投标供应商可按此表格式复制。</w:t>
      </w:r>
    </w:p>
    <w:p w14:paraId="4B0343C9">
      <w:pPr>
        <w:spacing w:line="360" w:lineRule="auto"/>
        <w:ind w:left="420"/>
        <w:rPr>
          <w:rFonts w:ascii="宋体" w:hAnsi="宋体"/>
          <w:color w:val="auto"/>
          <w:sz w:val="24"/>
          <w:highlight w:val="none"/>
        </w:rPr>
      </w:pPr>
    </w:p>
    <w:p w14:paraId="1DC39CB4">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450988DD">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41BC135B">
      <w:pPr>
        <w:adjustRightInd w:val="0"/>
        <w:snapToGrid w:val="0"/>
        <w:spacing w:line="360" w:lineRule="auto"/>
        <w:ind w:right="480"/>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4C43F65F">
      <w:pPr>
        <w:spacing w:line="360" w:lineRule="auto"/>
        <w:ind w:firstLine="435"/>
        <w:rPr>
          <w:rFonts w:ascii="宋体" w:hAnsi="宋体"/>
          <w:color w:val="auto"/>
          <w:sz w:val="24"/>
          <w:highlight w:val="none"/>
        </w:rPr>
      </w:pPr>
      <w:r>
        <w:rPr>
          <w:rFonts w:ascii="宋体" w:hAnsi="宋体"/>
          <w:b/>
          <w:color w:val="auto"/>
          <w:sz w:val="28"/>
          <w:highlight w:val="none"/>
        </w:rPr>
        <w:br w:type="page"/>
      </w:r>
    </w:p>
    <w:p w14:paraId="1AA8FB45">
      <w:pPr>
        <w:spacing w:line="360" w:lineRule="auto"/>
        <w:rPr>
          <w:rFonts w:ascii="宋体" w:hAnsi="宋体"/>
          <w:b/>
          <w:color w:val="auto"/>
          <w:sz w:val="28"/>
          <w:highlight w:val="none"/>
        </w:rPr>
      </w:pPr>
      <w:r>
        <w:rPr>
          <w:rFonts w:hint="eastAsia" w:ascii="宋体" w:hAnsi="宋体"/>
          <w:b/>
          <w:color w:val="auto"/>
          <w:sz w:val="28"/>
          <w:highlight w:val="none"/>
        </w:rPr>
        <w:t>附件8：</w:t>
      </w:r>
    </w:p>
    <w:p w14:paraId="2B875935">
      <w:pPr>
        <w:pStyle w:val="18"/>
        <w:adjustRightInd w:val="0"/>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商务及技术响应表</w:t>
      </w:r>
    </w:p>
    <w:p w14:paraId="099F8B63">
      <w:pPr>
        <w:pStyle w:val="18"/>
        <w:adjustRightInd w:val="0"/>
        <w:snapToGrid w:val="0"/>
        <w:spacing w:line="360" w:lineRule="auto"/>
        <w:jc w:val="left"/>
        <w:rPr>
          <w:rFonts w:hint="eastAsia" w:ascii="宋体" w:hAnsi="宋体" w:eastAsia="宋体" w:cs="Tahoma"/>
          <w:b/>
          <w:color w:val="auto"/>
          <w:sz w:val="24"/>
          <w:highlight w:val="none"/>
          <w:lang w:eastAsia="zh-CN"/>
        </w:rPr>
      </w:pPr>
      <w:r>
        <w:rPr>
          <w:rFonts w:hint="eastAsia" w:ascii="宋体" w:hAnsi="宋体" w:eastAsia="宋体"/>
          <w:b/>
          <w:bCs/>
          <w:color w:val="auto"/>
          <w:sz w:val="24"/>
          <w:highlight w:val="none"/>
        </w:rPr>
        <w:t>项目名称及编号：</w:t>
      </w:r>
      <w:r>
        <w:rPr>
          <w:rFonts w:hint="eastAsia" w:ascii="宋体" w:hAnsi="宋体" w:eastAsia="宋体"/>
          <w:b/>
          <w:bCs/>
          <w:color w:val="auto"/>
          <w:sz w:val="24"/>
          <w:highlight w:val="none"/>
          <w:lang w:eastAsia="zh-CN"/>
        </w:rPr>
        <w:t>路北街道2025年零星安保服务采购项目</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lang w:eastAsia="zh-CN"/>
        </w:rPr>
        <w:t>ZJZL-2025-001</w:t>
      </w:r>
    </w:p>
    <w:tbl>
      <w:tblPr>
        <w:tblStyle w:val="29"/>
        <w:tblW w:w="8739" w:type="dxa"/>
        <w:tblInd w:w="0" w:type="dxa"/>
        <w:tblLayout w:type="fixed"/>
        <w:tblCellMar>
          <w:top w:w="0" w:type="dxa"/>
          <w:left w:w="108" w:type="dxa"/>
          <w:bottom w:w="0" w:type="dxa"/>
          <w:right w:w="108" w:type="dxa"/>
        </w:tblCellMar>
      </w:tblPr>
      <w:tblGrid>
        <w:gridCol w:w="1195"/>
        <w:gridCol w:w="1820"/>
        <w:gridCol w:w="2147"/>
        <w:gridCol w:w="2176"/>
        <w:gridCol w:w="1401"/>
      </w:tblGrid>
      <w:tr w14:paraId="5A1386F9">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4B2E00B0">
            <w:pPr>
              <w:pStyle w:val="18"/>
              <w:adjustRightInd w:val="0"/>
              <w:snapToGrid w:val="0"/>
              <w:spacing w:line="360" w:lineRule="auto"/>
              <w:jc w:val="center"/>
              <w:rPr>
                <w:rFonts w:ascii="宋体" w:hAnsi="宋体" w:eastAsia="宋体" w:cs="楷体_GB2312"/>
                <w:bCs/>
                <w:color w:val="auto"/>
                <w:spacing w:val="10"/>
                <w:kern w:val="0"/>
                <w:sz w:val="24"/>
                <w:szCs w:val="22"/>
                <w:highlight w:val="none"/>
              </w:rPr>
            </w:pPr>
            <w:r>
              <w:rPr>
                <w:rFonts w:hint="eastAsia" w:ascii="宋体" w:hAnsi="宋体" w:eastAsia="宋体" w:cs="楷体_GB2312"/>
                <w:bCs/>
                <w:color w:val="auto"/>
                <w:spacing w:val="10"/>
                <w:kern w:val="0"/>
                <w:sz w:val="24"/>
                <w:szCs w:val="22"/>
                <w:highlight w:val="none"/>
              </w:rPr>
              <w:t>类别</w:t>
            </w:r>
          </w:p>
        </w:tc>
        <w:tc>
          <w:tcPr>
            <w:tcW w:w="1820" w:type="dxa"/>
            <w:tcBorders>
              <w:top w:val="single" w:color="auto" w:sz="4" w:space="0"/>
              <w:left w:val="single" w:color="auto" w:sz="4" w:space="0"/>
              <w:bottom w:val="single" w:color="auto" w:sz="4" w:space="0"/>
              <w:right w:val="single" w:color="auto" w:sz="4" w:space="0"/>
            </w:tcBorders>
            <w:vAlign w:val="center"/>
          </w:tcPr>
          <w:p w14:paraId="0DC65711">
            <w:pPr>
              <w:pStyle w:val="18"/>
              <w:adjustRightInd w:val="0"/>
              <w:snapToGrid w:val="0"/>
              <w:spacing w:line="360" w:lineRule="auto"/>
              <w:jc w:val="center"/>
              <w:rPr>
                <w:rFonts w:ascii="宋体" w:hAnsi="宋体" w:eastAsia="宋体" w:cs="楷体_GB2312"/>
                <w:bCs/>
                <w:color w:val="auto"/>
                <w:spacing w:val="10"/>
                <w:kern w:val="0"/>
                <w:sz w:val="24"/>
                <w:szCs w:val="22"/>
                <w:highlight w:val="none"/>
              </w:rPr>
            </w:pPr>
            <w:r>
              <w:rPr>
                <w:rFonts w:hint="eastAsia" w:ascii="宋体" w:hAnsi="宋体" w:eastAsia="宋体" w:cs="楷体_GB2312"/>
                <w:bCs/>
                <w:color w:val="auto"/>
                <w:spacing w:val="10"/>
                <w:kern w:val="0"/>
                <w:sz w:val="24"/>
                <w:szCs w:val="22"/>
                <w:highlight w:val="none"/>
              </w:rPr>
              <w:t>内容</w:t>
            </w:r>
          </w:p>
        </w:tc>
        <w:tc>
          <w:tcPr>
            <w:tcW w:w="2147" w:type="dxa"/>
            <w:tcBorders>
              <w:top w:val="single" w:color="auto" w:sz="4" w:space="0"/>
              <w:left w:val="single" w:color="auto" w:sz="4" w:space="0"/>
              <w:bottom w:val="single" w:color="auto" w:sz="4" w:space="0"/>
              <w:right w:val="single" w:color="auto" w:sz="4" w:space="0"/>
            </w:tcBorders>
            <w:vAlign w:val="center"/>
          </w:tcPr>
          <w:p w14:paraId="3AB4CD5B">
            <w:pPr>
              <w:pStyle w:val="18"/>
              <w:adjustRightInd w:val="0"/>
              <w:snapToGrid w:val="0"/>
              <w:spacing w:line="360" w:lineRule="auto"/>
              <w:jc w:val="center"/>
              <w:rPr>
                <w:rFonts w:ascii="宋体" w:hAnsi="宋体" w:eastAsia="宋体" w:cs="楷体_GB2312"/>
                <w:bCs/>
                <w:color w:val="auto"/>
                <w:spacing w:val="10"/>
                <w:kern w:val="0"/>
                <w:sz w:val="24"/>
                <w:szCs w:val="22"/>
                <w:highlight w:val="none"/>
              </w:rPr>
            </w:pPr>
            <w:r>
              <w:rPr>
                <w:rFonts w:hint="eastAsia" w:ascii="宋体" w:hAnsi="宋体" w:eastAsia="宋体" w:cs="楷体_GB2312"/>
                <w:bCs/>
                <w:color w:val="auto"/>
                <w:spacing w:val="10"/>
                <w:kern w:val="0"/>
                <w:sz w:val="24"/>
                <w:szCs w:val="22"/>
                <w:highlight w:val="none"/>
              </w:rPr>
              <w:t>磋商文件技术（或</w:t>
            </w:r>
            <w:r>
              <w:rPr>
                <w:rFonts w:ascii="宋体" w:hAnsi="宋体" w:eastAsia="宋体" w:cs="楷体_GB2312"/>
                <w:bCs/>
                <w:color w:val="auto"/>
                <w:spacing w:val="10"/>
                <w:kern w:val="0"/>
                <w:sz w:val="24"/>
                <w:szCs w:val="22"/>
                <w:highlight w:val="none"/>
              </w:rPr>
              <w:t>商务</w:t>
            </w:r>
            <w:r>
              <w:rPr>
                <w:rFonts w:hint="eastAsia" w:ascii="宋体" w:hAnsi="宋体" w:eastAsia="宋体" w:cs="楷体_GB2312"/>
                <w:bCs/>
                <w:color w:val="auto"/>
                <w:spacing w:val="10"/>
                <w:kern w:val="0"/>
                <w:sz w:val="24"/>
                <w:szCs w:val="22"/>
                <w:highlight w:val="none"/>
              </w:rPr>
              <w:t>）要求</w:t>
            </w:r>
          </w:p>
        </w:tc>
        <w:tc>
          <w:tcPr>
            <w:tcW w:w="2176" w:type="dxa"/>
            <w:tcBorders>
              <w:top w:val="single" w:color="auto" w:sz="4" w:space="0"/>
              <w:left w:val="single" w:color="auto" w:sz="4" w:space="0"/>
              <w:bottom w:val="single" w:color="auto" w:sz="4" w:space="0"/>
              <w:right w:val="single" w:color="auto" w:sz="4" w:space="0"/>
            </w:tcBorders>
            <w:vAlign w:val="center"/>
          </w:tcPr>
          <w:p w14:paraId="19694B81">
            <w:pPr>
              <w:pStyle w:val="18"/>
              <w:adjustRightInd w:val="0"/>
              <w:snapToGrid w:val="0"/>
              <w:spacing w:line="360" w:lineRule="auto"/>
              <w:jc w:val="center"/>
              <w:rPr>
                <w:rFonts w:ascii="宋体" w:hAnsi="宋体" w:eastAsia="宋体" w:cs="楷体_GB2312"/>
                <w:bCs/>
                <w:color w:val="auto"/>
                <w:spacing w:val="10"/>
                <w:kern w:val="0"/>
                <w:sz w:val="24"/>
                <w:szCs w:val="22"/>
                <w:highlight w:val="none"/>
              </w:rPr>
            </w:pPr>
            <w:r>
              <w:rPr>
                <w:rFonts w:hint="eastAsia" w:ascii="宋体" w:hAnsi="宋体" w:eastAsia="宋体" w:cs="楷体_GB2312"/>
                <w:bCs/>
                <w:color w:val="auto"/>
                <w:spacing w:val="10"/>
                <w:kern w:val="0"/>
                <w:sz w:val="24"/>
                <w:szCs w:val="22"/>
                <w:highlight w:val="none"/>
              </w:rPr>
              <w:t>磋商响应文件技术（或</w:t>
            </w:r>
            <w:r>
              <w:rPr>
                <w:rFonts w:ascii="宋体" w:hAnsi="宋体" w:eastAsia="宋体" w:cs="楷体_GB2312"/>
                <w:bCs/>
                <w:color w:val="auto"/>
                <w:spacing w:val="10"/>
                <w:kern w:val="0"/>
                <w:sz w:val="24"/>
                <w:szCs w:val="22"/>
                <w:highlight w:val="none"/>
              </w:rPr>
              <w:t>商务</w:t>
            </w:r>
            <w:r>
              <w:rPr>
                <w:rFonts w:hint="eastAsia" w:ascii="宋体" w:hAnsi="宋体" w:eastAsia="宋体" w:cs="楷体_GB2312"/>
                <w:bCs/>
                <w:color w:val="auto"/>
                <w:spacing w:val="10"/>
                <w:kern w:val="0"/>
                <w:sz w:val="24"/>
                <w:szCs w:val="22"/>
                <w:highlight w:val="none"/>
              </w:rPr>
              <w:t>）响应</w:t>
            </w:r>
          </w:p>
        </w:tc>
        <w:tc>
          <w:tcPr>
            <w:tcW w:w="1401" w:type="dxa"/>
            <w:tcBorders>
              <w:top w:val="single" w:color="auto" w:sz="4" w:space="0"/>
              <w:left w:val="single" w:color="auto" w:sz="4" w:space="0"/>
              <w:bottom w:val="single" w:color="auto" w:sz="4" w:space="0"/>
              <w:right w:val="single" w:color="auto" w:sz="4" w:space="0"/>
            </w:tcBorders>
            <w:vAlign w:val="center"/>
          </w:tcPr>
          <w:p w14:paraId="50B98F16">
            <w:pPr>
              <w:pStyle w:val="18"/>
              <w:adjustRightInd w:val="0"/>
              <w:snapToGrid w:val="0"/>
              <w:spacing w:line="360" w:lineRule="auto"/>
              <w:jc w:val="center"/>
              <w:rPr>
                <w:rFonts w:ascii="宋体" w:hAnsi="宋体" w:eastAsia="宋体" w:cs="楷体_GB2312"/>
                <w:bCs/>
                <w:color w:val="auto"/>
                <w:spacing w:val="10"/>
                <w:kern w:val="0"/>
                <w:sz w:val="24"/>
                <w:szCs w:val="22"/>
                <w:highlight w:val="none"/>
              </w:rPr>
            </w:pPr>
            <w:r>
              <w:rPr>
                <w:rFonts w:hint="eastAsia" w:ascii="宋体" w:hAnsi="宋体" w:eastAsia="宋体" w:cs="楷体_GB2312"/>
                <w:bCs/>
                <w:color w:val="auto"/>
                <w:spacing w:val="10"/>
                <w:kern w:val="0"/>
                <w:sz w:val="24"/>
                <w:szCs w:val="22"/>
                <w:highlight w:val="none"/>
              </w:rPr>
              <w:t>偏离情况</w:t>
            </w:r>
          </w:p>
        </w:tc>
      </w:tr>
      <w:tr w14:paraId="1436D1C9">
        <w:tblPrEx>
          <w:tblCellMar>
            <w:top w:w="0" w:type="dxa"/>
            <w:left w:w="108" w:type="dxa"/>
            <w:bottom w:w="0" w:type="dxa"/>
            <w:right w:w="108" w:type="dxa"/>
          </w:tblCellMar>
        </w:tblPrEx>
        <w:trPr>
          <w:trHeight w:val="608" w:hRule="atLeast"/>
        </w:trPr>
        <w:tc>
          <w:tcPr>
            <w:tcW w:w="1195" w:type="dxa"/>
            <w:vMerge w:val="restart"/>
            <w:tcBorders>
              <w:top w:val="single" w:color="auto" w:sz="4" w:space="0"/>
              <w:left w:val="single" w:color="auto" w:sz="4" w:space="0"/>
              <w:right w:val="single" w:color="auto" w:sz="4" w:space="0"/>
            </w:tcBorders>
            <w:vAlign w:val="center"/>
          </w:tcPr>
          <w:p w14:paraId="32A3D95C">
            <w:pPr>
              <w:widowControl/>
              <w:jc w:val="center"/>
              <w:rPr>
                <w:rFonts w:ascii="宋体" w:hAnsi="宋体" w:cs="楷体_GB2312"/>
                <w:color w:val="auto"/>
                <w:kern w:val="0"/>
                <w:sz w:val="22"/>
                <w:szCs w:val="22"/>
                <w:highlight w:val="none"/>
              </w:rPr>
            </w:pPr>
            <w:r>
              <w:rPr>
                <w:rFonts w:hint="eastAsia" w:ascii="宋体" w:hAnsi="宋体" w:cs="楷体_GB2312"/>
                <w:color w:val="auto"/>
                <w:kern w:val="0"/>
                <w:sz w:val="22"/>
                <w:szCs w:val="22"/>
                <w:highlight w:val="none"/>
              </w:rPr>
              <w:t>响应情况</w:t>
            </w:r>
          </w:p>
        </w:tc>
        <w:tc>
          <w:tcPr>
            <w:tcW w:w="1820" w:type="dxa"/>
            <w:tcBorders>
              <w:top w:val="single" w:color="auto" w:sz="4" w:space="0"/>
              <w:left w:val="single" w:color="auto" w:sz="4" w:space="0"/>
              <w:bottom w:val="single" w:color="auto" w:sz="4" w:space="0"/>
              <w:right w:val="single" w:color="auto" w:sz="4" w:space="0"/>
            </w:tcBorders>
            <w:vAlign w:val="center"/>
          </w:tcPr>
          <w:p w14:paraId="6F8E9921">
            <w:pPr>
              <w:jc w:val="center"/>
              <w:rPr>
                <w:rFonts w:ascii="宋体" w:hAnsi="宋体"/>
                <w:color w:val="auto"/>
                <w:sz w:val="24"/>
                <w:highlight w:val="none"/>
              </w:rPr>
            </w:pPr>
            <w:r>
              <w:rPr>
                <w:rFonts w:hint="eastAsia" w:ascii="宋体" w:hAnsi="宋体"/>
                <w:color w:val="auto"/>
                <w:sz w:val="24"/>
                <w:highlight w:val="none"/>
              </w:rPr>
              <w:t>服务期</w:t>
            </w:r>
          </w:p>
        </w:tc>
        <w:tc>
          <w:tcPr>
            <w:tcW w:w="2147" w:type="dxa"/>
            <w:tcBorders>
              <w:top w:val="single" w:color="auto" w:sz="4" w:space="0"/>
              <w:left w:val="single" w:color="auto" w:sz="4" w:space="0"/>
              <w:bottom w:val="single" w:color="auto" w:sz="4" w:space="0"/>
              <w:right w:val="single" w:color="auto" w:sz="4" w:space="0"/>
            </w:tcBorders>
          </w:tcPr>
          <w:p w14:paraId="009735B4">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2176" w:type="dxa"/>
            <w:tcBorders>
              <w:top w:val="single" w:color="auto" w:sz="4" w:space="0"/>
              <w:left w:val="single" w:color="auto" w:sz="4" w:space="0"/>
              <w:bottom w:val="single" w:color="auto" w:sz="4" w:space="0"/>
              <w:right w:val="single" w:color="auto" w:sz="4" w:space="0"/>
            </w:tcBorders>
            <w:vAlign w:val="center"/>
          </w:tcPr>
          <w:p w14:paraId="2D9A9A5E">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D9E0193">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r>
      <w:tr w14:paraId="29BC15DB">
        <w:tblPrEx>
          <w:tblCellMar>
            <w:top w:w="0" w:type="dxa"/>
            <w:left w:w="108" w:type="dxa"/>
            <w:bottom w:w="0" w:type="dxa"/>
            <w:right w:w="108" w:type="dxa"/>
          </w:tblCellMar>
        </w:tblPrEx>
        <w:trPr>
          <w:trHeight w:val="608" w:hRule="atLeast"/>
        </w:trPr>
        <w:tc>
          <w:tcPr>
            <w:tcW w:w="1195" w:type="dxa"/>
            <w:vMerge w:val="continue"/>
            <w:tcBorders>
              <w:left w:val="single" w:color="auto" w:sz="4" w:space="0"/>
              <w:right w:val="single" w:color="auto" w:sz="4" w:space="0"/>
            </w:tcBorders>
            <w:vAlign w:val="center"/>
          </w:tcPr>
          <w:p w14:paraId="223BD3BA">
            <w:pPr>
              <w:keepNext/>
              <w:keepLines/>
              <w:widowControl/>
              <w:spacing w:before="340" w:after="330" w:line="578" w:lineRule="auto"/>
              <w:jc w:val="center"/>
              <w:outlineLvl w:val="0"/>
              <w:rPr>
                <w:rFonts w:ascii="宋体" w:hAnsi="宋体" w:cs="楷体_GB2312"/>
                <w:color w:val="auto"/>
                <w:kern w:val="0"/>
                <w:sz w:val="22"/>
                <w:szCs w:val="22"/>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1CD9D7A7">
            <w:pPr>
              <w:jc w:val="center"/>
              <w:rPr>
                <w:rFonts w:ascii="宋体" w:hAnsi="宋体"/>
                <w:color w:val="auto"/>
                <w:sz w:val="24"/>
                <w:highlight w:val="none"/>
              </w:rPr>
            </w:pPr>
            <w:r>
              <w:rPr>
                <w:rFonts w:hint="eastAsia" w:ascii="宋体" w:hAnsi="宋体"/>
                <w:color w:val="auto"/>
                <w:sz w:val="24"/>
                <w:highlight w:val="none"/>
              </w:rPr>
              <w:t>付款方式</w:t>
            </w:r>
          </w:p>
        </w:tc>
        <w:tc>
          <w:tcPr>
            <w:tcW w:w="2147" w:type="dxa"/>
            <w:tcBorders>
              <w:top w:val="single" w:color="auto" w:sz="4" w:space="0"/>
              <w:left w:val="single" w:color="auto" w:sz="4" w:space="0"/>
              <w:bottom w:val="single" w:color="auto" w:sz="4" w:space="0"/>
              <w:right w:val="single" w:color="auto" w:sz="4" w:space="0"/>
            </w:tcBorders>
          </w:tcPr>
          <w:p w14:paraId="3CA93947">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2176" w:type="dxa"/>
            <w:tcBorders>
              <w:top w:val="single" w:color="auto" w:sz="4" w:space="0"/>
              <w:left w:val="single" w:color="auto" w:sz="4" w:space="0"/>
              <w:bottom w:val="single" w:color="auto" w:sz="4" w:space="0"/>
              <w:right w:val="single" w:color="auto" w:sz="4" w:space="0"/>
            </w:tcBorders>
            <w:vAlign w:val="center"/>
          </w:tcPr>
          <w:p w14:paraId="1F064D9D">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1F3FE75">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r>
      <w:tr w14:paraId="78D6269D">
        <w:tblPrEx>
          <w:tblCellMar>
            <w:top w:w="0" w:type="dxa"/>
            <w:left w:w="108" w:type="dxa"/>
            <w:bottom w:w="0" w:type="dxa"/>
            <w:right w:w="108" w:type="dxa"/>
          </w:tblCellMar>
        </w:tblPrEx>
        <w:trPr>
          <w:trHeight w:val="608" w:hRule="atLeast"/>
        </w:trPr>
        <w:tc>
          <w:tcPr>
            <w:tcW w:w="1195" w:type="dxa"/>
            <w:vMerge w:val="continue"/>
            <w:tcBorders>
              <w:left w:val="single" w:color="auto" w:sz="4" w:space="0"/>
              <w:right w:val="single" w:color="auto" w:sz="4" w:space="0"/>
            </w:tcBorders>
            <w:vAlign w:val="center"/>
          </w:tcPr>
          <w:p w14:paraId="071013FD">
            <w:pPr>
              <w:keepNext/>
              <w:keepLines/>
              <w:widowControl/>
              <w:spacing w:before="340" w:after="330" w:line="578" w:lineRule="auto"/>
              <w:jc w:val="center"/>
              <w:outlineLvl w:val="0"/>
              <w:rPr>
                <w:rFonts w:ascii="宋体" w:hAnsi="宋体" w:cs="楷体_GB2312"/>
                <w:color w:val="auto"/>
                <w:kern w:val="0"/>
                <w:sz w:val="22"/>
                <w:szCs w:val="22"/>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6E96888F">
            <w:pPr>
              <w:jc w:val="center"/>
              <w:rPr>
                <w:rFonts w:ascii="宋体" w:hAnsi="宋体"/>
                <w:color w:val="auto"/>
                <w:sz w:val="24"/>
                <w:highlight w:val="none"/>
              </w:rPr>
            </w:pPr>
            <w:r>
              <w:rPr>
                <w:rFonts w:hint="eastAsia" w:ascii="宋体" w:hAnsi="宋体"/>
                <w:color w:val="auto"/>
                <w:sz w:val="24"/>
                <w:highlight w:val="none"/>
              </w:rPr>
              <w:t>（技术</w:t>
            </w:r>
            <w:r>
              <w:rPr>
                <w:rFonts w:ascii="宋体" w:hAnsi="宋体"/>
                <w:color w:val="auto"/>
                <w:sz w:val="24"/>
                <w:highlight w:val="none"/>
              </w:rPr>
              <w:t>需求响应内容</w:t>
            </w:r>
            <w:r>
              <w:rPr>
                <w:rFonts w:hint="eastAsia" w:ascii="宋体" w:hAnsi="宋体"/>
                <w:color w:val="auto"/>
                <w:sz w:val="24"/>
                <w:highlight w:val="none"/>
              </w:rPr>
              <w:t>）</w:t>
            </w:r>
          </w:p>
        </w:tc>
        <w:tc>
          <w:tcPr>
            <w:tcW w:w="2147" w:type="dxa"/>
            <w:tcBorders>
              <w:top w:val="single" w:color="auto" w:sz="4" w:space="0"/>
              <w:left w:val="single" w:color="auto" w:sz="4" w:space="0"/>
              <w:bottom w:val="single" w:color="auto" w:sz="4" w:space="0"/>
              <w:right w:val="single" w:color="auto" w:sz="4" w:space="0"/>
            </w:tcBorders>
          </w:tcPr>
          <w:p w14:paraId="53C010D0">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2176" w:type="dxa"/>
            <w:tcBorders>
              <w:top w:val="single" w:color="auto" w:sz="4" w:space="0"/>
              <w:left w:val="single" w:color="auto" w:sz="4" w:space="0"/>
              <w:bottom w:val="single" w:color="auto" w:sz="4" w:space="0"/>
              <w:right w:val="single" w:color="auto" w:sz="4" w:space="0"/>
            </w:tcBorders>
            <w:vAlign w:val="center"/>
          </w:tcPr>
          <w:p w14:paraId="75476000">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2130595">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r>
      <w:tr w14:paraId="6EB7392B">
        <w:tblPrEx>
          <w:tblCellMar>
            <w:top w:w="0" w:type="dxa"/>
            <w:left w:w="108" w:type="dxa"/>
            <w:bottom w:w="0" w:type="dxa"/>
            <w:right w:w="108" w:type="dxa"/>
          </w:tblCellMar>
        </w:tblPrEx>
        <w:trPr>
          <w:trHeight w:val="608" w:hRule="atLeast"/>
        </w:trPr>
        <w:tc>
          <w:tcPr>
            <w:tcW w:w="1195" w:type="dxa"/>
            <w:vMerge w:val="continue"/>
            <w:tcBorders>
              <w:left w:val="single" w:color="auto" w:sz="4" w:space="0"/>
              <w:bottom w:val="single" w:color="auto" w:sz="4" w:space="0"/>
              <w:right w:val="single" w:color="auto" w:sz="4" w:space="0"/>
            </w:tcBorders>
            <w:vAlign w:val="center"/>
          </w:tcPr>
          <w:p w14:paraId="30B6A841">
            <w:pPr>
              <w:keepNext/>
              <w:keepLines/>
              <w:widowControl/>
              <w:spacing w:before="340" w:after="330" w:line="578" w:lineRule="auto"/>
              <w:jc w:val="center"/>
              <w:outlineLvl w:val="0"/>
              <w:rPr>
                <w:rFonts w:ascii="宋体" w:hAnsi="宋体" w:cs="楷体_GB2312"/>
                <w:color w:val="auto"/>
                <w:kern w:val="0"/>
                <w:sz w:val="22"/>
                <w:szCs w:val="22"/>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50CECF1F">
            <w:pPr>
              <w:jc w:val="center"/>
              <w:rPr>
                <w:rFonts w:ascii="宋体" w:hAnsi="宋体"/>
                <w:color w:val="auto"/>
                <w:sz w:val="24"/>
                <w:highlight w:val="none"/>
              </w:rPr>
            </w:pPr>
            <w:r>
              <w:rPr>
                <w:rFonts w:hint="eastAsia" w:ascii="宋体" w:hAnsi="宋体"/>
                <w:color w:val="auto"/>
                <w:sz w:val="24"/>
                <w:highlight w:val="none"/>
              </w:rPr>
              <w:t>……</w:t>
            </w:r>
          </w:p>
        </w:tc>
        <w:tc>
          <w:tcPr>
            <w:tcW w:w="2147" w:type="dxa"/>
            <w:tcBorders>
              <w:top w:val="single" w:color="auto" w:sz="4" w:space="0"/>
              <w:left w:val="single" w:color="auto" w:sz="4" w:space="0"/>
              <w:bottom w:val="single" w:color="auto" w:sz="4" w:space="0"/>
              <w:right w:val="single" w:color="auto" w:sz="4" w:space="0"/>
            </w:tcBorders>
          </w:tcPr>
          <w:p w14:paraId="1800AF47">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2176" w:type="dxa"/>
            <w:tcBorders>
              <w:top w:val="single" w:color="auto" w:sz="4" w:space="0"/>
              <w:left w:val="single" w:color="auto" w:sz="4" w:space="0"/>
              <w:bottom w:val="single" w:color="auto" w:sz="4" w:space="0"/>
              <w:right w:val="single" w:color="auto" w:sz="4" w:space="0"/>
            </w:tcBorders>
            <w:vAlign w:val="center"/>
          </w:tcPr>
          <w:p w14:paraId="4CB00083">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00AB8F2">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r>
      <w:tr w14:paraId="40716B1D">
        <w:tblPrEx>
          <w:tblCellMar>
            <w:top w:w="0" w:type="dxa"/>
            <w:left w:w="108" w:type="dxa"/>
            <w:bottom w:w="0" w:type="dxa"/>
            <w:right w:w="108" w:type="dxa"/>
          </w:tblCellMar>
        </w:tblPrEx>
        <w:trPr>
          <w:trHeight w:val="608" w:hRule="atLeast"/>
        </w:trPr>
        <w:tc>
          <w:tcPr>
            <w:tcW w:w="1195" w:type="dxa"/>
            <w:vMerge w:val="continue"/>
            <w:tcBorders>
              <w:top w:val="single" w:color="auto" w:sz="4" w:space="0"/>
              <w:left w:val="single" w:color="auto" w:sz="4" w:space="0"/>
              <w:bottom w:val="single" w:color="auto" w:sz="4" w:space="0"/>
              <w:right w:val="single" w:color="auto" w:sz="4" w:space="0"/>
            </w:tcBorders>
            <w:vAlign w:val="center"/>
          </w:tcPr>
          <w:p w14:paraId="2BDF0A97">
            <w:pPr>
              <w:keepNext/>
              <w:keepLines/>
              <w:widowControl/>
              <w:spacing w:before="340" w:after="330" w:line="578" w:lineRule="auto"/>
              <w:jc w:val="center"/>
              <w:outlineLvl w:val="0"/>
              <w:rPr>
                <w:rFonts w:ascii="宋体" w:hAnsi="宋体"/>
                <w:color w:val="auto"/>
                <w:kern w:val="0"/>
                <w:sz w:val="22"/>
                <w:szCs w:val="22"/>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4AE1C6C4">
            <w:pPr>
              <w:pStyle w:val="18"/>
              <w:adjustRightInd w:val="0"/>
              <w:snapToGrid w:val="0"/>
              <w:spacing w:line="360" w:lineRule="auto"/>
              <w:jc w:val="center"/>
              <w:rPr>
                <w:rFonts w:ascii="宋体" w:hAnsi="宋体" w:eastAsia="宋体"/>
                <w:color w:val="auto"/>
                <w:spacing w:val="20"/>
                <w:sz w:val="24"/>
                <w:highlight w:val="none"/>
              </w:rPr>
            </w:pPr>
            <w:r>
              <w:rPr>
                <w:rFonts w:hint="eastAsia" w:ascii="宋体" w:hAnsi="宋体" w:eastAsia="宋体"/>
                <w:color w:val="auto"/>
                <w:sz w:val="24"/>
                <w:highlight w:val="none"/>
              </w:rPr>
              <w:t>……</w:t>
            </w:r>
          </w:p>
        </w:tc>
        <w:tc>
          <w:tcPr>
            <w:tcW w:w="2147" w:type="dxa"/>
            <w:tcBorders>
              <w:top w:val="single" w:color="auto" w:sz="4" w:space="0"/>
              <w:left w:val="single" w:color="auto" w:sz="4" w:space="0"/>
              <w:bottom w:val="single" w:color="auto" w:sz="4" w:space="0"/>
              <w:right w:val="single" w:color="auto" w:sz="4" w:space="0"/>
            </w:tcBorders>
          </w:tcPr>
          <w:p w14:paraId="6ABCACF7">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2176" w:type="dxa"/>
            <w:tcBorders>
              <w:top w:val="single" w:color="auto" w:sz="4" w:space="0"/>
              <w:left w:val="single" w:color="auto" w:sz="4" w:space="0"/>
              <w:bottom w:val="single" w:color="auto" w:sz="4" w:space="0"/>
              <w:right w:val="single" w:color="auto" w:sz="4" w:space="0"/>
            </w:tcBorders>
            <w:vAlign w:val="center"/>
          </w:tcPr>
          <w:p w14:paraId="6E573C94">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1D946FF">
            <w:pPr>
              <w:pStyle w:val="18"/>
              <w:keepNext/>
              <w:keepLines/>
              <w:adjustRightInd w:val="0"/>
              <w:snapToGrid w:val="0"/>
              <w:spacing w:before="340" w:after="330" w:line="360" w:lineRule="auto"/>
              <w:jc w:val="center"/>
              <w:outlineLvl w:val="0"/>
              <w:rPr>
                <w:rFonts w:ascii="宋体" w:hAnsi="宋体" w:eastAsia="宋体"/>
                <w:color w:val="auto"/>
                <w:spacing w:val="20"/>
                <w:sz w:val="24"/>
                <w:highlight w:val="none"/>
              </w:rPr>
            </w:pPr>
          </w:p>
        </w:tc>
      </w:tr>
    </w:tbl>
    <w:p w14:paraId="0AE8B701">
      <w:pPr>
        <w:pStyle w:val="18"/>
        <w:adjustRightInd w:val="0"/>
        <w:snapToGrid w:val="0"/>
        <w:spacing w:line="360" w:lineRule="auto"/>
        <w:rPr>
          <w:rFonts w:ascii="宋体" w:hAnsi="宋体" w:eastAsia="宋体"/>
          <w:color w:val="auto"/>
          <w:sz w:val="24"/>
          <w:highlight w:val="none"/>
        </w:rPr>
      </w:pPr>
      <w:r>
        <w:rPr>
          <w:rFonts w:hint="eastAsia" w:ascii="宋体" w:hAnsi="宋体" w:eastAsia="宋体"/>
          <w:color w:val="auto"/>
          <w:sz w:val="24"/>
          <w:highlight w:val="none"/>
        </w:rPr>
        <w:t>备注：</w:t>
      </w:r>
    </w:p>
    <w:p w14:paraId="3FD2BE0F">
      <w:pPr>
        <w:pStyle w:val="18"/>
        <w:adjustRightInd w:val="0"/>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1、供应商在填写其中的“磋商响应文件技术（或商务</w:t>
      </w:r>
      <w:r>
        <w:rPr>
          <w:rFonts w:hint="eastAsia" w:ascii="宋体" w:hAnsi="宋体" w:eastAsia="宋体"/>
          <w:color w:val="auto"/>
          <w:sz w:val="24"/>
          <w:highlight w:val="none"/>
        </w:rPr>
        <w:t>）响应”内容时，必须对照本磋商文件“项目需求”中各指标项逐条说明，写出各磋商服务响应内容，不得以“符合”或“满足”等词语作简单回答或者完全复制本项目采购需求中内容，否则磋商小组有权视其磋商响应文件未响应磋商文件要求。</w:t>
      </w:r>
    </w:p>
    <w:p w14:paraId="6D15D4C0">
      <w:pPr>
        <w:pStyle w:val="18"/>
        <w:adjustRightInd w:val="0"/>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2、如未提供或未填写</w:t>
      </w:r>
      <w:r>
        <w:rPr>
          <w:rFonts w:hint="eastAsia" w:ascii="宋体" w:hAnsi="宋体" w:eastAsia="宋体"/>
          <w:color w:val="auto"/>
          <w:sz w:val="24"/>
          <w:highlight w:val="none"/>
        </w:rPr>
        <w:t>或填写不完整均</w:t>
      </w:r>
      <w:r>
        <w:rPr>
          <w:rFonts w:ascii="宋体" w:hAnsi="宋体" w:eastAsia="宋体"/>
          <w:color w:val="auto"/>
          <w:sz w:val="24"/>
          <w:highlight w:val="none"/>
        </w:rPr>
        <w:t>视为完全</w:t>
      </w:r>
      <w:r>
        <w:rPr>
          <w:rFonts w:hint="eastAsia" w:ascii="宋体" w:hAnsi="宋体" w:eastAsia="宋体"/>
          <w:color w:val="auto"/>
          <w:sz w:val="24"/>
          <w:highlight w:val="none"/>
        </w:rPr>
        <w:t>响应采购项目</w:t>
      </w:r>
      <w:r>
        <w:rPr>
          <w:rFonts w:ascii="宋体" w:hAnsi="宋体" w:eastAsia="宋体"/>
          <w:color w:val="auto"/>
          <w:sz w:val="24"/>
          <w:highlight w:val="none"/>
        </w:rPr>
        <w:t>需求内容。</w:t>
      </w:r>
    </w:p>
    <w:p w14:paraId="3A0C23E7">
      <w:pPr>
        <w:ind w:firstLine="424" w:firstLineChars="177"/>
        <w:rPr>
          <w:rFonts w:ascii="宋体" w:hAnsi="宋体"/>
          <w:color w:val="auto"/>
          <w:sz w:val="24"/>
          <w:highlight w:val="none"/>
        </w:rPr>
      </w:pPr>
    </w:p>
    <w:p w14:paraId="66861F7F">
      <w:pPr>
        <w:ind w:firstLine="424" w:firstLineChars="177"/>
        <w:rPr>
          <w:rFonts w:ascii="宋体" w:hAnsi="宋体"/>
          <w:color w:val="auto"/>
          <w:sz w:val="24"/>
          <w:highlight w:val="none"/>
        </w:rPr>
      </w:pPr>
    </w:p>
    <w:p w14:paraId="4D9CCBCC">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18CCA2EE">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7260E3C8">
      <w:pPr>
        <w:tabs>
          <w:tab w:val="left" w:pos="2460"/>
        </w:tabs>
        <w:spacing w:line="360" w:lineRule="auto"/>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55828492">
      <w:pPr>
        <w:tabs>
          <w:tab w:val="left" w:pos="2460"/>
        </w:tabs>
        <w:spacing w:line="360" w:lineRule="auto"/>
        <w:rPr>
          <w:rFonts w:ascii="宋体" w:hAnsi="宋体" w:cs="方正书宋简体"/>
          <w:color w:val="auto"/>
          <w:kern w:val="0"/>
          <w:sz w:val="24"/>
          <w:highlight w:val="none"/>
          <w:lang w:val="zh-CN"/>
        </w:rPr>
      </w:pPr>
    </w:p>
    <w:p w14:paraId="30AA9AAC">
      <w:pPr>
        <w:tabs>
          <w:tab w:val="left" w:pos="2460"/>
        </w:tabs>
        <w:spacing w:line="360" w:lineRule="auto"/>
        <w:rPr>
          <w:rFonts w:ascii="宋体" w:hAnsi="宋体"/>
          <w:b/>
          <w:color w:val="auto"/>
          <w:sz w:val="30"/>
          <w:szCs w:val="30"/>
          <w:highlight w:val="none"/>
        </w:rPr>
      </w:pPr>
      <w:r>
        <w:rPr>
          <w:rFonts w:hint="eastAsia" w:ascii="宋体" w:hAnsi="宋体"/>
          <w:b/>
          <w:color w:val="auto"/>
          <w:sz w:val="28"/>
          <w:highlight w:val="none"/>
        </w:rPr>
        <w:t>附件9：</w:t>
      </w:r>
      <w:r>
        <w:rPr>
          <w:rFonts w:ascii="宋体" w:hAnsi="宋体"/>
          <w:b/>
          <w:color w:val="auto"/>
          <w:sz w:val="28"/>
          <w:highlight w:val="none"/>
        </w:rPr>
        <w:t xml:space="preserve"> </w:t>
      </w:r>
      <w:r>
        <w:rPr>
          <w:rFonts w:ascii="宋体" w:hAnsi="宋体"/>
          <w:b/>
          <w:color w:val="auto"/>
          <w:sz w:val="28"/>
          <w:highlight w:val="none"/>
        </w:rPr>
        <w:tab/>
      </w:r>
    </w:p>
    <w:p w14:paraId="239BA6D0">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（1）首次报价一览表</w:t>
      </w:r>
    </w:p>
    <w:p w14:paraId="3C87E1B6">
      <w:pPr>
        <w:pStyle w:val="18"/>
        <w:spacing w:line="320" w:lineRule="exact"/>
        <w:rPr>
          <w:rFonts w:ascii="宋体" w:hAnsi="宋体" w:eastAsia="宋体"/>
          <w:b/>
          <w:color w:val="auto"/>
          <w:sz w:val="24"/>
          <w:highlight w:val="none"/>
        </w:rPr>
      </w:pPr>
    </w:p>
    <w:p w14:paraId="057C1967">
      <w:pPr>
        <w:pStyle w:val="18"/>
        <w:spacing w:line="320" w:lineRule="exact"/>
        <w:rPr>
          <w:rFonts w:hint="eastAsia" w:ascii="宋体" w:hAnsi="宋体" w:eastAsia="宋体"/>
          <w:b/>
          <w:color w:val="auto"/>
          <w:sz w:val="24"/>
          <w:highlight w:val="none"/>
          <w:u w:val="single"/>
          <w:lang w:eastAsia="zh-CN"/>
        </w:rPr>
      </w:pPr>
      <w:r>
        <w:rPr>
          <w:rFonts w:ascii="宋体" w:hAnsi="宋体" w:eastAsia="宋体"/>
          <w:b/>
          <w:color w:val="auto"/>
          <w:sz w:val="24"/>
          <w:highlight w:val="none"/>
        </w:rPr>
        <w:t>项目编号：</w:t>
      </w:r>
      <w:r>
        <w:rPr>
          <w:rFonts w:hint="eastAsia" w:ascii="宋体" w:hAnsi="宋体" w:eastAsia="宋体"/>
          <w:b/>
          <w:color w:val="auto"/>
          <w:sz w:val="24"/>
          <w:highlight w:val="none"/>
          <w:lang w:eastAsia="zh-CN"/>
        </w:rPr>
        <w:t>ZJZL-2025-001</w:t>
      </w:r>
    </w:p>
    <w:p w14:paraId="21FBD41E">
      <w:pPr>
        <w:pStyle w:val="52"/>
        <w:spacing w:line="360" w:lineRule="auto"/>
        <w:ind w:right="480"/>
        <w:jc w:val="left"/>
        <w:rPr>
          <w:rFonts w:ascii="宋体" w:hAnsi="宋体"/>
          <w:color w:val="auto"/>
          <w:sz w:val="24"/>
          <w:highlight w:val="none"/>
        </w:rPr>
      </w:pPr>
      <w:r>
        <w:rPr>
          <w:rFonts w:ascii="宋体" w:hAnsi="宋体"/>
          <w:b/>
          <w:color w:val="auto"/>
          <w:sz w:val="24"/>
          <w:highlight w:val="none"/>
        </w:rPr>
        <w:t>项目名称：</w:t>
      </w:r>
      <w:r>
        <w:rPr>
          <w:rFonts w:hint="eastAsia" w:ascii="宋体" w:hAnsi="宋体"/>
          <w:b/>
          <w:color w:val="auto"/>
          <w:sz w:val="24"/>
          <w:highlight w:val="none"/>
          <w:lang w:eastAsia="zh-CN"/>
        </w:rPr>
        <w:t>路北街道2025年零星安保服务采购项目</w:t>
      </w:r>
      <w:r>
        <w:rPr>
          <w:rFonts w:ascii="宋体" w:hAnsi="宋体"/>
          <w:color w:val="auto"/>
          <w:sz w:val="24"/>
          <w:highlight w:val="none"/>
        </w:rPr>
        <w:t xml:space="preserve">   </w:t>
      </w:r>
    </w:p>
    <w:p w14:paraId="6B1CE2D7">
      <w:pPr>
        <w:pStyle w:val="52"/>
        <w:spacing w:line="360" w:lineRule="auto"/>
        <w:ind w:right="480"/>
        <w:jc w:val="left"/>
        <w:rPr>
          <w:rFonts w:ascii="宋体" w:hAnsi="宋体"/>
          <w:color w:val="auto"/>
          <w:sz w:val="24"/>
          <w:highlight w:val="none"/>
        </w:rPr>
      </w:pPr>
      <w:r>
        <w:rPr>
          <w:rFonts w:ascii="宋体" w:hAnsi="宋体"/>
          <w:color w:val="auto"/>
          <w:sz w:val="24"/>
          <w:highlight w:val="none"/>
        </w:rPr>
        <w:t>[货币单位：人民币</w:t>
      </w:r>
      <w:r>
        <w:rPr>
          <w:rFonts w:hint="eastAsia" w:ascii="宋体" w:hAnsi="宋体"/>
          <w:color w:val="auto"/>
          <w:sz w:val="24"/>
          <w:highlight w:val="none"/>
          <w:lang w:val="en-US" w:eastAsia="zh-CN"/>
        </w:rPr>
        <w:t>/</w:t>
      </w:r>
      <w:r>
        <w:rPr>
          <w:rFonts w:ascii="宋体" w:hAnsi="宋体"/>
          <w:color w:val="auto"/>
          <w:sz w:val="24"/>
          <w:highlight w:val="none"/>
        </w:rPr>
        <w:t>元]</w:t>
      </w:r>
    </w:p>
    <w:tbl>
      <w:tblPr>
        <w:tblStyle w:val="2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5945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CAC6359">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w:t>
            </w:r>
            <w:r>
              <w:rPr>
                <w:rFonts w:ascii="宋体" w:hAnsi="宋体"/>
                <w:color w:val="auto"/>
                <w:sz w:val="24"/>
                <w:highlight w:val="none"/>
              </w:rPr>
              <w:t>元</w:t>
            </w:r>
            <w:r>
              <w:rPr>
                <w:rFonts w:hint="eastAsia" w:ascii="宋体" w:hAnsi="宋体"/>
                <w:color w:val="auto"/>
                <w:sz w:val="24"/>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14:paraId="56BC4759">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131C47F1">
            <w:pPr>
              <w:keepNext/>
              <w:keepLines/>
              <w:autoSpaceDE w:val="0"/>
              <w:autoSpaceDN w:val="0"/>
              <w:spacing w:before="340" w:after="330" w:line="450" w:lineRule="exact"/>
              <w:jc w:val="center"/>
              <w:textAlignment w:val="bottom"/>
              <w:outlineLvl w:val="0"/>
              <w:rPr>
                <w:rFonts w:ascii="宋体" w:hAnsi="宋体"/>
                <w:color w:val="auto"/>
                <w:sz w:val="24"/>
                <w:highlight w:val="none"/>
              </w:rPr>
            </w:pPr>
          </w:p>
        </w:tc>
      </w:tr>
      <w:tr w14:paraId="36B56C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DFF54E1">
            <w:pPr>
              <w:keepNext/>
              <w:keepLines/>
              <w:spacing w:before="340" w:after="330" w:line="578" w:lineRule="auto"/>
              <w:outlineLvl w:val="0"/>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DE49DB5">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BC251CF">
            <w:pPr>
              <w:keepNext/>
              <w:keepLines/>
              <w:autoSpaceDE w:val="0"/>
              <w:autoSpaceDN w:val="0"/>
              <w:spacing w:before="340" w:after="330" w:line="450" w:lineRule="exact"/>
              <w:jc w:val="center"/>
              <w:textAlignment w:val="bottom"/>
              <w:outlineLvl w:val="0"/>
              <w:rPr>
                <w:rFonts w:ascii="宋体" w:hAnsi="宋体"/>
                <w:color w:val="auto"/>
                <w:sz w:val="24"/>
                <w:highlight w:val="none"/>
              </w:rPr>
            </w:pPr>
          </w:p>
        </w:tc>
      </w:tr>
    </w:tbl>
    <w:p w14:paraId="0DBBC1DB">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63E1C206">
      <w:pPr>
        <w:numPr>
          <w:ilvl w:val="0"/>
          <w:numId w:val="7"/>
        </w:num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投标人的报价应为承包完成本次项目需完成全部工作所发生的所有费用（含税），并承担一切风险责任。投标人应结合本项目特点，市场行情及投标人自身的技术</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管理水平</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竞争能力，确定最终报价。</w:t>
      </w:r>
      <w:r>
        <w:rPr>
          <w:rFonts w:hint="eastAsia" w:ascii="宋体" w:hAnsi="宋体"/>
          <w:color w:val="auto"/>
          <w:kern w:val="0"/>
          <w:szCs w:val="21"/>
          <w:highlight w:val="none"/>
          <w:lang w:eastAsia="zh-CN"/>
        </w:rPr>
        <w:t>餐费、交通费、</w:t>
      </w:r>
      <w:r>
        <w:rPr>
          <w:rFonts w:hint="eastAsia" w:ascii="宋体" w:hAnsi="宋体"/>
          <w:color w:val="auto"/>
          <w:kern w:val="0"/>
          <w:szCs w:val="21"/>
          <w:highlight w:val="none"/>
        </w:rPr>
        <w:t>特殊时间段和夜班费及由此产生的服务风险、责任已包含在供应商的报价中，不再另行增加。</w:t>
      </w:r>
    </w:p>
    <w:p w14:paraId="1E9B025B">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2.报价一经涂改，应在涂改处加盖单位公章，或者由法定代表人或授权委托代理人签字或盖章，否则其投标作无效标处理。</w:t>
      </w:r>
    </w:p>
    <w:p w14:paraId="1EEA466F">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本项目招标代理服务费由成交人支付，由磋商供应商自行考虑，分摊在各项投标报价中，结算时不再另行计取。</w:t>
      </w:r>
    </w:p>
    <w:p w14:paraId="777FD0D7">
      <w:pPr>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4、服务期：12个月；</w:t>
      </w:r>
    </w:p>
    <w:p w14:paraId="5113B832">
      <w:pPr>
        <w:spacing w:line="320" w:lineRule="exact"/>
        <w:ind w:left="420"/>
        <w:rPr>
          <w:rFonts w:ascii="宋体" w:hAnsi="宋体"/>
          <w:color w:val="auto"/>
          <w:sz w:val="24"/>
          <w:highlight w:val="none"/>
        </w:rPr>
      </w:pPr>
    </w:p>
    <w:p w14:paraId="66350F70">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6D13C295">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0745E8D5">
      <w:pPr>
        <w:tabs>
          <w:tab w:val="left" w:pos="2460"/>
        </w:tabs>
        <w:spacing w:line="360" w:lineRule="auto"/>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76F1C779">
      <w:pPr>
        <w:adjustRightInd w:val="0"/>
        <w:snapToGrid w:val="0"/>
        <w:spacing w:line="360" w:lineRule="auto"/>
        <w:ind w:right="480"/>
        <w:jc w:val="center"/>
        <w:rPr>
          <w:rFonts w:ascii="宋体" w:hAnsi="宋体" w:cs="方正书宋简体"/>
          <w:color w:val="auto"/>
          <w:kern w:val="0"/>
          <w:sz w:val="24"/>
          <w:highlight w:val="none"/>
          <w:lang w:val="zh-CN"/>
        </w:rPr>
      </w:pPr>
    </w:p>
    <w:p w14:paraId="7753908F">
      <w:pPr>
        <w:widowControl/>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br w:type="page"/>
      </w:r>
    </w:p>
    <w:p w14:paraId="0E77B656">
      <w:pPr>
        <w:spacing w:line="360" w:lineRule="auto"/>
        <w:jc w:val="center"/>
        <w:outlineLvl w:val="0"/>
        <w:rPr>
          <w:rFonts w:hAnsi="宋体" w:cs="宋体"/>
          <w:b/>
          <w:color w:val="auto"/>
          <w:sz w:val="36"/>
          <w:szCs w:val="21"/>
          <w:highlight w:val="none"/>
        </w:rPr>
      </w:pPr>
      <w:r>
        <w:rPr>
          <w:rFonts w:hint="eastAsia" w:hAnsi="宋体" w:cs="宋体"/>
          <w:b/>
          <w:color w:val="auto"/>
          <w:sz w:val="36"/>
          <w:szCs w:val="21"/>
          <w:highlight w:val="none"/>
        </w:rPr>
        <w:t>（2）详细工程量清单报价表</w:t>
      </w:r>
    </w:p>
    <w:p w14:paraId="7B471FAF">
      <w:pPr>
        <w:spacing w:line="360" w:lineRule="auto"/>
        <w:rPr>
          <w:rFonts w:hint="eastAsia" w:ascii="宋体" w:hAnsi="宋体" w:eastAsia="宋体" w:cs="宋体"/>
          <w:color w:val="auto"/>
          <w:spacing w:val="20"/>
          <w:sz w:val="28"/>
          <w:highlight w:val="none"/>
          <w:lang w:eastAsia="zh-CN"/>
        </w:rPr>
      </w:pPr>
      <w:r>
        <w:rPr>
          <w:rFonts w:hint="eastAsia" w:hAnsi="宋体" w:cs="宋体"/>
          <w:color w:val="auto"/>
          <w:spacing w:val="20"/>
          <w:sz w:val="28"/>
          <w:highlight w:val="none"/>
        </w:rPr>
        <w:t>项目编号：</w:t>
      </w:r>
      <w:r>
        <w:rPr>
          <w:rFonts w:hint="eastAsia" w:ascii="宋体" w:hAnsi="宋体" w:cs="宋体"/>
          <w:color w:val="auto"/>
          <w:spacing w:val="20"/>
          <w:sz w:val="28"/>
          <w:highlight w:val="none"/>
          <w:lang w:eastAsia="zh-CN"/>
        </w:rPr>
        <w:t>ZJZL-2025-001</w:t>
      </w:r>
      <w:r>
        <w:rPr>
          <w:rFonts w:ascii="宋体" w:hAnsi="宋体"/>
          <w:color w:val="auto"/>
          <w:sz w:val="24"/>
        </w:rPr>
        <w:t xml:space="preserve">  </w:t>
      </w:r>
      <w:r>
        <w:rPr>
          <w:rFonts w:hint="eastAsia" w:ascii="宋体" w:hAnsi="宋体" w:eastAsia="宋体" w:cs="宋体"/>
          <w:color w:val="auto"/>
          <w:spacing w:val="20"/>
          <w:sz w:val="28"/>
          <w:highlight w:val="none"/>
          <w:lang w:eastAsia="zh-CN"/>
        </w:rPr>
        <w:t>[货币单位：人民币/元]</w:t>
      </w:r>
    </w:p>
    <w:tbl>
      <w:tblPr>
        <w:tblStyle w:val="2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29"/>
        <w:gridCol w:w="1750"/>
        <w:gridCol w:w="1427"/>
        <w:gridCol w:w="1583"/>
        <w:gridCol w:w="1595"/>
      </w:tblGrid>
      <w:tr w14:paraId="575F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33" w:type="dxa"/>
            <w:vAlign w:val="center"/>
          </w:tcPr>
          <w:p w14:paraId="7B4F6E6E">
            <w:pPr>
              <w:spacing w:line="460" w:lineRule="exact"/>
              <w:jc w:val="center"/>
              <w:rPr>
                <w:rFonts w:ascii="宋体" w:hAnsi="宋体"/>
                <w:b/>
                <w:bCs/>
                <w:color w:val="auto"/>
                <w:kern w:val="0"/>
                <w:sz w:val="24"/>
              </w:rPr>
            </w:pPr>
            <w:r>
              <w:rPr>
                <w:rFonts w:hint="eastAsia" w:ascii="宋体" w:hAnsi="宋体"/>
                <w:b/>
                <w:bCs/>
                <w:color w:val="auto"/>
                <w:kern w:val="0"/>
                <w:sz w:val="24"/>
              </w:rPr>
              <w:t>序号</w:t>
            </w:r>
          </w:p>
        </w:tc>
        <w:tc>
          <w:tcPr>
            <w:tcW w:w="2029" w:type="dxa"/>
            <w:vAlign w:val="center"/>
          </w:tcPr>
          <w:p w14:paraId="68AA7030">
            <w:pPr>
              <w:spacing w:line="460" w:lineRule="exact"/>
              <w:jc w:val="center"/>
              <w:rPr>
                <w:rFonts w:ascii="宋体" w:hAnsi="宋体"/>
                <w:b/>
                <w:bCs/>
                <w:color w:val="auto"/>
                <w:kern w:val="0"/>
                <w:sz w:val="24"/>
              </w:rPr>
            </w:pPr>
            <w:r>
              <w:rPr>
                <w:rFonts w:hint="eastAsia" w:ascii="宋体" w:hAnsi="宋体"/>
                <w:b/>
                <w:bCs/>
                <w:color w:val="auto"/>
                <w:kern w:val="0"/>
                <w:sz w:val="24"/>
              </w:rPr>
              <w:t>项目名称</w:t>
            </w:r>
          </w:p>
        </w:tc>
        <w:tc>
          <w:tcPr>
            <w:tcW w:w="1750" w:type="dxa"/>
            <w:vAlign w:val="center"/>
          </w:tcPr>
          <w:p w14:paraId="1159B4B3">
            <w:pPr>
              <w:spacing w:line="460" w:lineRule="exact"/>
              <w:jc w:val="center"/>
              <w:rPr>
                <w:rFonts w:ascii="宋体" w:hAnsi="宋体" w:cs="宋体"/>
                <w:color w:val="auto"/>
                <w:sz w:val="24"/>
              </w:rPr>
            </w:pPr>
            <w:r>
              <w:rPr>
                <w:rFonts w:hint="eastAsia" w:ascii="宋体" w:hAnsi="宋体"/>
                <w:b/>
                <w:bCs/>
                <w:color w:val="auto"/>
                <w:kern w:val="0"/>
                <w:sz w:val="24"/>
              </w:rPr>
              <w:t>暂定数量</w:t>
            </w:r>
          </w:p>
        </w:tc>
        <w:tc>
          <w:tcPr>
            <w:tcW w:w="1427" w:type="dxa"/>
            <w:vAlign w:val="center"/>
          </w:tcPr>
          <w:p w14:paraId="481087F3">
            <w:pPr>
              <w:spacing w:line="460" w:lineRule="exact"/>
              <w:jc w:val="center"/>
              <w:rPr>
                <w:rFonts w:ascii="宋体" w:hAnsi="宋体" w:cs="宋体"/>
                <w:color w:val="auto"/>
                <w:sz w:val="24"/>
              </w:rPr>
            </w:pPr>
            <w:r>
              <w:rPr>
                <w:rFonts w:hint="eastAsia" w:ascii="宋体" w:hAnsi="宋体"/>
                <w:b/>
                <w:bCs/>
                <w:color w:val="auto"/>
                <w:kern w:val="0"/>
                <w:sz w:val="24"/>
              </w:rPr>
              <w:t>最高单价限价</w:t>
            </w:r>
          </w:p>
        </w:tc>
        <w:tc>
          <w:tcPr>
            <w:tcW w:w="1583" w:type="dxa"/>
            <w:vAlign w:val="center"/>
          </w:tcPr>
          <w:p w14:paraId="0F39D682">
            <w:pPr>
              <w:jc w:val="center"/>
              <w:rPr>
                <w:rFonts w:ascii="宋体" w:hAnsi="宋体" w:cs="宋体"/>
                <w:color w:val="auto"/>
                <w:sz w:val="24"/>
              </w:rPr>
            </w:pPr>
            <w:r>
              <w:rPr>
                <w:rFonts w:hint="eastAsia" w:ascii="宋体" w:hAnsi="宋体" w:cs="宋体"/>
                <w:color w:val="auto"/>
                <w:sz w:val="24"/>
              </w:rPr>
              <w:t>投标单价报价</w:t>
            </w:r>
          </w:p>
        </w:tc>
        <w:tc>
          <w:tcPr>
            <w:tcW w:w="1595" w:type="dxa"/>
            <w:vAlign w:val="center"/>
          </w:tcPr>
          <w:p w14:paraId="31E7E3A5">
            <w:pPr>
              <w:jc w:val="center"/>
              <w:rPr>
                <w:rFonts w:ascii="宋体" w:hAnsi="宋体" w:cs="宋体"/>
                <w:color w:val="auto"/>
                <w:sz w:val="24"/>
              </w:rPr>
            </w:pPr>
            <w:r>
              <w:rPr>
                <w:rFonts w:hint="eastAsia" w:ascii="宋体" w:hAnsi="宋体" w:cs="宋体"/>
                <w:color w:val="auto"/>
                <w:sz w:val="24"/>
              </w:rPr>
              <w:t>总价（元）</w:t>
            </w:r>
          </w:p>
        </w:tc>
      </w:tr>
      <w:tr w14:paraId="3D0B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33" w:type="dxa"/>
            <w:vAlign w:val="center"/>
          </w:tcPr>
          <w:p w14:paraId="00687AE6">
            <w:pPr>
              <w:jc w:val="center"/>
              <w:rPr>
                <w:rFonts w:ascii="宋体" w:hAnsi="宋体" w:cs="宋体"/>
                <w:color w:val="auto"/>
                <w:sz w:val="24"/>
              </w:rPr>
            </w:pPr>
            <w:r>
              <w:rPr>
                <w:rFonts w:hint="eastAsia" w:ascii="宋体" w:hAnsi="宋体" w:cs="宋体"/>
                <w:color w:val="auto"/>
                <w:sz w:val="24"/>
              </w:rPr>
              <w:t>1</w:t>
            </w:r>
          </w:p>
        </w:tc>
        <w:tc>
          <w:tcPr>
            <w:tcW w:w="2029" w:type="dxa"/>
            <w:vAlign w:val="center"/>
          </w:tcPr>
          <w:p w14:paraId="7639EF73">
            <w:pPr>
              <w:jc w:val="center"/>
              <w:rPr>
                <w:rFonts w:ascii="宋体" w:hAnsi="宋体" w:cs="宋体"/>
                <w:color w:val="auto"/>
                <w:sz w:val="24"/>
              </w:rPr>
            </w:pPr>
            <w:r>
              <w:rPr>
                <w:rFonts w:hint="eastAsia" w:ascii="宋体" w:hAnsi="宋体" w:cs="宋体"/>
                <w:color w:val="auto"/>
                <w:sz w:val="24"/>
              </w:rPr>
              <w:t>保安（</w:t>
            </w:r>
            <w:r>
              <w:rPr>
                <w:rFonts w:hint="eastAsia" w:ascii="宋体" w:hAnsi="宋体" w:cs="宋体"/>
                <w:color w:val="auto"/>
                <w:sz w:val="24"/>
                <w:lang w:eastAsia="zh-CN"/>
              </w:rPr>
              <w:t>班</w:t>
            </w:r>
            <w:r>
              <w:rPr>
                <w:rFonts w:hint="eastAsia" w:ascii="宋体" w:hAnsi="宋体" w:cs="宋体"/>
                <w:color w:val="auto"/>
                <w:sz w:val="24"/>
              </w:rPr>
              <w:t>/人）</w:t>
            </w:r>
          </w:p>
        </w:tc>
        <w:tc>
          <w:tcPr>
            <w:tcW w:w="1750" w:type="dxa"/>
            <w:vAlign w:val="center"/>
          </w:tcPr>
          <w:p w14:paraId="2BCE6C64">
            <w:pPr>
              <w:snapToGrid w:val="0"/>
              <w:spacing w:line="460" w:lineRule="exact"/>
              <w:jc w:val="center"/>
              <w:rPr>
                <w:rFonts w:ascii="宋体" w:hAnsi="宋体" w:cs="宋体"/>
                <w:color w:val="auto"/>
                <w:sz w:val="24"/>
              </w:rPr>
            </w:pPr>
            <w:r>
              <w:rPr>
                <w:rFonts w:hint="eastAsia" w:ascii="Arial" w:hAnsi="Arial" w:cs="Arial"/>
                <w:b w:val="0"/>
                <w:bCs w:val="0"/>
                <w:color w:val="auto"/>
                <w:kern w:val="0"/>
                <w:szCs w:val="21"/>
                <w:lang w:val="en-US" w:eastAsia="zh-CN"/>
              </w:rPr>
              <w:t>8800人班</w:t>
            </w:r>
          </w:p>
        </w:tc>
        <w:tc>
          <w:tcPr>
            <w:tcW w:w="1427" w:type="dxa"/>
            <w:vAlign w:val="center"/>
          </w:tcPr>
          <w:p w14:paraId="072C9EB9">
            <w:pPr>
              <w:snapToGrid w:val="0"/>
              <w:spacing w:line="460" w:lineRule="exact"/>
              <w:jc w:val="center"/>
              <w:rPr>
                <w:rFonts w:hint="eastAsia" w:ascii="宋体" w:hAnsi="宋体" w:eastAsia="宋体" w:cs="宋体"/>
                <w:color w:val="auto"/>
                <w:sz w:val="24"/>
                <w:lang w:eastAsia="zh-CN"/>
              </w:rPr>
            </w:pPr>
            <w:r>
              <w:rPr>
                <w:rFonts w:hint="eastAsia" w:ascii="Arial" w:hAnsi="Arial" w:cs="Arial"/>
                <w:color w:val="auto"/>
                <w:kern w:val="0"/>
                <w:szCs w:val="21"/>
                <w:lang w:val="en-US" w:eastAsia="zh-CN"/>
              </w:rPr>
              <w:t>25</w:t>
            </w:r>
            <w:r>
              <w:rPr>
                <w:rFonts w:hint="eastAsia" w:ascii="Arial" w:hAnsi="Arial" w:cs="Arial"/>
                <w:color w:val="auto"/>
                <w:kern w:val="0"/>
                <w:szCs w:val="21"/>
              </w:rPr>
              <w:t>0元/</w:t>
            </w:r>
            <w:r>
              <w:rPr>
                <w:rFonts w:hint="eastAsia" w:ascii="宋体" w:hAnsi="宋体"/>
                <w:color w:val="auto"/>
                <w:kern w:val="0"/>
                <w:szCs w:val="21"/>
              </w:rPr>
              <w:t>人</w:t>
            </w:r>
            <w:r>
              <w:rPr>
                <w:rFonts w:hint="eastAsia" w:ascii="Arial" w:hAnsi="Arial" w:cs="Arial"/>
                <w:color w:val="auto"/>
                <w:kern w:val="0"/>
                <w:szCs w:val="21"/>
              </w:rPr>
              <w:t>/</w:t>
            </w:r>
            <w:r>
              <w:rPr>
                <w:rFonts w:hint="eastAsia" w:ascii="Arial" w:hAnsi="Arial" w:cs="Arial"/>
                <w:color w:val="auto"/>
                <w:kern w:val="0"/>
                <w:szCs w:val="21"/>
                <w:lang w:eastAsia="zh-CN"/>
              </w:rPr>
              <w:t>班</w:t>
            </w:r>
          </w:p>
        </w:tc>
        <w:tc>
          <w:tcPr>
            <w:tcW w:w="1583" w:type="dxa"/>
            <w:vAlign w:val="center"/>
          </w:tcPr>
          <w:p w14:paraId="25D572F5">
            <w:pPr>
              <w:snapToGrid w:val="0"/>
              <w:spacing w:line="460" w:lineRule="exact"/>
              <w:jc w:val="center"/>
              <w:rPr>
                <w:rFonts w:hint="eastAsia" w:ascii="宋体" w:hAnsi="宋体" w:eastAsia="宋体" w:cs="宋体"/>
                <w:color w:val="auto"/>
                <w:sz w:val="24"/>
                <w:lang w:eastAsia="zh-CN"/>
              </w:rPr>
            </w:pPr>
            <w:r>
              <w:rPr>
                <w:rFonts w:hint="eastAsia" w:ascii="Arial" w:hAnsi="Arial" w:cs="Arial"/>
                <w:color w:val="auto"/>
                <w:kern w:val="0"/>
                <w:szCs w:val="21"/>
                <w:u w:val="single"/>
                <w:lang w:val="en-US" w:eastAsia="zh-CN"/>
              </w:rPr>
              <w:t xml:space="preserve">     </w:t>
            </w:r>
            <w:r>
              <w:rPr>
                <w:rFonts w:hint="eastAsia" w:ascii="Arial" w:hAnsi="Arial" w:cs="Arial"/>
                <w:color w:val="auto"/>
                <w:kern w:val="0"/>
                <w:szCs w:val="21"/>
              </w:rPr>
              <w:t>元/</w:t>
            </w:r>
            <w:r>
              <w:rPr>
                <w:rFonts w:hint="eastAsia" w:ascii="宋体" w:hAnsi="宋体"/>
                <w:color w:val="auto"/>
                <w:kern w:val="0"/>
                <w:szCs w:val="21"/>
              </w:rPr>
              <w:t>人</w:t>
            </w:r>
            <w:r>
              <w:rPr>
                <w:rFonts w:hint="eastAsia" w:ascii="Arial" w:hAnsi="Arial" w:cs="Arial"/>
                <w:color w:val="auto"/>
                <w:kern w:val="0"/>
                <w:szCs w:val="21"/>
              </w:rPr>
              <w:t>/</w:t>
            </w:r>
            <w:r>
              <w:rPr>
                <w:rFonts w:hint="eastAsia" w:ascii="Arial" w:hAnsi="Arial" w:cs="Arial"/>
                <w:color w:val="auto"/>
                <w:kern w:val="0"/>
                <w:szCs w:val="21"/>
                <w:lang w:eastAsia="zh-CN"/>
              </w:rPr>
              <w:t>班</w:t>
            </w:r>
          </w:p>
        </w:tc>
        <w:tc>
          <w:tcPr>
            <w:tcW w:w="1595" w:type="dxa"/>
            <w:vAlign w:val="center"/>
          </w:tcPr>
          <w:p w14:paraId="0F1A1006">
            <w:pPr>
              <w:jc w:val="center"/>
              <w:rPr>
                <w:rFonts w:ascii="宋体" w:hAnsi="宋体" w:cs="宋体"/>
                <w:color w:val="auto"/>
                <w:sz w:val="24"/>
              </w:rPr>
            </w:pPr>
          </w:p>
        </w:tc>
      </w:tr>
      <w:tr w14:paraId="2AF6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3" w:type="dxa"/>
            <w:vAlign w:val="center"/>
          </w:tcPr>
          <w:p w14:paraId="2ED49541">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8384" w:type="dxa"/>
            <w:gridSpan w:val="5"/>
            <w:vAlign w:val="center"/>
          </w:tcPr>
          <w:p w14:paraId="35D433E6">
            <w:pPr>
              <w:jc w:val="center"/>
              <w:rPr>
                <w:rFonts w:ascii="宋体" w:hAnsi="宋体" w:cs="宋体"/>
                <w:color w:val="auto"/>
                <w:sz w:val="24"/>
              </w:rPr>
            </w:pPr>
            <w:r>
              <w:rPr>
                <w:rFonts w:hint="eastAsia" w:ascii="宋体" w:hAnsi="宋体" w:cs="宋体"/>
                <w:color w:val="auto"/>
                <w:sz w:val="24"/>
              </w:rPr>
              <w:t>合计=总价=</w:t>
            </w:r>
            <w:r>
              <w:rPr>
                <w:rFonts w:hint="eastAsia" w:ascii="宋体" w:hAnsi="宋体" w:cs="宋体"/>
                <w:color w:val="auto"/>
                <w:sz w:val="24"/>
                <w:u w:val="single"/>
              </w:rPr>
              <w:t xml:space="preserve">                    </w:t>
            </w:r>
            <w:r>
              <w:rPr>
                <w:rFonts w:hint="eastAsia" w:ascii="宋体" w:hAnsi="宋体" w:cs="宋体"/>
                <w:color w:val="auto"/>
                <w:sz w:val="24"/>
              </w:rPr>
              <w:t>元</w:t>
            </w:r>
          </w:p>
        </w:tc>
      </w:tr>
    </w:tbl>
    <w:p w14:paraId="50C47D37">
      <w:pPr>
        <w:spacing w:line="320" w:lineRule="exact"/>
        <w:rPr>
          <w:rFonts w:hint="eastAsia" w:hAnsi="宋体" w:cs="宋体"/>
          <w:color w:val="auto"/>
          <w:sz w:val="24"/>
          <w:highlight w:val="none"/>
        </w:rPr>
      </w:pPr>
      <w:r>
        <w:rPr>
          <w:rFonts w:hint="eastAsia" w:hAnsi="宋体" w:cs="宋体"/>
          <w:color w:val="auto"/>
          <w:sz w:val="24"/>
          <w:highlight w:val="none"/>
        </w:rPr>
        <w:t>要求：</w:t>
      </w:r>
    </w:p>
    <w:p w14:paraId="61B5193F">
      <w:pPr>
        <w:spacing w:line="320" w:lineRule="exact"/>
        <w:ind w:firstLine="480" w:firstLineChars="200"/>
        <w:rPr>
          <w:rFonts w:hint="eastAsia" w:hAnsi="宋体" w:cs="宋体"/>
          <w:color w:val="auto"/>
          <w:sz w:val="24"/>
          <w:highlight w:val="none"/>
        </w:rPr>
      </w:pPr>
      <w:r>
        <w:rPr>
          <w:rFonts w:hint="eastAsia" w:hAnsi="宋体" w:cs="宋体"/>
          <w:color w:val="auto"/>
          <w:sz w:val="24"/>
          <w:highlight w:val="none"/>
        </w:rPr>
        <w:t>1. 本表为《开标一览表》的报价明细表，如有缺项、漏项，视为投标报价中已包含相关费用，采购人无需另外支付任何费用。</w:t>
      </w:r>
    </w:p>
    <w:p w14:paraId="2B07692D">
      <w:pPr>
        <w:spacing w:line="320" w:lineRule="exact"/>
        <w:ind w:firstLine="480" w:firstLineChars="200"/>
        <w:rPr>
          <w:rFonts w:hint="eastAsia" w:hAnsi="宋体" w:cs="宋体"/>
          <w:color w:val="auto"/>
          <w:sz w:val="24"/>
          <w:highlight w:val="none"/>
        </w:rPr>
      </w:pPr>
      <w:r>
        <w:rPr>
          <w:rFonts w:hint="eastAsia" w:hAnsi="宋体" w:cs="宋体"/>
          <w:color w:val="auto"/>
          <w:sz w:val="24"/>
          <w:highlight w:val="none"/>
        </w:rPr>
        <w:t>2.“报价明细表”中的报价合计应与“开标一览表”中的投标总报价相一致，不一致时，以开标一览表为准。</w:t>
      </w:r>
    </w:p>
    <w:p w14:paraId="660DA4D5">
      <w:pPr>
        <w:spacing w:line="320" w:lineRule="exact"/>
        <w:ind w:firstLine="480" w:firstLineChars="200"/>
        <w:rPr>
          <w:rFonts w:hint="eastAsia" w:hAnsi="宋体" w:cs="宋体"/>
          <w:color w:val="auto"/>
          <w:sz w:val="24"/>
          <w:highlight w:val="none"/>
        </w:rPr>
      </w:pPr>
      <w:r>
        <w:rPr>
          <w:rFonts w:hint="eastAsia" w:hAnsi="宋体" w:cs="宋体"/>
          <w:color w:val="auto"/>
          <w:sz w:val="24"/>
          <w:highlight w:val="none"/>
        </w:rPr>
        <w:t>3.投标报价明细表所填内容按招标文件采购内容为准。如有漏报的，视同已包含在投标总价内或已作优惠处理。有重大缺项的将作无效标处理。</w:t>
      </w:r>
    </w:p>
    <w:p w14:paraId="4573E51E">
      <w:pPr>
        <w:spacing w:line="320" w:lineRule="exact"/>
        <w:ind w:firstLine="480" w:firstLineChars="200"/>
        <w:rPr>
          <w:rFonts w:hAnsi="宋体" w:cs="宋体"/>
          <w:color w:val="auto"/>
          <w:sz w:val="28"/>
          <w:highlight w:val="none"/>
        </w:rPr>
      </w:pPr>
      <w:r>
        <w:rPr>
          <w:rFonts w:hint="eastAsia" w:hAnsi="宋体" w:cs="宋体"/>
          <w:color w:val="auto"/>
          <w:sz w:val="24"/>
          <w:highlight w:val="none"/>
        </w:rPr>
        <w:t>4.投标人若中标，中标单价一次性包干，数量按实计算。</w:t>
      </w:r>
    </w:p>
    <w:p w14:paraId="4760656C">
      <w:pPr>
        <w:spacing w:line="320" w:lineRule="exact"/>
        <w:ind w:right="120" w:rightChars="57" w:firstLine="840" w:firstLineChars="300"/>
        <w:rPr>
          <w:rFonts w:hAnsi="宋体" w:cs="宋体"/>
          <w:color w:val="auto"/>
          <w:sz w:val="28"/>
          <w:highlight w:val="none"/>
        </w:rPr>
      </w:pPr>
    </w:p>
    <w:p w14:paraId="2866B970">
      <w:pPr>
        <w:adjustRightInd w:val="0"/>
        <w:snapToGrid w:val="0"/>
        <w:spacing w:line="360" w:lineRule="auto"/>
        <w:jc w:val="left"/>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磋商供应商（</w:t>
      </w:r>
      <w:r>
        <w:rPr>
          <w:rFonts w:ascii="宋体" w:hAnsi="宋体" w:cs="方正书宋简体"/>
          <w:color w:val="auto"/>
          <w:kern w:val="0"/>
          <w:sz w:val="24"/>
          <w:highlight w:val="none"/>
          <w:lang w:val="zh-CN"/>
        </w:rPr>
        <w:t>电子公章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 xml:space="preserve">： </w:t>
      </w:r>
    </w:p>
    <w:p w14:paraId="2922054D">
      <w:pPr>
        <w:adjustRightInd w:val="0"/>
        <w:snapToGrid w:val="0"/>
        <w:spacing w:line="360" w:lineRule="auto"/>
        <w:jc w:val="left"/>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法定代表人或</w:t>
      </w:r>
      <w:r>
        <w:rPr>
          <w:rFonts w:hint="eastAsia" w:ascii="宋体" w:hAnsi="宋体" w:cs="方正书宋简体"/>
          <w:color w:val="auto"/>
          <w:kern w:val="0"/>
          <w:sz w:val="24"/>
          <w:highlight w:val="none"/>
          <w:lang w:val="zh-CN"/>
        </w:rPr>
        <w:t>授权委托代理人（</w:t>
      </w:r>
      <w:r>
        <w:rPr>
          <w:rFonts w:ascii="宋体" w:hAnsi="宋体" w:cs="方正书宋简体"/>
          <w:color w:val="auto"/>
          <w:kern w:val="0"/>
          <w:sz w:val="24"/>
          <w:highlight w:val="none"/>
          <w:lang w:val="zh-CN"/>
        </w:rPr>
        <w:t>签字或</w:t>
      </w:r>
      <w:r>
        <w:rPr>
          <w:rFonts w:hint="eastAsia" w:ascii="宋体" w:hAnsi="宋体" w:cs="方正书宋简体"/>
          <w:color w:val="auto"/>
          <w:kern w:val="0"/>
          <w:sz w:val="24"/>
          <w:highlight w:val="none"/>
        </w:rPr>
        <w:t>盖章</w:t>
      </w:r>
      <w:r>
        <w:rPr>
          <w:rFonts w:hint="eastAsia" w:ascii="宋体" w:hAnsi="宋体" w:cs="方正书宋简体"/>
          <w:color w:val="auto"/>
          <w:kern w:val="0"/>
          <w:sz w:val="24"/>
          <w:highlight w:val="none"/>
          <w:lang w:val="zh-CN"/>
        </w:rPr>
        <w:t>）</w:t>
      </w:r>
      <w:r>
        <w:rPr>
          <w:rFonts w:ascii="宋体" w:hAnsi="宋体" w:cs="方正书宋简体"/>
          <w:color w:val="auto"/>
          <w:kern w:val="0"/>
          <w:sz w:val="24"/>
          <w:highlight w:val="none"/>
          <w:lang w:val="zh-CN"/>
        </w:rPr>
        <w:t>：</w:t>
      </w:r>
    </w:p>
    <w:p w14:paraId="56B620C9">
      <w:pPr>
        <w:tabs>
          <w:tab w:val="left" w:pos="2460"/>
        </w:tabs>
        <w:spacing w:line="360" w:lineRule="auto"/>
        <w:rPr>
          <w:rFonts w:ascii="宋体" w:hAnsi="宋体" w:cs="方正书宋简体"/>
          <w:color w:val="auto"/>
          <w:kern w:val="0"/>
          <w:sz w:val="24"/>
          <w:highlight w:val="none"/>
          <w:lang w:val="zh-CN"/>
        </w:rPr>
      </w:pPr>
      <w:r>
        <w:rPr>
          <w:rFonts w:ascii="宋体" w:hAnsi="宋体" w:cs="方正书宋简体"/>
          <w:color w:val="auto"/>
          <w:kern w:val="0"/>
          <w:sz w:val="24"/>
          <w:highlight w:val="none"/>
          <w:lang w:val="zh-CN"/>
        </w:rPr>
        <w:t>日期：</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年</w:t>
      </w:r>
      <w:r>
        <w:rPr>
          <w:rFonts w:hint="eastAsia" w:ascii="宋体" w:hAnsi="宋体" w:cs="方正书宋简体"/>
          <w:color w:val="auto"/>
          <w:kern w:val="0"/>
          <w:sz w:val="24"/>
          <w:highlight w:val="none"/>
        </w:rPr>
        <w:t xml:space="preserve"> </w:t>
      </w:r>
      <w:r>
        <w:rPr>
          <w:rFonts w:ascii="宋体" w:hAnsi="宋体" w:cs="方正书宋简体"/>
          <w:color w:val="auto"/>
          <w:kern w:val="0"/>
          <w:sz w:val="24"/>
          <w:highlight w:val="none"/>
          <w:lang w:val="zh-CN"/>
        </w:rPr>
        <w:t xml:space="preserve">  月   日</w:t>
      </w:r>
    </w:p>
    <w:p w14:paraId="18FB47BF">
      <w:pPr>
        <w:spacing w:line="360" w:lineRule="auto"/>
        <w:rPr>
          <w:rFonts w:ascii="宋体" w:hAnsi="宋体"/>
          <w:b/>
          <w:color w:val="auto"/>
          <w:sz w:val="28"/>
          <w:highlight w:val="none"/>
        </w:rPr>
      </w:pPr>
      <w:r>
        <w:rPr>
          <w:rStyle w:val="79"/>
          <w:rFonts w:hint="eastAsia" w:ascii="宋体" w:hAnsi="宋体" w:cs="宋体"/>
          <w:color w:val="auto"/>
          <w:sz w:val="30"/>
          <w:szCs w:val="30"/>
          <w:highlight w:val="none"/>
        </w:rPr>
        <w:br w:type="page"/>
      </w: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0</w:t>
      </w:r>
    </w:p>
    <w:p w14:paraId="263DF23C">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w:t>
      </w:r>
    </w:p>
    <w:p w14:paraId="54381897">
      <w:pPr>
        <w:pStyle w:val="10"/>
        <w:rPr>
          <w:color w:val="auto"/>
          <w:highlight w:val="none"/>
        </w:rPr>
      </w:pPr>
    </w:p>
    <w:p w14:paraId="49977E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w:t>
      </w:r>
      <w:r>
        <w:rPr>
          <w:rFonts w:ascii="宋体" w:hAnsi="宋体" w:cs="宋体"/>
          <w:color w:val="auto"/>
          <w:kern w:val="0"/>
          <w:sz w:val="24"/>
          <w:highlight w:val="none"/>
        </w:rPr>
        <w:t xml:space="preserve">2020﹞46 </w:t>
      </w:r>
      <w:r>
        <w:rPr>
          <w:rFonts w:hint="eastAsia" w:ascii="宋体" w:hAnsi="宋体" w:cs="宋体"/>
          <w:color w:val="auto"/>
          <w:kern w:val="0"/>
          <w:sz w:val="24"/>
          <w:highlight w:val="none"/>
        </w:rPr>
        <w:t>号）的规定，本公司参加参加</w:t>
      </w:r>
      <w:r>
        <w:rPr>
          <w:rFonts w:ascii="宋体" w:hAnsi="宋体"/>
          <w:color w:val="auto"/>
          <w:sz w:val="24"/>
          <w:highlight w:val="none"/>
          <w:u w:val="single"/>
        </w:rPr>
        <w:t xml:space="preserve"> </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采购活动，全部为符合政策要求的中小企业（或者：服务全部由符合政策要求的中小企业承接）。相关企业（含联合体中的中小企业、签订分包意向协议的中小企业）的具体情</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况如下：</w:t>
      </w:r>
    </w:p>
    <w:p w14:paraId="1F02E883">
      <w:pPr>
        <w:widowControl/>
        <w:spacing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 xml:space="preserve">1. </w:t>
      </w:r>
      <w:r>
        <w:rPr>
          <w:rFonts w:hint="eastAsia" w:ascii="宋体" w:hAnsi="宋体" w:cs="宋体"/>
          <w:i/>
          <w:color w:val="auto"/>
          <w:kern w:val="0"/>
          <w:sz w:val="24"/>
          <w:highlight w:val="none"/>
          <w:u w:val="single"/>
        </w:rPr>
        <w:t>（标的名称）</w:t>
      </w:r>
      <w:r>
        <w:rPr>
          <w:rFonts w:ascii="宋体" w:hAnsi="宋体" w:cs="宋体"/>
          <w:i/>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lang w:val="en-US" w:eastAsia="zh-CN"/>
        </w:rPr>
        <w:t xml:space="preserve"> </w:t>
      </w:r>
      <w:r>
        <w:rPr>
          <w:rFonts w:hint="eastAsia" w:ascii="宋体" w:hAnsi="宋体" w:cs="宋体"/>
          <w:i w:val="0"/>
          <w:iCs/>
          <w:color w:val="auto"/>
          <w:kern w:val="0"/>
          <w:sz w:val="24"/>
          <w:highlight w:val="none"/>
          <w:u w:val="single"/>
        </w:rPr>
        <w:t>其他未列明行业</w:t>
      </w:r>
      <w:r>
        <w:rPr>
          <w:rFonts w:hint="eastAsia" w:ascii="宋体" w:hAnsi="宋体" w:cs="宋体"/>
          <w:i/>
          <w:color w:val="auto"/>
          <w:kern w:val="0"/>
          <w:sz w:val="24"/>
          <w:highlight w:val="none"/>
          <w:u w:val="single"/>
          <w:lang w:val="en-US" w:eastAsia="zh-CN"/>
        </w:rPr>
        <w:t xml:space="preserve"> </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w:t>
      </w:r>
      <w:r>
        <w:rPr>
          <w:rFonts w:ascii="宋体" w:hAnsi="宋体" w:cs="宋体"/>
          <w:i/>
          <w:color w:val="auto"/>
          <w:kern w:val="0"/>
          <w:sz w:val="24"/>
          <w:highlight w:val="none"/>
          <w:u w:val="single"/>
        </w:rPr>
        <w:t xml:space="preserve"> </w:t>
      </w:r>
      <w:r>
        <w:rPr>
          <w:rFonts w:hint="eastAsia" w:ascii="宋体" w:hAnsi="宋体" w:cs="宋体"/>
          <w:i/>
          <w:color w:val="auto"/>
          <w:kern w:val="0"/>
          <w:sz w:val="24"/>
          <w:highlight w:val="none"/>
          <w:u w:val="single"/>
        </w:rPr>
        <w:t>小型企业、微型企业）</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7A866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p>
    <w:p w14:paraId="512B38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以上企业，不属于大企业的分支机构，不存在控股股东为大企业的情形，也不存在与大企业的负责人为同一人的情形。本企业对上述声明内容的真实性负责。如有虚假，将依法承担相应责任。</w:t>
      </w:r>
      <w:r>
        <w:rPr>
          <w:rFonts w:ascii="宋体" w:hAnsi="宋体" w:cs="宋体"/>
          <w:color w:val="auto"/>
          <w:kern w:val="0"/>
          <w:sz w:val="24"/>
          <w:highlight w:val="none"/>
        </w:rPr>
        <w:t xml:space="preserve"> </w:t>
      </w:r>
    </w:p>
    <w:p w14:paraId="451884CE">
      <w:pPr>
        <w:pStyle w:val="10"/>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222B7CDC">
      <w:pPr>
        <w:pStyle w:val="10"/>
        <w:rPr>
          <w:color w:val="auto"/>
          <w:highlight w:val="none"/>
        </w:rPr>
      </w:pPr>
    </w:p>
    <w:p w14:paraId="36E23B4D">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 xml:space="preserve">                </w:t>
      </w:r>
    </w:p>
    <w:p w14:paraId="21C5EF61">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磋商供应商</w:t>
      </w:r>
      <w:r>
        <w:rPr>
          <w:rFonts w:ascii="宋体" w:hAnsi="宋体" w:cs="宋体"/>
          <w:color w:val="auto"/>
          <w:kern w:val="0"/>
          <w:sz w:val="24"/>
          <w:highlight w:val="none"/>
        </w:rPr>
        <w:t>（</w:t>
      </w:r>
      <w:r>
        <w:rPr>
          <w:rFonts w:hint="eastAsia" w:ascii="宋体" w:hAnsi="宋体" w:cs="宋体"/>
          <w:color w:val="auto"/>
          <w:kern w:val="0"/>
          <w:sz w:val="24"/>
          <w:highlight w:val="none"/>
        </w:rPr>
        <w:t>电子公章</w:t>
      </w:r>
      <w:r>
        <w:rPr>
          <w:rFonts w:ascii="宋体" w:hAnsi="宋体" w:cs="宋体"/>
          <w:color w:val="auto"/>
          <w:kern w:val="0"/>
          <w:sz w:val="24"/>
          <w:highlight w:val="none"/>
        </w:rPr>
        <w:t xml:space="preserve">）： </w:t>
      </w:r>
    </w:p>
    <w:p w14:paraId="3EB0EFF1">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 xml:space="preserve">               日 期：</w:t>
      </w:r>
    </w:p>
    <w:p w14:paraId="174702ED">
      <w:pPr>
        <w:pStyle w:val="10"/>
        <w:spacing w:line="360" w:lineRule="auto"/>
        <w:jc w:val="left"/>
        <w:rPr>
          <w:rFonts w:ascii="宋体" w:hAnsi="宋体"/>
          <w:color w:val="auto"/>
          <w:sz w:val="24"/>
          <w:highlight w:val="none"/>
          <w:u w:val="single"/>
        </w:rPr>
      </w:pPr>
    </w:p>
    <w:p w14:paraId="7ECEF0F2">
      <w:pPr>
        <w:pStyle w:val="10"/>
        <w:spacing w:line="360" w:lineRule="auto"/>
        <w:jc w:val="left"/>
        <w:rPr>
          <w:rFonts w:ascii="宋体" w:hAnsi="宋体"/>
          <w:color w:val="auto"/>
          <w:sz w:val="24"/>
          <w:highlight w:val="none"/>
          <w:u w:val="single"/>
        </w:rPr>
      </w:pPr>
    </w:p>
    <w:p w14:paraId="6580F7BD">
      <w:pPr>
        <w:pStyle w:val="18"/>
        <w:spacing w:line="360" w:lineRule="auto"/>
        <w:ind w:left="5250"/>
        <w:jc w:val="center"/>
        <w:rPr>
          <w:rFonts w:hAnsi="宋体"/>
          <w:b/>
          <w:color w:val="auto"/>
          <w:sz w:val="32"/>
          <w:szCs w:val="32"/>
          <w:highlight w:val="none"/>
          <w:lang w:val="en-GB"/>
        </w:rPr>
      </w:pPr>
      <w:r>
        <w:rPr>
          <w:rFonts w:hAnsi="宋体"/>
          <w:b/>
          <w:color w:val="auto"/>
          <w:sz w:val="32"/>
          <w:szCs w:val="32"/>
          <w:highlight w:val="none"/>
          <w:lang w:val="en-GB"/>
        </w:rPr>
        <w:br w:type="textWrapping"/>
      </w:r>
    </w:p>
    <w:p w14:paraId="54DFF8F7">
      <w:pPr>
        <w:widowControl/>
        <w:jc w:val="left"/>
        <w:rPr>
          <w:rFonts w:ascii="楷体_GB2312" w:hAnsi="宋体" w:eastAsia="楷体_GB2312"/>
          <w:b/>
          <w:color w:val="auto"/>
          <w:sz w:val="32"/>
          <w:szCs w:val="32"/>
          <w:highlight w:val="none"/>
          <w:lang w:val="en-GB"/>
        </w:rPr>
      </w:pPr>
      <w:r>
        <w:rPr>
          <w:rFonts w:hAnsi="宋体"/>
          <w:b/>
          <w:color w:val="auto"/>
          <w:sz w:val="32"/>
          <w:szCs w:val="32"/>
          <w:highlight w:val="none"/>
          <w:lang w:val="en-GB"/>
        </w:rPr>
        <w:br w:type="page"/>
      </w:r>
    </w:p>
    <w:p w14:paraId="2947406A">
      <w:pPr>
        <w:pStyle w:val="18"/>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5740F572">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w:t>
      </w:r>
      <w:r>
        <w:rPr>
          <w:rFonts w:ascii="宋体" w:hAnsi="宋体"/>
          <w:color w:val="auto"/>
          <w:spacing w:val="6"/>
          <w:sz w:val="24"/>
          <w:highlight w:val="none"/>
        </w:rPr>
        <w:t xml:space="preserve"> </w:t>
      </w:r>
      <w:r>
        <w:rPr>
          <w:rFonts w:hint="eastAsia" w:ascii="宋体" w:hAnsi="宋体"/>
          <w:color w:val="auto"/>
          <w:spacing w:val="6"/>
          <w:sz w:val="24"/>
          <w:highlight w:val="none"/>
        </w:rPr>
        <w:t>民政部</w:t>
      </w:r>
      <w:r>
        <w:rPr>
          <w:rFonts w:ascii="宋体" w:hAnsi="宋体"/>
          <w:color w:val="auto"/>
          <w:spacing w:val="6"/>
          <w:sz w:val="24"/>
          <w:highlight w:val="none"/>
        </w:rPr>
        <w:t xml:space="preserve"> </w:t>
      </w:r>
      <w:r>
        <w:rPr>
          <w:rFonts w:hint="eastAsia" w:ascii="宋体" w:hAnsi="宋体"/>
          <w:color w:val="auto"/>
          <w:spacing w:val="6"/>
          <w:sz w:val="24"/>
          <w:highlight w:val="none"/>
        </w:rPr>
        <w:t>中国残疾人联合会关于促进残疾人就业政府采购政策的通知》（财库〔</w:t>
      </w:r>
      <w:r>
        <w:rPr>
          <w:rFonts w:ascii="宋体" w:hAnsi="宋体"/>
          <w:color w:val="auto"/>
          <w:spacing w:val="6"/>
          <w:sz w:val="24"/>
          <w:highlight w:val="none"/>
        </w:rPr>
        <w:t>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42563FE">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3CC6FC2">
      <w:pPr>
        <w:tabs>
          <w:tab w:val="left" w:pos="4860"/>
        </w:tabs>
        <w:spacing w:line="588" w:lineRule="exact"/>
        <w:ind w:right="1560" w:firstLine="504" w:firstLineChars="200"/>
        <w:jc w:val="center"/>
        <w:rPr>
          <w:rFonts w:ascii="宋体" w:hAnsi="宋体"/>
          <w:color w:val="auto"/>
          <w:spacing w:val="6"/>
          <w:sz w:val="24"/>
          <w:highlight w:val="none"/>
        </w:rPr>
      </w:pPr>
    </w:p>
    <w:p w14:paraId="3480B093">
      <w:pPr>
        <w:tabs>
          <w:tab w:val="left" w:pos="4860"/>
        </w:tabs>
        <w:spacing w:line="588" w:lineRule="exact"/>
        <w:ind w:right="1560" w:firstLine="504" w:firstLineChars="200"/>
        <w:jc w:val="center"/>
        <w:rPr>
          <w:rFonts w:ascii="宋体" w:hAnsi="宋体"/>
          <w:color w:val="auto"/>
          <w:spacing w:val="6"/>
          <w:sz w:val="24"/>
          <w:highlight w:val="none"/>
        </w:rPr>
      </w:pP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磋商供应商</w:t>
      </w:r>
      <w:r>
        <w:rPr>
          <w:rFonts w:ascii="宋体" w:hAnsi="宋体"/>
          <w:color w:val="auto"/>
          <w:spacing w:val="6"/>
          <w:sz w:val="24"/>
          <w:highlight w:val="none"/>
        </w:rPr>
        <w:t>（电子公章）：</w:t>
      </w:r>
    </w:p>
    <w:p w14:paraId="2F7F938B">
      <w:pPr>
        <w:tabs>
          <w:tab w:val="left" w:pos="4860"/>
        </w:tabs>
        <w:spacing w:line="588" w:lineRule="exact"/>
        <w:ind w:right="1560" w:firstLine="504" w:firstLineChars="200"/>
        <w:jc w:val="center"/>
        <w:rPr>
          <w:rFonts w:ascii="宋体" w:hAnsi="宋体"/>
          <w:color w:val="auto"/>
          <w:sz w:val="24"/>
          <w:highlight w:val="none"/>
        </w:rPr>
      </w:pP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w:t>
      </w:r>
      <w:r>
        <w:rPr>
          <w:rFonts w:ascii="宋体" w:hAnsi="宋体"/>
          <w:color w:val="auto"/>
          <w:spacing w:val="6"/>
          <w:sz w:val="24"/>
          <w:highlight w:val="none"/>
        </w:rPr>
        <w:t>日  期：</w:t>
      </w:r>
    </w:p>
    <w:p w14:paraId="25F69A58">
      <w:pPr>
        <w:widowControl/>
        <w:jc w:val="left"/>
        <w:rPr>
          <w:rFonts w:ascii="宋体" w:hAnsi="宋体" w:cs="方正书宋简体"/>
          <w:color w:val="auto"/>
          <w:kern w:val="0"/>
          <w:sz w:val="24"/>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42B6">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6568">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326568">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9F51">
    <w:pPr>
      <w:spacing w:line="20" w:lineRule="atLeast"/>
      <w:rPr>
        <w:rFonts w:hint="default" w:eastAsia="宋体"/>
        <w:b/>
        <w:iCs/>
        <w:color w:val="808080"/>
        <w:sz w:val="10"/>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7691">
    <w:pPr>
      <w:spacing w:line="20" w:lineRule="atLeast"/>
      <w:jc w:val="left"/>
      <w:rPr>
        <w:color w:val="000000"/>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186D">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8DB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CAFF"/>
    <w:multiLevelType w:val="singleLevel"/>
    <w:tmpl w:val="8F2CCAFF"/>
    <w:lvl w:ilvl="0" w:tentative="0">
      <w:start w:val="1"/>
      <w:numFmt w:val="decimal"/>
      <w:suff w:val="nothing"/>
      <w:lvlText w:val="%1、"/>
      <w:lvlJc w:val="left"/>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16F03A2B"/>
    <w:multiLevelType w:val="singleLevel"/>
    <w:tmpl w:val="16F03A2B"/>
    <w:lvl w:ilvl="0" w:tentative="0">
      <w:start w:val="4"/>
      <w:numFmt w:val="chineseCounting"/>
      <w:suff w:val="space"/>
      <w:lvlText w:val="第%1章"/>
      <w:lvlJc w:val="left"/>
      <w:rPr>
        <w:rFonts w:hint="eastAsia"/>
      </w:rPr>
    </w:lvl>
  </w:abstractNum>
  <w:abstractNum w:abstractNumId="3">
    <w:nsid w:val="44D2F424"/>
    <w:multiLevelType w:val="singleLevel"/>
    <w:tmpl w:val="44D2F424"/>
    <w:lvl w:ilvl="0" w:tentative="0">
      <w:start w:val="1"/>
      <w:numFmt w:val="chineseCounting"/>
      <w:suff w:val="nothing"/>
      <w:lvlText w:val="%1、"/>
      <w:lvlJc w:val="left"/>
      <w:rPr>
        <w:rFonts w:hint="eastAsia"/>
      </w:rPr>
    </w:lvl>
  </w:abstractNum>
  <w:abstractNum w:abstractNumId="4">
    <w:nsid w:val="471E06A1"/>
    <w:multiLevelType w:val="singleLevel"/>
    <w:tmpl w:val="471E06A1"/>
    <w:lvl w:ilvl="0" w:tentative="0">
      <w:start w:val="1"/>
      <w:numFmt w:val="japaneseCounting"/>
      <w:pStyle w:val="9"/>
      <w:lvlText w:val="%1、"/>
      <w:lvlJc w:val="left"/>
      <w:pPr>
        <w:tabs>
          <w:tab w:val="left" w:pos="960"/>
        </w:tabs>
        <w:ind w:left="960" w:hanging="600"/>
      </w:pPr>
      <w:rPr>
        <w:rFonts w:hint="eastAsia"/>
        <w:lang w:val="en-US"/>
      </w:rPr>
    </w:lvl>
  </w:abstractNum>
  <w:abstractNum w:abstractNumId="5">
    <w:nsid w:val="4969F691"/>
    <w:multiLevelType w:val="singleLevel"/>
    <w:tmpl w:val="4969F691"/>
    <w:lvl w:ilvl="0" w:tentative="0">
      <w:start w:val="2"/>
      <w:numFmt w:val="decimal"/>
      <w:suff w:val="nothing"/>
      <w:lvlText w:val="（%1）"/>
      <w:lvlJc w:val="left"/>
    </w:lvl>
  </w:abstractNum>
  <w:abstractNum w:abstractNumId="6">
    <w:nsid w:val="53C3B81D"/>
    <w:multiLevelType w:val="singleLevel"/>
    <w:tmpl w:val="53C3B81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ZjMwMmViZmJjZjllOTk5ODNlNjE0ZDU1MzQ0M2MifQ=="/>
  </w:docVars>
  <w:rsids>
    <w:rsidRoot w:val="00225CDE"/>
    <w:rsid w:val="00002FCA"/>
    <w:rsid w:val="00003136"/>
    <w:rsid w:val="00003F7F"/>
    <w:rsid w:val="00004146"/>
    <w:rsid w:val="000054EE"/>
    <w:rsid w:val="000068E3"/>
    <w:rsid w:val="00007EDE"/>
    <w:rsid w:val="000113CF"/>
    <w:rsid w:val="00014706"/>
    <w:rsid w:val="00014A3D"/>
    <w:rsid w:val="00016650"/>
    <w:rsid w:val="0002114A"/>
    <w:rsid w:val="000238C2"/>
    <w:rsid w:val="000251CD"/>
    <w:rsid w:val="00030312"/>
    <w:rsid w:val="00031509"/>
    <w:rsid w:val="00033334"/>
    <w:rsid w:val="00034FCB"/>
    <w:rsid w:val="000359BE"/>
    <w:rsid w:val="000369E0"/>
    <w:rsid w:val="0004217F"/>
    <w:rsid w:val="0004234C"/>
    <w:rsid w:val="00043378"/>
    <w:rsid w:val="000467D1"/>
    <w:rsid w:val="00050636"/>
    <w:rsid w:val="00057F44"/>
    <w:rsid w:val="000618F0"/>
    <w:rsid w:val="000643FA"/>
    <w:rsid w:val="0007117D"/>
    <w:rsid w:val="00072A19"/>
    <w:rsid w:val="00076373"/>
    <w:rsid w:val="00077A92"/>
    <w:rsid w:val="000827DD"/>
    <w:rsid w:val="00084D51"/>
    <w:rsid w:val="000850E6"/>
    <w:rsid w:val="00092200"/>
    <w:rsid w:val="0009220E"/>
    <w:rsid w:val="00092528"/>
    <w:rsid w:val="00093886"/>
    <w:rsid w:val="00095BED"/>
    <w:rsid w:val="0009754C"/>
    <w:rsid w:val="0009771D"/>
    <w:rsid w:val="00097C51"/>
    <w:rsid w:val="000A0E03"/>
    <w:rsid w:val="000A1947"/>
    <w:rsid w:val="000A3E87"/>
    <w:rsid w:val="000A584B"/>
    <w:rsid w:val="000A5EC0"/>
    <w:rsid w:val="000A5FE4"/>
    <w:rsid w:val="000A6575"/>
    <w:rsid w:val="000B4558"/>
    <w:rsid w:val="000B64AB"/>
    <w:rsid w:val="000B736F"/>
    <w:rsid w:val="000C0B10"/>
    <w:rsid w:val="000C0D90"/>
    <w:rsid w:val="000C1942"/>
    <w:rsid w:val="000C26E4"/>
    <w:rsid w:val="000C5B76"/>
    <w:rsid w:val="000C6D68"/>
    <w:rsid w:val="000D0BDD"/>
    <w:rsid w:val="000D1371"/>
    <w:rsid w:val="000D4371"/>
    <w:rsid w:val="000D52D5"/>
    <w:rsid w:val="000D5AD4"/>
    <w:rsid w:val="000D6A90"/>
    <w:rsid w:val="000E308E"/>
    <w:rsid w:val="000E3830"/>
    <w:rsid w:val="000E5C05"/>
    <w:rsid w:val="00104C65"/>
    <w:rsid w:val="0010783A"/>
    <w:rsid w:val="001103CF"/>
    <w:rsid w:val="00111749"/>
    <w:rsid w:val="00111E1B"/>
    <w:rsid w:val="00112B03"/>
    <w:rsid w:val="00114193"/>
    <w:rsid w:val="00114E4B"/>
    <w:rsid w:val="0011503A"/>
    <w:rsid w:val="00116C9D"/>
    <w:rsid w:val="001224C6"/>
    <w:rsid w:val="00122D50"/>
    <w:rsid w:val="001230AB"/>
    <w:rsid w:val="00127149"/>
    <w:rsid w:val="00130811"/>
    <w:rsid w:val="001318A9"/>
    <w:rsid w:val="00131B16"/>
    <w:rsid w:val="0013375F"/>
    <w:rsid w:val="0013466B"/>
    <w:rsid w:val="001346F0"/>
    <w:rsid w:val="0013717C"/>
    <w:rsid w:val="0013792F"/>
    <w:rsid w:val="00140EC9"/>
    <w:rsid w:val="00142C82"/>
    <w:rsid w:val="0014336E"/>
    <w:rsid w:val="00147C0A"/>
    <w:rsid w:val="001501C0"/>
    <w:rsid w:val="00150BD6"/>
    <w:rsid w:val="00151661"/>
    <w:rsid w:val="001516AF"/>
    <w:rsid w:val="00151CF7"/>
    <w:rsid w:val="00153A00"/>
    <w:rsid w:val="00153F10"/>
    <w:rsid w:val="001574E8"/>
    <w:rsid w:val="0016025C"/>
    <w:rsid w:val="00162639"/>
    <w:rsid w:val="0016361A"/>
    <w:rsid w:val="00166951"/>
    <w:rsid w:val="00166D22"/>
    <w:rsid w:val="00170BED"/>
    <w:rsid w:val="00171BB4"/>
    <w:rsid w:val="001771E5"/>
    <w:rsid w:val="001778D7"/>
    <w:rsid w:val="00180A50"/>
    <w:rsid w:val="0018186B"/>
    <w:rsid w:val="00181F9E"/>
    <w:rsid w:val="001830C2"/>
    <w:rsid w:val="00187645"/>
    <w:rsid w:val="00190984"/>
    <w:rsid w:val="00190B97"/>
    <w:rsid w:val="00191356"/>
    <w:rsid w:val="0019183A"/>
    <w:rsid w:val="001942D9"/>
    <w:rsid w:val="00196345"/>
    <w:rsid w:val="00196BAF"/>
    <w:rsid w:val="00196FDF"/>
    <w:rsid w:val="001A496C"/>
    <w:rsid w:val="001A554A"/>
    <w:rsid w:val="001A6152"/>
    <w:rsid w:val="001B22C4"/>
    <w:rsid w:val="001B2AA9"/>
    <w:rsid w:val="001B3349"/>
    <w:rsid w:val="001B40C9"/>
    <w:rsid w:val="001B78FF"/>
    <w:rsid w:val="001B7AE5"/>
    <w:rsid w:val="001C39E9"/>
    <w:rsid w:val="001D1DB2"/>
    <w:rsid w:val="001D53D7"/>
    <w:rsid w:val="001D57F3"/>
    <w:rsid w:val="001D7F0C"/>
    <w:rsid w:val="001E4207"/>
    <w:rsid w:val="001E66E4"/>
    <w:rsid w:val="001E738B"/>
    <w:rsid w:val="001E7EDC"/>
    <w:rsid w:val="001F00FE"/>
    <w:rsid w:val="002018E7"/>
    <w:rsid w:val="00201EC0"/>
    <w:rsid w:val="00204B47"/>
    <w:rsid w:val="00204DDE"/>
    <w:rsid w:val="00207A5A"/>
    <w:rsid w:val="002116C9"/>
    <w:rsid w:val="00212CF9"/>
    <w:rsid w:val="00213E4D"/>
    <w:rsid w:val="00217E6D"/>
    <w:rsid w:val="00223A49"/>
    <w:rsid w:val="00225CDE"/>
    <w:rsid w:val="00225DA5"/>
    <w:rsid w:val="00225EE4"/>
    <w:rsid w:val="002272C6"/>
    <w:rsid w:val="00234C48"/>
    <w:rsid w:val="00234DF9"/>
    <w:rsid w:val="0024147B"/>
    <w:rsid w:val="00241EB4"/>
    <w:rsid w:val="00246F9E"/>
    <w:rsid w:val="002511F0"/>
    <w:rsid w:val="00254AC0"/>
    <w:rsid w:val="00255016"/>
    <w:rsid w:val="0025617E"/>
    <w:rsid w:val="00256CB0"/>
    <w:rsid w:val="00257A80"/>
    <w:rsid w:val="0026109B"/>
    <w:rsid w:val="002635F8"/>
    <w:rsid w:val="00263B66"/>
    <w:rsid w:val="00264884"/>
    <w:rsid w:val="0026584B"/>
    <w:rsid w:val="002708C2"/>
    <w:rsid w:val="00270EB6"/>
    <w:rsid w:val="00271703"/>
    <w:rsid w:val="00272723"/>
    <w:rsid w:val="00273C49"/>
    <w:rsid w:val="00273ED9"/>
    <w:rsid w:val="002760D9"/>
    <w:rsid w:val="0028636A"/>
    <w:rsid w:val="00291659"/>
    <w:rsid w:val="00293DB7"/>
    <w:rsid w:val="00295A18"/>
    <w:rsid w:val="00296AEA"/>
    <w:rsid w:val="002A18EC"/>
    <w:rsid w:val="002A2B5F"/>
    <w:rsid w:val="002A3299"/>
    <w:rsid w:val="002B40FC"/>
    <w:rsid w:val="002B56C9"/>
    <w:rsid w:val="002C123D"/>
    <w:rsid w:val="002C3AF4"/>
    <w:rsid w:val="002C74BF"/>
    <w:rsid w:val="002D0961"/>
    <w:rsid w:val="002D1599"/>
    <w:rsid w:val="002D21A3"/>
    <w:rsid w:val="002D2213"/>
    <w:rsid w:val="002D3351"/>
    <w:rsid w:val="002D3C2B"/>
    <w:rsid w:val="002D47DD"/>
    <w:rsid w:val="002D4E9E"/>
    <w:rsid w:val="002E0695"/>
    <w:rsid w:val="002E12F2"/>
    <w:rsid w:val="002E1E8B"/>
    <w:rsid w:val="002E4B72"/>
    <w:rsid w:val="002E666D"/>
    <w:rsid w:val="002F14B6"/>
    <w:rsid w:val="002F2E84"/>
    <w:rsid w:val="002F5026"/>
    <w:rsid w:val="002F52DF"/>
    <w:rsid w:val="002F61FA"/>
    <w:rsid w:val="002F67C7"/>
    <w:rsid w:val="0030266A"/>
    <w:rsid w:val="00307A9F"/>
    <w:rsid w:val="0031041F"/>
    <w:rsid w:val="00312F7F"/>
    <w:rsid w:val="00314627"/>
    <w:rsid w:val="00314F2B"/>
    <w:rsid w:val="00317C2F"/>
    <w:rsid w:val="0032065E"/>
    <w:rsid w:val="00321186"/>
    <w:rsid w:val="00321974"/>
    <w:rsid w:val="003261EA"/>
    <w:rsid w:val="003270E5"/>
    <w:rsid w:val="0033046C"/>
    <w:rsid w:val="00331DF4"/>
    <w:rsid w:val="0033249C"/>
    <w:rsid w:val="0033564A"/>
    <w:rsid w:val="0033623B"/>
    <w:rsid w:val="0033640E"/>
    <w:rsid w:val="00336F8A"/>
    <w:rsid w:val="0034416C"/>
    <w:rsid w:val="003448C9"/>
    <w:rsid w:val="0034684A"/>
    <w:rsid w:val="003505FE"/>
    <w:rsid w:val="00351ED6"/>
    <w:rsid w:val="0035233F"/>
    <w:rsid w:val="00353BDB"/>
    <w:rsid w:val="003625A2"/>
    <w:rsid w:val="00363011"/>
    <w:rsid w:val="003671A6"/>
    <w:rsid w:val="003672EE"/>
    <w:rsid w:val="003676EF"/>
    <w:rsid w:val="00371BFD"/>
    <w:rsid w:val="00372507"/>
    <w:rsid w:val="00372E53"/>
    <w:rsid w:val="00374028"/>
    <w:rsid w:val="003744A2"/>
    <w:rsid w:val="00374CB0"/>
    <w:rsid w:val="003769A9"/>
    <w:rsid w:val="00376C70"/>
    <w:rsid w:val="003775BC"/>
    <w:rsid w:val="00380131"/>
    <w:rsid w:val="003806DE"/>
    <w:rsid w:val="00386D57"/>
    <w:rsid w:val="00387546"/>
    <w:rsid w:val="003915F1"/>
    <w:rsid w:val="00397A50"/>
    <w:rsid w:val="003A219C"/>
    <w:rsid w:val="003A53DD"/>
    <w:rsid w:val="003B04B4"/>
    <w:rsid w:val="003B172E"/>
    <w:rsid w:val="003B7536"/>
    <w:rsid w:val="003D06E7"/>
    <w:rsid w:val="003D22B7"/>
    <w:rsid w:val="003D3BED"/>
    <w:rsid w:val="003D6E09"/>
    <w:rsid w:val="003D7521"/>
    <w:rsid w:val="003E0652"/>
    <w:rsid w:val="003E1D65"/>
    <w:rsid w:val="003E25EB"/>
    <w:rsid w:val="003E4624"/>
    <w:rsid w:val="003E58B0"/>
    <w:rsid w:val="003F1C43"/>
    <w:rsid w:val="003F4744"/>
    <w:rsid w:val="003F6289"/>
    <w:rsid w:val="00405E5A"/>
    <w:rsid w:val="0041416B"/>
    <w:rsid w:val="004147D9"/>
    <w:rsid w:val="00417EAD"/>
    <w:rsid w:val="004235AD"/>
    <w:rsid w:val="00424ECB"/>
    <w:rsid w:val="004267D3"/>
    <w:rsid w:val="00431F52"/>
    <w:rsid w:val="0043410C"/>
    <w:rsid w:val="00436860"/>
    <w:rsid w:val="00437C35"/>
    <w:rsid w:val="0044224A"/>
    <w:rsid w:val="00442C6A"/>
    <w:rsid w:val="00446173"/>
    <w:rsid w:val="00450129"/>
    <w:rsid w:val="00452557"/>
    <w:rsid w:val="00456198"/>
    <w:rsid w:val="00456F48"/>
    <w:rsid w:val="00457B04"/>
    <w:rsid w:val="0046059F"/>
    <w:rsid w:val="00463D11"/>
    <w:rsid w:val="00465D93"/>
    <w:rsid w:val="004663F2"/>
    <w:rsid w:val="004708AC"/>
    <w:rsid w:val="00472E0F"/>
    <w:rsid w:val="0047673E"/>
    <w:rsid w:val="004778F2"/>
    <w:rsid w:val="00480C0B"/>
    <w:rsid w:val="00484DF8"/>
    <w:rsid w:val="00490DB0"/>
    <w:rsid w:val="004921ED"/>
    <w:rsid w:val="004932F9"/>
    <w:rsid w:val="004A025E"/>
    <w:rsid w:val="004A2C45"/>
    <w:rsid w:val="004A4ACE"/>
    <w:rsid w:val="004B0C7C"/>
    <w:rsid w:val="004B30C4"/>
    <w:rsid w:val="004B4807"/>
    <w:rsid w:val="004C2B4C"/>
    <w:rsid w:val="004C5ECA"/>
    <w:rsid w:val="004C6BF3"/>
    <w:rsid w:val="004C6C06"/>
    <w:rsid w:val="004C72B3"/>
    <w:rsid w:val="004C7623"/>
    <w:rsid w:val="004D0AB5"/>
    <w:rsid w:val="004D23EA"/>
    <w:rsid w:val="004D4442"/>
    <w:rsid w:val="004D4E7A"/>
    <w:rsid w:val="004D7F6A"/>
    <w:rsid w:val="004E001F"/>
    <w:rsid w:val="004E1B0E"/>
    <w:rsid w:val="004E1D96"/>
    <w:rsid w:val="004E2E89"/>
    <w:rsid w:val="004E6325"/>
    <w:rsid w:val="004E749B"/>
    <w:rsid w:val="004F09A3"/>
    <w:rsid w:val="004F504E"/>
    <w:rsid w:val="004F53F0"/>
    <w:rsid w:val="004F6293"/>
    <w:rsid w:val="004F6578"/>
    <w:rsid w:val="004F6CC4"/>
    <w:rsid w:val="00501A03"/>
    <w:rsid w:val="00503E8F"/>
    <w:rsid w:val="005043D0"/>
    <w:rsid w:val="005078C0"/>
    <w:rsid w:val="0051052F"/>
    <w:rsid w:val="00511FC1"/>
    <w:rsid w:val="00514CCC"/>
    <w:rsid w:val="00521E32"/>
    <w:rsid w:val="005256DD"/>
    <w:rsid w:val="0052619C"/>
    <w:rsid w:val="00527BD5"/>
    <w:rsid w:val="005423FB"/>
    <w:rsid w:val="0054584C"/>
    <w:rsid w:val="00551E5F"/>
    <w:rsid w:val="00562B0A"/>
    <w:rsid w:val="00565037"/>
    <w:rsid w:val="00566B89"/>
    <w:rsid w:val="0057182C"/>
    <w:rsid w:val="00571FFB"/>
    <w:rsid w:val="0058022E"/>
    <w:rsid w:val="00583898"/>
    <w:rsid w:val="00587A4D"/>
    <w:rsid w:val="00596B7C"/>
    <w:rsid w:val="005A4133"/>
    <w:rsid w:val="005A5FA1"/>
    <w:rsid w:val="005A64E9"/>
    <w:rsid w:val="005B160D"/>
    <w:rsid w:val="005B16D4"/>
    <w:rsid w:val="005B2CB7"/>
    <w:rsid w:val="005B3546"/>
    <w:rsid w:val="005B4F70"/>
    <w:rsid w:val="005B5F8B"/>
    <w:rsid w:val="005B7068"/>
    <w:rsid w:val="005C1B02"/>
    <w:rsid w:val="005C5261"/>
    <w:rsid w:val="005C6F29"/>
    <w:rsid w:val="005E440B"/>
    <w:rsid w:val="005E44AE"/>
    <w:rsid w:val="005E488C"/>
    <w:rsid w:val="005E6C47"/>
    <w:rsid w:val="005E7BDA"/>
    <w:rsid w:val="005F5F0B"/>
    <w:rsid w:val="005F673A"/>
    <w:rsid w:val="005F6A48"/>
    <w:rsid w:val="00604280"/>
    <w:rsid w:val="00604F80"/>
    <w:rsid w:val="006060DE"/>
    <w:rsid w:val="00606F6B"/>
    <w:rsid w:val="00613429"/>
    <w:rsid w:val="006203A7"/>
    <w:rsid w:val="006261DB"/>
    <w:rsid w:val="00627192"/>
    <w:rsid w:val="00627531"/>
    <w:rsid w:val="00630C4F"/>
    <w:rsid w:val="00632DD8"/>
    <w:rsid w:val="006350F0"/>
    <w:rsid w:val="00635D0C"/>
    <w:rsid w:val="00637E20"/>
    <w:rsid w:val="0064223B"/>
    <w:rsid w:val="006439F3"/>
    <w:rsid w:val="00644F81"/>
    <w:rsid w:val="00645549"/>
    <w:rsid w:val="00645568"/>
    <w:rsid w:val="00645967"/>
    <w:rsid w:val="00645BD2"/>
    <w:rsid w:val="0064660D"/>
    <w:rsid w:val="006475F2"/>
    <w:rsid w:val="00651446"/>
    <w:rsid w:val="006525B5"/>
    <w:rsid w:val="00654AA4"/>
    <w:rsid w:val="00654F05"/>
    <w:rsid w:val="00655611"/>
    <w:rsid w:val="006616BF"/>
    <w:rsid w:val="00661F52"/>
    <w:rsid w:val="006624C3"/>
    <w:rsid w:val="006627C9"/>
    <w:rsid w:val="00664A3A"/>
    <w:rsid w:val="006705F0"/>
    <w:rsid w:val="006707D6"/>
    <w:rsid w:val="00671A9F"/>
    <w:rsid w:val="00675B75"/>
    <w:rsid w:val="00685BAC"/>
    <w:rsid w:val="006928F2"/>
    <w:rsid w:val="00692B48"/>
    <w:rsid w:val="006933A8"/>
    <w:rsid w:val="006946DC"/>
    <w:rsid w:val="00695E5C"/>
    <w:rsid w:val="00697352"/>
    <w:rsid w:val="00697FB4"/>
    <w:rsid w:val="006A1349"/>
    <w:rsid w:val="006A562E"/>
    <w:rsid w:val="006A796B"/>
    <w:rsid w:val="006B1383"/>
    <w:rsid w:val="006B1554"/>
    <w:rsid w:val="006B1F71"/>
    <w:rsid w:val="006B34BC"/>
    <w:rsid w:val="006B4B65"/>
    <w:rsid w:val="006C1CA3"/>
    <w:rsid w:val="006C3901"/>
    <w:rsid w:val="006C6130"/>
    <w:rsid w:val="006D14F1"/>
    <w:rsid w:val="006D4CA9"/>
    <w:rsid w:val="006D5F01"/>
    <w:rsid w:val="006E0418"/>
    <w:rsid w:val="006E6485"/>
    <w:rsid w:val="006F1EF4"/>
    <w:rsid w:val="006F1FF3"/>
    <w:rsid w:val="006F2265"/>
    <w:rsid w:val="006F6684"/>
    <w:rsid w:val="006F6F80"/>
    <w:rsid w:val="006F77B5"/>
    <w:rsid w:val="00700A76"/>
    <w:rsid w:val="00707BED"/>
    <w:rsid w:val="007106F0"/>
    <w:rsid w:val="00712B61"/>
    <w:rsid w:val="00713028"/>
    <w:rsid w:val="0071578B"/>
    <w:rsid w:val="007162D5"/>
    <w:rsid w:val="00717067"/>
    <w:rsid w:val="007172C4"/>
    <w:rsid w:val="00721909"/>
    <w:rsid w:val="00721EC7"/>
    <w:rsid w:val="007313D6"/>
    <w:rsid w:val="0073215C"/>
    <w:rsid w:val="0073498A"/>
    <w:rsid w:val="00736829"/>
    <w:rsid w:val="00737AE2"/>
    <w:rsid w:val="0074092D"/>
    <w:rsid w:val="00741407"/>
    <w:rsid w:val="00742319"/>
    <w:rsid w:val="00742509"/>
    <w:rsid w:val="007428C4"/>
    <w:rsid w:val="00744D37"/>
    <w:rsid w:val="007459E9"/>
    <w:rsid w:val="00745B1D"/>
    <w:rsid w:val="00747DBA"/>
    <w:rsid w:val="00751816"/>
    <w:rsid w:val="00751885"/>
    <w:rsid w:val="00751ABE"/>
    <w:rsid w:val="00752032"/>
    <w:rsid w:val="00753C4C"/>
    <w:rsid w:val="0075462B"/>
    <w:rsid w:val="00755E00"/>
    <w:rsid w:val="00760EB0"/>
    <w:rsid w:val="00762EED"/>
    <w:rsid w:val="00764526"/>
    <w:rsid w:val="007646BC"/>
    <w:rsid w:val="00764A16"/>
    <w:rsid w:val="00770B44"/>
    <w:rsid w:val="00771694"/>
    <w:rsid w:val="00771A4A"/>
    <w:rsid w:val="00772174"/>
    <w:rsid w:val="0077324E"/>
    <w:rsid w:val="00773D46"/>
    <w:rsid w:val="007750FF"/>
    <w:rsid w:val="0077571E"/>
    <w:rsid w:val="00776BB2"/>
    <w:rsid w:val="0077743D"/>
    <w:rsid w:val="00782F73"/>
    <w:rsid w:val="00785127"/>
    <w:rsid w:val="0078665B"/>
    <w:rsid w:val="00786F8E"/>
    <w:rsid w:val="00787152"/>
    <w:rsid w:val="00797397"/>
    <w:rsid w:val="007973D3"/>
    <w:rsid w:val="007A0B41"/>
    <w:rsid w:val="007A6B99"/>
    <w:rsid w:val="007A72EE"/>
    <w:rsid w:val="007B104E"/>
    <w:rsid w:val="007B1D1F"/>
    <w:rsid w:val="007B3399"/>
    <w:rsid w:val="007B6154"/>
    <w:rsid w:val="007B689E"/>
    <w:rsid w:val="007C1B64"/>
    <w:rsid w:val="007D2E87"/>
    <w:rsid w:val="007D3575"/>
    <w:rsid w:val="007D54B5"/>
    <w:rsid w:val="007D7293"/>
    <w:rsid w:val="007E2766"/>
    <w:rsid w:val="007E53C3"/>
    <w:rsid w:val="007E6FEB"/>
    <w:rsid w:val="007F3F07"/>
    <w:rsid w:val="007F4149"/>
    <w:rsid w:val="007F44CF"/>
    <w:rsid w:val="007F4BC7"/>
    <w:rsid w:val="007F5652"/>
    <w:rsid w:val="007F7985"/>
    <w:rsid w:val="00804151"/>
    <w:rsid w:val="00805C31"/>
    <w:rsid w:val="00805C45"/>
    <w:rsid w:val="00806CEB"/>
    <w:rsid w:val="00811BC9"/>
    <w:rsid w:val="00812347"/>
    <w:rsid w:val="008139FF"/>
    <w:rsid w:val="00813D6A"/>
    <w:rsid w:val="00814AFC"/>
    <w:rsid w:val="0081595C"/>
    <w:rsid w:val="00821579"/>
    <w:rsid w:val="00821977"/>
    <w:rsid w:val="00822271"/>
    <w:rsid w:val="008243B3"/>
    <w:rsid w:val="00834497"/>
    <w:rsid w:val="00835A45"/>
    <w:rsid w:val="00836474"/>
    <w:rsid w:val="00840672"/>
    <w:rsid w:val="00842103"/>
    <w:rsid w:val="0084380A"/>
    <w:rsid w:val="00845035"/>
    <w:rsid w:val="00846498"/>
    <w:rsid w:val="00846D43"/>
    <w:rsid w:val="008515B8"/>
    <w:rsid w:val="00851ABB"/>
    <w:rsid w:val="00862B90"/>
    <w:rsid w:val="00872732"/>
    <w:rsid w:val="0087659D"/>
    <w:rsid w:val="00877EBF"/>
    <w:rsid w:val="00880016"/>
    <w:rsid w:val="008805F3"/>
    <w:rsid w:val="00880776"/>
    <w:rsid w:val="00881851"/>
    <w:rsid w:val="008833CA"/>
    <w:rsid w:val="00887312"/>
    <w:rsid w:val="008878C2"/>
    <w:rsid w:val="008879D9"/>
    <w:rsid w:val="008909F4"/>
    <w:rsid w:val="008929E0"/>
    <w:rsid w:val="0089321C"/>
    <w:rsid w:val="0089362A"/>
    <w:rsid w:val="00893875"/>
    <w:rsid w:val="00894544"/>
    <w:rsid w:val="00895956"/>
    <w:rsid w:val="00895DDF"/>
    <w:rsid w:val="008A0CF7"/>
    <w:rsid w:val="008A4C03"/>
    <w:rsid w:val="008A4D22"/>
    <w:rsid w:val="008A5E57"/>
    <w:rsid w:val="008A664B"/>
    <w:rsid w:val="008B1A5F"/>
    <w:rsid w:val="008B3853"/>
    <w:rsid w:val="008B7488"/>
    <w:rsid w:val="008B7D5E"/>
    <w:rsid w:val="008C2A6F"/>
    <w:rsid w:val="008C437D"/>
    <w:rsid w:val="008D053A"/>
    <w:rsid w:val="008D13CD"/>
    <w:rsid w:val="008D181F"/>
    <w:rsid w:val="008D42AC"/>
    <w:rsid w:val="008D5A5C"/>
    <w:rsid w:val="008D7A40"/>
    <w:rsid w:val="008E1744"/>
    <w:rsid w:val="008F3150"/>
    <w:rsid w:val="008F3A7C"/>
    <w:rsid w:val="008F46E1"/>
    <w:rsid w:val="008F4ACF"/>
    <w:rsid w:val="008F5233"/>
    <w:rsid w:val="00900F60"/>
    <w:rsid w:val="009079AE"/>
    <w:rsid w:val="00910878"/>
    <w:rsid w:val="009143A7"/>
    <w:rsid w:val="009143E8"/>
    <w:rsid w:val="00914E27"/>
    <w:rsid w:val="00917D80"/>
    <w:rsid w:val="00921B71"/>
    <w:rsid w:val="009303C2"/>
    <w:rsid w:val="0093416F"/>
    <w:rsid w:val="00934FD8"/>
    <w:rsid w:val="00943DEF"/>
    <w:rsid w:val="00947453"/>
    <w:rsid w:val="009476EA"/>
    <w:rsid w:val="00953824"/>
    <w:rsid w:val="00953CD2"/>
    <w:rsid w:val="00955A0B"/>
    <w:rsid w:val="00957C45"/>
    <w:rsid w:val="00961060"/>
    <w:rsid w:val="0096328A"/>
    <w:rsid w:val="0097474F"/>
    <w:rsid w:val="009755FF"/>
    <w:rsid w:val="00977516"/>
    <w:rsid w:val="009825CD"/>
    <w:rsid w:val="00984B2D"/>
    <w:rsid w:val="00984C2C"/>
    <w:rsid w:val="00984CC6"/>
    <w:rsid w:val="00984F88"/>
    <w:rsid w:val="009854D8"/>
    <w:rsid w:val="0098566F"/>
    <w:rsid w:val="009903B6"/>
    <w:rsid w:val="009907B8"/>
    <w:rsid w:val="00990C56"/>
    <w:rsid w:val="009A15BD"/>
    <w:rsid w:val="009A3520"/>
    <w:rsid w:val="009A4312"/>
    <w:rsid w:val="009A4D00"/>
    <w:rsid w:val="009A5047"/>
    <w:rsid w:val="009A5812"/>
    <w:rsid w:val="009B2181"/>
    <w:rsid w:val="009B65B9"/>
    <w:rsid w:val="009B6FE1"/>
    <w:rsid w:val="009C19EE"/>
    <w:rsid w:val="009C3BDA"/>
    <w:rsid w:val="009C3DC2"/>
    <w:rsid w:val="009C4C44"/>
    <w:rsid w:val="009C774D"/>
    <w:rsid w:val="009C7EA0"/>
    <w:rsid w:val="009C7F30"/>
    <w:rsid w:val="009D2CBE"/>
    <w:rsid w:val="009D5772"/>
    <w:rsid w:val="009D5F20"/>
    <w:rsid w:val="009E135B"/>
    <w:rsid w:val="009E49FD"/>
    <w:rsid w:val="009E4C25"/>
    <w:rsid w:val="009E6DC3"/>
    <w:rsid w:val="009E7D75"/>
    <w:rsid w:val="009F0D9E"/>
    <w:rsid w:val="009F1665"/>
    <w:rsid w:val="009F273A"/>
    <w:rsid w:val="009F33DA"/>
    <w:rsid w:val="009F385B"/>
    <w:rsid w:val="009F3F91"/>
    <w:rsid w:val="009F4A31"/>
    <w:rsid w:val="009F66EB"/>
    <w:rsid w:val="00A0753D"/>
    <w:rsid w:val="00A16A4B"/>
    <w:rsid w:val="00A1730B"/>
    <w:rsid w:val="00A210AA"/>
    <w:rsid w:val="00A2177C"/>
    <w:rsid w:val="00A256A3"/>
    <w:rsid w:val="00A25FEE"/>
    <w:rsid w:val="00A3047F"/>
    <w:rsid w:val="00A3344B"/>
    <w:rsid w:val="00A342E2"/>
    <w:rsid w:val="00A360E1"/>
    <w:rsid w:val="00A3713E"/>
    <w:rsid w:val="00A41928"/>
    <w:rsid w:val="00A446E8"/>
    <w:rsid w:val="00A51431"/>
    <w:rsid w:val="00A51F7A"/>
    <w:rsid w:val="00A525F7"/>
    <w:rsid w:val="00A53431"/>
    <w:rsid w:val="00A53716"/>
    <w:rsid w:val="00A5441D"/>
    <w:rsid w:val="00A54EA5"/>
    <w:rsid w:val="00A55BF4"/>
    <w:rsid w:val="00A570D7"/>
    <w:rsid w:val="00A6095D"/>
    <w:rsid w:val="00A677F0"/>
    <w:rsid w:val="00A70BA9"/>
    <w:rsid w:val="00A84CCA"/>
    <w:rsid w:val="00A87A4E"/>
    <w:rsid w:val="00A87F41"/>
    <w:rsid w:val="00A913AC"/>
    <w:rsid w:val="00A91DEA"/>
    <w:rsid w:val="00A92046"/>
    <w:rsid w:val="00A924D4"/>
    <w:rsid w:val="00A93B86"/>
    <w:rsid w:val="00A93BF9"/>
    <w:rsid w:val="00A946BA"/>
    <w:rsid w:val="00A94775"/>
    <w:rsid w:val="00A95A55"/>
    <w:rsid w:val="00A967BA"/>
    <w:rsid w:val="00AA7D94"/>
    <w:rsid w:val="00AB0413"/>
    <w:rsid w:val="00AB21CA"/>
    <w:rsid w:val="00AB3B77"/>
    <w:rsid w:val="00AC0342"/>
    <w:rsid w:val="00AC056A"/>
    <w:rsid w:val="00AC3C97"/>
    <w:rsid w:val="00AC6351"/>
    <w:rsid w:val="00AD2ED2"/>
    <w:rsid w:val="00AD6BE3"/>
    <w:rsid w:val="00AE00E9"/>
    <w:rsid w:val="00AE046F"/>
    <w:rsid w:val="00AE24B1"/>
    <w:rsid w:val="00AE492D"/>
    <w:rsid w:val="00AE6D30"/>
    <w:rsid w:val="00AE7F9B"/>
    <w:rsid w:val="00AF0ECE"/>
    <w:rsid w:val="00AF3BA8"/>
    <w:rsid w:val="00AF4390"/>
    <w:rsid w:val="00AF49C8"/>
    <w:rsid w:val="00AF7B2C"/>
    <w:rsid w:val="00B00F2F"/>
    <w:rsid w:val="00B010A1"/>
    <w:rsid w:val="00B01203"/>
    <w:rsid w:val="00B02A3C"/>
    <w:rsid w:val="00B03A22"/>
    <w:rsid w:val="00B10E07"/>
    <w:rsid w:val="00B12781"/>
    <w:rsid w:val="00B17A77"/>
    <w:rsid w:val="00B25614"/>
    <w:rsid w:val="00B25F6A"/>
    <w:rsid w:val="00B26944"/>
    <w:rsid w:val="00B30032"/>
    <w:rsid w:val="00B301E9"/>
    <w:rsid w:val="00B30F4B"/>
    <w:rsid w:val="00B31023"/>
    <w:rsid w:val="00B3371A"/>
    <w:rsid w:val="00B445C7"/>
    <w:rsid w:val="00B47353"/>
    <w:rsid w:val="00B53457"/>
    <w:rsid w:val="00B562B5"/>
    <w:rsid w:val="00B60A38"/>
    <w:rsid w:val="00B62DB0"/>
    <w:rsid w:val="00B65F14"/>
    <w:rsid w:val="00B66E6B"/>
    <w:rsid w:val="00B707E7"/>
    <w:rsid w:val="00B71D6C"/>
    <w:rsid w:val="00B71E7B"/>
    <w:rsid w:val="00B725B1"/>
    <w:rsid w:val="00B7425F"/>
    <w:rsid w:val="00B75202"/>
    <w:rsid w:val="00B81990"/>
    <w:rsid w:val="00B83443"/>
    <w:rsid w:val="00B846C1"/>
    <w:rsid w:val="00B868B1"/>
    <w:rsid w:val="00B876B8"/>
    <w:rsid w:val="00B933C0"/>
    <w:rsid w:val="00B97537"/>
    <w:rsid w:val="00B97748"/>
    <w:rsid w:val="00BA3387"/>
    <w:rsid w:val="00BA47A9"/>
    <w:rsid w:val="00BA74E1"/>
    <w:rsid w:val="00BB5156"/>
    <w:rsid w:val="00BB6CFC"/>
    <w:rsid w:val="00BC64BE"/>
    <w:rsid w:val="00BC7CBA"/>
    <w:rsid w:val="00BD09D8"/>
    <w:rsid w:val="00BD1813"/>
    <w:rsid w:val="00BE0FA1"/>
    <w:rsid w:val="00BE1AF7"/>
    <w:rsid w:val="00BE2E9A"/>
    <w:rsid w:val="00BE3750"/>
    <w:rsid w:val="00BE3D6D"/>
    <w:rsid w:val="00BE3E3D"/>
    <w:rsid w:val="00BE5043"/>
    <w:rsid w:val="00BE6831"/>
    <w:rsid w:val="00BF01BC"/>
    <w:rsid w:val="00BF0C32"/>
    <w:rsid w:val="00BF2884"/>
    <w:rsid w:val="00BF5A18"/>
    <w:rsid w:val="00BF7CD7"/>
    <w:rsid w:val="00BF7DC7"/>
    <w:rsid w:val="00C02D62"/>
    <w:rsid w:val="00C03BAA"/>
    <w:rsid w:val="00C06BDF"/>
    <w:rsid w:val="00C077BF"/>
    <w:rsid w:val="00C103B2"/>
    <w:rsid w:val="00C10979"/>
    <w:rsid w:val="00C114AD"/>
    <w:rsid w:val="00C1292F"/>
    <w:rsid w:val="00C149CA"/>
    <w:rsid w:val="00C152E9"/>
    <w:rsid w:val="00C15886"/>
    <w:rsid w:val="00C20A8F"/>
    <w:rsid w:val="00C23D1E"/>
    <w:rsid w:val="00C27684"/>
    <w:rsid w:val="00C2789E"/>
    <w:rsid w:val="00C31ADB"/>
    <w:rsid w:val="00C3208F"/>
    <w:rsid w:val="00C34DE5"/>
    <w:rsid w:val="00C42FFF"/>
    <w:rsid w:val="00C46F91"/>
    <w:rsid w:val="00C4711F"/>
    <w:rsid w:val="00C519BD"/>
    <w:rsid w:val="00C53380"/>
    <w:rsid w:val="00C5451B"/>
    <w:rsid w:val="00C61009"/>
    <w:rsid w:val="00C62AF2"/>
    <w:rsid w:val="00C62F5B"/>
    <w:rsid w:val="00C6410B"/>
    <w:rsid w:val="00C64A2E"/>
    <w:rsid w:val="00C65610"/>
    <w:rsid w:val="00C65655"/>
    <w:rsid w:val="00C70BDE"/>
    <w:rsid w:val="00C73135"/>
    <w:rsid w:val="00C737B9"/>
    <w:rsid w:val="00C77363"/>
    <w:rsid w:val="00C805F6"/>
    <w:rsid w:val="00C8151E"/>
    <w:rsid w:val="00C8162A"/>
    <w:rsid w:val="00C81860"/>
    <w:rsid w:val="00C822D0"/>
    <w:rsid w:val="00C8785B"/>
    <w:rsid w:val="00C91468"/>
    <w:rsid w:val="00C94876"/>
    <w:rsid w:val="00C95B77"/>
    <w:rsid w:val="00CA3F62"/>
    <w:rsid w:val="00CA6457"/>
    <w:rsid w:val="00CB0D5D"/>
    <w:rsid w:val="00CB1122"/>
    <w:rsid w:val="00CB3142"/>
    <w:rsid w:val="00CB56D9"/>
    <w:rsid w:val="00CB618D"/>
    <w:rsid w:val="00CC14DB"/>
    <w:rsid w:val="00CC1AB5"/>
    <w:rsid w:val="00CC247D"/>
    <w:rsid w:val="00CC6FC0"/>
    <w:rsid w:val="00CD0CE2"/>
    <w:rsid w:val="00CD1B25"/>
    <w:rsid w:val="00CD3964"/>
    <w:rsid w:val="00CD6A45"/>
    <w:rsid w:val="00CE1609"/>
    <w:rsid w:val="00CE2A5B"/>
    <w:rsid w:val="00CE301F"/>
    <w:rsid w:val="00CE41CD"/>
    <w:rsid w:val="00CE4891"/>
    <w:rsid w:val="00CE4ABA"/>
    <w:rsid w:val="00CF2EB6"/>
    <w:rsid w:val="00CF5A31"/>
    <w:rsid w:val="00CF7383"/>
    <w:rsid w:val="00D0002C"/>
    <w:rsid w:val="00D0555E"/>
    <w:rsid w:val="00D05D22"/>
    <w:rsid w:val="00D074D4"/>
    <w:rsid w:val="00D12B8A"/>
    <w:rsid w:val="00D2154D"/>
    <w:rsid w:val="00D2205B"/>
    <w:rsid w:val="00D22F5B"/>
    <w:rsid w:val="00D34688"/>
    <w:rsid w:val="00D378D3"/>
    <w:rsid w:val="00D37D27"/>
    <w:rsid w:val="00D4244D"/>
    <w:rsid w:val="00D453D0"/>
    <w:rsid w:val="00D45FB3"/>
    <w:rsid w:val="00D509E3"/>
    <w:rsid w:val="00D53BA1"/>
    <w:rsid w:val="00D56248"/>
    <w:rsid w:val="00D610CA"/>
    <w:rsid w:val="00D61FB4"/>
    <w:rsid w:val="00D67704"/>
    <w:rsid w:val="00D71FD4"/>
    <w:rsid w:val="00D74708"/>
    <w:rsid w:val="00D76379"/>
    <w:rsid w:val="00D83417"/>
    <w:rsid w:val="00D84835"/>
    <w:rsid w:val="00D873CA"/>
    <w:rsid w:val="00D92C8A"/>
    <w:rsid w:val="00D94C78"/>
    <w:rsid w:val="00DA027C"/>
    <w:rsid w:val="00DA09ED"/>
    <w:rsid w:val="00DA18A2"/>
    <w:rsid w:val="00DA5346"/>
    <w:rsid w:val="00DA5B20"/>
    <w:rsid w:val="00DB2E64"/>
    <w:rsid w:val="00DB39A6"/>
    <w:rsid w:val="00DB7244"/>
    <w:rsid w:val="00DC075A"/>
    <w:rsid w:val="00DC2AA9"/>
    <w:rsid w:val="00DC5836"/>
    <w:rsid w:val="00DD0861"/>
    <w:rsid w:val="00DD371C"/>
    <w:rsid w:val="00DD3A1A"/>
    <w:rsid w:val="00DD6107"/>
    <w:rsid w:val="00DE26E4"/>
    <w:rsid w:val="00DF100A"/>
    <w:rsid w:val="00DF3B7F"/>
    <w:rsid w:val="00DF71D1"/>
    <w:rsid w:val="00E00FC8"/>
    <w:rsid w:val="00E0335D"/>
    <w:rsid w:val="00E04C3C"/>
    <w:rsid w:val="00E052FD"/>
    <w:rsid w:val="00E12C79"/>
    <w:rsid w:val="00E16D6B"/>
    <w:rsid w:val="00E209D9"/>
    <w:rsid w:val="00E32538"/>
    <w:rsid w:val="00E32D17"/>
    <w:rsid w:val="00E3305F"/>
    <w:rsid w:val="00E330B9"/>
    <w:rsid w:val="00E34F97"/>
    <w:rsid w:val="00E35EA9"/>
    <w:rsid w:val="00E35EEF"/>
    <w:rsid w:val="00E43444"/>
    <w:rsid w:val="00E43868"/>
    <w:rsid w:val="00E563CF"/>
    <w:rsid w:val="00E6434D"/>
    <w:rsid w:val="00E65B04"/>
    <w:rsid w:val="00E66F3C"/>
    <w:rsid w:val="00E717C6"/>
    <w:rsid w:val="00E7532A"/>
    <w:rsid w:val="00E813E3"/>
    <w:rsid w:val="00E82196"/>
    <w:rsid w:val="00E84069"/>
    <w:rsid w:val="00E92252"/>
    <w:rsid w:val="00E936EE"/>
    <w:rsid w:val="00E9598D"/>
    <w:rsid w:val="00EA057B"/>
    <w:rsid w:val="00EA3F96"/>
    <w:rsid w:val="00EA7801"/>
    <w:rsid w:val="00EB0686"/>
    <w:rsid w:val="00EB0E64"/>
    <w:rsid w:val="00EB3A27"/>
    <w:rsid w:val="00EB436E"/>
    <w:rsid w:val="00EB4D57"/>
    <w:rsid w:val="00EB57EC"/>
    <w:rsid w:val="00EB6A60"/>
    <w:rsid w:val="00EC0C0C"/>
    <w:rsid w:val="00EC3F20"/>
    <w:rsid w:val="00EC4C5F"/>
    <w:rsid w:val="00EC65A8"/>
    <w:rsid w:val="00EC69FA"/>
    <w:rsid w:val="00EC6F52"/>
    <w:rsid w:val="00EC6FF7"/>
    <w:rsid w:val="00EC74A6"/>
    <w:rsid w:val="00ED1FA3"/>
    <w:rsid w:val="00ED7569"/>
    <w:rsid w:val="00ED7889"/>
    <w:rsid w:val="00EE1DC1"/>
    <w:rsid w:val="00EE4173"/>
    <w:rsid w:val="00EF08E9"/>
    <w:rsid w:val="00EF1820"/>
    <w:rsid w:val="00EF681C"/>
    <w:rsid w:val="00EF7202"/>
    <w:rsid w:val="00EF7678"/>
    <w:rsid w:val="00F0330D"/>
    <w:rsid w:val="00F06D0B"/>
    <w:rsid w:val="00F07551"/>
    <w:rsid w:val="00F11F82"/>
    <w:rsid w:val="00F129D0"/>
    <w:rsid w:val="00F13256"/>
    <w:rsid w:val="00F149CB"/>
    <w:rsid w:val="00F2216A"/>
    <w:rsid w:val="00F24C76"/>
    <w:rsid w:val="00F2694A"/>
    <w:rsid w:val="00F3086B"/>
    <w:rsid w:val="00F32356"/>
    <w:rsid w:val="00F33212"/>
    <w:rsid w:val="00F34EF1"/>
    <w:rsid w:val="00F37745"/>
    <w:rsid w:val="00F40134"/>
    <w:rsid w:val="00F41572"/>
    <w:rsid w:val="00F42BD8"/>
    <w:rsid w:val="00F47C6D"/>
    <w:rsid w:val="00F56C56"/>
    <w:rsid w:val="00F5706C"/>
    <w:rsid w:val="00F57094"/>
    <w:rsid w:val="00F6139A"/>
    <w:rsid w:val="00F61DBB"/>
    <w:rsid w:val="00F62401"/>
    <w:rsid w:val="00F63A42"/>
    <w:rsid w:val="00F63E20"/>
    <w:rsid w:val="00F64FAC"/>
    <w:rsid w:val="00F65F80"/>
    <w:rsid w:val="00F667AF"/>
    <w:rsid w:val="00F66A2C"/>
    <w:rsid w:val="00F707E6"/>
    <w:rsid w:val="00F72390"/>
    <w:rsid w:val="00F726BF"/>
    <w:rsid w:val="00F742F7"/>
    <w:rsid w:val="00F74D10"/>
    <w:rsid w:val="00F80391"/>
    <w:rsid w:val="00F80BF4"/>
    <w:rsid w:val="00F822A6"/>
    <w:rsid w:val="00F83408"/>
    <w:rsid w:val="00F835DD"/>
    <w:rsid w:val="00F8580F"/>
    <w:rsid w:val="00F87601"/>
    <w:rsid w:val="00FA08E3"/>
    <w:rsid w:val="00FA0F97"/>
    <w:rsid w:val="00FA1C99"/>
    <w:rsid w:val="00FA2A40"/>
    <w:rsid w:val="00FA34FC"/>
    <w:rsid w:val="00FB0CFD"/>
    <w:rsid w:val="00FB2EE4"/>
    <w:rsid w:val="00FB4140"/>
    <w:rsid w:val="00FB6BC3"/>
    <w:rsid w:val="00FC0FBE"/>
    <w:rsid w:val="00FC1BC1"/>
    <w:rsid w:val="00FC3C47"/>
    <w:rsid w:val="00FC75D1"/>
    <w:rsid w:val="00FC7949"/>
    <w:rsid w:val="00FD1DAF"/>
    <w:rsid w:val="00FD2949"/>
    <w:rsid w:val="00FD3450"/>
    <w:rsid w:val="00FD5AFA"/>
    <w:rsid w:val="00FE4399"/>
    <w:rsid w:val="00FE4B5B"/>
    <w:rsid w:val="00FE5504"/>
    <w:rsid w:val="00FE65EB"/>
    <w:rsid w:val="0192652E"/>
    <w:rsid w:val="01944054"/>
    <w:rsid w:val="01F12B23"/>
    <w:rsid w:val="024C6705"/>
    <w:rsid w:val="029C63FF"/>
    <w:rsid w:val="031F0BD0"/>
    <w:rsid w:val="037A4B2A"/>
    <w:rsid w:val="038F541B"/>
    <w:rsid w:val="041B248E"/>
    <w:rsid w:val="045724EA"/>
    <w:rsid w:val="047A1621"/>
    <w:rsid w:val="04CD731B"/>
    <w:rsid w:val="0547433C"/>
    <w:rsid w:val="055614AD"/>
    <w:rsid w:val="061B039A"/>
    <w:rsid w:val="06CC2044"/>
    <w:rsid w:val="07471BB1"/>
    <w:rsid w:val="07974F47"/>
    <w:rsid w:val="07CA43AC"/>
    <w:rsid w:val="07FB6BDB"/>
    <w:rsid w:val="086929F5"/>
    <w:rsid w:val="08790262"/>
    <w:rsid w:val="088A60E3"/>
    <w:rsid w:val="088F1D66"/>
    <w:rsid w:val="08E73817"/>
    <w:rsid w:val="090C6E1A"/>
    <w:rsid w:val="09E511A3"/>
    <w:rsid w:val="0A307C97"/>
    <w:rsid w:val="0AD92A42"/>
    <w:rsid w:val="0AF50259"/>
    <w:rsid w:val="0B307BB7"/>
    <w:rsid w:val="0B5C1088"/>
    <w:rsid w:val="0B6B1123"/>
    <w:rsid w:val="0B941820"/>
    <w:rsid w:val="0BA7454A"/>
    <w:rsid w:val="0BDF267A"/>
    <w:rsid w:val="0BE1154E"/>
    <w:rsid w:val="0BE45340"/>
    <w:rsid w:val="0C2A3EAF"/>
    <w:rsid w:val="0C403756"/>
    <w:rsid w:val="0D353973"/>
    <w:rsid w:val="0D444EAF"/>
    <w:rsid w:val="0D6E42F3"/>
    <w:rsid w:val="0D9422A5"/>
    <w:rsid w:val="0DE2468A"/>
    <w:rsid w:val="0DF42B08"/>
    <w:rsid w:val="0E6B01B4"/>
    <w:rsid w:val="0E7F4E6B"/>
    <w:rsid w:val="0ECD0C9A"/>
    <w:rsid w:val="0F5170E2"/>
    <w:rsid w:val="0F645279"/>
    <w:rsid w:val="0F895230"/>
    <w:rsid w:val="0FE02DCE"/>
    <w:rsid w:val="100D4A57"/>
    <w:rsid w:val="103709AD"/>
    <w:rsid w:val="109C2F25"/>
    <w:rsid w:val="10E8062E"/>
    <w:rsid w:val="11451EEA"/>
    <w:rsid w:val="11B95FCF"/>
    <w:rsid w:val="11BA512F"/>
    <w:rsid w:val="120565A8"/>
    <w:rsid w:val="12185EA5"/>
    <w:rsid w:val="122F6C04"/>
    <w:rsid w:val="13E8355F"/>
    <w:rsid w:val="14007693"/>
    <w:rsid w:val="14132920"/>
    <w:rsid w:val="145024BE"/>
    <w:rsid w:val="147A532B"/>
    <w:rsid w:val="14864E2B"/>
    <w:rsid w:val="14F12A02"/>
    <w:rsid w:val="157A5984"/>
    <w:rsid w:val="159863C9"/>
    <w:rsid w:val="15B24F36"/>
    <w:rsid w:val="15B60AF1"/>
    <w:rsid w:val="15C96E88"/>
    <w:rsid w:val="15CC605B"/>
    <w:rsid w:val="15E038B4"/>
    <w:rsid w:val="15E13F9E"/>
    <w:rsid w:val="160351CB"/>
    <w:rsid w:val="160F37BA"/>
    <w:rsid w:val="162B0FD3"/>
    <w:rsid w:val="16922E00"/>
    <w:rsid w:val="169829A2"/>
    <w:rsid w:val="16A42B33"/>
    <w:rsid w:val="16D9376D"/>
    <w:rsid w:val="16DF75E3"/>
    <w:rsid w:val="17132588"/>
    <w:rsid w:val="17827AA1"/>
    <w:rsid w:val="17977D9D"/>
    <w:rsid w:val="187A1D9E"/>
    <w:rsid w:val="18AE37F5"/>
    <w:rsid w:val="18B3029F"/>
    <w:rsid w:val="18C86D5F"/>
    <w:rsid w:val="18F57676"/>
    <w:rsid w:val="19176B3B"/>
    <w:rsid w:val="19907C6A"/>
    <w:rsid w:val="19C81E85"/>
    <w:rsid w:val="1A093C4A"/>
    <w:rsid w:val="1A1156E4"/>
    <w:rsid w:val="1A1D3847"/>
    <w:rsid w:val="1A2D60FD"/>
    <w:rsid w:val="1A4A46E8"/>
    <w:rsid w:val="1A710F7F"/>
    <w:rsid w:val="1AB737DE"/>
    <w:rsid w:val="1ABA2AD1"/>
    <w:rsid w:val="1AE90775"/>
    <w:rsid w:val="1B4363B7"/>
    <w:rsid w:val="1B4B17D0"/>
    <w:rsid w:val="1B6603B7"/>
    <w:rsid w:val="1BB514DF"/>
    <w:rsid w:val="1BBF1B75"/>
    <w:rsid w:val="1BCA3BF9"/>
    <w:rsid w:val="1CBB4C65"/>
    <w:rsid w:val="1CF1180C"/>
    <w:rsid w:val="1D8F4C7F"/>
    <w:rsid w:val="1D9A5FD7"/>
    <w:rsid w:val="1DE41A72"/>
    <w:rsid w:val="1DE63703"/>
    <w:rsid w:val="1EBF48F0"/>
    <w:rsid w:val="202C65FB"/>
    <w:rsid w:val="208434FD"/>
    <w:rsid w:val="20C359E2"/>
    <w:rsid w:val="210B5F69"/>
    <w:rsid w:val="21223E53"/>
    <w:rsid w:val="21302811"/>
    <w:rsid w:val="21DB6282"/>
    <w:rsid w:val="22427154"/>
    <w:rsid w:val="22E2688C"/>
    <w:rsid w:val="23877A66"/>
    <w:rsid w:val="23C81D03"/>
    <w:rsid w:val="23F00567"/>
    <w:rsid w:val="2410007D"/>
    <w:rsid w:val="247F0D69"/>
    <w:rsid w:val="24CC0D68"/>
    <w:rsid w:val="24D101CE"/>
    <w:rsid w:val="24EE1A89"/>
    <w:rsid w:val="25074DB9"/>
    <w:rsid w:val="253C5939"/>
    <w:rsid w:val="25507BC2"/>
    <w:rsid w:val="25783B09"/>
    <w:rsid w:val="257F739C"/>
    <w:rsid w:val="2585407D"/>
    <w:rsid w:val="25865A32"/>
    <w:rsid w:val="25E8563D"/>
    <w:rsid w:val="25F3663F"/>
    <w:rsid w:val="263077E2"/>
    <w:rsid w:val="264E00B0"/>
    <w:rsid w:val="26684EB3"/>
    <w:rsid w:val="273D00A5"/>
    <w:rsid w:val="273E1D47"/>
    <w:rsid w:val="274E41F9"/>
    <w:rsid w:val="27622411"/>
    <w:rsid w:val="27A961FC"/>
    <w:rsid w:val="28602E9E"/>
    <w:rsid w:val="28945237"/>
    <w:rsid w:val="28B07C53"/>
    <w:rsid w:val="28D05FA5"/>
    <w:rsid w:val="29141CE7"/>
    <w:rsid w:val="29F73171"/>
    <w:rsid w:val="2A6F6A9F"/>
    <w:rsid w:val="2AAC43EA"/>
    <w:rsid w:val="2AAD1B5F"/>
    <w:rsid w:val="2AD01CF1"/>
    <w:rsid w:val="2AFB47D2"/>
    <w:rsid w:val="2B48435D"/>
    <w:rsid w:val="2B74142C"/>
    <w:rsid w:val="2B9161CE"/>
    <w:rsid w:val="2BD335AA"/>
    <w:rsid w:val="2BE66294"/>
    <w:rsid w:val="2CC7637F"/>
    <w:rsid w:val="2CFF231F"/>
    <w:rsid w:val="2D091D10"/>
    <w:rsid w:val="2D174C40"/>
    <w:rsid w:val="2D3109B5"/>
    <w:rsid w:val="2D4D2665"/>
    <w:rsid w:val="2D5E2797"/>
    <w:rsid w:val="2DB66F7C"/>
    <w:rsid w:val="2DBD1316"/>
    <w:rsid w:val="2E735A5F"/>
    <w:rsid w:val="2E9A0FAB"/>
    <w:rsid w:val="2EE330D8"/>
    <w:rsid w:val="2F56298F"/>
    <w:rsid w:val="2FCA7F5A"/>
    <w:rsid w:val="30923401"/>
    <w:rsid w:val="30CE282F"/>
    <w:rsid w:val="310F6B93"/>
    <w:rsid w:val="31331184"/>
    <w:rsid w:val="31666F0B"/>
    <w:rsid w:val="31896E18"/>
    <w:rsid w:val="31B1462B"/>
    <w:rsid w:val="31E047C6"/>
    <w:rsid w:val="321C1404"/>
    <w:rsid w:val="3272770D"/>
    <w:rsid w:val="32E23D34"/>
    <w:rsid w:val="331113E9"/>
    <w:rsid w:val="332E2DC3"/>
    <w:rsid w:val="33D90C83"/>
    <w:rsid w:val="33EB4E73"/>
    <w:rsid w:val="34265721"/>
    <w:rsid w:val="34621DF9"/>
    <w:rsid w:val="353D4829"/>
    <w:rsid w:val="35D151C8"/>
    <w:rsid w:val="35E46D35"/>
    <w:rsid w:val="35FC399A"/>
    <w:rsid w:val="36413C79"/>
    <w:rsid w:val="3672736A"/>
    <w:rsid w:val="36A41A6D"/>
    <w:rsid w:val="36BF1DD2"/>
    <w:rsid w:val="36BF68B6"/>
    <w:rsid w:val="36C57B09"/>
    <w:rsid w:val="36CE1E68"/>
    <w:rsid w:val="371A21A0"/>
    <w:rsid w:val="373A2F66"/>
    <w:rsid w:val="379E5CE1"/>
    <w:rsid w:val="386864AD"/>
    <w:rsid w:val="386E5CE0"/>
    <w:rsid w:val="38B860A8"/>
    <w:rsid w:val="38E0799F"/>
    <w:rsid w:val="38EE3222"/>
    <w:rsid w:val="390F1C37"/>
    <w:rsid w:val="39137BCC"/>
    <w:rsid w:val="39256487"/>
    <w:rsid w:val="3990289F"/>
    <w:rsid w:val="39AD0B9A"/>
    <w:rsid w:val="3A182813"/>
    <w:rsid w:val="3A453893"/>
    <w:rsid w:val="3A945BA3"/>
    <w:rsid w:val="3A9D5479"/>
    <w:rsid w:val="3AFD4854"/>
    <w:rsid w:val="3BC9431F"/>
    <w:rsid w:val="3C3B6DA1"/>
    <w:rsid w:val="3C675F0F"/>
    <w:rsid w:val="3CB91A62"/>
    <w:rsid w:val="3D280575"/>
    <w:rsid w:val="3D5D79FB"/>
    <w:rsid w:val="3DBA050E"/>
    <w:rsid w:val="3E48026D"/>
    <w:rsid w:val="3F086869"/>
    <w:rsid w:val="3F1C0650"/>
    <w:rsid w:val="3F3D4BE3"/>
    <w:rsid w:val="3F4E4358"/>
    <w:rsid w:val="3F770DAF"/>
    <w:rsid w:val="3F7D312D"/>
    <w:rsid w:val="3F9609BC"/>
    <w:rsid w:val="3FAD63A0"/>
    <w:rsid w:val="40034ACB"/>
    <w:rsid w:val="40217801"/>
    <w:rsid w:val="40615FBC"/>
    <w:rsid w:val="4084454D"/>
    <w:rsid w:val="41157293"/>
    <w:rsid w:val="418F7DB9"/>
    <w:rsid w:val="42696C91"/>
    <w:rsid w:val="42791D35"/>
    <w:rsid w:val="428C586A"/>
    <w:rsid w:val="42B62464"/>
    <w:rsid w:val="42E5457B"/>
    <w:rsid w:val="431C245B"/>
    <w:rsid w:val="43417A47"/>
    <w:rsid w:val="437E6337"/>
    <w:rsid w:val="43AF147A"/>
    <w:rsid w:val="43DE7B95"/>
    <w:rsid w:val="43E24541"/>
    <w:rsid w:val="43E80C33"/>
    <w:rsid w:val="445769C9"/>
    <w:rsid w:val="44931544"/>
    <w:rsid w:val="44BC4E08"/>
    <w:rsid w:val="4514799A"/>
    <w:rsid w:val="451A72AB"/>
    <w:rsid w:val="456E40C1"/>
    <w:rsid w:val="458727AA"/>
    <w:rsid w:val="45D6413C"/>
    <w:rsid w:val="4654337F"/>
    <w:rsid w:val="465D305E"/>
    <w:rsid w:val="46BC37F2"/>
    <w:rsid w:val="46D81A18"/>
    <w:rsid w:val="46F41962"/>
    <w:rsid w:val="46F856C2"/>
    <w:rsid w:val="472B1360"/>
    <w:rsid w:val="478B525C"/>
    <w:rsid w:val="47A1125B"/>
    <w:rsid w:val="47D02B56"/>
    <w:rsid w:val="48BB0092"/>
    <w:rsid w:val="49A117C5"/>
    <w:rsid w:val="49C840B7"/>
    <w:rsid w:val="49CB0740"/>
    <w:rsid w:val="4A022C48"/>
    <w:rsid w:val="4A3F18D0"/>
    <w:rsid w:val="4A7D239D"/>
    <w:rsid w:val="4AB87337"/>
    <w:rsid w:val="4ABB672D"/>
    <w:rsid w:val="4AD66569"/>
    <w:rsid w:val="4AF96FA1"/>
    <w:rsid w:val="4B2535D0"/>
    <w:rsid w:val="4B811267"/>
    <w:rsid w:val="4B904846"/>
    <w:rsid w:val="4BAD1DEA"/>
    <w:rsid w:val="4BAF6726"/>
    <w:rsid w:val="4BEC52A0"/>
    <w:rsid w:val="4C341C88"/>
    <w:rsid w:val="4C7A4D76"/>
    <w:rsid w:val="4CC919B8"/>
    <w:rsid w:val="4CFA6A2E"/>
    <w:rsid w:val="4D1B4A9D"/>
    <w:rsid w:val="4D534E0D"/>
    <w:rsid w:val="4D9601A1"/>
    <w:rsid w:val="4D967E18"/>
    <w:rsid w:val="4DD101CC"/>
    <w:rsid w:val="4DF319CF"/>
    <w:rsid w:val="4E2B34A0"/>
    <w:rsid w:val="4E6C5709"/>
    <w:rsid w:val="4E746395"/>
    <w:rsid w:val="4EB92CBE"/>
    <w:rsid w:val="4EC830F3"/>
    <w:rsid w:val="4EF01260"/>
    <w:rsid w:val="4F035942"/>
    <w:rsid w:val="4F0B668B"/>
    <w:rsid w:val="504F0CA4"/>
    <w:rsid w:val="50960535"/>
    <w:rsid w:val="50AD2FEE"/>
    <w:rsid w:val="51FE034A"/>
    <w:rsid w:val="525B269A"/>
    <w:rsid w:val="52876EA8"/>
    <w:rsid w:val="530D3A6C"/>
    <w:rsid w:val="5351713B"/>
    <w:rsid w:val="54006AE1"/>
    <w:rsid w:val="542222C7"/>
    <w:rsid w:val="54C811C0"/>
    <w:rsid w:val="55692BF6"/>
    <w:rsid w:val="55780AAE"/>
    <w:rsid w:val="55C71E85"/>
    <w:rsid w:val="55D45058"/>
    <w:rsid w:val="56AF6BFF"/>
    <w:rsid w:val="56CD4B1F"/>
    <w:rsid w:val="56FD2AFA"/>
    <w:rsid w:val="57280BE4"/>
    <w:rsid w:val="573C44C2"/>
    <w:rsid w:val="57A15175"/>
    <w:rsid w:val="580C4137"/>
    <w:rsid w:val="584C7842"/>
    <w:rsid w:val="587111DB"/>
    <w:rsid w:val="58A8444B"/>
    <w:rsid w:val="590A5D22"/>
    <w:rsid w:val="59341650"/>
    <w:rsid w:val="594A1EAB"/>
    <w:rsid w:val="595254B4"/>
    <w:rsid w:val="59707CA0"/>
    <w:rsid w:val="59A948AF"/>
    <w:rsid w:val="59AA3EAA"/>
    <w:rsid w:val="59D945F7"/>
    <w:rsid w:val="5A9B1A18"/>
    <w:rsid w:val="5B0C2013"/>
    <w:rsid w:val="5B265EB5"/>
    <w:rsid w:val="5B8800F2"/>
    <w:rsid w:val="5BC562B5"/>
    <w:rsid w:val="5BEB04C8"/>
    <w:rsid w:val="5BED6A31"/>
    <w:rsid w:val="5C932D4B"/>
    <w:rsid w:val="5CD01F00"/>
    <w:rsid w:val="5D0132A8"/>
    <w:rsid w:val="5D5B21DF"/>
    <w:rsid w:val="5D8C1A2D"/>
    <w:rsid w:val="5DA52508"/>
    <w:rsid w:val="5DDB48DC"/>
    <w:rsid w:val="5E5218E8"/>
    <w:rsid w:val="5E9641CF"/>
    <w:rsid w:val="5E9D36BD"/>
    <w:rsid w:val="5EA93E10"/>
    <w:rsid w:val="5F0F6EAA"/>
    <w:rsid w:val="5F451744"/>
    <w:rsid w:val="5F933CD5"/>
    <w:rsid w:val="5F933DC8"/>
    <w:rsid w:val="5F945056"/>
    <w:rsid w:val="5FDC3F39"/>
    <w:rsid w:val="5FED6375"/>
    <w:rsid w:val="608516E0"/>
    <w:rsid w:val="60EC7228"/>
    <w:rsid w:val="610042FE"/>
    <w:rsid w:val="6168526E"/>
    <w:rsid w:val="618361EC"/>
    <w:rsid w:val="62157737"/>
    <w:rsid w:val="62987C2D"/>
    <w:rsid w:val="6322494F"/>
    <w:rsid w:val="635554EA"/>
    <w:rsid w:val="636A56C0"/>
    <w:rsid w:val="63750765"/>
    <w:rsid w:val="638044B2"/>
    <w:rsid w:val="638247E8"/>
    <w:rsid w:val="63B60CD2"/>
    <w:rsid w:val="63B73353"/>
    <w:rsid w:val="63DE095D"/>
    <w:rsid w:val="645A3F0A"/>
    <w:rsid w:val="64CA0314"/>
    <w:rsid w:val="650354CA"/>
    <w:rsid w:val="65E33EAB"/>
    <w:rsid w:val="66AE605A"/>
    <w:rsid w:val="677F245B"/>
    <w:rsid w:val="683B44DE"/>
    <w:rsid w:val="683E48CB"/>
    <w:rsid w:val="687A6D70"/>
    <w:rsid w:val="68DC1286"/>
    <w:rsid w:val="6922251C"/>
    <w:rsid w:val="693650A3"/>
    <w:rsid w:val="69C94ECE"/>
    <w:rsid w:val="6A652446"/>
    <w:rsid w:val="6A664361"/>
    <w:rsid w:val="6B053E23"/>
    <w:rsid w:val="6B1C7422"/>
    <w:rsid w:val="6B2E681F"/>
    <w:rsid w:val="6B6E06F1"/>
    <w:rsid w:val="6B7B2E44"/>
    <w:rsid w:val="6B8A2EB8"/>
    <w:rsid w:val="6B8F524A"/>
    <w:rsid w:val="6B9745A7"/>
    <w:rsid w:val="6BA3608B"/>
    <w:rsid w:val="6BD62996"/>
    <w:rsid w:val="6BE95552"/>
    <w:rsid w:val="6C4E249B"/>
    <w:rsid w:val="6C7B1038"/>
    <w:rsid w:val="6C7D167F"/>
    <w:rsid w:val="6C881A75"/>
    <w:rsid w:val="6CB1711A"/>
    <w:rsid w:val="6CC47A37"/>
    <w:rsid w:val="6CD830DA"/>
    <w:rsid w:val="6D267305"/>
    <w:rsid w:val="6DAE1443"/>
    <w:rsid w:val="6DC12CFD"/>
    <w:rsid w:val="6DFE07B4"/>
    <w:rsid w:val="6E7A1868"/>
    <w:rsid w:val="6E831444"/>
    <w:rsid w:val="6EAA37FB"/>
    <w:rsid w:val="6F5D05A4"/>
    <w:rsid w:val="6FB0505C"/>
    <w:rsid w:val="700D5BBC"/>
    <w:rsid w:val="700E038F"/>
    <w:rsid w:val="70D1105F"/>
    <w:rsid w:val="71CE7E03"/>
    <w:rsid w:val="71F2536B"/>
    <w:rsid w:val="723E0DAB"/>
    <w:rsid w:val="72B9381D"/>
    <w:rsid w:val="72DB3FC7"/>
    <w:rsid w:val="733127B0"/>
    <w:rsid w:val="735F6D3B"/>
    <w:rsid w:val="73952D5B"/>
    <w:rsid w:val="73962B1D"/>
    <w:rsid w:val="73A17354"/>
    <w:rsid w:val="73A925A0"/>
    <w:rsid w:val="74AD268E"/>
    <w:rsid w:val="74E35486"/>
    <w:rsid w:val="750F6306"/>
    <w:rsid w:val="7549238E"/>
    <w:rsid w:val="75804305"/>
    <w:rsid w:val="760C6AAF"/>
    <w:rsid w:val="76176BF7"/>
    <w:rsid w:val="76595105"/>
    <w:rsid w:val="76D52C07"/>
    <w:rsid w:val="76DA2AD6"/>
    <w:rsid w:val="7707109B"/>
    <w:rsid w:val="773A3D47"/>
    <w:rsid w:val="77566D98"/>
    <w:rsid w:val="777364A9"/>
    <w:rsid w:val="778255A2"/>
    <w:rsid w:val="77F73293"/>
    <w:rsid w:val="77FE759E"/>
    <w:rsid w:val="786077DD"/>
    <w:rsid w:val="78E51593"/>
    <w:rsid w:val="79AD200E"/>
    <w:rsid w:val="79E11320"/>
    <w:rsid w:val="79F50E3C"/>
    <w:rsid w:val="79F93A46"/>
    <w:rsid w:val="7A0C4606"/>
    <w:rsid w:val="7A4846DF"/>
    <w:rsid w:val="7A73714A"/>
    <w:rsid w:val="7B2FC48D"/>
    <w:rsid w:val="7B3767D8"/>
    <w:rsid w:val="7B3927AA"/>
    <w:rsid w:val="7B6417FB"/>
    <w:rsid w:val="7B6F11D3"/>
    <w:rsid w:val="7BED7A99"/>
    <w:rsid w:val="7C640F90"/>
    <w:rsid w:val="7C6914E9"/>
    <w:rsid w:val="7C6A03D6"/>
    <w:rsid w:val="7C82671B"/>
    <w:rsid w:val="7C965D14"/>
    <w:rsid w:val="7CA207E3"/>
    <w:rsid w:val="7CDD5492"/>
    <w:rsid w:val="7D0A3F03"/>
    <w:rsid w:val="7D4C1CF5"/>
    <w:rsid w:val="7D6B1670"/>
    <w:rsid w:val="7DA51337"/>
    <w:rsid w:val="7DBA0CF0"/>
    <w:rsid w:val="7DE27159"/>
    <w:rsid w:val="7DFEBAA0"/>
    <w:rsid w:val="7E1F1F8C"/>
    <w:rsid w:val="7E2B3AE9"/>
    <w:rsid w:val="7E80725B"/>
    <w:rsid w:val="7ED236E9"/>
    <w:rsid w:val="7EDA516C"/>
    <w:rsid w:val="7F0F65E8"/>
    <w:rsid w:val="7F5BB1D2"/>
    <w:rsid w:val="7FAB0C52"/>
    <w:rsid w:val="7FBF965F"/>
    <w:rsid w:val="7FEB346E"/>
    <w:rsid w:val="7FFDB775"/>
    <w:rsid w:val="9D33A861"/>
    <w:rsid w:val="BB1FBF0F"/>
    <w:rsid w:val="E7FDA38D"/>
    <w:rsid w:val="FFAF8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0"/>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7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7">
    <w:name w:val="heading 5"/>
    <w:basedOn w:val="1"/>
    <w:next w:val="1"/>
    <w:link w:val="6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42"/>
    <w:qFormat/>
    <w:uiPriority w:val="0"/>
    <w:pPr>
      <w:keepNext/>
      <w:keepLines/>
      <w:spacing w:before="240" w:after="64" w:line="320" w:lineRule="auto"/>
      <w:outlineLvl w:val="5"/>
    </w:pPr>
    <w:rPr>
      <w:rFonts w:ascii="Calibri Light" w:hAnsi="Calibri Light" w:eastAsia="楷体_GB2312"/>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 w:val="left" w:pos="1260"/>
        <w:tab w:val="left" w:pos="2160"/>
        <w:tab w:val="left" w:pos="2880"/>
        <w:tab w:val="left" w:pos="3600"/>
        <w:tab w:val="left" w:pos="4320"/>
        <w:tab w:val="left" w:pos="5040"/>
        <w:tab w:val="left" w:pos="5760"/>
      </w:tabs>
      <w:ind w:firstLine="420"/>
    </w:pPr>
  </w:style>
  <w:style w:type="paragraph" w:styleId="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9">
    <w:name w:val="List Number"/>
    <w:basedOn w:val="1"/>
    <w:qFormat/>
    <w:uiPriority w:val="99"/>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10">
    <w:name w:val="Normal Indent"/>
    <w:basedOn w:val="1"/>
    <w:next w:val="1"/>
    <w:qFormat/>
    <w:uiPriority w:val="0"/>
    <w:pPr>
      <w:ind w:firstLine="420"/>
    </w:pPr>
    <w:rPr>
      <w:szCs w:val="20"/>
    </w:rPr>
  </w:style>
  <w:style w:type="paragraph" w:styleId="11">
    <w:name w:val="caption"/>
    <w:basedOn w:val="1"/>
    <w:next w:val="1"/>
    <w:qFormat/>
    <w:uiPriority w:val="0"/>
    <w:pPr>
      <w:spacing w:before="152" w:after="160"/>
    </w:pPr>
    <w:rPr>
      <w:rFonts w:ascii="Tahoma" w:hAnsi="Tahoma" w:eastAsia="Cambria Math" w:cs="Tahoma"/>
      <w:sz w:val="20"/>
      <w:szCs w:val="20"/>
    </w:rPr>
  </w:style>
  <w:style w:type="paragraph" w:styleId="12">
    <w:name w:val="annotation text"/>
    <w:basedOn w:val="1"/>
    <w:link w:val="36"/>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pPr>
      <w:spacing w:after="120"/>
    </w:pPr>
  </w:style>
  <w:style w:type="paragraph" w:styleId="15">
    <w:name w:val="Body Text First Indent"/>
    <w:basedOn w:val="14"/>
    <w:next w:val="16"/>
    <w:qFormat/>
    <w:uiPriority w:val="99"/>
    <w:pPr>
      <w:ind w:firstLine="420"/>
    </w:pPr>
    <w:rPr>
      <w:sz w:val="21"/>
    </w:rPr>
  </w:style>
  <w:style w:type="paragraph" w:styleId="16">
    <w:name w:val="toc 6"/>
    <w:basedOn w:val="1"/>
    <w:next w:val="1"/>
    <w:qFormat/>
    <w:uiPriority w:val="39"/>
    <w:pPr>
      <w:widowControl/>
      <w:ind w:left="1000"/>
      <w:jc w:val="left"/>
    </w:pPr>
    <w:rPr>
      <w:kern w:val="0"/>
      <w:sz w:val="18"/>
      <w:szCs w:val="20"/>
    </w:rPr>
  </w:style>
  <w:style w:type="paragraph" w:styleId="17">
    <w:name w:val="List 2"/>
    <w:basedOn w:val="1"/>
    <w:qFormat/>
    <w:uiPriority w:val="0"/>
    <w:pPr>
      <w:ind w:left="100" w:leftChars="200" w:hanging="200" w:hangingChars="200"/>
    </w:pPr>
  </w:style>
  <w:style w:type="paragraph" w:styleId="18">
    <w:name w:val="Plain Text"/>
    <w:basedOn w:val="1"/>
    <w:link w:val="41"/>
    <w:qFormat/>
    <w:uiPriority w:val="0"/>
    <w:rPr>
      <w:rFonts w:ascii="楷体_GB2312" w:hAnsi="Courier New" w:eastAsia="楷体_GB2312"/>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37"/>
    <w:qFormat/>
    <w:uiPriority w:val="0"/>
    <w:rPr>
      <w:sz w:val="18"/>
      <w:szCs w:val="18"/>
    </w:rPr>
  </w:style>
  <w:style w:type="paragraph" w:styleId="22">
    <w:name w:val="footer"/>
    <w:basedOn w:val="1"/>
    <w:link w:val="38"/>
    <w:qFormat/>
    <w:uiPriority w:val="0"/>
    <w:pPr>
      <w:tabs>
        <w:tab w:val="center" w:pos="4153"/>
        <w:tab w:val="right" w:pos="8306"/>
      </w:tabs>
      <w:snapToGrid w:val="0"/>
      <w:jc w:val="left"/>
    </w:pPr>
    <w:rPr>
      <w:sz w:val="18"/>
      <w:szCs w:val="18"/>
    </w:rPr>
  </w:style>
  <w:style w:type="paragraph" w:styleId="23">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4">
    <w:name w:val="List"/>
    <w:basedOn w:val="1"/>
    <w:qFormat/>
    <w:uiPriority w:val="0"/>
    <w:pPr>
      <w:ind w:left="200" w:hanging="200" w:hangingChars="200"/>
    </w:pPr>
    <w:rPr>
      <w:sz w:val="28"/>
    </w:rPr>
  </w:style>
  <w:style w:type="paragraph" w:styleId="2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6">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7">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12"/>
    <w:next w:val="12"/>
    <w:link w:val="39"/>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批注文字 字符"/>
    <w:link w:val="12"/>
    <w:qFormat/>
    <w:uiPriority w:val="0"/>
    <w:rPr>
      <w:kern w:val="2"/>
      <w:sz w:val="21"/>
      <w:szCs w:val="24"/>
    </w:rPr>
  </w:style>
  <w:style w:type="character" w:customStyle="1" w:styleId="37">
    <w:name w:val="批注框文本 字符"/>
    <w:link w:val="21"/>
    <w:qFormat/>
    <w:uiPriority w:val="0"/>
    <w:rPr>
      <w:kern w:val="2"/>
      <w:sz w:val="18"/>
      <w:szCs w:val="18"/>
    </w:rPr>
  </w:style>
  <w:style w:type="character" w:customStyle="1" w:styleId="38">
    <w:name w:val="页脚 字符"/>
    <w:link w:val="22"/>
    <w:qFormat/>
    <w:uiPriority w:val="0"/>
    <w:rPr>
      <w:kern w:val="2"/>
      <w:sz w:val="18"/>
      <w:szCs w:val="18"/>
    </w:rPr>
  </w:style>
  <w:style w:type="character" w:customStyle="1" w:styleId="39">
    <w:name w:val="批注主题 字符"/>
    <w:basedOn w:val="36"/>
    <w:link w:val="28"/>
    <w:qFormat/>
    <w:uiPriority w:val="0"/>
    <w:rPr>
      <w:kern w:val="2"/>
      <w:sz w:val="21"/>
      <w:szCs w:val="24"/>
    </w:rPr>
  </w:style>
  <w:style w:type="character" w:customStyle="1" w:styleId="40">
    <w:name w:val="页眉 字符"/>
    <w:link w:val="23"/>
    <w:qFormat/>
    <w:uiPriority w:val="99"/>
    <w:rPr>
      <w:kern w:val="2"/>
      <w:sz w:val="18"/>
      <w:szCs w:val="18"/>
    </w:rPr>
  </w:style>
  <w:style w:type="character" w:customStyle="1" w:styleId="41">
    <w:name w:val="纯文本 字符"/>
    <w:link w:val="18"/>
    <w:qFormat/>
    <w:uiPriority w:val="0"/>
    <w:rPr>
      <w:rFonts w:ascii="楷体_GB2312" w:hAnsi="Courier New" w:eastAsia="楷体_GB2312"/>
      <w:kern w:val="2"/>
      <w:sz w:val="21"/>
      <w:szCs w:val="24"/>
      <w:lang w:val="en-US" w:eastAsia="zh-CN" w:bidi="ar-SA"/>
    </w:rPr>
  </w:style>
  <w:style w:type="character" w:customStyle="1" w:styleId="42">
    <w:name w:val="标题 6 字符"/>
    <w:link w:val="8"/>
    <w:semiHidden/>
    <w:qFormat/>
    <w:uiPriority w:val="0"/>
    <w:rPr>
      <w:rFonts w:ascii="Calibri Light" w:hAnsi="Calibri Light" w:eastAsia="楷体_GB2312" w:cs="@方正书宋简体"/>
      <w:b/>
      <w:bCs/>
      <w:kern w:val="2"/>
      <w:sz w:val="24"/>
      <w:szCs w:val="24"/>
    </w:rPr>
  </w:style>
  <w:style w:type="paragraph" w:customStyle="1" w:styleId="43">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4">
    <w:name w:val="列出段落1"/>
    <w:basedOn w:val="1"/>
    <w:qFormat/>
    <w:uiPriority w:val="0"/>
    <w:pPr>
      <w:ind w:firstLine="420" w:firstLineChars="200"/>
    </w:pPr>
    <w:rPr>
      <w:kern w:val="0"/>
      <w:szCs w:val="20"/>
    </w:rPr>
  </w:style>
  <w:style w:type="paragraph" w:customStyle="1" w:styleId="45">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7">
    <w:name w:val="列出段落2"/>
    <w:basedOn w:val="1"/>
    <w:qFormat/>
    <w:uiPriority w:val="34"/>
    <w:pPr>
      <w:ind w:firstLine="420" w:firstLineChars="200"/>
    </w:pPr>
    <w:rPr>
      <w:rFonts w:eastAsia="楷体_GB2312" w:cs="@方正书宋简体"/>
      <w:szCs w:val="22"/>
    </w:rPr>
  </w:style>
  <w:style w:type="paragraph" w:customStyle="1" w:styleId="48">
    <w:name w:val="正文_1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9">
    <w:name w:val="p0"/>
    <w:basedOn w:val="1"/>
    <w:qFormat/>
    <w:uiPriority w:val="0"/>
    <w:pPr>
      <w:widowControl/>
      <w:spacing w:line="365" w:lineRule="atLeast"/>
      <w:ind w:left="1"/>
    </w:pPr>
    <w:rPr>
      <w:kern w:val="0"/>
      <w:sz w:val="20"/>
      <w:szCs w:val="20"/>
    </w:rPr>
  </w:style>
  <w:style w:type="paragraph" w:customStyle="1" w:styleId="50">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51">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Char"/>
    <w:basedOn w:val="1"/>
    <w:qFormat/>
    <w:uiPriority w:val="0"/>
  </w:style>
  <w:style w:type="paragraph" w:customStyle="1" w:styleId="54">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5">
    <w:name w:val="正文_14"/>
    <w:qFormat/>
    <w:uiPriority w:val="0"/>
    <w:rPr>
      <w:rFonts w:ascii="Calibri" w:hAnsi="Calibri" w:eastAsia="宋体" w:cs="Times New Roman"/>
      <w:sz w:val="21"/>
      <w:lang w:val="en-US" w:eastAsia="zh-CN" w:bidi="ar-SA"/>
    </w:rPr>
  </w:style>
  <w:style w:type="paragraph" w:customStyle="1" w:styleId="5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Char1"/>
    <w:basedOn w:val="1"/>
    <w:qFormat/>
    <w:uiPriority w:val="0"/>
  </w:style>
  <w:style w:type="paragraph" w:customStyle="1" w:styleId="58">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Table Paragraph"/>
    <w:basedOn w:val="1"/>
    <w:qFormat/>
    <w:uiPriority w:val="1"/>
    <w:rPr>
      <w:szCs w:val="20"/>
    </w:rPr>
  </w:style>
  <w:style w:type="paragraph" w:customStyle="1" w:styleId="63">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列出段落3"/>
    <w:basedOn w:val="1"/>
    <w:link w:val="72"/>
    <w:qFormat/>
    <w:uiPriority w:val="34"/>
    <w:pPr>
      <w:ind w:firstLine="420" w:firstLineChars="200"/>
    </w:pPr>
  </w:style>
  <w:style w:type="character" w:customStyle="1" w:styleId="65">
    <w:name w:val="bookmark-item"/>
    <w:basedOn w:val="31"/>
    <w:qFormat/>
    <w:uiPriority w:val="0"/>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
    <w:name w:val="标题 5 字符"/>
    <w:basedOn w:val="31"/>
    <w:link w:val="7"/>
    <w:semiHidden/>
    <w:qFormat/>
    <w:uiPriority w:val="0"/>
    <w:rPr>
      <w:b/>
      <w:bCs/>
      <w:kern w:val="2"/>
      <w:sz w:val="28"/>
      <w:szCs w:val="28"/>
    </w:rPr>
  </w:style>
  <w:style w:type="paragraph" w:customStyle="1" w:styleId="68">
    <w:name w:val="表格内容"/>
    <w:basedOn w:val="1"/>
    <w:qFormat/>
    <w:uiPriority w:val="2"/>
    <w:pPr>
      <w:widowControl/>
      <w:jc w:val="center"/>
    </w:pPr>
    <w:rPr>
      <w:rFonts w:ascii="Times New Roman" w:hAnsi="Times New Roman"/>
      <w:kern w:val="0"/>
      <w:sz w:val="24"/>
      <w:szCs w:val="28"/>
    </w:rPr>
  </w:style>
  <w:style w:type="paragraph" w:customStyle="1" w:styleId="69">
    <w:name w:val="修订1"/>
    <w:hidden/>
    <w:unhideWhenUsed/>
    <w:qFormat/>
    <w:uiPriority w:val="99"/>
    <w:rPr>
      <w:rFonts w:ascii="Calibri" w:hAnsi="Calibri" w:eastAsia="宋体" w:cs="Times New Roman"/>
      <w:kern w:val="2"/>
      <w:sz w:val="21"/>
      <w:szCs w:val="24"/>
      <w:lang w:val="en-US" w:eastAsia="zh-CN" w:bidi="ar-SA"/>
    </w:rPr>
  </w:style>
  <w:style w:type="character" w:customStyle="1" w:styleId="70">
    <w:name w:val="标题 1 字符"/>
    <w:basedOn w:val="31"/>
    <w:link w:val="4"/>
    <w:qFormat/>
    <w:uiPriority w:val="0"/>
    <w:rPr>
      <w:rFonts w:ascii="Times New Roman" w:hAnsi="Times New Roman"/>
      <w:b/>
      <w:bCs/>
      <w:kern w:val="44"/>
      <w:sz w:val="44"/>
      <w:szCs w:val="44"/>
    </w:rPr>
  </w:style>
  <w:style w:type="character" w:customStyle="1" w:styleId="71">
    <w:name w:val="标题 2 字符"/>
    <w:basedOn w:val="31"/>
    <w:link w:val="5"/>
    <w:qFormat/>
    <w:uiPriority w:val="0"/>
    <w:rPr>
      <w:rFonts w:asciiTheme="majorHAnsi" w:hAnsiTheme="majorHAnsi" w:eastAsiaTheme="majorEastAsia" w:cstheme="majorBidi"/>
      <w:b/>
      <w:bCs/>
      <w:kern w:val="2"/>
      <w:sz w:val="32"/>
      <w:szCs w:val="32"/>
    </w:rPr>
  </w:style>
  <w:style w:type="character" w:customStyle="1" w:styleId="72">
    <w:name w:val="列出段落 Char"/>
    <w:link w:val="64"/>
    <w:qFormat/>
    <w:uiPriority w:val="34"/>
    <w:rPr>
      <w:kern w:val="2"/>
      <w:sz w:val="21"/>
      <w:szCs w:val="24"/>
    </w:rPr>
  </w:style>
  <w:style w:type="character" w:customStyle="1" w:styleId="73">
    <w:name w:val="*正文 Char"/>
    <w:link w:val="74"/>
    <w:qFormat/>
    <w:uiPriority w:val="0"/>
    <w:rPr>
      <w:rFonts w:ascii="宋体" w:hAnsi="宋体"/>
      <w:sz w:val="24"/>
      <w:szCs w:val="24"/>
    </w:rPr>
  </w:style>
  <w:style w:type="paragraph" w:customStyle="1" w:styleId="74">
    <w:name w:val="*正文"/>
    <w:basedOn w:val="1"/>
    <w:link w:val="73"/>
    <w:qFormat/>
    <w:uiPriority w:val="0"/>
    <w:pPr>
      <w:spacing w:line="360" w:lineRule="auto"/>
      <w:ind w:firstLine="200" w:firstLineChars="200"/>
    </w:pPr>
    <w:rPr>
      <w:rFonts w:ascii="宋体" w:hAnsi="宋体"/>
      <w:kern w:val="0"/>
      <w:sz w:val="24"/>
    </w:rPr>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
    <w:qFormat/>
    <w:uiPriority w:val="0"/>
    <w:rPr>
      <w:rFonts w:ascii="宋体" w:hAnsi="宋体" w:eastAsia="宋体" w:cs="Times New Roman"/>
      <w:sz w:val="24"/>
      <w:lang w:val="en-US" w:eastAsia="en-US" w:bidi="ar-SA"/>
    </w:rPr>
  </w:style>
  <w:style w:type="character" w:customStyle="1" w:styleId="79">
    <w:name w:val="标题 1 Char Char"/>
    <w:qFormat/>
    <w:uiPriority w:val="0"/>
    <w:rPr>
      <w:rFonts w:ascii="仿宋_GB2312" w:eastAsia="宋体"/>
      <w:b/>
      <w:spacing w:val="-2"/>
      <w:sz w:val="24"/>
      <w:szCs w:val="32"/>
      <w:lang w:val="en-US" w:eastAsia="zh-CN" w:bidi="ar-SA"/>
    </w:rPr>
  </w:style>
  <w:style w:type="paragraph" w:customStyle="1" w:styleId="80">
    <w:name w:val="纯文本1"/>
    <w:basedOn w:val="1"/>
    <w:qFormat/>
    <w:uiPriority w:val="99"/>
    <w:pPr>
      <w:adjustRightInd w:val="0"/>
      <w:textAlignment w:val="baseline"/>
    </w:pPr>
    <w:rPr>
      <w:rFonts w:ascii="宋体" w:hAnsi="Courier New" w:eastAsia="楷体_GB2312"/>
      <w:sz w:val="28"/>
      <w:szCs w:val="20"/>
    </w:rPr>
  </w:style>
  <w:style w:type="paragraph" w:styleId="81">
    <w:name w:val="List Paragraph"/>
    <w:basedOn w:val="1"/>
    <w:qFormat/>
    <w:uiPriority w:val="99"/>
    <w:pPr>
      <w:ind w:firstLine="420" w:firstLineChars="200"/>
    </w:pPr>
  </w:style>
  <w:style w:type="paragraph" w:customStyle="1" w:styleId="82">
    <w:name w:val="正文首行缩进1"/>
    <w:basedOn w:val="14"/>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46</Pages>
  <Words>20953</Words>
  <Characters>22249</Characters>
  <Lines>182</Lines>
  <Paragraphs>51</Paragraphs>
  <TotalTime>9</TotalTime>
  <ScaleCrop>false</ScaleCrop>
  <LinksUpToDate>false</LinksUpToDate>
  <CharactersWithSpaces>23004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2021-02-28T18:46:00Z</dcterms:created>
  <dc:creator>DELL</dc:creator>
  <cp:lastModifiedBy>友人A</cp:lastModifiedBy>
  <cp:lastPrinted>2021-02-24T16:45:00Z</cp:lastPrinted>
  <dcterms:modified xsi:type="dcterms:W3CDTF">2025-01-23T08:12:38Z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F8AD22B295134F05877FB82D446BBAA3_13</vt:lpwstr>
  </property>
  <property fmtid="{D5CDD505-2E9C-101B-9397-08002B2CF9AE}" pid="4" name="KSOTemplateDocerSaveRecord">
    <vt:lpwstr>eyJoZGlkIjoiODk3MGUzYzRmNzc4YWI3NTkwM2UyMGIxZmQzZmI0NGMiLCJ1c2VySWQiOiIxMDI2MjQwNjA4In0=</vt:lpwstr>
  </property>
</Properties>
</file>