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p>
    <w:p>
      <w:pPr>
        <w:jc w:val="center"/>
      </w:pPr>
      <w:r>
        <w:rPr>
          <w:rStyle w:val="66"/>
          <w:rFonts w:hint="eastAsia" w:ascii="宋体" w:hAnsi="宋体" w:cs="宋体"/>
          <w:color w:val="auto"/>
          <w:spacing w:val="0"/>
          <w:sz w:val="52"/>
          <w:szCs w:val="52"/>
        </w:rPr>
        <w:t xml:space="preserve"> 安吉技师学院单片机实训室建设项目</w:t>
      </w:r>
    </w:p>
    <w:p>
      <w:pPr>
        <w:tabs>
          <w:tab w:val="left" w:pos="7692"/>
        </w:tabs>
        <w:jc w:val="left"/>
      </w:pPr>
      <w:r>
        <w:rPr>
          <w:rFonts w:hint="eastAsia"/>
        </w:rPr>
        <w:tab/>
      </w:r>
    </w:p>
    <w:p>
      <w:pPr>
        <w:spacing w:before="120" w:beforeLines="50" w:line="700" w:lineRule="exact"/>
        <w:jc w:val="center"/>
        <w:rPr>
          <w:rStyle w:val="66"/>
          <w:rFonts w:ascii="宋体" w:hAnsi="宋体" w:cs="宋体"/>
          <w:color w:val="auto"/>
          <w:spacing w:val="0"/>
          <w:sz w:val="72"/>
          <w:szCs w:val="44"/>
        </w:rPr>
      </w:pPr>
      <w:r>
        <w:rPr>
          <w:rStyle w:val="66"/>
          <w:rFonts w:hint="eastAsia" w:ascii="宋体" w:hAnsi="宋体" w:cs="宋体"/>
          <w:color w:val="auto"/>
          <w:spacing w:val="0"/>
          <w:sz w:val="72"/>
          <w:szCs w:val="44"/>
        </w:rPr>
        <w:t>公</w:t>
      </w:r>
    </w:p>
    <w:p>
      <w:pPr>
        <w:spacing w:before="120" w:beforeLines="50" w:line="800" w:lineRule="exact"/>
        <w:jc w:val="center"/>
        <w:rPr>
          <w:rStyle w:val="66"/>
          <w:rFonts w:ascii="宋体" w:hAnsi="宋体" w:cs="宋体"/>
          <w:color w:val="auto"/>
          <w:spacing w:val="0"/>
          <w:sz w:val="72"/>
          <w:szCs w:val="44"/>
        </w:rPr>
      </w:pPr>
      <w:r>
        <w:rPr>
          <w:rStyle w:val="66"/>
          <w:rFonts w:hint="eastAsia" w:ascii="宋体" w:hAnsi="宋体" w:cs="宋体"/>
          <w:color w:val="auto"/>
          <w:spacing w:val="0"/>
          <w:sz w:val="72"/>
          <w:szCs w:val="44"/>
        </w:rPr>
        <w:t>开</w:t>
      </w:r>
    </w:p>
    <w:p>
      <w:pPr>
        <w:spacing w:before="120" w:beforeLines="50" w:line="800" w:lineRule="exact"/>
        <w:jc w:val="center"/>
        <w:rPr>
          <w:rStyle w:val="66"/>
          <w:rFonts w:ascii="宋体" w:hAnsi="宋体" w:cs="宋体"/>
          <w:color w:val="auto"/>
          <w:spacing w:val="0"/>
          <w:sz w:val="72"/>
          <w:szCs w:val="44"/>
        </w:rPr>
      </w:pPr>
      <w:r>
        <w:rPr>
          <w:rStyle w:val="66"/>
          <w:rFonts w:hint="eastAsia" w:ascii="宋体" w:hAnsi="宋体" w:cs="宋体"/>
          <w:color w:val="auto"/>
          <w:spacing w:val="0"/>
          <w:sz w:val="72"/>
          <w:szCs w:val="44"/>
        </w:rPr>
        <w:t>招</w:t>
      </w:r>
    </w:p>
    <w:p>
      <w:pPr>
        <w:spacing w:before="120" w:beforeLines="50" w:line="800" w:lineRule="exact"/>
        <w:jc w:val="center"/>
        <w:rPr>
          <w:rStyle w:val="66"/>
          <w:rFonts w:ascii="宋体" w:hAnsi="宋体" w:cs="宋体"/>
          <w:color w:val="auto"/>
          <w:spacing w:val="0"/>
          <w:sz w:val="72"/>
          <w:szCs w:val="44"/>
        </w:rPr>
      </w:pPr>
      <w:r>
        <w:rPr>
          <w:rStyle w:val="66"/>
          <w:rFonts w:hint="eastAsia" w:ascii="宋体" w:hAnsi="宋体" w:cs="宋体"/>
          <w:color w:val="auto"/>
          <w:spacing w:val="0"/>
          <w:sz w:val="72"/>
          <w:szCs w:val="44"/>
        </w:rPr>
        <w:t>标</w:t>
      </w:r>
    </w:p>
    <w:p>
      <w:pPr>
        <w:spacing w:before="120" w:beforeLines="50" w:line="800" w:lineRule="exact"/>
        <w:jc w:val="center"/>
        <w:rPr>
          <w:rStyle w:val="66"/>
          <w:rFonts w:ascii="宋体" w:hAnsi="宋体" w:cs="宋体"/>
          <w:color w:val="auto"/>
          <w:spacing w:val="0"/>
          <w:sz w:val="72"/>
          <w:szCs w:val="72"/>
        </w:rPr>
      </w:pPr>
      <w:r>
        <w:rPr>
          <w:rStyle w:val="66"/>
          <w:rFonts w:hint="eastAsia" w:ascii="宋体" w:hAnsi="宋体" w:cs="宋体"/>
          <w:color w:val="auto"/>
          <w:spacing w:val="0"/>
          <w:sz w:val="72"/>
          <w:szCs w:val="72"/>
        </w:rPr>
        <w:t>采</w:t>
      </w:r>
    </w:p>
    <w:p>
      <w:pPr>
        <w:spacing w:before="120" w:beforeLines="50" w:line="800" w:lineRule="exact"/>
        <w:jc w:val="center"/>
        <w:rPr>
          <w:rStyle w:val="66"/>
          <w:rFonts w:ascii="宋体" w:hAnsi="宋体" w:cs="宋体"/>
          <w:color w:val="auto"/>
          <w:spacing w:val="0"/>
          <w:sz w:val="72"/>
          <w:szCs w:val="72"/>
        </w:rPr>
      </w:pPr>
      <w:r>
        <w:rPr>
          <w:rStyle w:val="66"/>
          <w:rFonts w:hint="eastAsia" w:ascii="宋体" w:hAnsi="宋体" w:cs="宋体"/>
          <w:color w:val="auto"/>
          <w:spacing w:val="0"/>
          <w:sz w:val="72"/>
          <w:szCs w:val="72"/>
        </w:rPr>
        <w:t>购</w:t>
      </w:r>
    </w:p>
    <w:p>
      <w:pPr>
        <w:spacing w:before="120" w:beforeLines="50" w:line="800" w:lineRule="exact"/>
        <w:jc w:val="center"/>
        <w:rPr>
          <w:rStyle w:val="66"/>
          <w:rFonts w:ascii="宋体" w:hAnsi="宋体" w:cs="宋体"/>
          <w:color w:val="auto"/>
          <w:spacing w:val="0"/>
          <w:sz w:val="72"/>
          <w:szCs w:val="72"/>
        </w:rPr>
      </w:pPr>
      <w:r>
        <w:rPr>
          <w:rStyle w:val="66"/>
          <w:rFonts w:hint="eastAsia" w:ascii="宋体" w:hAnsi="宋体" w:cs="宋体"/>
          <w:color w:val="auto"/>
          <w:spacing w:val="0"/>
          <w:sz w:val="72"/>
          <w:szCs w:val="72"/>
        </w:rPr>
        <w:t>文</w:t>
      </w:r>
    </w:p>
    <w:p>
      <w:pPr>
        <w:spacing w:before="120" w:beforeLines="50" w:line="800" w:lineRule="exact"/>
        <w:jc w:val="center"/>
        <w:rPr>
          <w:rStyle w:val="66"/>
          <w:rFonts w:ascii="宋体" w:hAnsi="宋体" w:cs="宋体"/>
          <w:color w:val="auto"/>
          <w:spacing w:val="0"/>
          <w:sz w:val="72"/>
          <w:szCs w:val="72"/>
        </w:rPr>
      </w:pPr>
      <w:r>
        <w:rPr>
          <w:rStyle w:val="66"/>
          <w:rFonts w:hint="eastAsia" w:ascii="宋体" w:hAnsi="宋体" w:cs="宋体"/>
          <w:color w:val="auto"/>
          <w:spacing w:val="0"/>
          <w:sz w:val="72"/>
          <w:szCs w:val="72"/>
        </w:rPr>
        <w:t>件</w:t>
      </w:r>
    </w:p>
    <w:p>
      <w:pPr>
        <w:pStyle w:val="15"/>
        <w:snapToGrid w:val="0"/>
        <w:spacing w:beforeLines="0" w:afterLines="0" w:line="300" w:lineRule="exact"/>
        <w:rPr>
          <w:rFonts w:hAnsi="宋体" w:cs="宋体"/>
        </w:rPr>
      </w:pPr>
    </w:p>
    <w:p>
      <w:pPr>
        <w:pStyle w:val="15"/>
        <w:snapToGrid w:val="0"/>
        <w:spacing w:beforeLines="0" w:afterLines="0" w:line="300" w:lineRule="exact"/>
        <w:rPr>
          <w:rFonts w:hAnsi="宋体" w:cs="宋体"/>
        </w:rPr>
      </w:pPr>
      <w:r>
        <w:rPr>
          <w:rFonts w:hint="eastAsia" w:hAnsi="宋体" w:cs="宋体"/>
        </w:rPr>
        <w:t>项目编号：HZJNAJ-2024010</w:t>
      </w:r>
    </w:p>
    <w:p>
      <w:pPr>
        <w:pStyle w:val="15"/>
        <w:snapToGrid w:val="0"/>
        <w:spacing w:beforeLines="0" w:afterLines="0" w:line="300" w:lineRule="exact"/>
        <w:rPr>
          <w:rFonts w:hAnsi="宋体" w:cs="宋体"/>
        </w:rPr>
      </w:pPr>
      <w:r>
        <w:rPr>
          <w:rFonts w:hint="eastAsia" w:hAnsi="宋体" w:cs="宋体"/>
        </w:rPr>
        <w:t>项目名称：安吉技师学院单片机实训室建设项目</w:t>
      </w:r>
    </w:p>
    <w:p>
      <w:pPr>
        <w:pStyle w:val="15"/>
        <w:snapToGrid w:val="0"/>
        <w:spacing w:beforeLines="0" w:afterLines="0" w:line="300" w:lineRule="exact"/>
        <w:rPr>
          <w:rFonts w:hAnsi="宋体" w:cs="宋体"/>
        </w:rPr>
      </w:pPr>
      <w:r>
        <w:rPr>
          <w:rFonts w:hint="eastAsia" w:hAnsi="宋体" w:cs="宋体"/>
        </w:rPr>
        <w:t xml:space="preserve">采购单位：安吉技师学院 </w:t>
      </w:r>
    </w:p>
    <w:p>
      <w:pPr>
        <w:pStyle w:val="15"/>
        <w:snapToGrid w:val="0"/>
        <w:spacing w:beforeLines="0" w:afterLines="0" w:line="300" w:lineRule="exact"/>
        <w:rPr>
          <w:rFonts w:hAnsi="宋体" w:cs="宋体"/>
        </w:rPr>
      </w:pPr>
      <w:r>
        <w:rPr>
          <w:rFonts w:hint="eastAsia" w:hAnsi="宋体" w:cs="宋体"/>
        </w:rPr>
        <w:t>采购代理机构：湖州江南工程管理有限公司</w:t>
      </w:r>
    </w:p>
    <w:p>
      <w:pPr>
        <w:pStyle w:val="15"/>
        <w:snapToGrid w:val="0"/>
        <w:spacing w:beforeLines="0" w:afterLines="0" w:line="300" w:lineRule="exact"/>
        <w:rPr>
          <w:rFonts w:hAnsi="宋体" w:cs="宋体"/>
        </w:rPr>
      </w:pPr>
      <w:r>
        <w:rPr>
          <w:rFonts w:hint="eastAsia" w:hAnsi="宋体" w:cs="宋体"/>
        </w:rPr>
        <w:t>采购类型：分散采购委托代理</w:t>
      </w:r>
    </w:p>
    <w:p>
      <w:pPr>
        <w:pStyle w:val="15"/>
        <w:snapToGrid w:val="0"/>
        <w:spacing w:beforeLines="0" w:afterLines="0" w:line="300" w:lineRule="exact"/>
        <w:jc w:val="right"/>
        <w:rPr>
          <w:rFonts w:hAnsi="宋体" w:cs="宋体"/>
        </w:rPr>
      </w:pPr>
    </w:p>
    <w:p>
      <w:pPr>
        <w:pStyle w:val="15"/>
        <w:snapToGrid w:val="0"/>
        <w:spacing w:beforeLines="0" w:afterLines="0" w:line="300" w:lineRule="exact"/>
        <w:jc w:val="right"/>
        <w:rPr>
          <w:rFonts w:hAnsi="宋体" w:cs="宋体"/>
        </w:rPr>
      </w:pPr>
    </w:p>
    <w:p>
      <w:pPr>
        <w:pStyle w:val="15"/>
        <w:snapToGrid w:val="0"/>
        <w:spacing w:beforeLines="0" w:afterLines="0" w:line="300" w:lineRule="exact"/>
        <w:jc w:val="right"/>
        <w:rPr>
          <w:rFonts w:hAnsi="宋体" w:cs="宋体"/>
          <w:b/>
          <w:sz w:val="44"/>
          <w:szCs w:val="44"/>
        </w:rPr>
      </w:pPr>
      <w:r>
        <w:rPr>
          <w:rFonts w:hint="eastAsia" w:hAnsi="宋体" w:cs="宋体"/>
        </w:rPr>
        <w:t>2024年6月</w:t>
      </w:r>
    </w:p>
    <w:p>
      <w:pPr>
        <w:pStyle w:val="16"/>
        <w:ind w:left="0" w:leftChars="0"/>
      </w:pPr>
    </w:p>
    <w:p/>
    <w:p>
      <w:pPr>
        <w:pStyle w:val="11"/>
      </w:pPr>
    </w:p>
    <w:p>
      <w:pPr>
        <w:pStyle w:val="15"/>
        <w:snapToGrid w:val="0"/>
        <w:spacing w:beforeLines="0" w:afterLines="0" w:line="240" w:lineRule="auto"/>
        <w:jc w:val="center"/>
        <w:rPr>
          <w:rFonts w:hAnsi="宋体" w:cs="宋体"/>
          <w:b/>
          <w:sz w:val="44"/>
          <w:szCs w:val="44"/>
        </w:rPr>
      </w:pPr>
      <w:r>
        <w:rPr>
          <w:rFonts w:hint="eastAsia" w:hAnsi="宋体" w:cs="宋体"/>
          <w:b/>
          <w:sz w:val="44"/>
          <w:szCs w:val="44"/>
        </w:rPr>
        <w:t>目      录</w:t>
      </w:r>
    </w:p>
    <w:p>
      <w:pPr>
        <w:pStyle w:val="21"/>
        <w:tabs>
          <w:tab w:val="right" w:leader="dot" w:pos="9412"/>
        </w:tabs>
        <w:spacing w:line="560" w:lineRule="exact"/>
      </w:pPr>
      <w:bookmarkStart w:id="0" w:name="_Toc317341927"/>
      <w:r>
        <w:rPr>
          <w:rFonts w:hint="eastAsia" w:ascii="宋体" w:hAnsi="宋体" w:cs="宋体"/>
          <w:sz w:val="24"/>
        </w:rPr>
        <w:fldChar w:fldCharType="begin"/>
      </w:r>
      <w:r>
        <w:rPr>
          <w:rStyle w:val="66"/>
          <w:rFonts w:hint="eastAsia" w:ascii="宋体" w:hAnsi="宋体" w:cs="宋体"/>
          <w:color w:val="auto"/>
          <w:spacing w:val="0"/>
          <w:sz w:val="24"/>
          <w:szCs w:val="24"/>
        </w:rPr>
        <w:instrText xml:space="preserve"> TOC \o "1-2" \u </w:instrText>
      </w:r>
      <w:r>
        <w:rPr>
          <w:rFonts w:hint="eastAsia" w:ascii="宋体" w:hAnsi="宋体" w:cs="宋体"/>
          <w:sz w:val="24"/>
        </w:rPr>
        <w:fldChar w:fldCharType="separate"/>
      </w:r>
      <w:r>
        <w:rPr>
          <w:rFonts w:hint="eastAsia" w:ascii="宋体" w:hAnsi="宋体" w:cs="宋体"/>
          <w:snapToGrid w:val="0"/>
          <w:szCs w:val="36"/>
        </w:rPr>
        <w:t>第一章 招标公告</w:t>
      </w:r>
      <w:r>
        <w:tab/>
      </w:r>
      <w:r>
        <w:fldChar w:fldCharType="begin"/>
      </w:r>
      <w:r>
        <w:instrText xml:space="preserve"> PAGEREF _Toc22016 \h </w:instrText>
      </w:r>
      <w:r>
        <w:fldChar w:fldCharType="separate"/>
      </w:r>
      <w:r>
        <w:t>3</w:t>
      </w:r>
      <w:r>
        <w:fldChar w:fldCharType="end"/>
      </w:r>
    </w:p>
    <w:p>
      <w:pPr>
        <w:pStyle w:val="21"/>
        <w:tabs>
          <w:tab w:val="right" w:leader="dot" w:pos="9412"/>
        </w:tabs>
        <w:spacing w:line="560" w:lineRule="exact"/>
      </w:pPr>
      <w:r>
        <w:rPr>
          <w:rFonts w:hint="eastAsia" w:ascii="宋体" w:hAnsi="宋体" w:cs="宋体"/>
          <w:snapToGrid w:val="0"/>
          <w:szCs w:val="36"/>
        </w:rPr>
        <w:t>第二章  招标需求</w:t>
      </w:r>
      <w:r>
        <w:tab/>
      </w:r>
      <w:r>
        <w:fldChar w:fldCharType="begin"/>
      </w:r>
      <w:r>
        <w:instrText xml:space="preserve"> PAGEREF _Toc24817 \h </w:instrText>
      </w:r>
      <w:r>
        <w:fldChar w:fldCharType="separate"/>
      </w:r>
      <w:r>
        <w:t>6</w:t>
      </w:r>
      <w:r>
        <w:fldChar w:fldCharType="end"/>
      </w:r>
    </w:p>
    <w:p>
      <w:pPr>
        <w:pStyle w:val="21"/>
        <w:tabs>
          <w:tab w:val="right" w:leader="dot" w:pos="9412"/>
        </w:tabs>
        <w:spacing w:line="560" w:lineRule="exact"/>
      </w:pPr>
      <w:r>
        <w:rPr>
          <w:rFonts w:hint="eastAsia" w:ascii="宋体" w:hAnsi="宋体" w:cs="宋体"/>
          <w:snapToGrid w:val="0"/>
          <w:szCs w:val="36"/>
        </w:rPr>
        <w:t>第三章  投标人须知</w:t>
      </w:r>
      <w:r>
        <w:tab/>
      </w:r>
      <w:r>
        <w:fldChar w:fldCharType="begin"/>
      </w:r>
      <w:r>
        <w:instrText xml:space="preserve"> PAGEREF _Toc29848 \h </w:instrText>
      </w:r>
      <w:r>
        <w:fldChar w:fldCharType="separate"/>
      </w:r>
      <w:r>
        <w:t>7</w:t>
      </w:r>
      <w:r>
        <w:fldChar w:fldCharType="end"/>
      </w:r>
    </w:p>
    <w:p>
      <w:pPr>
        <w:pStyle w:val="21"/>
        <w:tabs>
          <w:tab w:val="right" w:leader="dot" w:pos="9412"/>
        </w:tabs>
        <w:spacing w:line="560" w:lineRule="exact"/>
      </w:pPr>
      <w:r>
        <w:rPr>
          <w:rFonts w:hint="eastAsia" w:ascii="宋体" w:hAnsi="宋体" w:cs="宋体"/>
          <w:snapToGrid w:val="0"/>
          <w:szCs w:val="36"/>
        </w:rPr>
        <w:t>第四章  评标办法及标准</w:t>
      </w:r>
      <w:r>
        <w:tab/>
      </w:r>
      <w:r>
        <w:fldChar w:fldCharType="begin"/>
      </w:r>
      <w:r>
        <w:instrText xml:space="preserve"> PAGEREF _Toc27963 \h </w:instrText>
      </w:r>
      <w:r>
        <w:fldChar w:fldCharType="separate"/>
      </w:r>
      <w:r>
        <w:t>24</w:t>
      </w:r>
      <w:r>
        <w:fldChar w:fldCharType="end"/>
      </w:r>
    </w:p>
    <w:p>
      <w:pPr>
        <w:pStyle w:val="21"/>
        <w:tabs>
          <w:tab w:val="right" w:leader="dot" w:pos="9412"/>
        </w:tabs>
        <w:spacing w:line="560" w:lineRule="exact"/>
      </w:pPr>
      <w:r>
        <w:rPr>
          <w:rFonts w:hint="eastAsia" w:ascii="宋体" w:hAnsi="宋体" w:cs="宋体"/>
          <w:snapToGrid w:val="0"/>
          <w:szCs w:val="36"/>
        </w:rPr>
        <w:t>第五章 合同主要条款</w:t>
      </w:r>
      <w:r>
        <w:tab/>
      </w:r>
      <w:r>
        <w:fldChar w:fldCharType="begin"/>
      </w:r>
      <w:r>
        <w:instrText xml:space="preserve"> PAGEREF _Toc5807 \h </w:instrText>
      </w:r>
      <w:r>
        <w:fldChar w:fldCharType="separate"/>
      </w:r>
      <w:r>
        <w:t>28</w:t>
      </w:r>
      <w:r>
        <w:fldChar w:fldCharType="end"/>
      </w:r>
    </w:p>
    <w:p>
      <w:pPr>
        <w:pStyle w:val="21"/>
        <w:tabs>
          <w:tab w:val="right" w:leader="dot" w:pos="9412"/>
        </w:tabs>
        <w:spacing w:line="560" w:lineRule="exact"/>
      </w:pPr>
      <w:r>
        <w:rPr>
          <w:rFonts w:hint="eastAsia" w:ascii="宋体" w:hAnsi="宋体" w:cs="宋体"/>
          <w:snapToGrid w:val="0"/>
          <w:szCs w:val="36"/>
        </w:rPr>
        <w:t>第六章  投标文件的格式</w:t>
      </w:r>
      <w:r>
        <w:tab/>
      </w:r>
      <w:r>
        <w:fldChar w:fldCharType="begin"/>
      </w:r>
      <w:r>
        <w:instrText xml:space="preserve"> PAGEREF _Toc18881 \h </w:instrText>
      </w:r>
      <w:r>
        <w:fldChar w:fldCharType="separate"/>
      </w:r>
      <w:r>
        <w:t>31</w:t>
      </w:r>
      <w:r>
        <w:fldChar w:fldCharType="end"/>
      </w:r>
    </w:p>
    <w:p>
      <w:pPr>
        <w:pStyle w:val="3"/>
        <w:spacing w:before="0" w:after="0" w:line="380" w:lineRule="exact"/>
        <w:jc w:val="center"/>
        <w:rPr>
          <w:rFonts w:ascii="宋体" w:hAnsi="宋体" w:cs="宋体"/>
          <w:b w:val="0"/>
          <w:bCs w:val="0"/>
          <w:kern w:val="2"/>
          <w:sz w:val="24"/>
          <w:szCs w:val="24"/>
        </w:rPr>
      </w:pPr>
      <w:r>
        <w:rPr>
          <w:rFonts w:hint="eastAsia" w:ascii="宋体" w:hAnsi="宋体" w:cs="宋体"/>
          <w:bCs w:val="0"/>
          <w:kern w:val="2"/>
          <w:szCs w:val="24"/>
        </w:rPr>
        <w:fldChar w:fldCharType="end"/>
      </w:r>
    </w:p>
    <w:p>
      <w:pPr>
        <w:rPr>
          <w:rFonts w:ascii="宋体" w:hAnsi="宋体" w:cs="宋体"/>
        </w:rPr>
      </w:pPr>
    </w:p>
    <w:p>
      <w:pPr>
        <w:rPr>
          <w:rFonts w:ascii="宋体" w:hAnsi="宋体" w:cs="宋体"/>
        </w:rPr>
      </w:pPr>
    </w:p>
    <w:p>
      <w:pPr>
        <w:rPr>
          <w:rFonts w:ascii="宋体" w:hAnsi="宋体" w:cs="宋体"/>
        </w:rPr>
      </w:pPr>
    </w:p>
    <w:p>
      <w:pPr>
        <w:pStyle w:val="3"/>
      </w:pPr>
    </w:p>
    <w:p/>
    <w:p>
      <w:pPr>
        <w:rPr>
          <w:rFonts w:ascii="宋体" w:hAnsi="宋体" w:cs="宋体"/>
        </w:rPr>
      </w:pPr>
    </w:p>
    <w:p>
      <w:pPr>
        <w:rPr>
          <w:rFonts w:ascii="宋体" w:hAnsi="宋体" w:cs="宋体"/>
        </w:rPr>
      </w:pPr>
    </w:p>
    <w:p>
      <w:pPr>
        <w:pStyle w:val="31"/>
        <w:ind w:firstLine="210"/>
        <w:rPr>
          <w:rFonts w:ascii="宋体" w:hAnsi="宋体" w:cs="宋体"/>
        </w:rPr>
      </w:pPr>
    </w:p>
    <w:p>
      <w:pPr>
        <w:pStyle w:val="23"/>
        <w:ind w:firstLine="360"/>
        <w:rPr>
          <w:rFonts w:ascii="宋体" w:hAnsi="宋体" w:cs="宋体"/>
        </w:rPr>
      </w:pPr>
    </w:p>
    <w:p>
      <w:pPr>
        <w:rPr>
          <w:rFonts w:ascii="宋体" w:hAnsi="宋体" w:cs="宋体"/>
        </w:rPr>
      </w:pPr>
    </w:p>
    <w:p>
      <w:pPr>
        <w:pStyle w:val="31"/>
        <w:ind w:firstLine="210"/>
        <w:rPr>
          <w:rFonts w:ascii="宋体" w:hAnsi="宋体" w:cs="宋体"/>
        </w:rPr>
      </w:pPr>
    </w:p>
    <w:p>
      <w:pPr>
        <w:pStyle w:val="23"/>
        <w:ind w:firstLine="360"/>
        <w:rPr>
          <w:rFonts w:ascii="宋体" w:hAnsi="宋体" w:cs="宋体"/>
        </w:rPr>
      </w:pPr>
    </w:p>
    <w:p>
      <w:pPr>
        <w:rPr>
          <w:rFonts w:ascii="宋体" w:hAnsi="宋体" w:cs="宋体"/>
        </w:rPr>
      </w:pPr>
    </w:p>
    <w:p>
      <w:pPr>
        <w:pStyle w:val="31"/>
        <w:ind w:firstLine="210"/>
        <w:rPr>
          <w:rFonts w:ascii="宋体" w:hAnsi="宋体" w:cs="宋体"/>
        </w:rPr>
      </w:pPr>
    </w:p>
    <w:p>
      <w:pPr>
        <w:pStyle w:val="23"/>
        <w:ind w:firstLine="360"/>
        <w:rPr>
          <w:rFonts w:ascii="宋体" w:hAnsi="宋体" w:cs="宋体"/>
        </w:rPr>
      </w:pPr>
    </w:p>
    <w:p>
      <w:pPr>
        <w:rPr>
          <w:rFonts w:ascii="宋体" w:hAnsi="宋体" w:cs="宋体"/>
        </w:rPr>
      </w:pPr>
    </w:p>
    <w:p>
      <w:pPr>
        <w:pStyle w:val="31"/>
        <w:ind w:firstLine="210"/>
        <w:rPr>
          <w:rFonts w:ascii="宋体" w:hAnsi="宋体" w:cs="宋体"/>
        </w:rPr>
      </w:pPr>
    </w:p>
    <w:p>
      <w:pPr>
        <w:pStyle w:val="23"/>
        <w:ind w:firstLine="360"/>
        <w:rPr>
          <w:rFonts w:ascii="宋体" w:hAnsi="宋体" w:cs="宋体"/>
        </w:rPr>
      </w:pPr>
    </w:p>
    <w:p>
      <w:pPr>
        <w:rPr>
          <w:rFonts w:ascii="宋体" w:hAnsi="宋体" w:cs="宋体"/>
        </w:rPr>
      </w:pPr>
    </w:p>
    <w:p>
      <w:pPr>
        <w:pStyle w:val="31"/>
        <w:ind w:firstLine="210"/>
      </w:pPr>
    </w:p>
    <w:p>
      <w:pPr>
        <w:rPr>
          <w:rFonts w:ascii="宋体" w:hAnsi="宋体" w:cs="宋体"/>
        </w:rPr>
      </w:pPr>
    </w:p>
    <w:p>
      <w:pPr>
        <w:rPr>
          <w:rFonts w:ascii="宋体" w:hAnsi="宋体" w:cs="宋体"/>
        </w:rPr>
      </w:pPr>
    </w:p>
    <w:p>
      <w:pPr>
        <w:rPr>
          <w:rFonts w:ascii="宋体" w:hAnsi="宋体" w:cs="宋体"/>
        </w:rPr>
      </w:pPr>
    </w:p>
    <w:p>
      <w:pPr>
        <w:pStyle w:val="3"/>
        <w:spacing w:before="0" w:after="0" w:line="240" w:lineRule="auto"/>
        <w:jc w:val="center"/>
        <w:rPr>
          <w:rFonts w:ascii="宋体" w:hAnsi="宋体" w:cs="宋体"/>
          <w:b w:val="0"/>
          <w:bCs w:val="0"/>
          <w:kern w:val="2"/>
          <w:sz w:val="36"/>
          <w:szCs w:val="36"/>
        </w:rPr>
      </w:pPr>
      <w:bookmarkStart w:id="1" w:name="_Toc16068"/>
      <w:bookmarkStart w:id="2" w:name="_Toc22016"/>
      <w:bookmarkStart w:id="3" w:name="_Toc31677"/>
      <w:bookmarkStart w:id="4" w:name="_Toc26811"/>
      <w:r>
        <w:rPr>
          <w:rFonts w:hint="eastAsia" w:ascii="宋体" w:hAnsi="宋体" w:cs="宋体"/>
          <w:snapToGrid w:val="0"/>
          <w:sz w:val="36"/>
          <w:szCs w:val="36"/>
        </w:rPr>
        <w:t>第一章 招标公告</w:t>
      </w:r>
      <w:bookmarkEnd w:id="0"/>
      <w:bookmarkEnd w:id="1"/>
      <w:bookmarkEnd w:id="2"/>
      <w:bookmarkEnd w:id="3"/>
      <w:bookmarkEnd w:id="4"/>
    </w:p>
    <w:tbl>
      <w:tblPr>
        <w:tblStyle w:val="34"/>
        <w:tblpPr w:leftFromText="180" w:rightFromText="180" w:vertAnchor="text" w:tblpX="210" w:tblpY="2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189" w:type="dxa"/>
          </w:tcPr>
          <w:p>
            <w:pPr>
              <w:spacing w:line="400" w:lineRule="exact"/>
              <w:ind w:firstLine="422" w:firstLineChars="200"/>
              <w:rPr>
                <w:rFonts w:ascii="宋体" w:hAnsi="宋体" w:cs="宋体"/>
                <w:szCs w:val="21"/>
              </w:rPr>
            </w:pPr>
            <w:bookmarkStart w:id="5" w:name="OLE_LINK3"/>
            <w:bookmarkStart w:id="6" w:name="_Toc317341935"/>
            <w:bookmarkStart w:id="7" w:name="_Toc222632752"/>
            <w:r>
              <w:rPr>
                <w:rFonts w:hint="eastAsia" w:ascii="宋体" w:hAnsi="宋体" w:cs="宋体"/>
                <w:b/>
                <w:bCs/>
                <w:szCs w:val="21"/>
              </w:rPr>
              <w:t>项目概况</w:t>
            </w:r>
          </w:p>
          <w:p>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安吉技师学院单片机实训室建设项目</w:t>
            </w:r>
            <w:r>
              <w:rPr>
                <w:rFonts w:hint="eastAsia" w:ascii="宋体" w:hAnsi="宋体" w:cs="宋体"/>
                <w:szCs w:val="21"/>
              </w:rPr>
              <w:t xml:space="preserve">的潜在投标人应在政府采购云平台http://www.zcygov.cn（以下简称“政采云平台”）；获取（下载）招标文件，并于 2024年 月 日09：00（北京时间）前递交（上传）投标文件。 </w:t>
            </w:r>
          </w:p>
        </w:tc>
      </w:tr>
    </w:tbl>
    <w:p>
      <w:pPr>
        <w:spacing w:line="400" w:lineRule="exact"/>
        <w:ind w:firstLine="422" w:firstLineChars="200"/>
        <w:rPr>
          <w:rFonts w:ascii="宋体" w:hAnsi="宋体" w:cs="宋体"/>
          <w:b/>
          <w:bCs/>
          <w:szCs w:val="21"/>
        </w:rPr>
      </w:pPr>
      <w:r>
        <w:rPr>
          <w:rFonts w:hint="eastAsia" w:ascii="宋体" w:hAnsi="宋体" w:cs="宋体"/>
          <w:b/>
          <w:bCs/>
          <w:szCs w:val="21"/>
        </w:rPr>
        <w:t xml:space="preserve">一、项目基本情况  </w:t>
      </w:r>
    </w:p>
    <w:p>
      <w:pPr>
        <w:spacing w:line="400" w:lineRule="exact"/>
        <w:ind w:firstLine="420" w:firstLineChars="200"/>
        <w:rPr>
          <w:rFonts w:ascii="宋体" w:hAnsi="宋体" w:cs="宋体"/>
          <w:szCs w:val="21"/>
        </w:rPr>
      </w:pPr>
      <w:r>
        <w:rPr>
          <w:rFonts w:hint="eastAsia" w:ascii="宋体" w:hAnsi="宋体" w:cs="宋体"/>
          <w:szCs w:val="21"/>
        </w:rPr>
        <w:t xml:space="preserve">    项目编号：HZJNAJ-2024010</w:t>
      </w:r>
    </w:p>
    <w:p>
      <w:pPr>
        <w:spacing w:line="400" w:lineRule="exact"/>
        <w:ind w:firstLine="840" w:firstLineChars="400"/>
        <w:rPr>
          <w:rFonts w:ascii="宋体" w:hAnsi="宋体" w:cs="宋体"/>
          <w:szCs w:val="21"/>
        </w:rPr>
      </w:pPr>
      <w:r>
        <w:rPr>
          <w:rFonts w:hint="eastAsia" w:ascii="宋体" w:hAnsi="宋体" w:cs="宋体"/>
          <w:szCs w:val="21"/>
        </w:rPr>
        <w:t>项目名称：安吉技师学院单片机实训室建设项目</w:t>
      </w:r>
    </w:p>
    <w:p>
      <w:pPr>
        <w:spacing w:line="400" w:lineRule="exact"/>
        <w:ind w:firstLine="840" w:firstLineChars="400"/>
        <w:rPr>
          <w:rFonts w:ascii="宋体" w:hAnsi="宋体" w:cs="宋体"/>
          <w:szCs w:val="21"/>
        </w:rPr>
      </w:pPr>
      <w:r>
        <w:rPr>
          <w:rFonts w:hint="eastAsia" w:ascii="宋体" w:hAnsi="宋体" w:cs="宋体"/>
          <w:szCs w:val="21"/>
        </w:rPr>
        <w:t>预算金额（元）：340000</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rPr>
        <w:t xml:space="preserve">    最高限价（元）：3</w:t>
      </w:r>
      <w:r>
        <w:rPr>
          <w:rFonts w:hint="eastAsia" w:ascii="宋体" w:hAnsi="宋体" w:cs="宋体"/>
          <w:szCs w:val="21"/>
          <w:lang w:val="en-US" w:eastAsia="zh-CN"/>
        </w:rPr>
        <w:t>00000</w:t>
      </w:r>
    </w:p>
    <w:p>
      <w:pPr>
        <w:spacing w:line="400" w:lineRule="exact"/>
        <w:ind w:firstLine="420" w:firstLineChars="200"/>
        <w:rPr>
          <w:rFonts w:ascii="宋体" w:hAnsi="宋体" w:cs="宋体"/>
          <w:szCs w:val="21"/>
        </w:rPr>
      </w:pPr>
      <w:r>
        <w:rPr>
          <w:rFonts w:hint="eastAsia" w:ascii="宋体" w:hAnsi="宋体" w:cs="宋体"/>
          <w:szCs w:val="21"/>
        </w:rPr>
        <w:t xml:space="preserve">    采购需求：</w:t>
      </w:r>
    </w:p>
    <w:p>
      <w:pPr>
        <w:spacing w:line="400" w:lineRule="exact"/>
        <w:ind w:firstLine="420" w:firstLineChars="200"/>
        <w:rPr>
          <w:rFonts w:ascii="宋体" w:hAnsi="宋体" w:cs="宋体"/>
          <w:szCs w:val="21"/>
        </w:rPr>
      </w:pPr>
      <w:r>
        <w:rPr>
          <w:rFonts w:hint="eastAsia" w:ascii="宋体" w:hAnsi="宋体" w:cs="宋体"/>
          <w:szCs w:val="21"/>
        </w:rPr>
        <w:t xml:space="preserve">    标项一</w:t>
      </w:r>
    </w:p>
    <w:p>
      <w:pPr>
        <w:spacing w:line="400" w:lineRule="exact"/>
        <w:ind w:firstLine="840" w:firstLineChars="400"/>
        <w:rPr>
          <w:rFonts w:ascii="宋体" w:hAnsi="宋体" w:cs="宋体"/>
          <w:szCs w:val="21"/>
        </w:rPr>
      </w:pPr>
      <w:r>
        <w:rPr>
          <w:rFonts w:hint="eastAsia" w:ascii="宋体" w:hAnsi="宋体" w:cs="宋体"/>
          <w:szCs w:val="21"/>
        </w:rPr>
        <w:t>标项名称:安吉技师学院单片机实训室建设项目</w:t>
      </w:r>
    </w:p>
    <w:p>
      <w:pPr>
        <w:spacing w:line="400" w:lineRule="exact"/>
        <w:ind w:firstLine="420" w:firstLineChars="200"/>
        <w:rPr>
          <w:rFonts w:ascii="宋体" w:hAnsi="宋体" w:cs="宋体"/>
          <w:szCs w:val="21"/>
        </w:rPr>
      </w:pPr>
      <w:r>
        <w:rPr>
          <w:rFonts w:hint="eastAsia" w:ascii="宋体" w:hAnsi="宋体" w:cs="宋体"/>
          <w:szCs w:val="21"/>
        </w:rPr>
        <w:t xml:space="preserve">    数量: 一批 </w:t>
      </w:r>
    </w:p>
    <w:p>
      <w:pPr>
        <w:spacing w:line="400" w:lineRule="exact"/>
        <w:ind w:firstLine="420" w:firstLineChars="200"/>
        <w:rPr>
          <w:rFonts w:ascii="宋体" w:hAnsi="宋体" w:cs="宋体"/>
          <w:szCs w:val="21"/>
        </w:rPr>
      </w:pPr>
      <w:r>
        <w:rPr>
          <w:rFonts w:hint="eastAsia" w:ascii="宋体" w:hAnsi="宋体" w:cs="宋体"/>
          <w:szCs w:val="21"/>
        </w:rPr>
        <w:t xml:space="preserve">    预算金额（元）：340000</w:t>
      </w:r>
    </w:p>
    <w:p>
      <w:pPr>
        <w:spacing w:line="400" w:lineRule="exact"/>
        <w:ind w:left="840" w:leftChars="200" w:hanging="420" w:hangingChars="200"/>
        <w:rPr>
          <w:rFonts w:ascii="宋体" w:hAnsi="宋体" w:cs="宋体"/>
          <w:szCs w:val="21"/>
        </w:rPr>
      </w:pPr>
      <w:r>
        <w:rPr>
          <w:rFonts w:hint="eastAsia" w:ascii="宋体" w:hAnsi="宋体" w:cs="宋体"/>
          <w:szCs w:val="21"/>
        </w:rPr>
        <w:t xml:space="preserve">    简要规格描述或项目基本概况介绍、用途：详见招标文件。</w:t>
      </w:r>
    </w:p>
    <w:p>
      <w:pPr>
        <w:spacing w:line="400" w:lineRule="exact"/>
        <w:ind w:firstLine="840" w:firstLineChars="400"/>
        <w:rPr>
          <w:rFonts w:ascii="宋体" w:hAnsi="宋体" w:cs="宋体"/>
          <w:szCs w:val="21"/>
        </w:rPr>
      </w:pPr>
      <w:r>
        <w:rPr>
          <w:rFonts w:hint="eastAsia" w:ascii="宋体" w:hAnsi="宋体" w:cs="宋体"/>
          <w:szCs w:val="21"/>
        </w:rPr>
        <w:t>备注：投标报价不得超预算，否则投标无效。</w:t>
      </w:r>
    </w:p>
    <w:p>
      <w:pPr>
        <w:spacing w:line="400" w:lineRule="exact"/>
        <w:ind w:firstLine="420" w:firstLineChars="200"/>
        <w:rPr>
          <w:rFonts w:ascii="宋体" w:hAnsi="宋体" w:cs="宋体"/>
          <w:szCs w:val="21"/>
          <w:highlight w:val="none"/>
        </w:rPr>
      </w:pPr>
      <w:r>
        <w:rPr>
          <w:rFonts w:hint="eastAsia" w:ascii="宋体" w:hAnsi="宋体" w:cs="宋体"/>
          <w:szCs w:val="21"/>
        </w:rPr>
        <w:t xml:space="preserve">   </w:t>
      </w:r>
      <w:r>
        <w:rPr>
          <w:rFonts w:hint="eastAsia" w:ascii="宋体" w:hAnsi="宋体" w:cs="宋体"/>
          <w:szCs w:val="21"/>
          <w:highlight w:val="none"/>
        </w:rPr>
        <w:t xml:space="preserve"> 合同履约期限：标项1，自合同签订之日计起</w:t>
      </w:r>
      <w:r>
        <w:rPr>
          <w:rFonts w:hint="eastAsia" w:ascii="宋体" w:hAnsi="宋体" w:cs="宋体"/>
          <w:szCs w:val="21"/>
          <w:highlight w:val="none"/>
          <w:lang w:val="en-US" w:eastAsia="zh-CN"/>
        </w:rPr>
        <w:t>30</w:t>
      </w:r>
      <w:r>
        <w:rPr>
          <w:rFonts w:hint="eastAsia" w:ascii="宋体" w:hAnsi="宋体" w:cs="宋体"/>
          <w:szCs w:val="21"/>
          <w:highlight w:val="none"/>
        </w:rPr>
        <w:t>日内完成本项目所需的建设</w:t>
      </w:r>
      <w:r>
        <w:rPr>
          <w:rFonts w:hint="eastAsia" w:ascii="宋体" w:hAnsi="宋体" w:cs="宋体"/>
          <w:kern w:val="0"/>
          <w:szCs w:val="21"/>
          <w:highlight w:val="none"/>
        </w:rPr>
        <w:t>。</w:t>
      </w:r>
    </w:p>
    <w:p>
      <w:pPr>
        <w:spacing w:line="400" w:lineRule="exact"/>
        <w:ind w:firstLine="420" w:firstLineChars="200"/>
        <w:rPr>
          <w:rFonts w:ascii="宋体" w:hAnsi="宋体" w:cs="宋体"/>
          <w:szCs w:val="21"/>
        </w:rPr>
      </w:pPr>
      <w:r>
        <w:rPr>
          <w:rFonts w:hint="eastAsia" w:ascii="宋体" w:hAnsi="宋体" w:cs="宋体"/>
          <w:szCs w:val="21"/>
        </w:rPr>
        <w:t xml:space="preserve">   本项目（否）接受联合体投标。</w:t>
      </w:r>
    </w:p>
    <w:p>
      <w:pPr>
        <w:spacing w:line="400" w:lineRule="exact"/>
        <w:ind w:firstLine="422" w:firstLineChars="200"/>
        <w:rPr>
          <w:rFonts w:ascii="宋体" w:hAnsi="宋体" w:cs="宋体"/>
          <w:b/>
          <w:bCs/>
          <w:szCs w:val="21"/>
        </w:rPr>
      </w:pPr>
      <w:r>
        <w:rPr>
          <w:rFonts w:hint="eastAsia" w:ascii="宋体" w:hAnsi="宋体" w:cs="宋体"/>
          <w:b/>
          <w:bCs/>
          <w:szCs w:val="21"/>
        </w:rPr>
        <w:t>二、申请人的资格要求：</w:t>
      </w:r>
    </w:p>
    <w:p>
      <w:pPr>
        <w:spacing w:line="400" w:lineRule="exact"/>
        <w:ind w:firstLine="420" w:firstLineChars="200"/>
        <w:rPr>
          <w:rFonts w:ascii="宋体" w:hAnsi="宋体" w:cs="宋体"/>
          <w:szCs w:val="21"/>
        </w:rPr>
      </w:pPr>
      <w:r>
        <w:rPr>
          <w:rFonts w:hint="eastAsia" w:ascii="宋体" w:hAnsi="宋体" w:cs="宋体"/>
          <w:szCs w:val="21"/>
        </w:rPr>
        <w:t xml:space="preserve">    1.满足《中华人民共和国政府采购法》第二十二条规定；未被“信用中国”（www.creditchina.gov.cn)、中国政府采购网（www.ccgp.gov.cn）列入失信被执行人、重大税收违法失信主体、政府采购严重违法失信行为记录名单。</w:t>
      </w:r>
    </w:p>
    <w:p>
      <w:pPr>
        <w:spacing w:line="400" w:lineRule="exact"/>
        <w:ind w:firstLine="420" w:firstLineChars="200"/>
      </w:pPr>
      <w:r>
        <w:rPr>
          <w:rFonts w:hint="eastAsia" w:ascii="宋体" w:hAnsi="宋体" w:cs="宋体"/>
          <w:szCs w:val="21"/>
        </w:rPr>
        <w:t xml:space="preserve">    2.落实政府采购政策需满足的资格要求：</w:t>
      </w:r>
      <w:r>
        <w:rPr>
          <w:rFonts w:hint="eastAsia" w:ascii="宋体" w:hAnsi="宋体" w:cs="宋体"/>
          <w:b/>
          <w:bCs/>
          <w:szCs w:val="21"/>
        </w:rPr>
        <w:t>本项目为专门面向中小企业采购，提供服务的供应商非中小企业的，资格审查不通过；符合上述条件的中小微型企业应按照磋商文件附件的格式要求在资格文件中提供《中小企业声明函》</w:t>
      </w:r>
      <w:r>
        <w:rPr>
          <w:rFonts w:hint="eastAsia" w:ascii="宋体" w:hAnsi="宋体" w:cs="宋体"/>
          <w:szCs w:val="21"/>
        </w:rPr>
        <w:t>；</w:t>
      </w:r>
    </w:p>
    <w:p>
      <w:pPr>
        <w:spacing w:line="400" w:lineRule="exact"/>
        <w:ind w:firstLine="420" w:firstLineChars="200"/>
        <w:rPr>
          <w:rFonts w:ascii="宋体" w:hAnsi="宋体" w:cs="宋体"/>
          <w:kern w:val="0"/>
          <w:szCs w:val="21"/>
          <w:lang w:bidi="ar"/>
        </w:rPr>
      </w:pPr>
      <w:r>
        <w:rPr>
          <w:rFonts w:hint="eastAsia" w:ascii="宋体" w:hAnsi="宋体" w:cs="宋体"/>
          <w:szCs w:val="21"/>
        </w:rPr>
        <w:t xml:space="preserve">    3.本项目的特定资格要求：无</w:t>
      </w:r>
      <w:r>
        <w:rPr>
          <w:rFonts w:hint="eastAsia" w:ascii="宋体" w:hAnsi="宋体" w:cs="宋体"/>
          <w:kern w:val="0"/>
          <w:szCs w:val="21"/>
          <w:lang w:bidi="ar"/>
        </w:rPr>
        <w:t>。</w:t>
      </w:r>
    </w:p>
    <w:p>
      <w:pPr>
        <w:spacing w:line="400" w:lineRule="exact"/>
        <w:ind w:firstLine="422" w:firstLineChars="200"/>
        <w:rPr>
          <w:rFonts w:ascii="宋体" w:hAnsi="宋体" w:cs="宋体"/>
          <w:b/>
          <w:bCs/>
          <w:szCs w:val="21"/>
        </w:rPr>
      </w:pPr>
      <w:r>
        <w:rPr>
          <w:rFonts w:hint="eastAsia" w:ascii="宋体" w:hAnsi="宋体" w:cs="宋体"/>
          <w:b/>
          <w:bCs/>
          <w:szCs w:val="21"/>
        </w:rPr>
        <w:t xml:space="preserve">三、获取招标文件 </w:t>
      </w:r>
    </w:p>
    <w:p>
      <w:pPr>
        <w:spacing w:line="400" w:lineRule="exact"/>
        <w:ind w:firstLine="420" w:firstLineChars="200"/>
        <w:rPr>
          <w:rFonts w:ascii="宋体" w:hAnsi="宋体" w:cs="宋体"/>
          <w:szCs w:val="21"/>
        </w:rPr>
      </w:pPr>
      <w:r>
        <w:rPr>
          <w:rFonts w:hint="eastAsia" w:ascii="宋体" w:hAnsi="宋体" w:cs="宋体"/>
          <w:szCs w:val="21"/>
        </w:rPr>
        <w:t xml:space="preserve">    时间：/至2024年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 ，每天上午00:00至12:00 ，下午12:00至23:59（北京时间，线上获取法定节假日均可，线下获取文件法定节假日除外）</w:t>
      </w:r>
    </w:p>
    <w:p>
      <w:pPr>
        <w:spacing w:line="400" w:lineRule="exact"/>
        <w:ind w:firstLine="420" w:firstLineChars="200"/>
        <w:rPr>
          <w:rFonts w:ascii="宋体" w:hAnsi="宋体" w:cs="宋体"/>
          <w:szCs w:val="21"/>
        </w:rPr>
      </w:pPr>
      <w:r>
        <w:rPr>
          <w:rFonts w:hint="eastAsia" w:ascii="宋体" w:hAnsi="宋体" w:cs="宋体"/>
          <w:szCs w:val="21"/>
        </w:rPr>
        <w:t xml:space="preserve">    地点（网址）：政府采购云平台http://www.zcygov.cn（以下简称“政采云平台”）； </w:t>
      </w:r>
    </w:p>
    <w:p>
      <w:pPr>
        <w:spacing w:line="400" w:lineRule="exact"/>
        <w:ind w:firstLine="420" w:firstLineChars="200"/>
        <w:rPr>
          <w:rFonts w:ascii="宋体" w:hAnsi="宋体" w:cs="宋体"/>
          <w:szCs w:val="21"/>
        </w:rPr>
      </w:pPr>
      <w:r>
        <w:rPr>
          <w:rFonts w:hint="eastAsia" w:ascii="宋体" w:hAnsi="宋体" w:cs="宋体"/>
          <w:szCs w:val="21"/>
        </w:rPr>
        <w:t xml:space="preserve">    方式：供应商登录政采云平台https://www.zcygov.cn/在线申请获取采购文件（进入“项目采购”应用，在获取采购文件菜单中选择项目，申请获取采购文件）</w:t>
      </w:r>
    </w:p>
    <w:p>
      <w:pPr>
        <w:spacing w:line="400" w:lineRule="exact"/>
        <w:ind w:firstLine="420" w:firstLineChars="200"/>
        <w:rPr>
          <w:rFonts w:ascii="宋体" w:hAnsi="宋体" w:cs="宋体"/>
          <w:szCs w:val="21"/>
        </w:rPr>
      </w:pPr>
      <w:r>
        <w:rPr>
          <w:rFonts w:hint="eastAsia" w:ascii="宋体" w:hAnsi="宋体" w:cs="宋体"/>
          <w:szCs w:val="21"/>
        </w:rPr>
        <w:t xml:space="preserve">    售价（元）：0 </w:t>
      </w:r>
    </w:p>
    <w:p>
      <w:pPr>
        <w:spacing w:line="400" w:lineRule="exact"/>
        <w:ind w:firstLine="422" w:firstLineChars="200"/>
        <w:rPr>
          <w:rFonts w:ascii="宋体" w:hAnsi="宋体" w:cs="宋体"/>
          <w:b/>
          <w:bCs/>
          <w:szCs w:val="21"/>
        </w:rPr>
      </w:pPr>
      <w:r>
        <w:rPr>
          <w:rFonts w:hint="eastAsia" w:ascii="宋体" w:hAnsi="宋体" w:cs="宋体"/>
          <w:b/>
          <w:bCs/>
          <w:szCs w:val="21"/>
        </w:rPr>
        <w:t>四、提交投标文件截止时间、开标时间和地点</w:t>
      </w:r>
    </w:p>
    <w:p>
      <w:pPr>
        <w:spacing w:line="400" w:lineRule="exact"/>
        <w:ind w:firstLine="420" w:firstLineChars="200"/>
        <w:rPr>
          <w:rFonts w:ascii="宋体" w:hAnsi="宋体" w:cs="宋体"/>
          <w:b/>
          <w:bCs/>
          <w:szCs w:val="21"/>
        </w:rPr>
      </w:pPr>
      <w:r>
        <w:rPr>
          <w:rFonts w:hint="eastAsia" w:ascii="宋体" w:hAnsi="宋体" w:cs="宋体"/>
          <w:szCs w:val="21"/>
        </w:rPr>
        <w:t xml:space="preserve">    提交投标文件截止时间：2024年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日09：00（北京时间）</w:t>
      </w:r>
    </w:p>
    <w:p>
      <w:pPr>
        <w:spacing w:line="400" w:lineRule="exact"/>
        <w:ind w:firstLine="420" w:firstLineChars="200"/>
        <w:rPr>
          <w:rFonts w:ascii="宋体" w:hAnsi="宋体" w:cs="宋体"/>
          <w:szCs w:val="21"/>
        </w:rPr>
      </w:pPr>
      <w:r>
        <w:rPr>
          <w:rFonts w:hint="eastAsia" w:ascii="宋体" w:hAnsi="宋体" w:cs="宋体"/>
          <w:szCs w:val="21"/>
        </w:rPr>
        <w:t xml:space="preserve">    投标地点（网址）：通过“政府采购云平台（www.zcygov.cn）”实行在线投标及开标。 </w:t>
      </w:r>
    </w:p>
    <w:p>
      <w:pPr>
        <w:spacing w:line="400" w:lineRule="exact"/>
        <w:ind w:firstLine="420" w:firstLineChars="200"/>
        <w:rPr>
          <w:rFonts w:ascii="宋体" w:hAnsi="宋体" w:cs="宋体"/>
          <w:szCs w:val="21"/>
        </w:rPr>
      </w:pPr>
      <w:r>
        <w:rPr>
          <w:rFonts w:hint="eastAsia" w:ascii="宋体" w:hAnsi="宋体" w:cs="宋体"/>
          <w:szCs w:val="21"/>
        </w:rPr>
        <w:t xml:space="preserve">    开标时间：2024年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日09：00</w:t>
      </w:r>
    </w:p>
    <w:p>
      <w:pPr>
        <w:spacing w:line="400" w:lineRule="exact"/>
        <w:ind w:firstLine="420" w:firstLineChars="200"/>
        <w:rPr>
          <w:rFonts w:ascii="宋体" w:hAnsi="宋体" w:cs="宋体"/>
          <w:szCs w:val="21"/>
        </w:rPr>
      </w:pPr>
      <w:r>
        <w:rPr>
          <w:rFonts w:hint="eastAsia" w:ascii="宋体" w:hAnsi="宋体" w:cs="宋体"/>
          <w:szCs w:val="21"/>
        </w:rPr>
        <w:t xml:space="preserve">    开标地点（网址）：通过“政府采购云平台（www.zcygov.cn）”实行在线投标及开标。</w:t>
      </w:r>
    </w:p>
    <w:p>
      <w:pPr>
        <w:spacing w:line="400" w:lineRule="exact"/>
        <w:ind w:firstLine="422" w:firstLineChars="200"/>
        <w:rPr>
          <w:rFonts w:ascii="宋体" w:hAnsi="宋体" w:cs="宋体"/>
          <w:b/>
          <w:bCs/>
          <w:szCs w:val="21"/>
        </w:rPr>
      </w:pPr>
      <w:r>
        <w:rPr>
          <w:rFonts w:hint="eastAsia" w:ascii="宋体" w:hAnsi="宋体" w:cs="宋体"/>
          <w:b/>
          <w:bCs/>
          <w:szCs w:val="21"/>
        </w:rPr>
        <w:t xml:space="preserve">五、公告期限 </w:t>
      </w:r>
    </w:p>
    <w:p>
      <w:pPr>
        <w:spacing w:line="400" w:lineRule="exact"/>
        <w:ind w:firstLine="420" w:firstLineChars="200"/>
        <w:rPr>
          <w:rFonts w:ascii="宋体" w:hAnsi="宋体" w:cs="宋体"/>
          <w:szCs w:val="21"/>
        </w:rPr>
      </w:pPr>
      <w:r>
        <w:rPr>
          <w:rFonts w:hint="eastAsia" w:ascii="宋体" w:hAnsi="宋体" w:cs="宋体"/>
          <w:szCs w:val="21"/>
        </w:rPr>
        <w:t xml:space="preserve">    自本公告发布之日起5个工作日。</w:t>
      </w:r>
    </w:p>
    <w:p>
      <w:pPr>
        <w:spacing w:line="400" w:lineRule="exact"/>
        <w:ind w:firstLine="422" w:firstLineChars="200"/>
        <w:rPr>
          <w:rFonts w:ascii="宋体" w:hAnsi="宋体" w:cs="宋体"/>
          <w:b/>
          <w:bCs/>
          <w:szCs w:val="21"/>
        </w:rPr>
      </w:pPr>
      <w:r>
        <w:rPr>
          <w:rFonts w:hint="eastAsia" w:ascii="宋体" w:hAnsi="宋体" w:cs="宋体"/>
          <w:b/>
          <w:bCs/>
          <w:szCs w:val="21"/>
        </w:rPr>
        <w:t>六、其他补充事宜</w:t>
      </w:r>
    </w:p>
    <w:p>
      <w:pPr>
        <w:spacing w:line="400" w:lineRule="exact"/>
        <w:ind w:firstLine="420" w:firstLineChars="200"/>
        <w:rPr>
          <w:rFonts w:ascii="宋体" w:hAnsi="宋体" w:cs="宋体"/>
          <w:szCs w:val="21"/>
        </w:rPr>
      </w:pPr>
      <w:r>
        <w:rPr>
          <w:rFonts w:hint="eastAsia" w:ascii="宋体" w:hAnsi="宋体" w:cs="宋体"/>
          <w:szCs w:val="21"/>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00" w:lineRule="exact"/>
        <w:ind w:firstLine="420" w:firstLineChars="200"/>
        <w:rPr>
          <w:rFonts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00" w:lineRule="exact"/>
        <w:ind w:firstLine="420" w:firstLineChars="200"/>
        <w:rPr>
          <w:rFonts w:ascii="宋体" w:hAnsi="宋体" w:cs="宋体"/>
          <w:szCs w:val="21"/>
        </w:rPr>
      </w:pPr>
      <w:r>
        <w:rPr>
          <w:rFonts w:hint="eastAsia" w:ascii="宋体" w:hAnsi="宋体" w:cs="宋体"/>
          <w:szCs w:val="21"/>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4.其他事项：1）书面质疑受理地点及联系人：浙江省湖州市安吉县金融中心14楼湖州江南工程管理有限公司，联系人曾先生， 0572-5076515/13017902883，同时将质疑函扫描件以电子邮件形式发送至电子邮箱644655760@139.com。</w:t>
      </w:r>
    </w:p>
    <w:p>
      <w:pPr>
        <w:spacing w:line="400" w:lineRule="exact"/>
        <w:ind w:firstLine="420" w:firstLineChars="200"/>
        <w:rPr>
          <w:rFonts w:ascii="宋体" w:hAnsi="宋体" w:cs="宋体"/>
          <w:szCs w:val="21"/>
        </w:rPr>
      </w:pPr>
      <w:r>
        <w:rPr>
          <w:rFonts w:hint="eastAsia" w:ascii="宋体" w:hAnsi="宋体" w:cs="宋体"/>
          <w:szCs w:val="21"/>
        </w:rPr>
        <w:t>2）在线质疑：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00" w:lineRule="exact"/>
        <w:ind w:firstLine="420" w:firstLineChars="200"/>
        <w:rPr>
          <w:rFonts w:ascii="宋体" w:hAnsi="宋体" w:cs="宋体"/>
          <w:szCs w:val="21"/>
        </w:rPr>
      </w:pPr>
      <w:r>
        <w:rPr>
          <w:rFonts w:hint="eastAsia" w:ascii="宋体" w:hAnsi="宋体" w:cs="宋体"/>
          <w:szCs w:val="21"/>
        </w:rPr>
        <w:t>3）本项目执行的政府采购政策：</w:t>
      </w:r>
    </w:p>
    <w:p>
      <w:pPr>
        <w:spacing w:line="400" w:lineRule="exact"/>
        <w:ind w:firstLine="420" w:firstLineChars="200"/>
        <w:rPr>
          <w:rFonts w:ascii="宋体" w:hAnsi="宋体" w:cs="宋体"/>
          <w:szCs w:val="21"/>
        </w:rPr>
      </w:pPr>
      <w:r>
        <w:rPr>
          <w:rFonts w:hint="eastAsia" w:ascii="宋体" w:hAnsi="宋体" w:cs="宋体"/>
          <w:szCs w:val="21"/>
        </w:rPr>
        <w:t xml:space="preserve"> 《政府采购促进中小企业发展管理办法》（财库﹝2020﹞46号）；</w:t>
      </w:r>
    </w:p>
    <w:p>
      <w:pPr>
        <w:spacing w:line="400" w:lineRule="exact"/>
        <w:ind w:firstLine="420" w:firstLineChars="200"/>
        <w:rPr>
          <w:rFonts w:ascii="宋体" w:hAnsi="宋体" w:cs="宋体"/>
          <w:szCs w:val="21"/>
        </w:rPr>
      </w:pPr>
      <w:r>
        <w:rPr>
          <w:rFonts w:hint="eastAsia" w:ascii="宋体" w:hAnsi="宋体" w:cs="宋体"/>
          <w:szCs w:val="21"/>
        </w:rPr>
        <w:t xml:space="preserve"> 《财政部、司法部关于政府采购支持监狱企业发展有关问题的通知》（财库〔2014〕68号）；</w:t>
      </w:r>
    </w:p>
    <w:p>
      <w:pPr>
        <w:spacing w:line="400" w:lineRule="exact"/>
        <w:ind w:firstLine="420" w:firstLineChars="200"/>
        <w:rPr>
          <w:rFonts w:ascii="宋体" w:hAnsi="宋体" w:cs="宋体"/>
          <w:szCs w:val="21"/>
        </w:rPr>
      </w:pPr>
      <w:r>
        <w:rPr>
          <w:rFonts w:hint="eastAsia" w:ascii="宋体" w:hAnsi="宋体" w:cs="宋体"/>
          <w:szCs w:val="21"/>
        </w:rPr>
        <w:t xml:space="preserve"> 《国务院办公厅关于建立政府强制采购节能产品制度的通知》（国办发〔2007〕51号）；</w:t>
      </w:r>
    </w:p>
    <w:p>
      <w:pPr>
        <w:spacing w:line="400" w:lineRule="exact"/>
        <w:ind w:firstLine="420" w:firstLineChars="200"/>
        <w:rPr>
          <w:rFonts w:ascii="宋体" w:hAnsi="宋体" w:cs="宋体"/>
          <w:szCs w:val="21"/>
        </w:rPr>
      </w:pPr>
      <w:r>
        <w:rPr>
          <w:rFonts w:hint="eastAsia" w:ascii="宋体" w:hAnsi="宋体" w:cs="宋体"/>
          <w:szCs w:val="21"/>
        </w:rPr>
        <w:t xml:space="preserve"> 《财政部、国家环保总局关于环境标志产品政府采购实施的意见》（财库[2006]90号）；</w:t>
      </w:r>
    </w:p>
    <w:p>
      <w:pPr>
        <w:spacing w:line="400" w:lineRule="exact"/>
        <w:ind w:firstLine="420" w:firstLineChars="200"/>
        <w:rPr>
          <w:rFonts w:ascii="宋体" w:hAnsi="宋体" w:cs="宋体"/>
          <w:szCs w:val="21"/>
        </w:rPr>
      </w:pPr>
      <w:r>
        <w:rPr>
          <w:rFonts w:hint="eastAsia" w:ascii="宋体" w:hAnsi="宋体" w:cs="宋体"/>
          <w:szCs w:val="21"/>
        </w:rPr>
        <w:t xml:space="preserve"> 财政部民政部中国残疾人联合会《关于促进残疾人就业政府采购政策的通知》（财库〔2017〕141号）。</w:t>
      </w:r>
    </w:p>
    <w:p>
      <w:pPr>
        <w:spacing w:line="400" w:lineRule="exact"/>
        <w:ind w:firstLine="420" w:firstLineChars="200"/>
        <w:rPr>
          <w:rFonts w:ascii="宋体" w:hAnsi="宋体" w:cs="宋体"/>
          <w:szCs w:val="21"/>
        </w:rPr>
      </w:pPr>
      <w:r>
        <w:rPr>
          <w:rFonts w:hint="eastAsia" w:ascii="宋体" w:hAnsi="宋体" w:cs="宋体"/>
          <w:szCs w:val="21"/>
        </w:rPr>
        <w:t>4）资格审查：本项目采用资格后审。</w:t>
      </w:r>
    </w:p>
    <w:p>
      <w:pPr>
        <w:spacing w:line="400" w:lineRule="exact"/>
        <w:ind w:firstLine="420" w:firstLineChars="200"/>
        <w:rPr>
          <w:rFonts w:ascii="宋体" w:hAnsi="宋体" w:cs="宋体"/>
          <w:szCs w:val="21"/>
        </w:rPr>
      </w:pPr>
      <w:r>
        <w:rPr>
          <w:rFonts w:hint="eastAsia" w:ascii="宋体" w:hAnsi="宋体" w:cs="宋体"/>
          <w:szCs w:val="21"/>
        </w:rPr>
        <w:t>5）采购代理费用由中标人支付。</w:t>
      </w:r>
    </w:p>
    <w:p>
      <w:pPr>
        <w:spacing w:line="400" w:lineRule="exact"/>
        <w:ind w:firstLine="420" w:firstLineChars="200"/>
        <w:rPr>
          <w:rFonts w:ascii="宋体" w:hAnsi="宋体" w:cs="宋体"/>
          <w:szCs w:val="21"/>
        </w:rPr>
      </w:pPr>
      <w:r>
        <w:rPr>
          <w:rFonts w:hint="eastAsia" w:ascii="宋体" w:hAnsi="宋体" w:cs="宋体"/>
          <w:szCs w:val="21"/>
        </w:rPr>
        <w:t>6）本采购项目中标单位与采购单位签订的政府采购合同适用于浙江省政府采购贷款政策，简称“政采贷”，具体内容可参阅《安吉财政“政采贷”办理指引》。网址：https://www.gov.cn/gongbao/content/2017/content_5241918.htm</w:t>
      </w:r>
    </w:p>
    <w:p>
      <w:pPr>
        <w:spacing w:line="400" w:lineRule="exact"/>
        <w:ind w:firstLine="422" w:firstLineChars="200"/>
        <w:rPr>
          <w:rFonts w:ascii="宋体" w:hAnsi="宋体" w:cs="宋体"/>
          <w:b/>
          <w:bCs/>
          <w:szCs w:val="21"/>
        </w:rPr>
      </w:pPr>
      <w:r>
        <w:rPr>
          <w:rFonts w:hint="eastAsia" w:ascii="宋体" w:hAnsi="宋体" w:cs="宋体"/>
          <w:b/>
          <w:bCs/>
          <w:szCs w:val="21"/>
        </w:rPr>
        <w:t>七、对本次采购提出询问、质疑、投诉，请按以下方式联系</w:t>
      </w:r>
    </w:p>
    <w:p>
      <w:pPr>
        <w:spacing w:line="400" w:lineRule="exact"/>
        <w:ind w:firstLine="420" w:firstLineChars="200"/>
        <w:rPr>
          <w:rFonts w:ascii="宋体" w:hAnsi="宋体" w:cs="宋体"/>
          <w:szCs w:val="21"/>
        </w:rPr>
      </w:pPr>
      <w:r>
        <w:rPr>
          <w:rFonts w:hint="eastAsia" w:ascii="宋体" w:hAnsi="宋体" w:cs="宋体"/>
          <w:szCs w:val="21"/>
        </w:rPr>
        <w:t xml:space="preserve">    1.采购人信息</w:t>
      </w:r>
    </w:p>
    <w:p>
      <w:pPr>
        <w:spacing w:line="400" w:lineRule="exact"/>
        <w:ind w:firstLine="420" w:firstLineChars="200"/>
        <w:rPr>
          <w:rFonts w:ascii="宋体" w:hAnsi="宋体" w:cs="宋体"/>
          <w:szCs w:val="21"/>
        </w:rPr>
      </w:pPr>
      <w:r>
        <w:rPr>
          <w:rFonts w:hint="eastAsia" w:ascii="宋体" w:hAnsi="宋体" w:cs="宋体"/>
          <w:szCs w:val="21"/>
        </w:rPr>
        <w:t xml:space="preserve">    名    称：安吉技师学院 </w:t>
      </w:r>
    </w:p>
    <w:p>
      <w:pPr>
        <w:spacing w:line="400" w:lineRule="exact"/>
        <w:ind w:firstLine="420" w:firstLineChars="200"/>
        <w:rPr>
          <w:rFonts w:ascii="宋体" w:hAnsi="宋体" w:cs="宋体"/>
          <w:szCs w:val="21"/>
        </w:rPr>
      </w:pPr>
      <w:r>
        <w:rPr>
          <w:rFonts w:hint="eastAsia" w:ascii="宋体" w:hAnsi="宋体" w:cs="宋体"/>
          <w:szCs w:val="21"/>
        </w:rPr>
        <w:t xml:space="preserve">    地    址： 安吉县孝源街道职教路1号  </w:t>
      </w:r>
    </w:p>
    <w:p>
      <w:pPr>
        <w:spacing w:line="400" w:lineRule="exact"/>
        <w:ind w:firstLine="420" w:firstLineChars="200"/>
        <w:rPr>
          <w:rFonts w:ascii="宋体" w:hAnsi="宋体" w:cs="宋体"/>
          <w:szCs w:val="21"/>
        </w:rPr>
      </w:pPr>
      <w:r>
        <w:rPr>
          <w:rFonts w:hint="eastAsia" w:ascii="宋体" w:hAnsi="宋体" w:cs="宋体"/>
          <w:szCs w:val="21"/>
        </w:rPr>
        <w:t xml:space="preserve">    传    真：/</w:t>
      </w:r>
    </w:p>
    <w:p>
      <w:pPr>
        <w:spacing w:line="400" w:lineRule="exact"/>
        <w:ind w:firstLine="420" w:firstLineChars="200"/>
        <w:rPr>
          <w:rFonts w:ascii="宋体" w:hAnsi="宋体" w:cs="宋体"/>
          <w:color w:val="auto"/>
          <w:szCs w:val="21"/>
        </w:rPr>
      </w:pPr>
      <w:r>
        <w:rPr>
          <w:rFonts w:hint="eastAsia" w:ascii="宋体" w:hAnsi="宋体" w:cs="宋体"/>
          <w:szCs w:val="21"/>
        </w:rPr>
        <w:t xml:space="preserve">   </w:t>
      </w:r>
      <w:r>
        <w:rPr>
          <w:rFonts w:hint="eastAsia" w:ascii="宋体" w:hAnsi="宋体" w:cs="宋体"/>
          <w:color w:val="auto"/>
          <w:szCs w:val="21"/>
        </w:rPr>
        <w:t xml:space="preserve"> 项目联系人（询问）：周老师 </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    项目联系方式（询问）：</w:t>
      </w:r>
      <w:r>
        <w:rPr>
          <w:rFonts w:ascii="宋体" w:hAnsi="宋体" w:cs="宋体"/>
          <w:color w:val="auto"/>
          <w:szCs w:val="21"/>
        </w:rPr>
        <w:t>15924308638</w:t>
      </w:r>
      <w:r>
        <w:rPr>
          <w:rFonts w:hint="eastAsia" w:ascii="宋体" w:hAnsi="宋体" w:cs="宋体"/>
          <w:color w:val="auto"/>
          <w:szCs w:val="21"/>
        </w:rPr>
        <w:t xml:space="preserve">   </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    质疑联系人：范老师   </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    质疑联系方式：</w:t>
      </w:r>
      <w:r>
        <w:rPr>
          <w:rFonts w:ascii="宋体" w:hAnsi="宋体" w:cs="宋体"/>
          <w:color w:val="auto"/>
          <w:szCs w:val="21"/>
        </w:rPr>
        <w:t>13094863411</w:t>
      </w:r>
      <w:r>
        <w:rPr>
          <w:rFonts w:hint="eastAsia" w:ascii="宋体" w:hAnsi="宋体" w:cs="宋体"/>
          <w:color w:val="auto"/>
          <w:szCs w:val="21"/>
        </w:rPr>
        <w:t xml:space="preserve">      </w:t>
      </w:r>
    </w:p>
    <w:p>
      <w:pPr>
        <w:spacing w:line="400" w:lineRule="exact"/>
        <w:ind w:firstLine="840" w:firstLineChars="400"/>
        <w:rPr>
          <w:rFonts w:ascii="宋体" w:hAnsi="宋体" w:cs="宋体"/>
          <w:szCs w:val="21"/>
        </w:rPr>
      </w:pPr>
      <w:r>
        <w:rPr>
          <w:rFonts w:hint="eastAsia" w:ascii="宋体" w:hAnsi="宋体" w:cs="宋体"/>
          <w:szCs w:val="21"/>
        </w:rPr>
        <w:t>2.采购代理机构信息</w:t>
      </w:r>
    </w:p>
    <w:p>
      <w:pPr>
        <w:spacing w:line="400" w:lineRule="exact"/>
        <w:ind w:firstLine="420" w:firstLineChars="200"/>
        <w:rPr>
          <w:rFonts w:ascii="宋体" w:hAnsi="宋体" w:cs="宋体"/>
          <w:szCs w:val="21"/>
        </w:rPr>
      </w:pPr>
      <w:r>
        <w:rPr>
          <w:rFonts w:hint="eastAsia" w:ascii="宋体" w:hAnsi="宋体" w:cs="宋体"/>
          <w:szCs w:val="21"/>
        </w:rPr>
        <w:t xml:space="preserve">    名    称：湖州江南工程管理有限公司    </w:t>
      </w:r>
    </w:p>
    <w:p>
      <w:pPr>
        <w:spacing w:line="400" w:lineRule="exact"/>
        <w:ind w:firstLine="840" w:firstLineChars="400"/>
        <w:rPr>
          <w:rFonts w:ascii="宋体" w:hAnsi="宋体" w:cs="宋体"/>
          <w:szCs w:val="21"/>
        </w:rPr>
      </w:pPr>
      <w:r>
        <w:rPr>
          <w:rFonts w:hint="eastAsia" w:ascii="宋体" w:hAnsi="宋体" w:cs="宋体"/>
          <w:szCs w:val="21"/>
        </w:rPr>
        <w:t>地    址：安吉县金融中心14楼</w:t>
      </w:r>
    </w:p>
    <w:p>
      <w:pPr>
        <w:spacing w:line="400" w:lineRule="exact"/>
        <w:ind w:firstLine="420" w:firstLineChars="200"/>
        <w:rPr>
          <w:rFonts w:ascii="宋体" w:hAnsi="宋体" w:cs="宋体"/>
          <w:szCs w:val="21"/>
        </w:rPr>
      </w:pPr>
      <w:r>
        <w:rPr>
          <w:rFonts w:hint="eastAsia" w:ascii="宋体" w:hAnsi="宋体" w:cs="宋体"/>
          <w:szCs w:val="21"/>
        </w:rPr>
        <w:t xml:space="preserve">    传    真：0572-5076515</w:t>
      </w:r>
    </w:p>
    <w:p>
      <w:pPr>
        <w:spacing w:line="400" w:lineRule="exact"/>
        <w:ind w:firstLine="420" w:firstLineChars="200"/>
        <w:rPr>
          <w:rFonts w:ascii="宋体" w:hAnsi="宋体" w:cs="宋体"/>
          <w:szCs w:val="21"/>
        </w:rPr>
      </w:pPr>
      <w:r>
        <w:rPr>
          <w:rFonts w:hint="eastAsia" w:ascii="宋体" w:hAnsi="宋体" w:cs="宋体"/>
          <w:szCs w:val="21"/>
        </w:rPr>
        <w:t xml:space="preserve">    项目联系人（询问）：曾先生</w:t>
      </w:r>
    </w:p>
    <w:p>
      <w:pPr>
        <w:spacing w:line="400" w:lineRule="exact"/>
        <w:ind w:firstLine="420" w:firstLineChars="200"/>
        <w:rPr>
          <w:rFonts w:ascii="宋体" w:hAnsi="宋体" w:cs="宋体"/>
          <w:szCs w:val="21"/>
        </w:rPr>
      </w:pPr>
      <w:r>
        <w:rPr>
          <w:rFonts w:hint="eastAsia" w:ascii="宋体" w:hAnsi="宋体" w:cs="宋体"/>
          <w:szCs w:val="21"/>
        </w:rPr>
        <w:t xml:space="preserve">    项目联系方式（询问）：0572-5076515</w:t>
      </w:r>
    </w:p>
    <w:p>
      <w:pPr>
        <w:spacing w:line="400" w:lineRule="exact"/>
        <w:ind w:firstLine="420" w:firstLineChars="200"/>
        <w:rPr>
          <w:rFonts w:ascii="宋体" w:hAnsi="宋体" w:cs="宋体"/>
          <w:szCs w:val="21"/>
        </w:rPr>
      </w:pPr>
      <w:r>
        <w:rPr>
          <w:rFonts w:hint="eastAsia" w:ascii="宋体" w:hAnsi="宋体" w:cs="宋体"/>
          <w:szCs w:val="21"/>
        </w:rPr>
        <w:t xml:space="preserve">    质疑联系人：史先生</w:t>
      </w:r>
    </w:p>
    <w:p>
      <w:pPr>
        <w:spacing w:line="400" w:lineRule="exact"/>
        <w:ind w:firstLine="420" w:firstLineChars="200"/>
        <w:rPr>
          <w:rFonts w:ascii="宋体" w:hAnsi="宋体" w:cs="宋体"/>
          <w:szCs w:val="21"/>
        </w:rPr>
      </w:pPr>
      <w:r>
        <w:rPr>
          <w:rFonts w:hint="eastAsia" w:ascii="宋体" w:hAnsi="宋体" w:cs="宋体"/>
          <w:szCs w:val="21"/>
        </w:rPr>
        <w:t xml:space="preserve">    质疑联系方式：0572-5076515</w:t>
      </w:r>
    </w:p>
    <w:p>
      <w:pPr>
        <w:spacing w:line="400" w:lineRule="exact"/>
        <w:ind w:firstLine="420" w:firstLineChars="200"/>
        <w:rPr>
          <w:rFonts w:ascii="宋体" w:hAnsi="宋体" w:cs="宋体"/>
          <w:szCs w:val="21"/>
        </w:rPr>
      </w:pPr>
      <w:r>
        <w:rPr>
          <w:rFonts w:hint="eastAsia" w:ascii="宋体" w:hAnsi="宋体" w:cs="宋体"/>
          <w:szCs w:val="21"/>
        </w:rPr>
        <w:t xml:space="preserve">    3.同级政府采购监督管理部门</w:t>
      </w:r>
    </w:p>
    <w:p>
      <w:pPr>
        <w:spacing w:line="400" w:lineRule="exact"/>
        <w:ind w:firstLine="420" w:firstLineChars="200"/>
        <w:rPr>
          <w:rFonts w:ascii="宋体" w:hAnsi="宋体" w:cs="宋体"/>
          <w:szCs w:val="21"/>
        </w:rPr>
      </w:pPr>
      <w:r>
        <w:rPr>
          <w:rFonts w:hint="eastAsia" w:ascii="宋体" w:hAnsi="宋体" w:cs="宋体"/>
          <w:szCs w:val="21"/>
        </w:rPr>
        <w:t xml:space="preserve">    名    称：安吉县财政局</w:t>
      </w:r>
    </w:p>
    <w:p>
      <w:pPr>
        <w:spacing w:line="400" w:lineRule="exact"/>
        <w:ind w:firstLine="420" w:firstLineChars="200"/>
        <w:rPr>
          <w:rFonts w:ascii="宋体" w:hAnsi="宋体" w:cs="宋体"/>
          <w:szCs w:val="21"/>
        </w:rPr>
      </w:pPr>
      <w:r>
        <w:rPr>
          <w:rFonts w:hint="eastAsia" w:ascii="宋体" w:hAnsi="宋体" w:cs="宋体"/>
          <w:szCs w:val="21"/>
        </w:rPr>
        <w:t xml:space="preserve">    地    址：安吉县凤凰路凤凰五区188号</w:t>
      </w:r>
    </w:p>
    <w:p>
      <w:pPr>
        <w:spacing w:line="400" w:lineRule="exact"/>
        <w:ind w:firstLine="420" w:firstLineChars="200"/>
        <w:rPr>
          <w:rFonts w:ascii="宋体" w:hAnsi="宋体" w:cs="宋体"/>
          <w:szCs w:val="21"/>
        </w:rPr>
      </w:pPr>
      <w:r>
        <w:rPr>
          <w:rFonts w:hint="eastAsia" w:ascii="宋体" w:hAnsi="宋体" w:cs="宋体"/>
          <w:szCs w:val="21"/>
        </w:rPr>
        <w:t xml:space="preserve">    传    真：/ </w:t>
      </w:r>
    </w:p>
    <w:p>
      <w:pPr>
        <w:spacing w:line="400" w:lineRule="exact"/>
        <w:ind w:firstLine="420" w:firstLineChars="200"/>
        <w:rPr>
          <w:rFonts w:ascii="宋体" w:hAnsi="宋体" w:cs="宋体"/>
          <w:szCs w:val="21"/>
        </w:rPr>
      </w:pPr>
      <w:r>
        <w:rPr>
          <w:rFonts w:hint="eastAsia" w:ascii="宋体" w:hAnsi="宋体" w:cs="宋体"/>
          <w:szCs w:val="21"/>
        </w:rPr>
        <w:t xml:space="preserve">    联系人 ：采监科王庭</w:t>
      </w:r>
    </w:p>
    <w:p>
      <w:pPr>
        <w:spacing w:line="400" w:lineRule="exact"/>
        <w:ind w:firstLine="420" w:firstLineChars="200"/>
        <w:rPr>
          <w:rFonts w:ascii="宋体" w:hAnsi="宋体" w:cs="宋体"/>
          <w:szCs w:val="21"/>
        </w:rPr>
      </w:pPr>
      <w:r>
        <w:rPr>
          <w:rFonts w:hint="eastAsia" w:ascii="宋体" w:hAnsi="宋体" w:cs="宋体"/>
          <w:szCs w:val="21"/>
        </w:rPr>
        <w:t xml:space="preserve">    监督投诉电话：0572-5807951</w:t>
      </w:r>
    </w:p>
    <w:p/>
    <w:p/>
    <w:p>
      <w:pPr>
        <w:spacing w:line="360" w:lineRule="exact"/>
        <w:ind w:firstLine="420" w:firstLineChars="200"/>
        <w:jc w:val="right"/>
        <w:rPr>
          <w:rFonts w:ascii="宋体" w:hAnsi="宋体" w:cs="宋体"/>
          <w:szCs w:val="21"/>
        </w:rPr>
      </w:pPr>
      <w:r>
        <w:rPr>
          <w:rFonts w:hint="eastAsia" w:ascii="宋体" w:hAnsi="宋体" w:cs="宋体"/>
          <w:szCs w:val="21"/>
        </w:rPr>
        <w:t xml:space="preserve">                  </w:t>
      </w:r>
      <w:bookmarkEnd w:id="5"/>
      <w:r>
        <w:rPr>
          <w:rFonts w:hint="eastAsia" w:ascii="宋体" w:hAnsi="宋体" w:cs="宋体"/>
          <w:szCs w:val="21"/>
        </w:rPr>
        <w:t xml:space="preserve">   </w:t>
      </w:r>
    </w:p>
    <w:p>
      <w:pPr>
        <w:pStyle w:val="3"/>
        <w:spacing w:before="0" w:after="0" w:line="240" w:lineRule="auto"/>
        <w:jc w:val="center"/>
        <w:rPr>
          <w:rFonts w:ascii="宋体" w:hAnsi="宋体" w:cs="宋体"/>
          <w:snapToGrid w:val="0"/>
          <w:sz w:val="36"/>
          <w:szCs w:val="36"/>
        </w:rPr>
      </w:pPr>
      <w:bookmarkStart w:id="8" w:name="_Toc4523"/>
      <w:bookmarkStart w:id="9" w:name="_Toc22570"/>
      <w:bookmarkStart w:id="10" w:name="_Toc31379"/>
      <w:r>
        <w:br w:type="page"/>
      </w:r>
      <w:bookmarkStart w:id="11" w:name="_Toc24817"/>
      <w:r>
        <w:rPr>
          <w:rFonts w:hint="eastAsia" w:ascii="宋体" w:hAnsi="宋体" w:cs="宋体"/>
          <w:snapToGrid w:val="0"/>
          <w:sz w:val="36"/>
          <w:szCs w:val="36"/>
        </w:rPr>
        <w:t xml:space="preserve">第二章  </w:t>
      </w:r>
      <w:bookmarkEnd w:id="6"/>
      <w:bookmarkEnd w:id="8"/>
      <w:r>
        <w:rPr>
          <w:rFonts w:hint="eastAsia" w:ascii="宋体" w:hAnsi="宋体" w:cs="宋体"/>
          <w:snapToGrid w:val="0"/>
          <w:sz w:val="36"/>
          <w:szCs w:val="36"/>
        </w:rPr>
        <w:t>招标需求</w:t>
      </w:r>
      <w:bookmarkEnd w:id="9"/>
      <w:bookmarkEnd w:id="10"/>
      <w:bookmarkEnd w:id="11"/>
      <w:bookmarkStart w:id="12" w:name="_Toc435954913"/>
      <w:bookmarkStart w:id="13" w:name="_Toc317341936"/>
    </w:p>
    <w:bookmarkEnd w:id="12"/>
    <w:p>
      <w:pPr>
        <w:pStyle w:val="4"/>
        <w:keepNext w:val="0"/>
        <w:keepLines w:val="0"/>
        <w:spacing w:before="0" w:after="0" w:line="500" w:lineRule="exact"/>
        <w:rPr>
          <w:rFonts w:ascii="宋体" w:hAnsi="宋体" w:eastAsia="宋体" w:cs="宋体"/>
          <w:bCs w:val="0"/>
          <w:sz w:val="28"/>
          <w:szCs w:val="28"/>
        </w:rPr>
      </w:pPr>
      <w:bookmarkStart w:id="14" w:name="_Toc18981"/>
      <w:bookmarkStart w:id="15" w:name="_Toc406664504"/>
      <w:bookmarkStart w:id="16" w:name="_Toc10242"/>
      <w:bookmarkStart w:id="17" w:name="_Toc32753"/>
      <w:r>
        <w:rPr>
          <w:rFonts w:hint="eastAsia" w:ascii="宋体" w:hAnsi="宋体" w:eastAsia="宋体" w:cs="宋体"/>
          <w:bCs w:val="0"/>
          <w:sz w:val="28"/>
          <w:szCs w:val="28"/>
        </w:rPr>
        <w:t>一、项目概况</w:t>
      </w:r>
      <w:bookmarkEnd w:id="14"/>
      <w:bookmarkEnd w:id="15"/>
      <w:bookmarkEnd w:id="16"/>
      <w:bookmarkEnd w:id="17"/>
    </w:p>
    <w:p>
      <w:pPr>
        <w:spacing w:line="420" w:lineRule="exact"/>
        <w:ind w:firstLine="420" w:firstLineChars="200"/>
        <w:rPr>
          <w:rFonts w:ascii="宋体" w:hAnsi="宋体" w:cs="宋体"/>
          <w:szCs w:val="21"/>
        </w:rPr>
      </w:pPr>
      <w:r>
        <w:rPr>
          <w:rFonts w:hint="eastAsia" w:ascii="宋体" w:hAnsi="宋体" w:cs="宋体"/>
          <w:szCs w:val="21"/>
        </w:rPr>
        <w:t>1、项目编号：HZJNAJ-2024010</w:t>
      </w:r>
    </w:p>
    <w:p>
      <w:pPr>
        <w:spacing w:line="420" w:lineRule="exact"/>
        <w:ind w:firstLine="420" w:firstLineChars="200"/>
        <w:rPr>
          <w:rFonts w:ascii="宋体" w:hAnsi="宋体" w:cs="宋体"/>
          <w:szCs w:val="21"/>
        </w:rPr>
      </w:pPr>
      <w:bookmarkStart w:id="18" w:name="_Toc293915932"/>
      <w:bookmarkStart w:id="19" w:name="_Toc293916801"/>
      <w:bookmarkStart w:id="20" w:name="_Toc293916283"/>
      <w:bookmarkStart w:id="21" w:name="_Toc293916181"/>
      <w:r>
        <w:rPr>
          <w:rFonts w:hint="eastAsia" w:ascii="宋体" w:hAnsi="宋体" w:cs="宋体"/>
          <w:szCs w:val="21"/>
        </w:rPr>
        <w:t>2、项目名称：安吉技师学院单片机实训室建设项目</w:t>
      </w:r>
    </w:p>
    <w:p>
      <w:pPr>
        <w:spacing w:line="420" w:lineRule="exact"/>
        <w:ind w:firstLine="420" w:firstLineChars="200"/>
        <w:rPr>
          <w:rFonts w:ascii="宋体" w:hAnsi="宋体" w:cs="宋体"/>
          <w:szCs w:val="28"/>
        </w:rPr>
      </w:pPr>
      <w:r>
        <w:rPr>
          <w:rFonts w:hint="eastAsia" w:ascii="宋体" w:hAnsi="宋体" w:cs="宋体"/>
          <w:szCs w:val="21"/>
        </w:rPr>
        <w:t>3、采购单位名称：</w:t>
      </w:r>
      <w:bookmarkEnd w:id="18"/>
      <w:bookmarkEnd w:id="19"/>
      <w:bookmarkEnd w:id="20"/>
      <w:bookmarkEnd w:id="21"/>
      <w:r>
        <w:rPr>
          <w:rFonts w:hint="eastAsia" w:ascii="宋体" w:hAnsi="宋体" w:cs="宋体"/>
          <w:szCs w:val="28"/>
        </w:rPr>
        <w:t xml:space="preserve">安吉技师学院 </w:t>
      </w:r>
    </w:p>
    <w:p>
      <w:pPr>
        <w:spacing w:line="420" w:lineRule="exact"/>
        <w:ind w:firstLine="420" w:firstLineChars="200"/>
        <w:rPr>
          <w:rFonts w:ascii="宋体" w:hAnsi="宋体" w:cs="宋体"/>
          <w:szCs w:val="21"/>
        </w:rPr>
      </w:pPr>
      <w:r>
        <w:rPr>
          <w:rFonts w:hint="eastAsia" w:ascii="宋体" w:hAnsi="宋体" w:cs="宋体"/>
          <w:szCs w:val="21"/>
        </w:rPr>
        <w:t>4、采购项目一览表</w:t>
      </w:r>
    </w:p>
    <w:tbl>
      <w:tblPr>
        <w:tblStyle w:val="34"/>
        <w:tblW w:w="93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95"/>
        <w:gridCol w:w="3908"/>
        <w:gridCol w:w="907"/>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spacing w:line="340" w:lineRule="exact"/>
              <w:jc w:val="center"/>
              <w:rPr>
                <w:rFonts w:ascii="宋体" w:hAnsi="宋体" w:cs="宋体"/>
                <w:szCs w:val="21"/>
              </w:rPr>
            </w:pPr>
            <w:bookmarkStart w:id="22" w:name="_Toc13016"/>
            <w:bookmarkStart w:id="23" w:name="_Toc19810"/>
            <w:r>
              <w:rPr>
                <w:rFonts w:hint="eastAsia" w:ascii="宋体" w:hAnsi="宋体" w:cs="宋体"/>
                <w:szCs w:val="21"/>
              </w:rPr>
              <w:t>序号</w:t>
            </w:r>
          </w:p>
        </w:tc>
        <w:tc>
          <w:tcPr>
            <w:tcW w:w="2295" w:type="dxa"/>
            <w:vAlign w:val="center"/>
          </w:tcPr>
          <w:p>
            <w:pPr>
              <w:spacing w:line="340" w:lineRule="exact"/>
              <w:jc w:val="center"/>
              <w:rPr>
                <w:rFonts w:ascii="宋体" w:hAnsi="宋体" w:cs="宋体"/>
                <w:szCs w:val="21"/>
              </w:rPr>
            </w:pPr>
            <w:r>
              <w:rPr>
                <w:rFonts w:hint="eastAsia" w:ascii="宋体" w:hAnsi="宋体" w:cs="宋体"/>
                <w:szCs w:val="21"/>
              </w:rPr>
              <w:t>名称</w:t>
            </w:r>
          </w:p>
        </w:tc>
        <w:tc>
          <w:tcPr>
            <w:tcW w:w="3908" w:type="dxa"/>
            <w:vAlign w:val="center"/>
          </w:tcPr>
          <w:p>
            <w:pPr>
              <w:spacing w:line="340" w:lineRule="exact"/>
              <w:jc w:val="center"/>
              <w:rPr>
                <w:rFonts w:ascii="宋体" w:hAnsi="宋体" w:cs="宋体"/>
                <w:szCs w:val="21"/>
              </w:rPr>
            </w:pPr>
            <w:r>
              <w:rPr>
                <w:rFonts w:hint="eastAsia" w:ascii="宋体" w:hAnsi="宋体" w:cs="宋体"/>
                <w:szCs w:val="21"/>
              </w:rPr>
              <w:t>内容</w:t>
            </w:r>
          </w:p>
        </w:tc>
        <w:tc>
          <w:tcPr>
            <w:tcW w:w="907" w:type="dxa"/>
            <w:vAlign w:val="center"/>
          </w:tcPr>
          <w:p>
            <w:pPr>
              <w:spacing w:line="340" w:lineRule="exact"/>
              <w:jc w:val="center"/>
              <w:rPr>
                <w:rFonts w:ascii="宋体" w:hAnsi="宋体" w:cs="宋体"/>
                <w:szCs w:val="21"/>
              </w:rPr>
            </w:pPr>
            <w:r>
              <w:rPr>
                <w:rFonts w:hint="eastAsia" w:ascii="宋体" w:hAnsi="宋体" w:cs="宋体"/>
                <w:szCs w:val="21"/>
              </w:rPr>
              <w:t>数量</w:t>
            </w:r>
          </w:p>
        </w:tc>
        <w:tc>
          <w:tcPr>
            <w:tcW w:w="1561" w:type="dxa"/>
            <w:vAlign w:val="center"/>
          </w:tcPr>
          <w:p>
            <w:pPr>
              <w:spacing w:line="340" w:lineRule="exact"/>
              <w:jc w:val="center"/>
              <w:rPr>
                <w:rFonts w:ascii="宋体" w:hAnsi="宋体" w:cs="宋体"/>
                <w:szCs w:val="21"/>
              </w:rPr>
            </w:pPr>
            <w:r>
              <w:rPr>
                <w:rFonts w:hint="eastAsia" w:ascii="宋体" w:hAnsi="宋体" w:cs="宋体"/>
                <w:szCs w:val="21"/>
              </w:rPr>
              <w:t xml:space="preserve">预算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09" w:type="dxa"/>
            <w:vAlign w:val="center"/>
          </w:tcPr>
          <w:p>
            <w:pPr>
              <w:adjustRightInd w:val="0"/>
              <w:snapToGrid w:val="0"/>
              <w:spacing w:line="340" w:lineRule="exact"/>
              <w:jc w:val="center"/>
              <w:rPr>
                <w:rFonts w:ascii="宋体" w:hAnsi="宋体" w:cs="宋体"/>
                <w:szCs w:val="21"/>
              </w:rPr>
            </w:pPr>
            <w:r>
              <w:rPr>
                <w:rFonts w:hint="eastAsia" w:ascii="宋体" w:hAnsi="宋体" w:cs="宋体"/>
                <w:szCs w:val="21"/>
              </w:rPr>
              <w:t>1</w:t>
            </w:r>
          </w:p>
        </w:tc>
        <w:tc>
          <w:tcPr>
            <w:tcW w:w="2295" w:type="dxa"/>
            <w:vAlign w:val="center"/>
          </w:tcPr>
          <w:p>
            <w:pPr>
              <w:adjustRightInd w:val="0"/>
              <w:snapToGrid w:val="0"/>
              <w:spacing w:line="340" w:lineRule="exact"/>
              <w:jc w:val="center"/>
              <w:rPr>
                <w:rFonts w:ascii="宋体" w:hAnsi="宋体" w:cs="宋体"/>
                <w:szCs w:val="21"/>
              </w:rPr>
            </w:pPr>
            <w:r>
              <w:rPr>
                <w:rFonts w:hint="eastAsia" w:ascii="宋体" w:hAnsi="宋体" w:cs="宋体"/>
                <w:szCs w:val="21"/>
              </w:rPr>
              <w:t>安吉技师学院单片机实训室建设项目</w:t>
            </w:r>
          </w:p>
        </w:tc>
        <w:tc>
          <w:tcPr>
            <w:tcW w:w="3908" w:type="dxa"/>
            <w:vAlign w:val="center"/>
          </w:tcPr>
          <w:p>
            <w:pPr>
              <w:adjustRightInd w:val="0"/>
              <w:snapToGrid w:val="0"/>
              <w:spacing w:line="340" w:lineRule="exact"/>
              <w:jc w:val="center"/>
              <w:rPr>
                <w:rFonts w:ascii="宋体" w:hAnsi="宋体" w:cs="宋体"/>
                <w:szCs w:val="21"/>
              </w:rPr>
            </w:pPr>
            <w:r>
              <w:rPr>
                <w:rFonts w:hint="eastAsia" w:ascii="宋体" w:hAnsi="宋体" w:cs="宋体"/>
                <w:szCs w:val="21"/>
              </w:rPr>
              <w:t>单片机综合实训装置24台，单片机开发综合实验箱24套，100抽带门电子元器件柜2个及实训室配套设施建设</w:t>
            </w:r>
          </w:p>
        </w:tc>
        <w:tc>
          <w:tcPr>
            <w:tcW w:w="907" w:type="dxa"/>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1批</w:t>
            </w:r>
          </w:p>
        </w:tc>
        <w:tc>
          <w:tcPr>
            <w:tcW w:w="1561" w:type="dxa"/>
            <w:vAlign w:val="center"/>
          </w:tcPr>
          <w:p>
            <w:pPr>
              <w:adjustRightInd w:val="0"/>
              <w:snapToGrid w:val="0"/>
              <w:spacing w:line="340" w:lineRule="exact"/>
              <w:jc w:val="center"/>
              <w:rPr>
                <w:rFonts w:ascii="宋体" w:hAnsi="宋体" w:cs="宋体"/>
                <w:szCs w:val="21"/>
              </w:rPr>
            </w:pPr>
            <w:r>
              <w:rPr>
                <w:rFonts w:hint="eastAsia" w:ascii="宋体" w:hAnsi="宋体" w:cs="宋体"/>
                <w:szCs w:val="21"/>
              </w:rPr>
              <w:t>340000元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trPr>
        <w:tc>
          <w:tcPr>
            <w:tcW w:w="709" w:type="dxa"/>
            <w:vAlign w:val="center"/>
          </w:tcPr>
          <w:p>
            <w:pPr>
              <w:autoSpaceDE w:val="0"/>
              <w:autoSpaceDN w:val="0"/>
              <w:adjustRightInd w:val="0"/>
              <w:spacing w:line="340" w:lineRule="exact"/>
              <w:ind w:left="420" w:leftChars="50" w:hanging="315" w:hangingChars="150"/>
              <w:rPr>
                <w:rFonts w:ascii="宋体" w:hAnsi="宋体" w:cs="宋体"/>
                <w:szCs w:val="21"/>
                <w:highlight w:val="none"/>
              </w:rPr>
            </w:pPr>
            <w:r>
              <w:rPr>
                <w:rFonts w:hint="eastAsia" w:ascii="宋体" w:hAnsi="宋体" w:cs="宋体"/>
                <w:szCs w:val="21"/>
                <w:highlight w:val="none"/>
              </w:rPr>
              <w:t xml:space="preserve">注 </w:t>
            </w:r>
          </w:p>
        </w:tc>
        <w:tc>
          <w:tcPr>
            <w:tcW w:w="8671" w:type="dxa"/>
            <w:gridSpan w:val="4"/>
            <w:vAlign w:val="center"/>
          </w:tcPr>
          <w:p>
            <w:pPr>
              <w:autoSpaceDE w:val="0"/>
              <w:autoSpaceDN w:val="0"/>
              <w:adjustRightInd w:val="0"/>
              <w:spacing w:line="340" w:lineRule="exact"/>
              <w:rPr>
                <w:highlight w:val="none"/>
              </w:rPr>
            </w:pPr>
            <w:r>
              <w:rPr>
                <w:rFonts w:hint="eastAsia"/>
                <w:highlight w:val="none"/>
              </w:rPr>
              <w:t>1、本项目预算为340000元，</w:t>
            </w:r>
            <w:r>
              <w:rPr>
                <w:rFonts w:hint="eastAsia"/>
                <w:highlight w:val="none"/>
                <w:lang w:eastAsia="zh-CN"/>
              </w:rPr>
              <w:t>最高限价为</w:t>
            </w:r>
            <w:r>
              <w:rPr>
                <w:rFonts w:hint="eastAsia"/>
                <w:highlight w:val="none"/>
                <w:lang w:val="en-US" w:eastAsia="zh-CN"/>
              </w:rPr>
              <w:t>300000元，</w:t>
            </w:r>
            <w:r>
              <w:rPr>
                <w:rFonts w:hint="eastAsia"/>
                <w:highlight w:val="none"/>
              </w:rPr>
              <w:t>各投标人投标报价不得超</w:t>
            </w:r>
            <w:r>
              <w:rPr>
                <w:rFonts w:hint="eastAsia"/>
                <w:highlight w:val="none"/>
                <w:lang w:eastAsia="zh-CN"/>
              </w:rPr>
              <w:t>最高限价</w:t>
            </w:r>
            <w:r>
              <w:rPr>
                <w:rFonts w:hint="eastAsia"/>
                <w:highlight w:val="none"/>
              </w:rPr>
              <w:t>，否则投标无效。</w:t>
            </w:r>
          </w:p>
          <w:p>
            <w:pPr>
              <w:pStyle w:val="31"/>
              <w:ind w:firstLine="0" w:firstLineChars="0"/>
              <w:rPr>
                <w:highlight w:val="none"/>
              </w:rPr>
            </w:pPr>
            <w:r>
              <w:rPr>
                <w:rFonts w:hint="eastAsia"/>
                <w:highlight w:val="none"/>
              </w:rPr>
              <w:t>2、合同履约期限：</w:t>
            </w:r>
            <w:r>
              <w:rPr>
                <w:rFonts w:hint="eastAsia" w:ascii="宋体" w:hAnsi="宋体" w:cs="宋体"/>
                <w:szCs w:val="21"/>
                <w:highlight w:val="none"/>
              </w:rPr>
              <w:t>自合同签订之日计起30日内完成本项目所需的建设</w:t>
            </w:r>
          </w:p>
        </w:tc>
      </w:tr>
    </w:tbl>
    <w:p>
      <w:pPr>
        <w:pStyle w:val="4"/>
        <w:numPr>
          <w:ilvl w:val="0"/>
          <w:numId w:val="2"/>
        </w:numPr>
        <w:spacing w:line="500" w:lineRule="exact"/>
        <w:rPr>
          <w:rFonts w:ascii="宋体" w:hAnsi="宋体" w:eastAsia="宋体" w:cs="宋体"/>
          <w:sz w:val="28"/>
          <w:szCs w:val="28"/>
        </w:rPr>
      </w:pPr>
      <w:r>
        <w:rPr>
          <w:rFonts w:hint="eastAsia" w:ascii="宋体" w:hAnsi="宋体" w:eastAsia="宋体" w:cs="宋体"/>
          <w:bCs w:val="0"/>
          <w:sz w:val="28"/>
          <w:szCs w:val="28"/>
        </w:rPr>
        <w:t>采购内容</w:t>
      </w:r>
    </w:p>
    <w:p>
      <w:pPr>
        <w:pStyle w:val="4"/>
        <w:spacing w:line="500" w:lineRule="exact"/>
        <w:rPr>
          <w:rFonts w:ascii="宋体" w:hAnsi="宋体" w:eastAsia="宋体" w:cs="宋体"/>
          <w:sz w:val="28"/>
          <w:szCs w:val="28"/>
        </w:rPr>
      </w:pPr>
      <w:r>
        <w:rPr>
          <w:rFonts w:hint="eastAsia" w:ascii="宋体" w:hAnsi="宋体" w:eastAsia="宋体" w:cs="宋体"/>
          <w:bCs w:val="0"/>
          <w:sz w:val="24"/>
          <w:szCs w:val="24"/>
        </w:rPr>
        <w:t>1.采购清单</w:t>
      </w:r>
    </w:p>
    <w:tbl>
      <w:tblPr>
        <w:tblStyle w:val="34"/>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960"/>
        <w:gridCol w:w="753"/>
        <w:gridCol w:w="754"/>
        <w:gridCol w:w="3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725" w:type="dxa"/>
            <w:tcBorders>
              <w:tl2br w:val="nil"/>
              <w:tr2bl w:val="nil"/>
            </w:tcBorders>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序号</w:t>
            </w:r>
          </w:p>
        </w:tc>
        <w:tc>
          <w:tcPr>
            <w:tcW w:w="2960" w:type="dxa"/>
            <w:tcBorders>
              <w:tl2br w:val="nil"/>
              <w:tr2bl w:val="nil"/>
            </w:tcBorders>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名    称</w:t>
            </w:r>
          </w:p>
        </w:tc>
        <w:tc>
          <w:tcPr>
            <w:tcW w:w="753" w:type="dxa"/>
            <w:tcBorders>
              <w:tl2br w:val="nil"/>
              <w:tr2bl w:val="nil"/>
            </w:tcBorders>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单位</w:t>
            </w:r>
          </w:p>
        </w:tc>
        <w:tc>
          <w:tcPr>
            <w:tcW w:w="754" w:type="dxa"/>
            <w:tcBorders>
              <w:tl2br w:val="nil"/>
              <w:tr2bl w:val="nil"/>
            </w:tcBorders>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数量</w:t>
            </w:r>
          </w:p>
        </w:tc>
        <w:tc>
          <w:tcPr>
            <w:tcW w:w="3329" w:type="dxa"/>
            <w:tcBorders>
              <w:tl2br w:val="nil"/>
              <w:tr2bl w:val="nil"/>
            </w:tcBorders>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tcBorders>
              <w:tl2br w:val="nil"/>
              <w:tr2bl w:val="nil"/>
            </w:tcBorders>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2960" w:type="dxa"/>
            <w:tcBorders>
              <w:tl2br w:val="nil"/>
              <w:tr2bl w:val="nil"/>
            </w:tcBorders>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单片机综合实训装置</w:t>
            </w:r>
          </w:p>
        </w:tc>
        <w:tc>
          <w:tcPr>
            <w:tcW w:w="753" w:type="dxa"/>
            <w:tcBorders>
              <w:tl2br w:val="nil"/>
              <w:tr2bl w:val="nil"/>
            </w:tcBorders>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台</w:t>
            </w:r>
          </w:p>
        </w:tc>
        <w:tc>
          <w:tcPr>
            <w:tcW w:w="754" w:type="dxa"/>
            <w:tcBorders>
              <w:tl2br w:val="nil"/>
              <w:tr2bl w:val="nil"/>
            </w:tcBorders>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24</w:t>
            </w:r>
          </w:p>
        </w:tc>
        <w:tc>
          <w:tcPr>
            <w:tcW w:w="3329" w:type="dxa"/>
            <w:tcBorders>
              <w:tl2br w:val="nil"/>
              <w:tr2bl w:val="nil"/>
            </w:tcBorders>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建设场地设备搬运、电路强弱电综合布线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725" w:type="dxa"/>
            <w:tcBorders>
              <w:tl2br w:val="nil"/>
              <w:tr2bl w:val="nil"/>
            </w:tcBorders>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2960" w:type="dxa"/>
            <w:tcBorders>
              <w:tl2br w:val="nil"/>
              <w:tr2bl w:val="nil"/>
            </w:tcBorders>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单片机开发综合实验箱</w:t>
            </w:r>
          </w:p>
        </w:tc>
        <w:tc>
          <w:tcPr>
            <w:tcW w:w="753" w:type="dxa"/>
            <w:tcBorders>
              <w:tl2br w:val="nil"/>
              <w:tr2bl w:val="nil"/>
            </w:tcBorders>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套</w:t>
            </w:r>
          </w:p>
        </w:tc>
        <w:tc>
          <w:tcPr>
            <w:tcW w:w="754" w:type="dxa"/>
            <w:tcBorders>
              <w:tl2br w:val="nil"/>
              <w:tr2bl w:val="nil"/>
            </w:tcBorders>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24</w:t>
            </w:r>
          </w:p>
        </w:tc>
        <w:tc>
          <w:tcPr>
            <w:tcW w:w="3329" w:type="dxa"/>
            <w:tcBorders>
              <w:tl2br w:val="nil"/>
              <w:tr2bl w:val="nil"/>
            </w:tcBorders>
            <w:vAlign w:val="center"/>
          </w:tcPr>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725" w:type="dxa"/>
            <w:tcBorders>
              <w:tl2br w:val="nil"/>
              <w:tr2bl w:val="nil"/>
            </w:tcBorders>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w:t>
            </w:r>
          </w:p>
        </w:tc>
        <w:tc>
          <w:tcPr>
            <w:tcW w:w="2960" w:type="dxa"/>
            <w:tcBorders>
              <w:tl2br w:val="nil"/>
              <w:tr2bl w:val="nil"/>
            </w:tcBorders>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100抽带门电子元器件柜</w:t>
            </w:r>
          </w:p>
        </w:tc>
        <w:tc>
          <w:tcPr>
            <w:tcW w:w="753" w:type="dxa"/>
            <w:tcBorders>
              <w:tl2br w:val="nil"/>
              <w:tr2bl w:val="nil"/>
            </w:tcBorders>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个</w:t>
            </w:r>
          </w:p>
        </w:tc>
        <w:tc>
          <w:tcPr>
            <w:tcW w:w="754" w:type="dxa"/>
            <w:tcBorders>
              <w:tl2br w:val="nil"/>
              <w:tr2bl w:val="nil"/>
            </w:tcBorders>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3329" w:type="dxa"/>
            <w:tcBorders>
              <w:tl2br w:val="nil"/>
              <w:tr2bl w:val="nil"/>
            </w:tcBorders>
            <w:vAlign w:val="center"/>
          </w:tcPr>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tcBorders>
              <w:tl2br w:val="nil"/>
              <w:tr2bl w:val="nil"/>
            </w:tcBorders>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w:t>
            </w:r>
          </w:p>
        </w:tc>
        <w:tc>
          <w:tcPr>
            <w:tcW w:w="2960" w:type="dxa"/>
            <w:tcBorders>
              <w:tl2br w:val="nil"/>
              <w:tr2bl w:val="nil"/>
            </w:tcBorders>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实训室配套设施建设</w:t>
            </w:r>
          </w:p>
        </w:tc>
        <w:tc>
          <w:tcPr>
            <w:tcW w:w="753" w:type="dxa"/>
            <w:tcBorders>
              <w:tl2br w:val="nil"/>
              <w:tr2bl w:val="nil"/>
            </w:tcBorders>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项</w:t>
            </w:r>
          </w:p>
        </w:tc>
        <w:tc>
          <w:tcPr>
            <w:tcW w:w="754" w:type="dxa"/>
            <w:tcBorders>
              <w:tl2br w:val="nil"/>
              <w:tr2bl w:val="nil"/>
            </w:tcBorders>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3329" w:type="dxa"/>
            <w:tcBorders>
              <w:tl2br w:val="nil"/>
              <w:tr2bl w:val="nil"/>
            </w:tcBorders>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吊顶、照明、自流地坪、墙面处理、文化建设、强弱电布线等</w:t>
            </w:r>
          </w:p>
        </w:tc>
      </w:tr>
    </w:tbl>
    <w:p>
      <w:pPr>
        <w:numPr>
          <w:ilvl w:val="0"/>
          <w:numId w:val="3"/>
        </w:numPr>
        <w:rPr>
          <w:b/>
          <w:bCs/>
          <w:sz w:val="28"/>
          <w:szCs w:val="21"/>
        </w:rPr>
      </w:pPr>
      <w:r>
        <w:rPr>
          <w:rFonts w:hint="eastAsia"/>
          <w:b/>
          <w:bCs/>
          <w:sz w:val="28"/>
          <w:szCs w:val="21"/>
        </w:rPr>
        <w:t>主要技术参数</w:t>
      </w:r>
    </w:p>
    <w:tbl>
      <w:tblPr>
        <w:tblStyle w:val="34"/>
        <w:tblpPr w:leftFromText="180" w:rightFromText="180" w:vertAnchor="text" w:horzAnchor="page" w:tblpXSpec="center" w:tblpY="60"/>
        <w:tblOverlap w:val="never"/>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890"/>
        <w:gridCol w:w="6626"/>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0" w:type="dxa"/>
            <w:vAlign w:val="center"/>
          </w:tcPr>
          <w:p>
            <w:pPr>
              <w:widowControl/>
              <w:spacing w:line="360" w:lineRule="auto"/>
              <w:jc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890" w:type="dxa"/>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设备</w:t>
            </w:r>
          </w:p>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名称</w:t>
            </w:r>
          </w:p>
        </w:tc>
        <w:tc>
          <w:tcPr>
            <w:tcW w:w="6626" w:type="dxa"/>
            <w:vAlign w:val="center"/>
          </w:tcPr>
          <w:p>
            <w:pPr>
              <w:widowControl/>
              <w:spacing w:line="360" w:lineRule="auto"/>
              <w:jc w:val="center"/>
              <w:rPr>
                <w:rFonts w:ascii="宋体" w:hAnsi="宋体" w:cs="宋体"/>
                <w:b/>
                <w:kern w:val="0"/>
                <w:sz w:val="20"/>
                <w:szCs w:val="20"/>
              </w:rPr>
            </w:pPr>
            <w:r>
              <w:rPr>
                <w:rFonts w:hint="eastAsia" w:ascii="宋体" w:hAnsi="宋体" w:cs="宋体"/>
                <w:b/>
                <w:kern w:val="0"/>
                <w:sz w:val="20"/>
                <w:szCs w:val="20"/>
              </w:rPr>
              <w:t>规格尺寸及技术参数</w:t>
            </w:r>
          </w:p>
        </w:tc>
        <w:tc>
          <w:tcPr>
            <w:tcW w:w="711" w:type="dxa"/>
            <w:vAlign w:val="center"/>
          </w:tcPr>
          <w:p>
            <w:pPr>
              <w:widowControl/>
              <w:spacing w:line="360" w:lineRule="auto"/>
              <w:jc w:val="center"/>
              <w:rPr>
                <w:rFonts w:ascii="宋体" w:hAnsi="宋体" w:cs="宋体"/>
                <w:b/>
                <w:color w:val="000000"/>
                <w:kern w:val="0"/>
                <w:sz w:val="20"/>
                <w:szCs w:val="20"/>
              </w:rPr>
            </w:pPr>
            <w:r>
              <w:rPr>
                <w:rFonts w:hint="eastAsia" w:ascii="宋体" w:hAnsi="宋体" w:cs="宋体"/>
                <w:b/>
                <w:color w:val="000000"/>
                <w:kern w:val="0"/>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pPr>
              <w:widowControl/>
              <w:spacing w:line="360"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890" w:type="dxa"/>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szCs w:val="21"/>
              </w:rPr>
              <w:t>单片机综合实训装置</w:t>
            </w:r>
          </w:p>
        </w:tc>
        <w:tc>
          <w:tcPr>
            <w:tcW w:w="6626" w:type="dxa"/>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一、设备总体需求</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1、实验装置要求具有复用性，是能够同时满足单片机实验及电子焊接工艺实验的多功能复合平台，装置整体要求具有双层铝合金实结构及模块化功能设计，</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2、采用双工位结构，每台配有测量仪表、交直流电源、日光灯、工艺看板和焊接、调试工具等。组装好的实训台安全可靠，可防静电。实验台面可以完成基础电路的焊接工作，上层可放置仪器仪表及实验模块。</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3、采用生产流水线结构，使学生的操作训练贴近生产实际。加强学生的动手能力、创新能力和知识运用能力。</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4、提供多种电子元器件和电子产品装配工具，不但能锻炼学生的装配调试技能，还可以在现有产品的基础上进行二次开发，以培养学生的创新能力。</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5、配套实训资料齐全，提供每种实训套件的元器件清单、焊接元器件的装配图和调试指导书，便于学生完成电气识图、电路设计、焊接、调试、检修等多种技能的实训。</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p>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二、技术参数要求</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1、工作电源要求：三相四线AC380V±10%  50Hz，装置容量:≥200VA</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2、工作环境:温度-10℃~+40℃ 相对湿度＜85%(25℃) 海拔＜4000m</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3、外形尺寸：长×宽×高约1500×600×1800mm（±20%）</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4、采用铝合金框架，</w:t>
            </w:r>
            <w:r>
              <w:rPr>
                <w:rFonts w:ascii="宋体" w:hAnsi="宋体" w:cs="宋体"/>
                <w:color w:val="000000" w:themeColor="text1"/>
                <w:sz w:val="20"/>
                <w:szCs w:val="20"/>
                <w14:textFill>
                  <w14:solidFill>
                    <w14:schemeClr w14:val="tx1"/>
                  </w14:solidFill>
                </w14:textFill>
              </w:rPr>
              <w:t>实训</w:t>
            </w:r>
            <w:r>
              <w:rPr>
                <w:rFonts w:hint="eastAsia" w:ascii="宋体" w:hAnsi="宋体" w:cs="宋体"/>
                <w:color w:val="000000" w:themeColor="text1"/>
                <w:sz w:val="20"/>
                <w:szCs w:val="20"/>
                <w14:textFill>
                  <w14:solidFill>
                    <w14:schemeClr w14:val="tx1"/>
                  </w14:solidFill>
                </w14:textFill>
              </w:rPr>
              <w:t>桌体要求采用工业铝合金型材一次成型，阳极氧化工艺处理，截面尺寸不低于72mm*72mm，开有标准滑槽，可以根据需求安装不同的配件，铝型材凹槽采用衬条装饰，铝型材上下要求各有3块挡板支撑，挡板采用≥1.2mm冷轧钢板制作，表面喷塑工艺处理，并规整分布3排≥8*738mm腰孔，桌体的平衡可由脚下铝压铸件上的脚轮进行调节，脚轮带刹车功能便于固定。</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5、安全保护要求：具有接地、漏电压、漏电流保护，安全指标符合国家标准。</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三、综合实训装置配置要求</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实验台要求为双工位设计，桌面要求为防火、防水、耐磨环保高密度防火板，四周弧形设计，要求采用PU封边工艺有效防止水及空气进入造成板材膨胀开裂，坚固耐用，桌面上要求铺有约2毫米厚的蓝色绝缘垫，桌体自带键盘抽屉2只，采用≥1.2mm冷轧钢片成型，表面喷塑工艺处理，并配置配套的钢凳2张。仪表放置平台要求：双层结构，下层安装交流电源插座，上层放置仪器仪表，并配有照明灯；有铝合金</w:t>
            </w:r>
            <w:r>
              <w:rPr>
                <w:rFonts w:ascii="宋体" w:hAnsi="宋体" w:cs="宋体"/>
                <w:color w:val="000000" w:themeColor="text1"/>
                <w:sz w:val="20"/>
                <w:szCs w:val="20"/>
                <w14:textFill>
                  <w14:solidFill>
                    <w14:schemeClr w14:val="tx1"/>
                  </w14:solidFill>
                </w14:textFill>
              </w:rPr>
              <w:t>悬浮可调节</w:t>
            </w:r>
            <w:r>
              <w:rPr>
                <w:rFonts w:hint="eastAsia" w:ascii="宋体" w:hAnsi="宋体" w:cs="宋体"/>
                <w:color w:val="000000" w:themeColor="text1"/>
                <w:sz w:val="20"/>
                <w:szCs w:val="20"/>
                <w14:textFill>
                  <w14:solidFill>
                    <w14:schemeClr w14:val="tx1"/>
                  </w14:solidFill>
                </w14:textFill>
              </w:rPr>
              <w:t>显示器支架，用于安装显示器，桌体下方配有编程器主机托盘和键盘托。</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实训面板功能区：要求必须设有漏电保护器、保险丝等保护，操作台提供220V交流电源插孔至少2×3个五孔插，有交流5V、12V、24V、36V输出，有完备的漏电、过流、过压保护功能。铝合金框架设有四个PVC夹板，可用来夹放相关工艺资料。顶部框架上设有电风扇和LED照明灯管。</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3、直流稳压电源</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（1）输入电压：220V±10%</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（2）输入频率：50Hz/60Hz</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（3）输出电压：恒压值范围0-30V额定值，连续可调</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（4）输出电流：恒流值范围0-3A额定值,连续可调</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（5）工作方式：稳压稳流状态自动切换</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（6）恒压指示：绿色LED灯指示</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（7）恒流指示：红色LED灯指示</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（8）显示分辨率：三位显示:电压0.1V，电流0.1A自动毫安显示0-999mA(输出电流5A内的规格)</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（9）显示精度：±1%±1字</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4、函数信号发生器</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（1）上限输出频率：≥30MHz；</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（2）采样率：≥120Msa/s；</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（3）噪声：≤20MHz；</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（4）通道数：2个；</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（5）垂直分辨率：＞14-bit</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（6）调制类型：AM,FM,PM,FSK等，以及输出线性/对数扫描和脉冲串波形；</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（7）波形类型：正弦波、方波、锯齿波、脉冲波、噪声、谐波、任意波，内置不少于150种任意波形；</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（8）频率特性：正弦波1uHz ~ 30MHz；方波1uHz ~ 15MH；脉冲波1uHz ~ 15MHz；锯齿波1uHz ~ 1MHz；噪声：20MHz（-3dB,典型值）；任意波1uHz ~ 10MHz；</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（9）内置高精度频率计，支持测量频率、周期、正脉冲宽度、占空比，频率范围：100mHz ~ 100MHz，频率精度不低于1ppm；</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8、3.6英寸（480*272）高分辨率TFT液晶显示；</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（10）标准配件：探头×2，国标电源线、USB数据线</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5、示波器</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（1）通道数：2个；</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（2）带宽：≥100MHz；</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（3）实时采样率：1Gs/s，2ns/div～1000s/div时基范围；</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（4）存储方式：设置、波形、位图；存储深度（每次采集波形的记录长度）不低于10K采样点；</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（5）触发类型：边沿、脉宽、欠幅、超幅、N边沿、斜率、视频；</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（6）接口：USB Host、USB Device、</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（7）屏幕要求：高清荧光屏，具有波形截取功能，能与同品牌系列信号发生器无缝对接。</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（8）波形运算：加、减、乘、除、FFT、低通滤波器</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（9）标准配件：探头×2，国标电源线、USB数据线</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6、实训套件</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套件模块面板采用PCB板制作而成，器件和信号接口均已引至板上的专用插座，实训模块有四个弹性插脚，与专用实训孔板配套使用。</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（1）全硅六管超外差式调幅收音机：熟悉集成电路调幅收音机的电路结构及工作原理</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（2）多路抢答器：了解抢答器的工作原理，并进一步熟悉电子电路的装配、调试、检修方法</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（3）七彩循环装饰灯控制器：熟悉七彩循环装饰灯控制器原理，通过安装制作七彩循环装饰灯控制器，使学生进一步熟悉电子电路的制作工艺。</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（4）LED数字钟：熟悉数字钟的结构及各部分的工作原理，学会将单元电路组成系统电路的方法，熟悉中规模集成电路和显示器件的使用方法，了解简单数字系统的实训调试方法。</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配套电子电路综合仿真实训软件，主要包括：主要电子元器件的学习机认识、仪器仪表的使用规范及学习认识、数字电路的虚拟仿真实验、模拟电路虚拟仿真实验、交流电路虚拟仿真实验、电路原理虚拟仿真实验、维修电工虚拟仿真实验；每个部分主要包含实验前原理的学习、实验演示、学生实际虚拟操作实验。数字电路仿真实验内容：要求提供RTL与非门、RTL或非门、RTL逆变器；DTL与非门、DTL或非门 、DTL逆变器等不少于73个实验项目；</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7、实训工具</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（1）万用表1台</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（2）元件盒1个</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（3）5寸尖嘴钳刃口硬度1个</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（4）5寸斜口钳刃口硬度1个</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（5）小十字螺丝刀3×75MM 1个</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（6）大十字螺丝刀6×125MM 1个</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（7）小一字螺丝刀3×75MM 1个</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（8）大一字螺丝刀6×125MM 1个</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（9）直尖头镊子 1个</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（10）936型恒温焊台 1个</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（11）0.8活性焊锡丝含锡60%以上50g 1卷</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（12）40W吸锡器1个</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（13）非数显测电笔1个</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（14）14寸多功能电工工具箱1个</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8、配套各类电子元器件（实验室配一套）</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配备AT系列、STC系列的51单片机和52单片机各500个，以及其他直插型电阻、电容、二极管、三极管、数字芯片、模拟芯片若干。</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9、多功能讲台（实验室配一套）</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（1）尺寸：长1100mm；宽780mm；高1000mm（±5%）；</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（2）材质：1.0mm优质冷轧钢板，桌面耐磨台面，实木橡木扶手；</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（3）配套椅子一把。</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10、配套教学软件</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电子电路综合仿真实训软件</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主要包括：主要电子元器件的学习及认识、仪器仪表的使用规范及学习认识、数字电路的虚拟仿真实验；每个部分主要包含实验前原理的学习、实验演示、学生实际虚拟操作实验。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提供8种电阻（带开关可调电位器、珐琅电阻、排阻、热敏电阻、色环电阻、碳膜可调电位器、贴片电阻、直线滑动可调电阻）3D结构展示，8种电容（半可变电容、瓷介微调电容、涤纶电容、电解电容、独石电容、可变电容器、云母电容、贴片电容）3D结构展示，6种二极管（检波二极管、快恢复二极管、桥块、稳压二极管、整流二极管、整流二极管金属封）3D结构展示，7种三极管（单相可控硅、低频放大管、功率三极管3DD15A、功率三极管3DD20、三极管3DG6C、三极管BT33、三极管S9011）3D结构展示。</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仪器仪表认识及学习：主要包含万用表、示波器、信号源、电能表、兆欧表、电压表、电流表、等常见实验仪器仪表的学习和原理认识。其中软件具有仪器仪表结构展示、原理演示、接线操作、运行演示等功能，可直观了解各种典型仪器仪表的特点和外观。采用开放的资源导入设计方式，除了已经固化在软件中的实训内容，后期还可以根据学校需求添加仪器仪表库。</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数字电路仿真：主要包含数字电路各实验模块。其中软件具有仪器仪表结构展示、原理演示、接线操作、运行演示等功能，可直观了解各种典型仪器仪表的特点和外观。采用开放的资源导入设计方式，除了已经固化在软件中的实训内容，后期还可以根据学校需求添加仪器仪表库。</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电阻：提供电阻元器件库文件，可自定义阻值的电阻和1个滑动变阻器。</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电容：提供电阻元器件库文件，可自定义电容值的电容。</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电感：提供电阻元器件库文件，可自定义电感值的电感。</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二极管：6种一般二极管、2种稳压管、发光二极管和数码显示管。</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仪器仪表：数字直流电流表、数字直流电压表、数字交流电流表、数字交流电压表、直流毫安表、信号发生器、示波器、直流稳压电源、脉冲信号源、高低电平端。</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开关：单刀单掷开关、单刀双掷开关。</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实验内容：提供RTL与非门、RTL或非门、RTL逆变器；DTL与非门、DTL或非门 、DTL逆变器等73个实验项目，涵盖RTL与非门、RTL或非门、RTL逆变器；DTL与非门、DTL或非门 、DTL逆变器；CMOS与非门、CMOS或非门、CMOS触发器、CMOS非门、CMOS异或门、COMS主从触发器、COMS反相器、D触发器、JK触发器、RS触发器、钟控RS触发器、主从触发器、边沿D触发器、JK触发器、TTL与门、TTL与非门、TTL或门、TTL或非门、TTL非门、TTL反相器、三极管开关特性、三极管限幅器、二极管开关特性、二极管钳位器、二极管限幅器、半波整流、全波整流、直流恢复、调制检波器、波形限幅器、环调制器、电压基准跟随器、二进制加法计数器、优先译码器、半加器、全加器、加减计数器、4比特文波计数器、8位纹波计数器、十进制计数器、格雷码计数器、环形计数器、移位寄存器、动态随机存取存储器、静态随机存取存储器、二进制加权数模转换器、数字正弦波、DAC、256QAM调制解调、1-4译码器、2到1多路复用器、2比特比较器、Brent-kung加法器、74181算数逻辑单元、多数逻辑、单稳态多谐振荡器、同步计数器、施密特触发器(反相)、译码器(7段数码管)、555方波发生器、锯齿波振荡器、low-duty-cycyle振荡器、单稳态多谐振振荡器、脉宽调制器、脉冲定序器、漏脉冲探测器等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11、实训项目</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任务一全硅六管超外差式调幅收音机整机生产</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（1）调幅收音机元器件认识及测量</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（2）调幅收音机原理图识读及工艺文件填写</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（3）调幅收音机常用装配工具与准备工艺</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（4）全硅六管超外差式调幅收音机主板焊接</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（5）全硅六管超外差式调幅收音机整机调试</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（6）全硅六管超外差式调幅收音机整机检验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（7）全硅六管超外差式调幅收音机整机包装</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任务二多路抢答器生产</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（1）多路抢答器元器件认识及测量</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（2）多路抢答器原理图识读及工艺文件填写</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（3）多路抢答器装配工具与准备工艺</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（4）多路抢答器主板焊接</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（5）多路抢答器主板调试</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（6）多路抢答器电路板检验4.计数器应用的焊接与调试</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任务三七彩循环装饰灯控制器应用生产</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（1）七彩循环装饰灯控制器应用元器件认识及测量</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（2）七彩循环装饰灯控制器应用原理图的识读及工艺文件填写</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（3）七彩循环装饰灯控制器应用的装配工具与准备工艺</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（4）七彩循环装饰灯控制器应用主板焊接</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（5）七彩循环装饰灯控制器应用主板调试</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（6）七彩循环装饰灯控制器应用主板检验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任务四LED数字电子钟应用生产</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（1）LED数字电子钟元器件认识及测量</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（2）LED数字电子钟原理图的识读及工艺文件填写</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（3）LED数字电子钟的装配工具与准备工艺</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（4）LED数字电子钟主板焊接</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（5）LED数字电子钟主板调试</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（6）LED数字电子钟主板检验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12、配套教学资源</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（1）导读资料包含： 产品使用说明书</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51单片机学习基础资料、视频不低于50个</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焊接技能训练基础资料、视频不低于20个</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元器件认知学习基础资料、视频不低于20个</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（2）提供软件编程安装包及相关指导视频</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（3）提供案例使用程序包、实验指导书、配套视频不低于10个，能够根据相关指导完成功能编程学习</w:t>
            </w:r>
          </w:p>
          <w:p>
            <w:pPr>
              <w:widowControl/>
              <w:ind w:firstLine="400" w:firstLineChars="200"/>
              <w:jc w:val="left"/>
              <w:textAlignment w:val="center"/>
              <w:rPr>
                <w:rFonts w:ascii="宋体" w:hAnsi="宋体"/>
                <w:spacing w:val="2"/>
              </w:rPr>
            </w:pPr>
            <w:r>
              <w:rPr>
                <w:rFonts w:hint="eastAsia" w:ascii="宋体" w:hAnsi="宋体" w:cs="宋体"/>
                <w:color w:val="000000" w:themeColor="text1"/>
                <w:sz w:val="20"/>
                <w:szCs w:val="20"/>
                <w14:textFill>
                  <w14:solidFill>
                    <w14:schemeClr w14:val="tx1"/>
                  </w14:solidFill>
                </w14:textFill>
              </w:rPr>
              <w:t>（4）提供HB-01上位机软件，能够通过上位机进行相关编程参数的修改与功能实现。</w:t>
            </w:r>
          </w:p>
        </w:tc>
        <w:tc>
          <w:tcPr>
            <w:tcW w:w="711" w:type="dxa"/>
            <w:vAlign w:val="center"/>
          </w:tcPr>
          <w:p>
            <w:pPr>
              <w:widowControl/>
              <w:spacing w:line="360"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670" w:type="dxa"/>
            <w:vAlign w:val="center"/>
          </w:tcPr>
          <w:p>
            <w:pPr>
              <w:widowControl/>
              <w:spacing w:line="360"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890" w:type="dxa"/>
            <w:vAlign w:val="center"/>
          </w:tcPr>
          <w:p>
            <w:pPr>
              <w:widowControl/>
              <w:spacing w:line="360" w:lineRule="auto"/>
              <w:jc w:val="center"/>
              <w:textAlignment w:val="center"/>
              <w:rPr>
                <w:rFonts w:ascii="宋体" w:hAnsi="宋体" w:cs="宋体"/>
                <w:sz w:val="20"/>
                <w:szCs w:val="20"/>
              </w:rPr>
            </w:pPr>
            <w:r>
              <w:rPr>
                <w:rFonts w:hint="eastAsia" w:ascii="宋体" w:hAnsi="宋体" w:cs="宋体"/>
                <w:szCs w:val="21"/>
              </w:rPr>
              <w:t>单片机开发综合实验箱</w:t>
            </w:r>
          </w:p>
        </w:tc>
        <w:tc>
          <w:tcPr>
            <w:tcW w:w="6626" w:type="dxa"/>
            <w:vAlign w:val="center"/>
          </w:tcPr>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实验箱充分考虑实用性、可靠性与安全性，其实验线路连接采用高性能自锁紧接插件实验导线，坚固可靠。实验装置集数据输入输出、采集、显示、通信接口于一体，实验项目涵盖单片机教材提出的单片机基础和开发应用实验，适合技工院校开展单片机实验技师层次教学、课程设计及科研开发。</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p>
          <w:p>
            <w:pPr>
              <w:widowControl/>
              <w:ind w:firstLine="4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一、设备主要参数 </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1、工作电源：单相三线AC220V±10%  50Hz；</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2、外形尺寸：445mm×336mm×130mm （±200）mm</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3、工作环境：温度-10℃～+40℃ 相对湿度＜85%（25℃）。</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4、8kB Flash 的单片机芯片，用于程序下载，配备 USB 接口 ISP 下载器，可兼容 STC、NXP 等品牌的大容量 51内核单片机（64kB Flash）</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5、输入接口：单次脉冲源、8 只独立按键 、8 位逻辑电平开关、4×4 阵列式键盘</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6、输出接口：八位逻辑电平显示、74LS164 串转并接口、动态扫描数码显示、串行静态数码显示、蜂鸣器驱动、继电器控制、拨码开关、2×16 字符型液晶显示、7279 键盘显示、16×16 点阵显示模块</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7、通信接口：RS232通信接口、RS485通信接口</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8、数据转换：A/D转换接口、D/A转换接口</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9、实验导线：配套实验用</w:t>
            </w:r>
          </w:p>
          <w:p>
            <w:pPr>
              <w:widowControl/>
              <w:ind w:firstLine="4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二、设备组成及功能</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1、直流电源：+5V（5A）/+12V（1A）/-12V（1A）各一组。</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2、系统是完全开放的单片机系统，提供一只 40P 双列直插式芯片锁紧插座，可用二号插孔螺丝及 8P排线插座引出全部标准的单片机控制引脚，集成 ISP 下载接口、573 地址锁存器、复位按钮、I/O 口上拉电阻等。</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3、配备内置8kB Flash 的单片机芯片，用于程序下载，配备 USB 接口 ISP 下载器，可兼容 STC、NXP 等品牌的大容量 51内核单片机（64kB Flash）。 </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4、配单片机仿真器，基于 Keil MONITER 51 的仿真调试功能，使用功能强大的 Keil 集成调试软件，具有编辑、编译、下载、单步、跟踪、断点、运行等多种功能，可使用汇编和 C 语言进行编程。</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5、数字化立体教材</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（1）可以通过基于windows、android系统的PC电脑、移动手机、平板电脑及其他智能终端观看视频，辅助教学，安排学生课前预习；实现自主学习、自选学习、随时学习、反复学习；</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（2）资源库有多种形式的表现，既可以是文档形式，也可以是图片窗口、视频窗口、软件界面等，教材文档、图片、软件、视频等内容、相互穿插、链接，直接调用，内容丰富，完美结合；</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（3）文档包含详细的设备实训项目，实训项目不得少于实验目的、实验器材、实验步骤等内容；</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（4）资源库集成示波器、万用表、电阻识别应用训练仿真，对示波器、万用表进行讲解与操作，提供相应的配套内嵌电路进行测量；通过电阻识别训练，熟悉电阻的识别和参数读取。</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（5）资源库集成基础电气控制系统动画课件，如正反转控制、自动往返控制、机械手、红绿灯、冲孔加工等30个课件动画。</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（6）资源库集成可编程控制器动画课件，如通信控制、以太网控制、移位指令、编码指令等30个课件动画。</w:t>
            </w:r>
          </w:p>
          <w:p>
            <w:pPr>
              <w:widowControl/>
              <w:ind w:firstLine="4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三、实验项目</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1、I/O口控制实验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2、继电器控制实验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3、外部中断实验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4、定时/计数器实验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5、音频驱动实验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6、74LS164串转并实验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7、74LS165并转串实验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8、译码器实验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9、动态扫描数码显示实验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10、串行静态数码显示实验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11、查询式键盘实验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12、阵列式键盘实验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13、8155 I/O扩展实验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14、8255 I/O扩展实验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15、8253定时/计数器实验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16、SRAM外部数据存储器扩展实验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17、EEPROM外部程序存储器实验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18、并行A/D转换实验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19、并行D/A转换实验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20、RS232串行通讯实验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21、RS485通讯实验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22、硬件看门狗实验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23、I2C总线实验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24、DS18B20温度传感器实验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25、2×16字符型液晶显示实验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26、16×16 LED点阵显示实验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27、7279阵列式键盘显示实验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28、直流电动机控制实验</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29、步进电动机控制实验</w:t>
            </w:r>
          </w:p>
        </w:tc>
        <w:tc>
          <w:tcPr>
            <w:tcW w:w="711" w:type="dxa"/>
            <w:vAlign w:val="center"/>
          </w:tcPr>
          <w:p>
            <w:pPr>
              <w:widowControl/>
              <w:spacing w:line="360"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670" w:type="dxa"/>
            <w:vAlign w:val="center"/>
          </w:tcPr>
          <w:p>
            <w:pPr>
              <w:widowControl/>
              <w:spacing w:line="360"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w:t>
            </w:r>
          </w:p>
        </w:tc>
        <w:tc>
          <w:tcPr>
            <w:tcW w:w="890" w:type="dxa"/>
            <w:vAlign w:val="center"/>
          </w:tcPr>
          <w:p>
            <w:pPr>
              <w:widowControl/>
              <w:spacing w:line="360" w:lineRule="auto"/>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szCs w:val="21"/>
              </w:rPr>
              <w:t>100抽带门电子元器件柜</w:t>
            </w:r>
          </w:p>
        </w:tc>
        <w:tc>
          <w:tcPr>
            <w:tcW w:w="6626" w:type="dxa"/>
          </w:tcPr>
          <w:p>
            <w:pPr>
              <w:widowControl/>
              <w:spacing w:line="360" w:lineRule="auto"/>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一、</w:t>
            </w:r>
            <w:r>
              <w:rPr>
                <w:rFonts w:ascii="宋体" w:hAnsi="宋体" w:cs="宋体"/>
                <w:color w:val="000000" w:themeColor="text1"/>
                <w:sz w:val="20"/>
                <w:szCs w:val="20"/>
                <w14:textFill>
                  <w14:solidFill>
                    <w14:schemeClr w14:val="tx1"/>
                  </w14:solidFill>
                </w14:textFill>
              </w:rPr>
              <w:t>主要参数：</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柜子高大于等于1300mm，宽大于等于650mm，深大于等于220mm，其中小号抽屉深大于等于215mm，宽大于等于100mm，高大于等于55mm，柜子外部带玻璃门，可上锁。</w:t>
            </w:r>
          </w:p>
          <w:p>
            <w:pPr>
              <w:widowControl/>
              <w:spacing w:line="360" w:lineRule="auto"/>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二、参考图片</w:t>
            </w:r>
          </w:p>
          <w:p>
            <w:pPr>
              <w:widowControl/>
              <w:spacing w:line="360" w:lineRule="auto"/>
              <w:ind w:firstLine="420" w:firstLineChars="200"/>
              <w:textAlignment w:val="center"/>
              <w:rPr>
                <w:rFonts w:ascii="宋体" w:hAnsi="宋体" w:cs="宋体"/>
                <w:bCs/>
                <w:sz w:val="20"/>
                <w:szCs w:val="20"/>
              </w:rPr>
            </w:pPr>
            <w:r>
              <w:drawing>
                <wp:inline distT="0" distB="0" distL="114300" distR="114300">
                  <wp:extent cx="801370" cy="1133475"/>
                  <wp:effectExtent l="0" t="0" r="17780"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800810" cy="1132113"/>
                          </a:xfrm>
                          <a:prstGeom prst="rect">
                            <a:avLst/>
                          </a:prstGeom>
                          <a:noFill/>
                          <a:ln>
                            <a:noFill/>
                          </a:ln>
                        </pic:spPr>
                      </pic:pic>
                    </a:graphicData>
                  </a:graphic>
                </wp:inline>
              </w:drawing>
            </w:r>
          </w:p>
        </w:tc>
        <w:tc>
          <w:tcPr>
            <w:tcW w:w="711" w:type="dxa"/>
            <w:vAlign w:val="center"/>
          </w:tcPr>
          <w:p>
            <w:pPr>
              <w:widowControl/>
              <w:spacing w:line="360"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8" w:hRule="atLeast"/>
          <w:jc w:val="center"/>
        </w:trPr>
        <w:tc>
          <w:tcPr>
            <w:tcW w:w="670" w:type="dxa"/>
            <w:vAlign w:val="center"/>
          </w:tcPr>
          <w:p>
            <w:pPr>
              <w:widowControl/>
              <w:spacing w:line="360"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w:t>
            </w:r>
          </w:p>
        </w:tc>
        <w:tc>
          <w:tcPr>
            <w:tcW w:w="890" w:type="dxa"/>
            <w:vAlign w:val="center"/>
          </w:tcPr>
          <w:p>
            <w:pPr>
              <w:widowControl/>
              <w:spacing w:line="360"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实训室配套设施建设</w:t>
            </w:r>
          </w:p>
        </w:tc>
        <w:tc>
          <w:tcPr>
            <w:tcW w:w="6626" w:type="dxa"/>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sz w:val="20"/>
                <w:szCs w:val="20"/>
                <w14:textFill>
                  <w14:solidFill>
                    <w14:schemeClr w14:val="tx1"/>
                  </w14:solidFill>
                </w14:textFill>
              </w:rPr>
              <w:t>一、实训室吊顶及照明</w:t>
            </w:r>
          </w:p>
          <w:p>
            <w:pPr>
              <w:widowControl/>
              <w:ind w:firstLine="400" w:firstLineChars="200"/>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要求对实训室进行吊顶施工，总施工面积180㎡左右，吊顶间要求合理布置实训室专用照明顶灯，电线采用隐蔽施工，吊顶整体风格要求与学校现有新装实训室保持一致，保证实训室视线良好，光照明亮。</w:t>
            </w:r>
          </w:p>
          <w:p>
            <w:pPr>
              <w:pStyle w:val="3"/>
              <w:spacing w:before="0" w:after="0" w:line="240" w:lineRule="auto"/>
              <w:rPr>
                <w:rFonts w:ascii="宋体" w:hAnsi="宋体" w:cs="宋体"/>
                <w:b w:val="0"/>
                <w:bCs w:val="0"/>
                <w:color w:val="000000" w:themeColor="text1"/>
                <w:kern w:val="2"/>
                <w:sz w:val="20"/>
                <w:szCs w:val="20"/>
                <w14:textFill>
                  <w14:solidFill>
                    <w14:schemeClr w14:val="tx1"/>
                  </w14:solidFill>
                </w14:textFill>
              </w:rPr>
            </w:pPr>
            <w:r>
              <w:rPr>
                <w:rFonts w:hint="eastAsia" w:ascii="宋体" w:hAnsi="宋体" w:cs="宋体"/>
                <w:b w:val="0"/>
                <w:bCs w:val="0"/>
                <w:color w:val="000000" w:themeColor="text1"/>
                <w:kern w:val="2"/>
                <w:sz w:val="20"/>
                <w:szCs w:val="20"/>
                <w14:textFill>
                  <w14:solidFill>
                    <w14:schemeClr w14:val="tx1"/>
                  </w14:solidFill>
                </w14:textFill>
              </w:rPr>
              <w:t>二、墙面及窗帘</w:t>
            </w:r>
          </w:p>
          <w:p>
            <w:pP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墙面：要求环保乳胶漆涂白。</w:t>
            </w:r>
          </w:p>
          <w:p>
            <w:pPr>
              <w:pStyle w:val="3"/>
              <w:spacing w:before="0" w:after="0" w:line="240" w:lineRule="auto"/>
              <w:rPr>
                <w:rFonts w:ascii="宋体" w:hAnsi="宋体" w:cs="宋体"/>
                <w:b w:val="0"/>
                <w:bCs w:val="0"/>
                <w:color w:val="000000" w:themeColor="text1"/>
                <w:kern w:val="2"/>
                <w:sz w:val="20"/>
                <w:szCs w:val="20"/>
                <w14:textFill>
                  <w14:solidFill>
                    <w14:schemeClr w14:val="tx1"/>
                  </w14:solidFill>
                </w14:textFill>
              </w:rPr>
            </w:pPr>
            <w:r>
              <w:rPr>
                <w:rFonts w:hint="eastAsia" w:ascii="宋体" w:hAnsi="宋体" w:cs="宋体"/>
                <w:b w:val="0"/>
                <w:bCs w:val="0"/>
                <w:color w:val="000000" w:themeColor="text1"/>
                <w:kern w:val="2"/>
                <w:sz w:val="20"/>
                <w:szCs w:val="20"/>
                <w14:textFill>
                  <w14:solidFill>
                    <w14:schemeClr w14:val="tx1"/>
                  </w14:solidFill>
                </w14:textFill>
              </w:rPr>
              <w:t>窗帘：按实训室实际情况定制（需要与甲方确认尺寸及颜色）</w:t>
            </w:r>
          </w:p>
          <w:p>
            <w:pPr>
              <w:pStyle w:val="3"/>
              <w:spacing w:before="0" w:after="0" w:line="240" w:lineRule="auto"/>
              <w:rPr>
                <w:rFonts w:ascii="宋体" w:hAnsi="宋体" w:cs="宋体"/>
                <w:b w:val="0"/>
                <w:bCs w:val="0"/>
                <w:color w:val="000000" w:themeColor="text1"/>
                <w:kern w:val="2"/>
                <w:sz w:val="20"/>
                <w:szCs w:val="20"/>
                <w14:textFill>
                  <w14:solidFill>
                    <w14:schemeClr w14:val="tx1"/>
                  </w14:solidFill>
                </w14:textFill>
              </w:rPr>
            </w:pPr>
            <w:r>
              <w:rPr>
                <w:rFonts w:hint="eastAsia" w:ascii="宋体" w:hAnsi="宋体" w:cs="宋体"/>
                <w:b w:val="0"/>
                <w:bCs w:val="0"/>
                <w:color w:val="000000" w:themeColor="text1"/>
                <w:kern w:val="2"/>
                <w:sz w:val="20"/>
                <w:szCs w:val="20"/>
                <w14:textFill>
                  <w14:solidFill>
                    <w14:schemeClr w14:val="tx1"/>
                  </w14:solidFill>
                </w14:textFill>
              </w:rPr>
              <w:t>功能要求：防水、直接擦洗、遮阳防晒、防静电、防尘、节能环保</w:t>
            </w:r>
          </w:p>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三、地面</w:t>
            </w:r>
          </w:p>
          <w:p>
            <w:pPr>
              <w:pStyle w:val="19"/>
              <w:ind w:firstLine="400" w:firstLineChars="200"/>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要求对现有地面进行改造，铺设自流平，，总施工面积180㎡左右，要求与学校现有新装实训室地面保持一致。</w:t>
            </w:r>
          </w:p>
          <w:p>
            <w:pPr>
              <w:pStyle w:val="3"/>
              <w:spacing w:before="0" w:after="0" w:line="240" w:lineRule="auto"/>
              <w:rPr>
                <w:rFonts w:ascii="宋体" w:hAnsi="宋体" w:cs="宋体"/>
                <w:b w:val="0"/>
                <w:bCs w:val="0"/>
                <w:color w:val="000000" w:themeColor="text1"/>
                <w:kern w:val="2"/>
                <w:sz w:val="20"/>
                <w:szCs w:val="20"/>
                <w14:textFill>
                  <w14:solidFill>
                    <w14:schemeClr w14:val="tx1"/>
                  </w14:solidFill>
                </w14:textFill>
              </w:rPr>
            </w:pPr>
            <w:r>
              <w:rPr>
                <w:rFonts w:hint="eastAsia" w:ascii="宋体" w:hAnsi="宋体" w:cs="宋体"/>
                <w:b w:val="0"/>
                <w:bCs w:val="0"/>
                <w:color w:val="000000" w:themeColor="text1"/>
                <w:kern w:val="2"/>
                <w:sz w:val="20"/>
                <w:szCs w:val="20"/>
                <w14:textFill>
                  <w14:solidFill>
                    <w14:schemeClr w14:val="tx1"/>
                  </w14:solidFill>
                </w14:textFill>
              </w:rPr>
              <w:t>四、实训室综合布线</w:t>
            </w:r>
          </w:p>
          <w:p>
            <w:pPr>
              <w:pStyle w:val="3"/>
              <w:spacing w:before="0" w:after="0" w:line="240" w:lineRule="auto"/>
              <w:rPr>
                <w:rFonts w:ascii="宋体" w:hAnsi="宋体" w:cs="宋体"/>
                <w:b w:val="0"/>
                <w:bCs w:val="0"/>
                <w:color w:val="000000" w:themeColor="text1"/>
                <w:kern w:val="2"/>
                <w:sz w:val="20"/>
                <w:szCs w:val="20"/>
                <w14:textFill>
                  <w14:solidFill>
                    <w14:schemeClr w14:val="tx1"/>
                  </w14:solidFill>
                </w14:textFill>
              </w:rPr>
            </w:pPr>
            <w:r>
              <w:rPr>
                <w:rFonts w:hint="eastAsia" w:ascii="宋体" w:hAnsi="宋体" w:cs="宋体"/>
                <w:b w:val="0"/>
                <w:bCs w:val="0"/>
                <w:color w:val="000000" w:themeColor="text1"/>
                <w:kern w:val="2"/>
                <w:sz w:val="20"/>
                <w:szCs w:val="20"/>
                <w14:textFill>
                  <w14:solidFill>
                    <w14:schemeClr w14:val="tx1"/>
                  </w14:solidFill>
                </w14:textFill>
              </w:rPr>
              <w:t>按实际情况对实训室内设备电源及网络进行综合布线，要求布局合理。</w:t>
            </w:r>
          </w:p>
          <w:p>
            <w:pPr>
              <w:pStyle w:val="3"/>
              <w:spacing w:before="0" w:after="0" w:line="240" w:lineRule="auto"/>
              <w:rPr>
                <w:rFonts w:ascii="宋体" w:hAnsi="宋体" w:cs="宋体"/>
                <w:b w:val="0"/>
                <w:bCs w:val="0"/>
                <w:color w:val="000000" w:themeColor="text1"/>
                <w:kern w:val="2"/>
                <w:sz w:val="20"/>
                <w:szCs w:val="20"/>
                <w14:textFill>
                  <w14:solidFill>
                    <w14:schemeClr w14:val="tx1"/>
                  </w14:solidFill>
                </w14:textFill>
              </w:rPr>
            </w:pPr>
            <w:r>
              <w:rPr>
                <w:rFonts w:hint="eastAsia" w:ascii="宋体" w:hAnsi="宋体" w:cs="宋体"/>
                <w:b w:val="0"/>
                <w:bCs w:val="0"/>
                <w:color w:val="000000" w:themeColor="text1"/>
                <w:kern w:val="2"/>
                <w:sz w:val="20"/>
                <w:szCs w:val="20"/>
                <w14:textFill>
                  <w14:solidFill>
                    <w14:schemeClr w14:val="tx1"/>
                  </w14:solidFill>
                </w14:textFill>
              </w:rPr>
              <w:t>五、文化建设</w:t>
            </w:r>
          </w:p>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对单片机实训室进行文化建设，在实训室墙面粘贴文化展板，内容包含实训室介绍、实训室管理制度、设备操作规范等。</w:t>
            </w:r>
          </w:p>
        </w:tc>
        <w:tc>
          <w:tcPr>
            <w:tcW w:w="711" w:type="dxa"/>
            <w:vAlign w:val="center"/>
          </w:tcPr>
          <w:p>
            <w:pPr>
              <w:widowControl/>
              <w:spacing w:line="360" w:lineRule="auto"/>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1项</w:t>
            </w:r>
          </w:p>
        </w:tc>
      </w:tr>
    </w:tbl>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3、实训室建设参考效果图</w:t>
      </w:r>
    </w:p>
    <w:p>
      <w:pPr>
        <w:pStyle w:val="31"/>
        <w:spacing w:line="560" w:lineRule="exact"/>
        <w:ind w:firstLine="0" w:firstLineChars="0"/>
        <w:jc w:val="center"/>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1.实验室三维效果图</w:t>
      </w:r>
    </w:p>
    <w:p>
      <w:pPr>
        <w:pStyle w:val="23"/>
        <w:ind w:left="0" w:firstLine="482"/>
        <w:jc w:val="center"/>
        <w:rPr>
          <w:rFonts w:ascii="宋体" w:hAnsi="宋体" w:cs="宋体"/>
          <w:b/>
          <w:bCs/>
          <w:color w:val="000000"/>
          <w:spacing w:val="-5"/>
          <w:sz w:val="24"/>
          <w:szCs w:val="24"/>
          <w:shd w:val="clear" w:color="auto" w:fill="FFFFFF"/>
          <w:lang w:bidi="ar"/>
        </w:rPr>
      </w:pPr>
      <w:r>
        <w:rPr>
          <w:rFonts w:hint="eastAsia" w:ascii="宋体" w:hAnsi="宋体" w:cs="宋体"/>
          <w:b/>
          <w:bCs/>
          <w:color w:val="000000"/>
          <w:spacing w:val="-5"/>
          <w:sz w:val="24"/>
          <w:szCs w:val="24"/>
          <w:shd w:val="clear" w:color="auto" w:fill="FFFFFF"/>
        </w:rPr>
        <w:drawing>
          <wp:inline distT="0" distB="0" distL="114300" distR="114300">
            <wp:extent cx="4981575" cy="2802255"/>
            <wp:effectExtent l="0" t="0" r="9525" b="17145"/>
            <wp:docPr id="3" name="图片 1" descr="b78e4bf538cb458913edfc954bc636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b78e4bf538cb458913edfc954bc6368c"/>
                    <pic:cNvPicPr>
                      <a:picLocks noChangeAspect="1"/>
                    </pic:cNvPicPr>
                  </pic:nvPicPr>
                  <pic:blipFill>
                    <a:blip r:embed="rId10"/>
                    <a:stretch>
                      <a:fillRect/>
                    </a:stretch>
                  </pic:blipFill>
                  <pic:spPr>
                    <a:xfrm>
                      <a:off x="0" y="0"/>
                      <a:ext cx="4983647" cy="2803464"/>
                    </a:xfrm>
                    <a:prstGeom prst="rect">
                      <a:avLst/>
                    </a:prstGeom>
                    <a:noFill/>
                    <a:ln>
                      <a:noFill/>
                    </a:ln>
                  </pic:spPr>
                </pic:pic>
              </a:graphicData>
            </a:graphic>
          </wp:inline>
        </w:drawing>
      </w:r>
    </w:p>
    <w:p>
      <w:pPr>
        <w:pStyle w:val="23"/>
        <w:ind w:left="0" w:firstLine="462"/>
        <w:rPr>
          <w:rFonts w:ascii="宋体" w:hAnsi="宋体" w:cs="宋体"/>
          <w:b/>
          <w:bCs/>
          <w:color w:val="000000"/>
          <w:spacing w:val="-5"/>
          <w:sz w:val="24"/>
          <w:szCs w:val="24"/>
          <w:shd w:val="clear" w:color="auto" w:fill="FFFFFF"/>
          <w:lang w:bidi="ar"/>
        </w:rPr>
      </w:pPr>
    </w:p>
    <w:p>
      <w:pPr>
        <w:pStyle w:val="23"/>
        <w:ind w:left="0" w:firstLine="482"/>
        <w:jc w:val="center"/>
      </w:pPr>
      <w:r>
        <w:rPr>
          <w:rFonts w:hint="eastAsia" w:ascii="宋体" w:hAnsi="宋体" w:cs="宋体"/>
          <w:b/>
          <w:bCs/>
          <w:color w:val="000000"/>
          <w:spacing w:val="-5"/>
          <w:sz w:val="24"/>
          <w:szCs w:val="24"/>
          <w:shd w:val="clear" w:color="auto" w:fill="FFFFFF"/>
        </w:rPr>
        <w:drawing>
          <wp:inline distT="0" distB="0" distL="114300" distR="114300">
            <wp:extent cx="5105400" cy="3434080"/>
            <wp:effectExtent l="0" t="0" r="0" b="13970"/>
            <wp:docPr id="4" name="图片 2" descr="6a653f2f7084712f5e30827c89f9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6a653f2f7084712f5e30827c89f92839"/>
                    <pic:cNvPicPr>
                      <a:picLocks noChangeAspect="1"/>
                    </pic:cNvPicPr>
                  </pic:nvPicPr>
                  <pic:blipFill>
                    <a:blip r:embed="rId11"/>
                    <a:stretch>
                      <a:fillRect/>
                    </a:stretch>
                  </pic:blipFill>
                  <pic:spPr>
                    <a:xfrm>
                      <a:off x="0" y="0"/>
                      <a:ext cx="5107524" cy="3435985"/>
                    </a:xfrm>
                    <a:prstGeom prst="rect">
                      <a:avLst/>
                    </a:prstGeom>
                    <a:noFill/>
                    <a:ln>
                      <a:noFill/>
                    </a:ln>
                  </pic:spPr>
                </pic:pic>
              </a:graphicData>
            </a:graphic>
          </wp:inline>
        </w:drawing>
      </w:r>
    </w:p>
    <w:p>
      <w:pPr>
        <w:pStyle w:val="31"/>
        <w:spacing w:line="560" w:lineRule="exact"/>
        <w:ind w:firstLine="0" w:firstLineChars="0"/>
        <w:jc w:val="center"/>
        <w:rPr>
          <w:rFonts w:ascii="仿宋_GB2312" w:hAnsi="仿宋_GB2312" w:eastAsia="仿宋_GB2312" w:cs="仿宋_GB2312"/>
          <w:color w:val="000000"/>
          <w:kern w:val="0"/>
          <w:sz w:val="32"/>
          <w:szCs w:val="32"/>
        </w:rPr>
      </w:pPr>
    </w:p>
    <w:p>
      <w:pPr>
        <w:pStyle w:val="31"/>
        <w:spacing w:line="560" w:lineRule="exact"/>
        <w:ind w:firstLine="0" w:firstLineChars="0"/>
        <w:jc w:val="center"/>
        <w:rPr>
          <w:rFonts w:ascii="仿宋_GB2312" w:hAnsi="仿宋_GB2312" w:eastAsia="仿宋_GB2312" w:cs="仿宋_GB2312"/>
          <w:color w:val="000000"/>
          <w:kern w:val="0"/>
          <w:sz w:val="32"/>
          <w:szCs w:val="32"/>
        </w:rPr>
      </w:pPr>
    </w:p>
    <w:p>
      <w:pPr>
        <w:pStyle w:val="31"/>
        <w:spacing w:line="560" w:lineRule="exact"/>
        <w:ind w:firstLine="0" w:firstLineChars="0"/>
        <w:jc w:val="center"/>
        <w:rPr>
          <w:rFonts w:ascii="仿宋_GB2312" w:hAnsi="仿宋_GB2312" w:eastAsia="仿宋_GB2312" w:cs="仿宋_GB2312"/>
          <w:color w:val="000000"/>
          <w:kern w:val="0"/>
          <w:sz w:val="32"/>
          <w:szCs w:val="32"/>
        </w:rPr>
      </w:pPr>
    </w:p>
    <w:p>
      <w:pPr>
        <w:pStyle w:val="31"/>
        <w:spacing w:line="560" w:lineRule="exact"/>
        <w:ind w:firstLine="0" w:firstLineChars="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2.教室吊顶及空调天花机效果图</w:t>
      </w:r>
    </w:p>
    <w:p>
      <w:pPr>
        <w:spacing w:line="360" w:lineRule="auto"/>
        <w:jc w:val="center"/>
        <w:rPr>
          <w:rFonts w:ascii="宋体" w:hAnsi="宋体" w:cs="宋体"/>
          <w:b/>
          <w:bCs/>
          <w:sz w:val="28"/>
          <w:szCs w:val="28"/>
        </w:rPr>
      </w:pPr>
      <w:r>
        <w:rPr>
          <w:rFonts w:hint="eastAsia" w:ascii="仿宋" w:hAnsi="仿宋" w:eastAsia="仿宋"/>
          <w:b/>
          <w:bCs/>
          <w:sz w:val="28"/>
          <w:szCs w:val="28"/>
        </w:rPr>
        <w:drawing>
          <wp:inline distT="0" distB="0" distL="114300" distR="114300">
            <wp:extent cx="4957445" cy="3697605"/>
            <wp:effectExtent l="0" t="0" r="14605" b="17145"/>
            <wp:docPr id="6" name="图片 6" descr="0cb1d043ed811d26e938e927d45f8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cb1d043ed811d26e938e927d45f8be"/>
                    <pic:cNvPicPr>
                      <a:picLocks noChangeAspect="1"/>
                    </pic:cNvPicPr>
                  </pic:nvPicPr>
                  <pic:blipFill>
                    <a:blip r:embed="rId12" cstate="print"/>
                    <a:srcRect b="14972"/>
                    <a:stretch>
                      <a:fillRect/>
                    </a:stretch>
                  </pic:blipFill>
                  <pic:spPr>
                    <a:xfrm>
                      <a:off x="0" y="0"/>
                      <a:ext cx="4957445" cy="3697605"/>
                    </a:xfrm>
                    <a:prstGeom prst="rect">
                      <a:avLst/>
                    </a:prstGeom>
                  </pic:spPr>
                </pic:pic>
              </a:graphicData>
            </a:graphic>
          </wp:inline>
        </w:drawing>
      </w:r>
    </w:p>
    <w:p>
      <w:pPr>
        <w:rPr>
          <w:b/>
          <w:bCs/>
          <w:sz w:val="28"/>
          <w:szCs w:val="21"/>
        </w:rPr>
      </w:pPr>
      <w:r>
        <w:rPr>
          <w:rFonts w:hint="eastAsia"/>
          <w:b/>
          <w:bCs/>
          <w:sz w:val="28"/>
          <w:szCs w:val="21"/>
        </w:rPr>
        <w:t>三、</w:t>
      </w:r>
      <w:r>
        <w:rPr>
          <w:b/>
          <w:bCs/>
          <w:sz w:val="28"/>
          <w:szCs w:val="21"/>
        </w:rPr>
        <w:t>项目要求</w:t>
      </w:r>
    </w:p>
    <w:bookmarkEnd w:id="22"/>
    <w:bookmarkEnd w:id="23"/>
    <w:p>
      <w:pPr>
        <w:spacing w:line="420" w:lineRule="exact"/>
        <w:jc w:val="left"/>
        <w:rPr>
          <w:rFonts w:ascii="宋体" w:hAnsi="宋体" w:cs="宋体"/>
          <w:b/>
          <w:szCs w:val="21"/>
        </w:rPr>
      </w:pPr>
      <w:r>
        <w:rPr>
          <w:rFonts w:hint="eastAsia" w:ascii="宋体" w:hAnsi="宋体" w:cs="宋体"/>
          <w:b/>
          <w:szCs w:val="21"/>
        </w:rPr>
        <w:t>1、建设要求</w:t>
      </w:r>
    </w:p>
    <w:p>
      <w:pPr>
        <w:spacing w:line="420" w:lineRule="exact"/>
        <w:ind w:firstLine="420" w:firstLineChars="200"/>
        <w:jc w:val="left"/>
        <w:rPr>
          <w:rFonts w:ascii="宋体" w:hAnsi="宋体" w:cs="宋体"/>
          <w:szCs w:val="21"/>
        </w:rPr>
      </w:pPr>
      <w:r>
        <w:rPr>
          <w:rFonts w:hint="eastAsia" w:ascii="宋体" w:hAnsi="宋体" w:cs="宋体"/>
          <w:szCs w:val="21"/>
        </w:rPr>
        <w:t>1.1本项目投标报价包括设备（软硬件）价款（必备的附件，如配件、备品备件、专用工具和预埋件等）、运输安装调试费、安装人员住宿、安装所需工具、验收检测费（含质保期内）、质保期内的维护保养费、技术支持与培训费和税费等一切费用。投标报价为投标人所能承受的最低、最终一次性报价。投标人的投标报价为整个采购项目的总报价，如有漏项，视同已包含在其总项目中，合同总价不做调整</w:t>
      </w:r>
      <w:r>
        <w:rPr>
          <w:rFonts w:hint="eastAsia" w:ascii="宋体" w:hAnsi="宋体" w:cs="宋体"/>
          <w:szCs w:val="21"/>
          <w:shd w:val="clear" w:color="auto" w:fill="FFFFFF"/>
        </w:rPr>
        <w:t>。</w:t>
      </w:r>
    </w:p>
    <w:p>
      <w:pPr>
        <w:spacing w:line="420" w:lineRule="exact"/>
        <w:ind w:firstLine="420" w:firstLineChars="200"/>
        <w:jc w:val="left"/>
        <w:rPr>
          <w:rFonts w:ascii="宋体" w:hAnsi="宋体" w:cs="宋体"/>
          <w:szCs w:val="21"/>
          <w:shd w:val="clear" w:color="auto" w:fill="FFFFFF"/>
        </w:rPr>
      </w:pPr>
      <w:r>
        <w:rPr>
          <w:rFonts w:hint="eastAsia" w:ascii="宋体" w:hAnsi="宋体" w:cs="宋体"/>
          <w:color w:val="000000"/>
          <w:szCs w:val="21"/>
        </w:rPr>
        <w:t>1.2中标人应保证系统建设的所有设备及材料是未使用过的原厂合格正品，并完全符合采购文件规定的质量和性能的要求。</w:t>
      </w:r>
    </w:p>
    <w:p>
      <w:pPr>
        <w:spacing w:line="420" w:lineRule="exact"/>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color w:val="000000"/>
          <w:szCs w:val="21"/>
        </w:rPr>
        <w:t>1.3本项目的所有软、硬件(如设备杆件、线缆、软件、硬件模块等，包括未列出而系统实施又必需的软件、硬件)需配齐以构成一套完整实用系统，如有任何遗漏，由中标人自行考虑补齐。投标方案中的硬件设备,如需使用特别接头、插座等，由中标人提供。所有费用均考虑投标报价中。</w:t>
      </w:r>
    </w:p>
    <w:p>
      <w:pPr>
        <w:spacing w:line="420" w:lineRule="exact"/>
        <w:ind w:firstLine="210" w:firstLineChars="100"/>
        <w:jc w:val="left"/>
        <w:rPr>
          <w:rFonts w:ascii="宋体" w:hAnsi="宋体" w:cs="宋体"/>
          <w:szCs w:val="21"/>
        </w:rPr>
      </w:pPr>
      <w:r>
        <w:rPr>
          <w:rFonts w:hint="eastAsia" w:ascii="宋体" w:hAnsi="宋体" w:cs="宋体"/>
          <w:color w:val="000000"/>
          <w:szCs w:val="21"/>
        </w:rPr>
        <w:t>1.4所采用的设备能够与采购人现有设备正常连接，设备安装调试完毕后，能在其功能范围内保障用户的系统安全、稳定运行。</w:t>
      </w:r>
    </w:p>
    <w:p>
      <w:pPr>
        <w:spacing w:line="420" w:lineRule="exact"/>
        <w:ind w:firstLine="210" w:firstLineChars="100"/>
        <w:jc w:val="left"/>
        <w:rPr>
          <w:rFonts w:ascii="宋体" w:hAnsi="宋体" w:cs="宋体"/>
          <w:szCs w:val="21"/>
        </w:rPr>
      </w:pPr>
      <w:r>
        <w:rPr>
          <w:rFonts w:hint="eastAsia" w:ascii="宋体" w:hAnsi="宋体" w:cs="宋体"/>
          <w:color w:val="000000"/>
          <w:szCs w:val="21"/>
        </w:rPr>
        <w:t>1.5设备的拆箱、通电、调试等各项工作由中标人负责，但必须在采购人指定人员的参与下进行。在实际实施前必须先经采购人同意方可进行。</w:t>
      </w:r>
    </w:p>
    <w:p>
      <w:pPr>
        <w:spacing w:line="420" w:lineRule="exact"/>
        <w:ind w:firstLine="210" w:firstLineChars="100"/>
        <w:jc w:val="left"/>
        <w:rPr>
          <w:rFonts w:ascii="宋体" w:hAnsi="宋体" w:cs="宋体"/>
          <w:szCs w:val="21"/>
        </w:rPr>
      </w:pPr>
      <w:r>
        <w:rPr>
          <w:rFonts w:hint="eastAsia" w:ascii="宋体" w:hAnsi="宋体" w:cs="宋体"/>
          <w:szCs w:val="21"/>
        </w:rPr>
        <w:t>1.6</w:t>
      </w:r>
      <w:r>
        <w:rPr>
          <w:rFonts w:hint="eastAsia" w:ascii="宋体" w:hAnsi="宋体" w:cs="宋体"/>
          <w:color w:val="000000"/>
          <w:szCs w:val="21"/>
        </w:rPr>
        <w:t>应派采购人认可的有经验和能力、具有相应资质的技术人员，负责系统设备安装工作，在设备安装调试期间应充分了解项目进度要求，解决安装中出现的技术问题。</w:t>
      </w:r>
    </w:p>
    <w:p>
      <w:pPr>
        <w:spacing w:line="420" w:lineRule="exact"/>
        <w:ind w:firstLine="210" w:firstLineChars="100"/>
        <w:jc w:val="left"/>
        <w:rPr>
          <w:rFonts w:ascii="宋体" w:hAnsi="宋体" w:cs="宋体"/>
          <w:szCs w:val="21"/>
        </w:rPr>
      </w:pPr>
      <w:r>
        <w:rPr>
          <w:rFonts w:hint="eastAsia" w:ascii="宋体" w:hAnsi="宋体" w:cs="宋体"/>
          <w:szCs w:val="21"/>
        </w:rPr>
        <w:t>1.7在服务期内，如因前端设备故障问题，导致设备无法正常运行，如须更换，由中标人负责。</w:t>
      </w:r>
    </w:p>
    <w:p>
      <w:pPr>
        <w:pStyle w:val="4"/>
        <w:keepNext w:val="0"/>
        <w:keepLines w:val="0"/>
        <w:spacing w:before="0" w:after="0" w:line="500" w:lineRule="exact"/>
        <w:rPr>
          <w:rFonts w:ascii="宋体" w:hAnsi="宋体" w:eastAsia="宋体" w:cs="宋体"/>
          <w:sz w:val="28"/>
          <w:szCs w:val="28"/>
        </w:rPr>
      </w:pPr>
      <w:r>
        <w:rPr>
          <w:rFonts w:hint="eastAsia" w:ascii="宋体" w:hAnsi="宋体" w:eastAsia="宋体" w:cs="宋体"/>
          <w:sz w:val="28"/>
          <w:szCs w:val="28"/>
        </w:rPr>
        <w:t>四、其他要求</w:t>
      </w:r>
    </w:p>
    <w:p>
      <w:pPr>
        <w:spacing w:line="400" w:lineRule="exact"/>
        <w:ind w:firstLine="420" w:firstLineChars="200"/>
        <w:jc w:val="left"/>
        <w:rPr>
          <w:rFonts w:ascii="宋体" w:hAnsi="宋体" w:cs="宋体"/>
          <w:szCs w:val="21"/>
        </w:rPr>
      </w:pPr>
      <w:r>
        <w:rPr>
          <w:rFonts w:hint="eastAsia" w:ascii="宋体" w:hAnsi="宋体" w:cs="宋体"/>
          <w:szCs w:val="21"/>
        </w:rPr>
        <w:t>1、投标人须保证本项目不存在任何版权、或著作权、或其他形式的知识产权纠纷。如不符合上述条件，产生的后果由投标人负责。</w:t>
      </w:r>
    </w:p>
    <w:p>
      <w:pPr>
        <w:spacing w:line="400" w:lineRule="exact"/>
        <w:ind w:firstLine="420" w:firstLineChars="200"/>
        <w:jc w:val="left"/>
        <w:rPr>
          <w:rFonts w:ascii="宋体" w:hAnsi="宋体" w:cs="宋体"/>
          <w:szCs w:val="21"/>
        </w:rPr>
      </w:pPr>
      <w:r>
        <w:rPr>
          <w:rFonts w:hint="eastAsia" w:ascii="宋体" w:hAnsi="宋体" w:cs="宋体"/>
          <w:szCs w:val="21"/>
        </w:rPr>
        <w:t>2、本项目施工安全、用电、质量等必须遵守国家相关标准规范，中标人应建立《施工安全管理制度》、《施工质量保障制度》，做好安全防护措施和质量检查。并中标人承担所有安全、用电、质量等事故引起的一切责任和费用，采购人不承担任何法律和经济等责任。</w:t>
      </w:r>
    </w:p>
    <w:p>
      <w:pPr>
        <w:rPr>
          <w:b/>
          <w:bCs/>
          <w:sz w:val="28"/>
          <w:szCs w:val="21"/>
        </w:rPr>
      </w:pPr>
      <w:bookmarkStart w:id="24" w:name="_Toc32212"/>
      <w:bookmarkStart w:id="25" w:name="_Toc9984"/>
      <w:bookmarkStart w:id="26" w:name="_Toc25128"/>
      <w:bookmarkStart w:id="27" w:name="_Toc29848"/>
      <w:r>
        <w:rPr>
          <w:rFonts w:hint="eastAsia"/>
          <w:b/>
          <w:bCs/>
          <w:sz w:val="28"/>
          <w:szCs w:val="21"/>
        </w:rPr>
        <w:t>五、</w:t>
      </w:r>
      <w:r>
        <w:rPr>
          <w:b/>
          <w:bCs/>
          <w:sz w:val="28"/>
          <w:szCs w:val="21"/>
        </w:rPr>
        <w:t>验收要求</w:t>
      </w:r>
    </w:p>
    <w:p>
      <w:pPr>
        <w:tabs>
          <w:tab w:val="left" w:pos="8460"/>
        </w:tabs>
        <w:spacing w:line="400" w:lineRule="exact"/>
        <w:ind w:firstLine="420" w:firstLineChars="200"/>
        <w:jc w:val="left"/>
        <w:rPr>
          <w:rFonts w:ascii="宋体" w:hAnsi="宋体" w:cs="宋体"/>
          <w:szCs w:val="21"/>
        </w:rPr>
      </w:pPr>
      <w:r>
        <w:rPr>
          <w:rFonts w:hint="eastAsia" w:ascii="宋体" w:hAnsi="宋体" w:cs="宋体"/>
          <w:szCs w:val="21"/>
        </w:rPr>
        <w:t>1、按行业标准、规定及技术标准等相关法律性文件进行验收。</w:t>
      </w:r>
    </w:p>
    <w:p>
      <w:pPr>
        <w:tabs>
          <w:tab w:val="left" w:pos="8460"/>
        </w:tabs>
        <w:spacing w:line="400" w:lineRule="exact"/>
        <w:ind w:firstLine="420" w:firstLineChars="200"/>
        <w:jc w:val="left"/>
        <w:rPr>
          <w:rFonts w:ascii="宋体" w:hAnsi="宋体" w:cs="宋体"/>
          <w:szCs w:val="21"/>
        </w:rPr>
      </w:pPr>
      <w:r>
        <w:rPr>
          <w:rFonts w:hint="eastAsia" w:ascii="宋体" w:hAnsi="宋体" w:cs="宋体"/>
          <w:szCs w:val="21"/>
        </w:rPr>
        <w:t>2、中标人根据采购要求进行部署、安装、调试、测试及试运行，硬件设备设施的采购及施工安装等，由采购人或采购人聘请技术专家依据验收标准并组织进行使用性能方面的验收，所需检测费用包含在报价中。</w:t>
      </w:r>
    </w:p>
    <w:p>
      <w:pPr>
        <w:tabs>
          <w:tab w:val="left" w:pos="8460"/>
        </w:tabs>
        <w:spacing w:line="400" w:lineRule="exact"/>
        <w:ind w:firstLine="420" w:firstLineChars="200"/>
        <w:jc w:val="left"/>
        <w:rPr>
          <w:rFonts w:ascii="宋体" w:hAnsi="宋体" w:cs="宋体"/>
          <w:szCs w:val="21"/>
        </w:rPr>
      </w:pPr>
      <w:r>
        <w:rPr>
          <w:rFonts w:hint="eastAsia" w:ascii="宋体" w:hAnsi="宋体" w:cs="宋体"/>
          <w:szCs w:val="21"/>
        </w:rPr>
        <w:t>3、项目建设验收合格条件</w:t>
      </w:r>
    </w:p>
    <w:p>
      <w:pPr>
        <w:tabs>
          <w:tab w:val="left" w:pos="8460"/>
        </w:tabs>
        <w:spacing w:line="400" w:lineRule="exact"/>
        <w:ind w:firstLine="210" w:firstLineChars="100"/>
        <w:jc w:val="left"/>
        <w:rPr>
          <w:rFonts w:ascii="宋体" w:hAnsi="宋体" w:cs="宋体"/>
          <w:szCs w:val="21"/>
        </w:rPr>
      </w:pPr>
      <w:r>
        <w:rPr>
          <w:rFonts w:hint="eastAsia" w:ascii="宋体" w:hAnsi="宋体" w:cs="宋体"/>
          <w:szCs w:val="21"/>
        </w:rPr>
        <w:t>（1）性能测试（设备、软件）和检验时出现的问题已被解决至采购人认可。。</w:t>
      </w:r>
    </w:p>
    <w:p>
      <w:pPr>
        <w:tabs>
          <w:tab w:val="left" w:pos="8460"/>
        </w:tabs>
        <w:spacing w:line="400" w:lineRule="exact"/>
        <w:ind w:firstLine="210" w:firstLineChars="100"/>
        <w:jc w:val="left"/>
        <w:rPr>
          <w:rFonts w:ascii="宋体" w:hAnsi="宋体" w:cs="宋体"/>
          <w:szCs w:val="21"/>
        </w:rPr>
      </w:pPr>
      <w:r>
        <w:rPr>
          <w:rFonts w:hint="eastAsia" w:ascii="宋体" w:hAnsi="宋体" w:cs="宋体"/>
          <w:szCs w:val="21"/>
        </w:rPr>
        <w:t>（2）设备在交付采购人使用前，需经采购人验收合格。</w:t>
      </w:r>
    </w:p>
    <w:p>
      <w:pPr>
        <w:tabs>
          <w:tab w:val="left" w:pos="8460"/>
        </w:tabs>
        <w:spacing w:line="400" w:lineRule="exact"/>
        <w:ind w:firstLine="210" w:firstLineChars="100"/>
        <w:jc w:val="left"/>
        <w:rPr>
          <w:rFonts w:ascii="宋体" w:hAnsi="宋体" w:cs="宋体"/>
          <w:szCs w:val="21"/>
        </w:rPr>
      </w:pPr>
      <w:r>
        <w:rPr>
          <w:rFonts w:hint="eastAsia" w:ascii="宋体" w:hAnsi="宋体" w:cs="宋体"/>
          <w:szCs w:val="21"/>
        </w:rPr>
        <w:t>（3）验收时提供完整的材料和技术资料。</w:t>
      </w:r>
    </w:p>
    <w:p>
      <w:pPr>
        <w:rPr>
          <w:b/>
          <w:bCs/>
          <w:sz w:val="28"/>
          <w:szCs w:val="21"/>
        </w:rPr>
      </w:pPr>
      <w:r>
        <w:rPr>
          <w:rFonts w:hint="eastAsia"/>
          <w:b/>
          <w:bCs/>
          <w:sz w:val="28"/>
          <w:szCs w:val="21"/>
        </w:rPr>
        <w:t>六、商务要求表</w:t>
      </w:r>
    </w:p>
    <w:tbl>
      <w:tblPr>
        <w:tblStyle w:val="34"/>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78" w:type="dxa"/>
            <w:vAlign w:val="center"/>
          </w:tcPr>
          <w:p>
            <w:pPr>
              <w:spacing w:line="360" w:lineRule="exact"/>
              <w:rPr>
                <w:rFonts w:ascii="宋体" w:hAnsi="宋体" w:cs="宋体"/>
                <w:kern w:val="0"/>
                <w:szCs w:val="21"/>
                <w:highlight w:val="none"/>
              </w:rPr>
            </w:pPr>
            <w:r>
              <w:rPr>
                <w:rFonts w:hint="eastAsia" w:ascii="宋体" w:hAnsi="宋体" w:cs="宋体"/>
                <w:kern w:val="0"/>
                <w:szCs w:val="21"/>
                <w:highlight w:val="none"/>
              </w:rPr>
              <w:t>售后服务保障要求</w:t>
            </w:r>
          </w:p>
        </w:tc>
        <w:tc>
          <w:tcPr>
            <w:tcW w:w="7509" w:type="dxa"/>
          </w:tcPr>
          <w:p>
            <w:pPr>
              <w:spacing w:line="360" w:lineRule="exact"/>
              <w:rPr>
                <w:rFonts w:ascii="宋体" w:hAnsi="宋体" w:cs="宋体"/>
                <w:kern w:val="0"/>
                <w:szCs w:val="21"/>
                <w:highlight w:val="none"/>
              </w:rPr>
            </w:pPr>
            <w:r>
              <w:rPr>
                <w:rFonts w:hint="eastAsia" w:ascii="宋体" w:hAnsi="宋体" w:cs="宋体"/>
                <w:kern w:val="0"/>
                <w:szCs w:val="21"/>
                <w:highlight w:val="none"/>
              </w:rPr>
              <w:t>1.投标人应保证所提供货物是全新的、未使用过的，并完全符合合同规定的质</w:t>
            </w:r>
          </w:p>
          <w:p>
            <w:pPr>
              <w:spacing w:line="360" w:lineRule="exact"/>
              <w:rPr>
                <w:rFonts w:ascii="宋体" w:hAnsi="宋体" w:cs="宋体"/>
                <w:kern w:val="0"/>
                <w:szCs w:val="21"/>
                <w:highlight w:val="none"/>
              </w:rPr>
            </w:pPr>
            <w:r>
              <w:rPr>
                <w:rFonts w:hint="eastAsia" w:ascii="宋体" w:hAnsi="宋体" w:cs="宋体"/>
                <w:kern w:val="0"/>
                <w:szCs w:val="21"/>
                <w:highlight w:val="none"/>
              </w:rPr>
              <w:t>量、规格和性能的要求。</w:t>
            </w:r>
          </w:p>
          <w:p>
            <w:pPr>
              <w:spacing w:line="360" w:lineRule="exact"/>
              <w:rPr>
                <w:rFonts w:ascii="宋体" w:hAnsi="宋体" w:cs="宋体"/>
                <w:kern w:val="0"/>
                <w:szCs w:val="21"/>
                <w:highlight w:val="none"/>
              </w:rPr>
            </w:pPr>
            <w:r>
              <w:rPr>
                <w:rFonts w:hint="eastAsia" w:ascii="宋体" w:hAnsi="宋体" w:cs="宋体"/>
                <w:kern w:val="0"/>
                <w:szCs w:val="21"/>
                <w:highlight w:val="none"/>
              </w:rPr>
              <w:t>2.质保期及用户故障的响应、处理等情况</w:t>
            </w:r>
          </w:p>
          <w:p>
            <w:pPr>
              <w:spacing w:line="360" w:lineRule="exact"/>
              <w:rPr>
                <w:rFonts w:ascii="宋体" w:hAnsi="宋体" w:cs="宋体"/>
                <w:kern w:val="0"/>
                <w:szCs w:val="21"/>
                <w:highlight w:val="none"/>
              </w:rPr>
            </w:pPr>
            <w:r>
              <w:rPr>
                <w:rFonts w:hint="eastAsia" w:ascii="宋体" w:hAnsi="宋体" w:cs="宋体"/>
                <w:kern w:val="0"/>
                <w:szCs w:val="21"/>
                <w:highlight w:val="none"/>
              </w:rPr>
              <w:t>2.1 中标后提供质保期：所有设备用户现场免费质保不少于 2 年。</w:t>
            </w:r>
          </w:p>
          <w:p>
            <w:pPr>
              <w:spacing w:line="360" w:lineRule="exact"/>
              <w:rPr>
                <w:rFonts w:ascii="宋体" w:hAnsi="宋体" w:cs="宋体"/>
                <w:kern w:val="0"/>
                <w:szCs w:val="21"/>
                <w:highlight w:val="none"/>
              </w:rPr>
            </w:pPr>
            <w:r>
              <w:rPr>
                <w:rFonts w:hint="eastAsia" w:ascii="宋体" w:hAnsi="宋体" w:cs="宋体"/>
                <w:kern w:val="0"/>
                <w:szCs w:val="21"/>
                <w:highlight w:val="none"/>
              </w:rPr>
              <w:t>2.2 接到用户报修电话 8 小时内到达现场，12 小时内排除故障。如未能及时解</w:t>
            </w:r>
          </w:p>
          <w:p>
            <w:pPr>
              <w:spacing w:line="360" w:lineRule="exact"/>
              <w:rPr>
                <w:rFonts w:ascii="宋体" w:hAnsi="宋体" w:cs="宋体"/>
                <w:kern w:val="0"/>
                <w:szCs w:val="21"/>
                <w:highlight w:val="none"/>
              </w:rPr>
            </w:pPr>
            <w:r>
              <w:rPr>
                <w:rFonts w:hint="eastAsia" w:ascii="宋体" w:hAnsi="宋体" w:cs="宋体"/>
                <w:kern w:val="0"/>
                <w:szCs w:val="21"/>
                <w:highlight w:val="none"/>
              </w:rPr>
              <w:t>决系统及软硬件设备的故障，24 小时内提供备用设备供用户方使用，做到不影</w:t>
            </w:r>
          </w:p>
          <w:p>
            <w:pPr>
              <w:spacing w:line="360" w:lineRule="exact"/>
              <w:rPr>
                <w:rFonts w:ascii="宋体" w:hAnsi="宋体" w:cs="宋体"/>
                <w:kern w:val="0"/>
                <w:szCs w:val="21"/>
                <w:highlight w:val="none"/>
              </w:rPr>
            </w:pPr>
            <w:r>
              <w:rPr>
                <w:rFonts w:hint="eastAsia" w:ascii="宋体" w:hAnsi="宋体" w:cs="宋体"/>
                <w:kern w:val="0"/>
                <w:szCs w:val="21"/>
                <w:highlight w:val="none"/>
              </w:rPr>
              <w:t>响正常运行。质量保证期内因产品本身缺陷（正常耗损、人为因素除外）造成</w:t>
            </w:r>
          </w:p>
          <w:p>
            <w:pPr>
              <w:spacing w:line="360" w:lineRule="exact"/>
              <w:rPr>
                <w:rFonts w:ascii="宋体" w:hAnsi="宋体" w:cs="宋体"/>
                <w:kern w:val="0"/>
                <w:szCs w:val="21"/>
                <w:highlight w:val="none"/>
              </w:rPr>
            </w:pPr>
            <w:r>
              <w:rPr>
                <w:rFonts w:hint="eastAsia" w:ascii="宋体" w:hAnsi="宋体" w:cs="宋体"/>
                <w:kern w:val="0"/>
                <w:szCs w:val="21"/>
                <w:highlight w:val="none"/>
              </w:rPr>
              <w:t>各种故障应由中标人免费技术服务和维修。</w:t>
            </w:r>
          </w:p>
          <w:p>
            <w:pPr>
              <w:spacing w:line="360" w:lineRule="exact"/>
              <w:rPr>
                <w:rFonts w:ascii="宋体" w:hAnsi="宋体" w:cs="宋体"/>
                <w:kern w:val="0"/>
                <w:szCs w:val="21"/>
                <w:highlight w:val="none"/>
              </w:rPr>
            </w:pPr>
            <w:r>
              <w:rPr>
                <w:rFonts w:hint="eastAsia" w:ascii="宋体" w:hAnsi="宋体" w:cs="宋体"/>
                <w:kern w:val="0"/>
                <w:szCs w:val="21"/>
                <w:highlight w:val="none"/>
              </w:rPr>
              <w:t>3.中标人应保证在质保期内对货物进行免费维修，维护；质保期外发生的损坏，</w:t>
            </w:r>
          </w:p>
          <w:p>
            <w:pPr>
              <w:spacing w:line="360" w:lineRule="exact"/>
              <w:rPr>
                <w:rFonts w:ascii="宋体" w:hAnsi="宋体" w:cs="宋体"/>
                <w:kern w:val="0"/>
                <w:szCs w:val="21"/>
                <w:highlight w:val="none"/>
              </w:rPr>
            </w:pPr>
            <w:r>
              <w:rPr>
                <w:rFonts w:hint="eastAsia" w:ascii="宋体" w:hAnsi="宋体" w:cs="宋体"/>
                <w:kern w:val="0"/>
                <w:szCs w:val="21"/>
                <w:highlight w:val="none"/>
              </w:rPr>
              <w:t>负责货物的终身维修，修理和换件应按成本费收取，不再收取其它费用。</w:t>
            </w:r>
          </w:p>
          <w:p>
            <w:pPr>
              <w:spacing w:line="360" w:lineRule="exact"/>
              <w:rPr>
                <w:rFonts w:ascii="宋体" w:hAnsi="宋体" w:cs="宋体"/>
                <w:kern w:val="0"/>
                <w:szCs w:val="21"/>
                <w:highlight w:val="none"/>
              </w:rPr>
            </w:pPr>
            <w:r>
              <w:rPr>
                <w:rFonts w:hint="eastAsia" w:ascii="宋体" w:hAnsi="宋体" w:cs="宋体"/>
                <w:kern w:val="0"/>
                <w:szCs w:val="21"/>
                <w:highlight w:val="none"/>
              </w:rPr>
              <w:t>4.报价须包含设备（软硬件）价款（必备的附件，如配件、备品备件、专用工</w:t>
            </w:r>
          </w:p>
          <w:p>
            <w:pPr>
              <w:spacing w:line="360" w:lineRule="exact"/>
              <w:rPr>
                <w:rFonts w:ascii="宋体" w:hAnsi="宋体" w:cs="宋体"/>
                <w:kern w:val="0"/>
                <w:szCs w:val="21"/>
                <w:highlight w:val="none"/>
              </w:rPr>
            </w:pPr>
            <w:r>
              <w:rPr>
                <w:rFonts w:hint="eastAsia" w:ascii="宋体" w:hAnsi="宋体" w:cs="宋体"/>
                <w:kern w:val="0"/>
                <w:szCs w:val="21"/>
                <w:highlight w:val="none"/>
              </w:rPr>
              <w:t>具和预埋件等）、运输安装调试费、安装人员住宿、安装所需工具、验收检测</w:t>
            </w:r>
          </w:p>
          <w:p>
            <w:pPr>
              <w:spacing w:line="360" w:lineRule="exact"/>
              <w:rPr>
                <w:rFonts w:ascii="宋体" w:hAnsi="宋体" w:cs="宋体"/>
                <w:kern w:val="0"/>
                <w:szCs w:val="21"/>
                <w:highlight w:val="none"/>
              </w:rPr>
            </w:pPr>
            <w:r>
              <w:rPr>
                <w:rFonts w:hint="eastAsia" w:ascii="宋体" w:hAnsi="宋体" w:cs="宋体"/>
                <w:kern w:val="0"/>
                <w:szCs w:val="21"/>
                <w:highlight w:val="none"/>
              </w:rPr>
              <w:t>费（含质保期内）、质保期内的维护保养费、技术支持与培训费和税费等一切</w:t>
            </w:r>
          </w:p>
          <w:p>
            <w:pPr>
              <w:spacing w:line="360" w:lineRule="exact"/>
              <w:rPr>
                <w:rFonts w:ascii="宋体" w:hAnsi="宋体" w:cs="宋体"/>
                <w:kern w:val="0"/>
                <w:szCs w:val="21"/>
                <w:highlight w:val="none"/>
              </w:rPr>
            </w:pPr>
            <w:r>
              <w:rPr>
                <w:rFonts w:hint="eastAsia" w:ascii="宋体" w:hAnsi="宋体" w:cs="宋体"/>
                <w:kern w:val="0"/>
                <w:szCs w:val="21"/>
                <w:highlight w:val="none"/>
              </w:rPr>
              <w:t>费用。投标报价为投标人所能承受的最低、最终一次性报价。投标人的投标报</w:t>
            </w:r>
          </w:p>
          <w:p>
            <w:pPr>
              <w:spacing w:line="360" w:lineRule="exact"/>
              <w:rPr>
                <w:rFonts w:ascii="宋体" w:hAnsi="宋体" w:cs="宋体"/>
                <w:kern w:val="0"/>
                <w:szCs w:val="21"/>
                <w:highlight w:val="none"/>
              </w:rPr>
            </w:pPr>
            <w:r>
              <w:rPr>
                <w:rFonts w:hint="eastAsia" w:ascii="宋体" w:hAnsi="宋体" w:cs="宋体"/>
                <w:kern w:val="0"/>
                <w:szCs w:val="21"/>
                <w:highlight w:val="none"/>
              </w:rPr>
              <w:t>价为整个采购项目的总报价，如有漏项，视同已包含在其总项目中，合同总价</w:t>
            </w:r>
          </w:p>
          <w:p>
            <w:pPr>
              <w:spacing w:line="360" w:lineRule="exact"/>
              <w:rPr>
                <w:rFonts w:ascii="宋体" w:hAnsi="宋体" w:cs="宋体"/>
                <w:kern w:val="0"/>
                <w:szCs w:val="21"/>
                <w:highlight w:val="none"/>
              </w:rPr>
            </w:pPr>
            <w:r>
              <w:rPr>
                <w:rFonts w:hint="eastAsia" w:ascii="宋体" w:hAnsi="宋体" w:cs="宋体"/>
                <w:kern w:val="0"/>
                <w:szCs w:val="21"/>
                <w:highlight w:val="none"/>
              </w:rPr>
              <w:t>不做调整。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8" w:type="dxa"/>
            <w:vAlign w:val="center"/>
          </w:tcPr>
          <w:p>
            <w:pPr>
              <w:spacing w:line="360" w:lineRule="exact"/>
              <w:rPr>
                <w:rFonts w:ascii="宋体" w:hAnsi="宋体" w:cs="宋体"/>
                <w:color w:val="auto"/>
                <w:kern w:val="0"/>
                <w:szCs w:val="21"/>
              </w:rPr>
            </w:pPr>
            <w:r>
              <w:rPr>
                <w:rFonts w:hint="eastAsia" w:ascii="宋体" w:hAnsi="宋体"/>
                <w:color w:val="auto"/>
                <w:szCs w:val="21"/>
              </w:rPr>
              <w:t>▲</w:t>
            </w:r>
            <w:r>
              <w:rPr>
                <w:rFonts w:hint="eastAsia" w:ascii="宋体" w:hAnsi="宋体" w:cs="宋体"/>
                <w:color w:val="auto"/>
                <w:kern w:val="0"/>
                <w:szCs w:val="21"/>
              </w:rPr>
              <w:t>建设期及建设地点</w:t>
            </w:r>
          </w:p>
        </w:tc>
        <w:tc>
          <w:tcPr>
            <w:tcW w:w="7509" w:type="dxa"/>
          </w:tcPr>
          <w:p>
            <w:pPr>
              <w:spacing w:line="360" w:lineRule="exact"/>
              <w:rPr>
                <w:rFonts w:ascii="宋体" w:hAnsi="宋体" w:cs="宋体"/>
                <w:color w:val="auto"/>
                <w:kern w:val="0"/>
                <w:szCs w:val="21"/>
              </w:rPr>
            </w:pPr>
            <w:r>
              <w:rPr>
                <w:rFonts w:hint="eastAsia" w:ascii="宋体" w:hAnsi="宋体" w:cs="宋体"/>
                <w:color w:val="auto"/>
                <w:kern w:val="0"/>
                <w:szCs w:val="21"/>
              </w:rPr>
              <w:t>建设地点：采购人指定地点。</w:t>
            </w:r>
          </w:p>
          <w:p>
            <w:pPr>
              <w:spacing w:line="360" w:lineRule="exact"/>
              <w:rPr>
                <w:rFonts w:ascii="宋体" w:hAnsi="宋体" w:cs="宋体"/>
                <w:color w:val="auto"/>
                <w:kern w:val="0"/>
                <w:szCs w:val="21"/>
              </w:rPr>
            </w:pPr>
            <w:r>
              <w:rPr>
                <w:rFonts w:hint="eastAsia" w:ascii="宋体" w:hAnsi="宋体" w:cs="宋体"/>
                <w:color w:val="auto"/>
                <w:kern w:val="0"/>
                <w:szCs w:val="21"/>
              </w:rPr>
              <w:t>建设期：须在合同签订后30个日历日内完成所有项目建设并提交验收。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478" w:type="dxa"/>
            <w:vAlign w:val="center"/>
          </w:tcPr>
          <w:p>
            <w:pPr>
              <w:spacing w:line="360" w:lineRule="exact"/>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付款方式</w:t>
            </w:r>
          </w:p>
        </w:tc>
        <w:tc>
          <w:tcPr>
            <w:tcW w:w="7509" w:type="dxa"/>
            <w:vAlign w:val="center"/>
          </w:tcPr>
          <w:p>
            <w:pPr>
              <w:widowControl/>
              <w:jc w:val="left"/>
              <w:rPr>
                <w:color w:val="auto"/>
                <w:highlight w:val="none"/>
              </w:rPr>
            </w:pPr>
            <w:r>
              <w:rPr>
                <w:rFonts w:hint="eastAsia" w:ascii="宋体" w:hAnsi="宋体" w:cs="宋体"/>
                <w:color w:val="auto"/>
                <w:kern w:val="0"/>
                <w:sz w:val="20"/>
                <w:szCs w:val="20"/>
                <w:highlight w:val="none"/>
                <w:lang w:bidi="ar"/>
              </w:rPr>
              <w:t xml:space="preserve">1）合同签订生效之日起7日内支付合同总价金额的 40%作为预付款； </w:t>
            </w:r>
          </w:p>
          <w:p>
            <w:pPr>
              <w:widowControl/>
              <w:jc w:val="left"/>
              <w:rPr>
                <w:color w:val="auto"/>
                <w:highlight w:val="none"/>
              </w:rPr>
            </w:pPr>
            <w:r>
              <w:rPr>
                <w:rFonts w:hint="eastAsia" w:ascii="宋体" w:hAnsi="宋体" w:cs="宋体"/>
                <w:color w:val="auto"/>
                <w:kern w:val="0"/>
                <w:sz w:val="20"/>
                <w:szCs w:val="20"/>
                <w:highlight w:val="none"/>
                <w:lang w:bidi="ar"/>
              </w:rPr>
              <w:t xml:space="preserve">2）项目全部实施完成经采购人整体验收合格后7日内一次性支付剩余款项（不 </w:t>
            </w:r>
          </w:p>
          <w:p>
            <w:pPr>
              <w:widowControl/>
              <w:jc w:val="left"/>
              <w:rPr>
                <w:color w:val="auto"/>
                <w:highlight w:val="none"/>
              </w:rPr>
            </w:pPr>
            <w:r>
              <w:rPr>
                <w:rFonts w:hint="eastAsia" w:ascii="宋体" w:hAnsi="宋体" w:cs="宋体"/>
                <w:color w:val="auto"/>
                <w:kern w:val="0"/>
                <w:sz w:val="20"/>
                <w:szCs w:val="20"/>
                <w:highlight w:val="none"/>
                <w:lang w:bidi="ar"/>
              </w:rPr>
              <w:t xml:space="preserve">计息）； </w:t>
            </w:r>
          </w:p>
          <w:p>
            <w:pPr>
              <w:widowControl/>
              <w:jc w:val="left"/>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3）付款前需提供符合采购人要求的正规发票、项目验收单及其他所需材料。 </w:t>
            </w:r>
          </w:p>
          <w:p>
            <w:pPr>
              <w:widowControl/>
              <w:jc w:val="left"/>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本项目由成交供应商自行供货并负责安装、调试、协助验收并承担质保期内的 </w:t>
            </w:r>
          </w:p>
          <w:p>
            <w:pPr>
              <w:widowControl/>
              <w:jc w:val="left"/>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维修费用。安装用的所有材料费、安装调试费及质保期内的维修费应全部包含 </w:t>
            </w:r>
          </w:p>
          <w:p>
            <w:pPr>
              <w:widowControl/>
              <w:jc w:val="left"/>
              <w:rPr>
                <w:rFonts w:ascii="宋体" w:hAnsi="宋体" w:cs="宋体"/>
                <w:color w:val="auto"/>
                <w:kern w:val="0"/>
                <w:szCs w:val="21"/>
                <w:highlight w:val="none"/>
              </w:rPr>
            </w:pPr>
            <w:r>
              <w:rPr>
                <w:rFonts w:hint="eastAsia" w:ascii="宋体" w:hAnsi="宋体" w:cs="宋体"/>
                <w:color w:val="auto"/>
                <w:kern w:val="0"/>
                <w:sz w:val="20"/>
                <w:szCs w:val="20"/>
                <w:highlight w:val="none"/>
                <w:lang w:bidi="ar"/>
              </w:rPr>
              <w:t>在综合单价中。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8" w:type="dxa"/>
            <w:vAlign w:val="center"/>
          </w:tcPr>
          <w:p>
            <w:pPr>
              <w:spacing w:line="360" w:lineRule="exact"/>
              <w:rPr>
                <w:rFonts w:ascii="宋体" w:hAnsi="宋体" w:cs="宋体"/>
                <w:kern w:val="0"/>
                <w:szCs w:val="21"/>
              </w:rPr>
            </w:pPr>
            <w:r>
              <w:rPr>
                <w:rFonts w:hint="eastAsia" w:ascii="宋体" w:hAnsi="宋体" w:cs="宋体"/>
                <w:kern w:val="0"/>
                <w:szCs w:val="21"/>
              </w:rPr>
              <w:t>履约保证金</w:t>
            </w:r>
          </w:p>
        </w:tc>
        <w:tc>
          <w:tcPr>
            <w:tcW w:w="7509" w:type="dxa"/>
            <w:vAlign w:val="center"/>
          </w:tcPr>
          <w:p>
            <w:pPr>
              <w:spacing w:line="360" w:lineRule="exact"/>
              <w:rPr>
                <w:rFonts w:ascii="宋体" w:hAnsi="宋体" w:cs="宋体"/>
                <w:kern w:val="0"/>
                <w:szCs w:val="21"/>
              </w:rPr>
            </w:pPr>
            <w:r>
              <w:rPr>
                <w:rFonts w:hint="eastAsia" w:ascii="宋体" w:hAnsi="宋体"/>
                <w:szCs w:val="21"/>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8" w:type="dxa"/>
            <w:vAlign w:val="center"/>
          </w:tcPr>
          <w:p>
            <w:pPr>
              <w:spacing w:line="360" w:lineRule="exact"/>
              <w:rPr>
                <w:rFonts w:ascii="宋体" w:hAnsi="宋体" w:cs="宋体"/>
                <w:kern w:val="0"/>
                <w:szCs w:val="21"/>
              </w:rPr>
            </w:pPr>
            <w:r>
              <w:rPr>
                <w:rFonts w:hint="eastAsia" w:ascii="宋体" w:hAnsi="宋体" w:cs="宋体"/>
                <w:kern w:val="0"/>
                <w:szCs w:val="21"/>
              </w:rPr>
              <w:t>备品备件</w:t>
            </w:r>
          </w:p>
        </w:tc>
        <w:tc>
          <w:tcPr>
            <w:tcW w:w="7509" w:type="dxa"/>
            <w:vAlign w:val="center"/>
          </w:tcPr>
          <w:p>
            <w:pPr>
              <w:widowControl/>
              <w:autoSpaceDE w:val="0"/>
              <w:autoSpaceDN w:val="0"/>
              <w:adjustRightInd w:val="0"/>
              <w:spacing w:line="360" w:lineRule="exact"/>
              <w:contextualSpacing/>
              <w:textAlignment w:val="bottom"/>
              <w:rPr>
                <w:rFonts w:ascii="宋体" w:hAnsi="宋体" w:cs="宋体"/>
                <w:kern w:val="0"/>
                <w:szCs w:val="21"/>
              </w:rPr>
            </w:pPr>
            <w:r>
              <w:rPr>
                <w:rFonts w:hint="eastAsia" w:ascii="宋体" w:hAnsi="宋体" w:cs="宋体"/>
                <w:kern w:val="0"/>
                <w:szCs w:val="21"/>
              </w:rPr>
              <w:t xml:space="preserve">中标人对各种型号的设备须提供足够的备件、附件和易损件并保证是原厂生产的产品，以满足设备正常运行的需要。  </w:t>
            </w:r>
          </w:p>
        </w:tc>
      </w:tr>
    </w:tbl>
    <w:p>
      <w:pPr>
        <w:rPr>
          <w:rFonts w:ascii="宋体" w:hAnsi="宋体" w:cs="宋体"/>
          <w:b/>
          <w:szCs w:val="21"/>
        </w:rPr>
      </w:pPr>
      <w:r>
        <w:rPr>
          <w:rFonts w:hint="eastAsia" w:ascii="宋体" w:hAnsi="宋体" w:cs="宋体"/>
          <w:b/>
          <w:szCs w:val="21"/>
        </w:rPr>
        <w:t>注：1、本招标文件中带 “▲”的有关技术和商务条款为实质性条款，投标人必须在投标文件中作出实质性响应，否则投标无效；加“★”的技术参数为重要技术参数，任何关于★条款的负偏离将导致技术评分失分。</w:t>
      </w:r>
    </w:p>
    <w:p>
      <w:pPr>
        <w:numPr>
          <w:ilvl w:val="0"/>
          <w:numId w:val="3"/>
        </w:numPr>
        <w:rPr>
          <w:rFonts w:ascii="宋体" w:hAnsi="宋体" w:cs="宋体"/>
          <w:b/>
          <w:szCs w:val="21"/>
        </w:rPr>
      </w:pPr>
      <w:r>
        <w:rPr>
          <w:rFonts w:hint="eastAsia" w:ascii="宋体" w:hAnsi="宋体" w:cs="宋体"/>
          <w:b/>
          <w:szCs w:val="21"/>
        </w:rPr>
        <w:t>本招标文件仅对本项目提出原则性要求，并不是详尽的要求，投标人有责任对技术参数符合现行的相关技术规范、标准负责。</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spacing w:before="0" w:after="0" w:line="480" w:lineRule="exact"/>
        <w:jc w:val="center"/>
        <w:rPr>
          <w:rFonts w:ascii="宋体" w:hAnsi="宋体" w:cs="宋体"/>
          <w:snapToGrid w:val="0"/>
          <w:sz w:val="36"/>
          <w:szCs w:val="36"/>
        </w:rPr>
      </w:pPr>
      <w:r>
        <w:rPr>
          <w:rFonts w:hint="eastAsia" w:ascii="宋体" w:hAnsi="宋体" w:cs="宋体"/>
          <w:snapToGrid w:val="0"/>
          <w:sz w:val="36"/>
          <w:szCs w:val="36"/>
        </w:rPr>
        <w:t>第三章  投标人须知</w:t>
      </w:r>
      <w:bookmarkEnd w:id="7"/>
      <w:bookmarkEnd w:id="13"/>
      <w:bookmarkEnd w:id="24"/>
      <w:bookmarkEnd w:id="25"/>
      <w:bookmarkEnd w:id="26"/>
      <w:bookmarkEnd w:id="27"/>
    </w:p>
    <w:p>
      <w:pPr>
        <w:pStyle w:val="4"/>
        <w:spacing w:before="0" w:after="0" w:line="480" w:lineRule="exact"/>
        <w:rPr>
          <w:rFonts w:ascii="宋体" w:hAnsi="宋体" w:eastAsia="宋体" w:cs="宋体"/>
          <w:sz w:val="24"/>
          <w:szCs w:val="24"/>
        </w:rPr>
      </w:pPr>
      <w:bookmarkStart w:id="28" w:name="_Toc31607"/>
      <w:bookmarkStart w:id="29" w:name="_Toc15132"/>
      <w:bookmarkStart w:id="30" w:name="_Toc4375"/>
      <w:bookmarkStart w:id="31" w:name="_Toc317341937"/>
      <w:bookmarkStart w:id="32" w:name="_Toc22877"/>
      <w:bookmarkStart w:id="33" w:name="_Toc222632753"/>
      <w:r>
        <w:rPr>
          <w:rFonts w:hint="eastAsia" w:ascii="宋体" w:hAnsi="宋体" w:eastAsia="宋体" w:cs="宋体"/>
          <w:sz w:val="24"/>
          <w:szCs w:val="24"/>
        </w:rPr>
        <w:t>前   附  表</w:t>
      </w:r>
      <w:bookmarkEnd w:id="28"/>
      <w:bookmarkEnd w:id="29"/>
      <w:bookmarkEnd w:id="30"/>
      <w:bookmarkEnd w:id="31"/>
      <w:bookmarkEnd w:id="32"/>
      <w:bookmarkEnd w:id="33"/>
    </w:p>
    <w:tbl>
      <w:tblPr>
        <w:tblStyle w:val="34"/>
        <w:tblW w:w="0" w:type="auto"/>
        <w:tblInd w:w="0" w:type="dxa"/>
        <w:tblLayout w:type="autofit"/>
        <w:tblCellMar>
          <w:top w:w="0" w:type="dxa"/>
          <w:left w:w="108" w:type="dxa"/>
          <w:bottom w:w="0" w:type="dxa"/>
          <w:right w:w="108" w:type="dxa"/>
        </w:tblCellMar>
      </w:tblPr>
      <w:tblGrid>
        <w:gridCol w:w="574"/>
        <w:gridCol w:w="8614"/>
      </w:tblGrid>
      <w:tr>
        <w:tblPrEx>
          <w:tblCellMar>
            <w:top w:w="0" w:type="dxa"/>
            <w:left w:w="108" w:type="dxa"/>
            <w:bottom w:w="0" w:type="dxa"/>
            <w:right w:w="108" w:type="dxa"/>
          </w:tblCellMar>
        </w:tblPrEx>
        <w:trPr>
          <w:trHeight w:val="757"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rPr>
                <w:rFonts w:ascii="宋体" w:hAnsi="宋体" w:cs="宋体"/>
                <w:szCs w:val="21"/>
                <w:lang w:val="zh-CN"/>
              </w:rPr>
            </w:pPr>
            <w:r>
              <w:rPr>
                <w:rFonts w:hint="eastAsia" w:ascii="宋体" w:hAnsi="宋体" w:cs="宋体"/>
                <w:szCs w:val="21"/>
                <w:cs/>
                <w:lang w:val="zh-CN"/>
              </w:rPr>
              <w:t>序号</w:t>
            </w:r>
          </w:p>
        </w:tc>
        <w:tc>
          <w:tcPr>
            <w:tcW w:w="8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left="71" w:right="-263" w:firstLine="105"/>
              <w:jc w:val="center"/>
              <w:rPr>
                <w:rFonts w:ascii="宋体" w:hAnsi="宋体" w:cs="宋体"/>
                <w:szCs w:val="21"/>
                <w:lang w:val="zh-CN"/>
              </w:rPr>
            </w:pPr>
            <w:r>
              <w:rPr>
                <w:rFonts w:hint="eastAsia" w:ascii="宋体" w:hAnsi="宋体" w:cs="宋体"/>
                <w:szCs w:val="21"/>
                <w:lang w:val="zh-CN"/>
              </w:rPr>
              <w:t>内容及相关规定</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lang w:val="zh-CN"/>
              </w:rPr>
            </w:pPr>
            <w:r>
              <w:rPr>
                <w:rFonts w:hint="eastAsia" w:ascii="宋体" w:hAnsi="宋体" w:cs="宋体"/>
                <w:szCs w:val="21"/>
                <w:lang w:val="zh-CN"/>
              </w:rPr>
              <w:t>1</w:t>
            </w:r>
          </w:p>
        </w:tc>
        <w:tc>
          <w:tcPr>
            <w:tcW w:w="8614" w:type="dxa"/>
            <w:tcBorders>
              <w:top w:val="single" w:color="auto" w:sz="6" w:space="0"/>
              <w:left w:val="single" w:color="auto" w:sz="6" w:space="0"/>
              <w:right w:val="single" w:color="auto" w:sz="6" w:space="0"/>
            </w:tcBorders>
            <w:vAlign w:val="center"/>
          </w:tcPr>
          <w:p>
            <w:pPr>
              <w:adjustRightInd w:val="0"/>
              <w:snapToGrid w:val="0"/>
              <w:spacing w:line="360" w:lineRule="exact"/>
              <w:rPr>
                <w:rFonts w:ascii="宋体" w:hAnsi="宋体" w:cs="宋体"/>
                <w:szCs w:val="21"/>
              </w:rPr>
            </w:pPr>
            <w:r>
              <w:rPr>
                <w:rFonts w:hint="eastAsia" w:ascii="宋体" w:hAnsi="宋体" w:cs="宋体"/>
                <w:szCs w:val="21"/>
              </w:rPr>
              <w:t>项目名称：安吉技师学院单片机实训室建设项目</w:t>
            </w:r>
          </w:p>
          <w:p>
            <w:pPr>
              <w:adjustRightInd w:val="0"/>
              <w:snapToGrid w:val="0"/>
              <w:spacing w:line="360" w:lineRule="exact"/>
              <w:rPr>
                <w:rFonts w:ascii="宋体" w:hAnsi="宋体" w:cs="宋体"/>
                <w:szCs w:val="21"/>
              </w:rPr>
            </w:pPr>
            <w:r>
              <w:rPr>
                <w:rFonts w:hint="eastAsia" w:ascii="宋体" w:hAnsi="宋体" w:cs="宋体"/>
                <w:szCs w:val="21"/>
              </w:rPr>
              <w:t>项目编号：HZJNAJ-2024010</w:t>
            </w:r>
          </w:p>
          <w:p>
            <w:pPr>
              <w:adjustRightInd w:val="0"/>
              <w:snapToGrid w:val="0"/>
              <w:spacing w:line="360" w:lineRule="exact"/>
              <w:rPr>
                <w:rFonts w:ascii="宋体" w:hAnsi="宋体" w:cs="宋体"/>
                <w:szCs w:val="21"/>
              </w:rPr>
            </w:pPr>
            <w:r>
              <w:rPr>
                <w:rFonts w:hint="eastAsia" w:ascii="宋体" w:hAnsi="宋体" w:cs="宋体"/>
                <w:szCs w:val="21"/>
              </w:rPr>
              <w:t>项目内容：详见招标文件第二章</w:t>
            </w:r>
          </w:p>
        </w:tc>
      </w:tr>
      <w:tr>
        <w:tblPrEx>
          <w:tblCellMar>
            <w:top w:w="0" w:type="dxa"/>
            <w:left w:w="108" w:type="dxa"/>
            <w:bottom w:w="0" w:type="dxa"/>
            <w:right w:w="108" w:type="dxa"/>
          </w:tblCellMar>
        </w:tblPrEx>
        <w:trPr>
          <w:trHeight w:val="840" w:hRule="atLeast"/>
        </w:trPr>
        <w:tc>
          <w:tcPr>
            <w:tcW w:w="574" w:type="dxa"/>
            <w:tcBorders>
              <w:top w:val="single" w:color="auto" w:sz="6" w:space="0"/>
              <w:left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rPr>
            </w:pPr>
            <w:r>
              <w:rPr>
                <w:rFonts w:hint="eastAsia" w:ascii="宋体" w:hAnsi="宋体" w:cs="宋体"/>
                <w:szCs w:val="21"/>
              </w:rPr>
              <w:t>2</w:t>
            </w:r>
          </w:p>
        </w:tc>
        <w:tc>
          <w:tcPr>
            <w:tcW w:w="8614" w:type="dxa"/>
            <w:tcBorders>
              <w:top w:val="single" w:color="auto" w:sz="6" w:space="0"/>
              <w:left w:val="single" w:color="auto" w:sz="6" w:space="0"/>
              <w:right w:val="single" w:color="auto" w:sz="6" w:space="0"/>
            </w:tcBorders>
            <w:vAlign w:val="center"/>
          </w:tcPr>
          <w:p>
            <w:pPr>
              <w:adjustRightInd w:val="0"/>
              <w:snapToGrid w:val="0"/>
              <w:spacing w:line="360" w:lineRule="exact"/>
              <w:rPr>
                <w:rFonts w:ascii="宋体" w:hAnsi="宋体" w:cs="宋体"/>
                <w:szCs w:val="21"/>
              </w:rPr>
            </w:pPr>
            <w:r>
              <w:rPr>
                <w:rFonts w:hint="eastAsia" w:ascii="宋体" w:hAnsi="宋体" w:cs="宋体"/>
                <w:szCs w:val="21"/>
              </w:rPr>
              <w:t>采购资金来源：预算内资金，已落实。</w:t>
            </w:r>
          </w:p>
          <w:p>
            <w:pPr>
              <w:adjustRightInd w:val="0"/>
              <w:snapToGrid w:val="0"/>
              <w:spacing w:line="360" w:lineRule="exact"/>
              <w:rPr>
                <w:rFonts w:ascii="宋体" w:hAnsi="宋体" w:cs="宋体"/>
                <w:szCs w:val="21"/>
              </w:rPr>
            </w:pPr>
            <w:r>
              <w:rPr>
                <w:rFonts w:hint="eastAsia" w:ascii="宋体" w:hAnsi="宋体" w:cs="宋体"/>
                <w:szCs w:val="21"/>
              </w:rPr>
              <w:t>付款方式：采购人支付。</w:t>
            </w:r>
          </w:p>
        </w:tc>
      </w:tr>
      <w:tr>
        <w:tblPrEx>
          <w:tblCellMar>
            <w:top w:w="0" w:type="dxa"/>
            <w:left w:w="108" w:type="dxa"/>
            <w:bottom w:w="0" w:type="dxa"/>
            <w:right w:w="108" w:type="dxa"/>
          </w:tblCellMar>
        </w:tblPrEx>
        <w:trPr>
          <w:trHeight w:val="555"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lang w:val="zh-CN"/>
              </w:rPr>
            </w:pPr>
            <w:r>
              <w:rPr>
                <w:rFonts w:hint="eastAsia" w:ascii="宋体" w:hAnsi="宋体" w:cs="宋体"/>
                <w:szCs w:val="21"/>
              </w:rPr>
              <w:t>3</w:t>
            </w:r>
          </w:p>
        </w:tc>
        <w:tc>
          <w:tcPr>
            <w:tcW w:w="8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69"/>
              <w:rPr>
                <w:rFonts w:ascii="宋体" w:hAnsi="宋体" w:cs="宋体"/>
                <w:szCs w:val="21"/>
                <w:lang w:val="zh-CN"/>
              </w:rPr>
            </w:pPr>
            <w:r>
              <w:rPr>
                <w:rFonts w:hint="eastAsia" w:ascii="宋体" w:hAnsi="宋体" w:cs="宋体"/>
                <w:szCs w:val="21"/>
                <w:lang w:val="zh-CN"/>
              </w:rPr>
              <w:t>投标人资格要求：见招标公告第五条</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lang w:val="zh-CN"/>
              </w:rPr>
            </w:pPr>
            <w:r>
              <w:rPr>
                <w:rFonts w:hint="eastAsia" w:ascii="宋体" w:hAnsi="宋体" w:cs="宋体"/>
                <w:szCs w:val="21"/>
              </w:rPr>
              <w:t>4</w:t>
            </w:r>
          </w:p>
        </w:tc>
        <w:tc>
          <w:tcPr>
            <w:tcW w:w="8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left"/>
              <w:rPr>
                <w:rFonts w:ascii="宋体" w:hAnsi="宋体" w:cs="宋体"/>
                <w:szCs w:val="21"/>
                <w:lang w:val="zh-CN"/>
              </w:rPr>
            </w:pPr>
            <w:r>
              <w:rPr>
                <w:rFonts w:hint="eastAsia" w:ascii="宋体" w:hAnsi="宋体" w:cs="宋体"/>
                <w:szCs w:val="21"/>
                <w:lang w:val="zh-CN"/>
              </w:rPr>
              <w:t>投标有效期：</w:t>
            </w:r>
          </w:p>
          <w:p>
            <w:pPr>
              <w:autoSpaceDE w:val="0"/>
              <w:autoSpaceDN w:val="0"/>
              <w:adjustRightInd w:val="0"/>
              <w:spacing w:line="360" w:lineRule="exact"/>
              <w:jc w:val="left"/>
              <w:rPr>
                <w:rFonts w:ascii="宋体" w:hAnsi="宋体" w:cs="宋体"/>
                <w:szCs w:val="21"/>
                <w:lang w:val="zh-CN"/>
              </w:rPr>
            </w:pPr>
            <w:r>
              <w:rPr>
                <w:rFonts w:hint="eastAsia" w:ascii="宋体" w:hAnsi="宋体" w:cs="宋体"/>
                <w:szCs w:val="21"/>
                <w:lang w:val="zh-CN"/>
              </w:rPr>
              <w:t>自投标截止日起90天。</w:t>
            </w:r>
          </w:p>
        </w:tc>
      </w:tr>
      <w:tr>
        <w:tblPrEx>
          <w:tblCellMar>
            <w:top w:w="0" w:type="dxa"/>
            <w:left w:w="108" w:type="dxa"/>
            <w:bottom w:w="0" w:type="dxa"/>
            <w:right w:w="108" w:type="dxa"/>
          </w:tblCellMar>
        </w:tblPrEx>
        <w:trPr>
          <w:trHeight w:val="525"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lang w:val="zh-CN"/>
              </w:rPr>
            </w:pPr>
            <w:r>
              <w:rPr>
                <w:rFonts w:hint="eastAsia" w:ascii="宋体" w:hAnsi="宋体" w:cs="宋体"/>
                <w:szCs w:val="21"/>
              </w:rPr>
              <w:t>5</w:t>
            </w:r>
          </w:p>
        </w:tc>
        <w:tc>
          <w:tcPr>
            <w:tcW w:w="8614"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ind w:left="1"/>
              <w:textAlignment w:val="bottom"/>
              <w:rPr>
                <w:rFonts w:ascii="宋体" w:hAnsi="宋体" w:cs="宋体"/>
                <w:szCs w:val="21"/>
                <w:lang w:val="zh-CN"/>
              </w:rPr>
            </w:pPr>
            <w:r>
              <w:rPr>
                <w:rFonts w:hint="eastAsia" w:ascii="宋体" w:hAnsi="宋体" w:cs="宋体"/>
                <w:szCs w:val="21"/>
                <w:lang w:val="zh-CN"/>
              </w:rPr>
              <w:t>投标保证金：</w:t>
            </w:r>
            <w:r>
              <w:rPr>
                <w:rFonts w:hint="eastAsia" w:ascii="宋体" w:hAnsi="宋体" w:cs="宋体"/>
                <w:szCs w:val="21"/>
              </w:rPr>
              <w:t>无。</w:t>
            </w:r>
          </w:p>
        </w:tc>
      </w:tr>
      <w:tr>
        <w:tblPrEx>
          <w:tblCellMar>
            <w:top w:w="0" w:type="dxa"/>
            <w:left w:w="108" w:type="dxa"/>
            <w:bottom w:w="0" w:type="dxa"/>
            <w:right w:w="108" w:type="dxa"/>
          </w:tblCellMar>
        </w:tblPrEx>
        <w:trPr>
          <w:trHeight w:val="1942"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rPr>
            </w:pPr>
            <w:r>
              <w:rPr>
                <w:rFonts w:hint="eastAsia" w:ascii="宋体" w:hAnsi="宋体" w:cs="宋体"/>
                <w:szCs w:val="21"/>
              </w:rPr>
              <w:t>6</w:t>
            </w:r>
          </w:p>
        </w:tc>
        <w:tc>
          <w:tcPr>
            <w:tcW w:w="8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exact"/>
              <w:rPr>
                <w:rFonts w:ascii="宋体" w:hAnsi="宋体" w:cs="宋体"/>
                <w:szCs w:val="21"/>
                <w:lang w:val="zh-CN"/>
              </w:rPr>
            </w:pPr>
            <w:r>
              <w:rPr>
                <w:rFonts w:hint="eastAsia" w:ascii="宋体" w:hAnsi="宋体" w:cs="宋体"/>
                <w:szCs w:val="21"/>
                <w:lang w:val="zh-CN"/>
              </w:rPr>
              <w:t>投标报价及费用：</w:t>
            </w:r>
          </w:p>
          <w:p>
            <w:pPr>
              <w:pStyle w:val="7"/>
              <w:spacing w:line="360" w:lineRule="exact"/>
              <w:ind w:firstLine="0"/>
              <w:rPr>
                <w:rFonts w:ascii="宋体" w:hAnsi="宋体" w:cs="宋体"/>
                <w:szCs w:val="21"/>
              </w:rPr>
            </w:pPr>
            <w:r>
              <w:rPr>
                <w:rFonts w:hint="eastAsia" w:ascii="宋体" w:hAnsi="宋体" w:cs="宋体"/>
                <w:szCs w:val="21"/>
              </w:rPr>
              <w:t>1、本项目投标应以人民币报价；</w:t>
            </w:r>
          </w:p>
          <w:p>
            <w:pPr>
              <w:pStyle w:val="7"/>
              <w:spacing w:line="360" w:lineRule="exact"/>
              <w:ind w:firstLine="0"/>
              <w:rPr>
                <w:rFonts w:ascii="宋体" w:hAnsi="宋体" w:cs="宋体"/>
                <w:szCs w:val="21"/>
              </w:rPr>
            </w:pPr>
            <w:r>
              <w:rPr>
                <w:rFonts w:hint="eastAsia" w:ascii="宋体" w:hAnsi="宋体" w:cs="宋体"/>
                <w:szCs w:val="21"/>
              </w:rPr>
              <w:t>2、不论投标结果如何，投标人均应自行承担所有与投标有关的全部费用；</w:t>
            </w:r>
          </w:p>
          <w:p>
            <w:pPr>
              <w:pStyle w:val="7"/>
              <w:spacing w:line="360" w:lineRule="exact"/>
              <w:ind w:firstLine="0"/>
              <w:rPr>
                <w:rFonts w:ascii="宋体" w:hAnsi="宋体" w:cs="宋体"/>
                <w:szCs w:val="21"/>
              </w:rPr>
            </w:pPr>
            <w:r>
              <w:rPr>
                <w:rFonts w:hint="eastAsia" w:ascii="宋体" w:hAnsi="宋体" w:cs="宋体"/>
                <w:szCs w:val="21"/>
              </w:rPr>
              <w:t>3、采购代理费用由中标人支付（收费标准为：100万（含）以内的按1.5%，100-500万（含）的按0.8%，500万-1000万（含）的按0.45%，差额定律累进法后计收。结算方式时间为：中标人领取中标通知书时以转账、银行汇票或现金缴入代理公司账户为准）。</w:t>
            </w:r>
          </w:p>
        </w:tc>
      </w:tr>
      <w:tr>
        <w:tblPrEx>
          <w:tblCellMar>
            <w:top w:w="0" w:type="dxa"/>
            <w:left w:w="108" w:type="dxa"/>
            <w:bottom w:w="0" w:type="dxa"/>
            <w:right w:w="108" w:type="dxa"/>
          </w:tblCellMar>
        </w:tblPrEx>
        <w:trPr>
          <w:trHeight w:val="519"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rPr>
            </w:pPr>
            <w:r>
              <w:rPr>
                <w:rFonts w:hint="eastAsia" w:ascii="宋体" w:hAnsi="宋体" w:cs="宋体"/>
                <w:szCs w:val="21"/>
              </w:rPr>
              <w:t>7</w:t>
            </w:r>
          </w:p>
        </w:tc>
        <w:tc>
          <w:tcPr>
            <w:tcW w:w="8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left="71" w:right="69"/>
              <w:rPr>
                <w:rFonts w:ascii="宋体" w:hAnsi="宋体" w:cs="宋体"/>
                <w:szCs w:val="21"/>
              </w:rPr>
            </w:pPr>
            <w:r>
              <w:rPr>
                <w:rFonts w:hint="eastAsia" w:ascii="宋体" w:hAnsi="宋体" w:cs="宋体"/>
                <w:szCs w:val="21"/>
                <w:lang w:val="zh-CN"/>
              </w:rPr>
              <w:t>本项目投标报价上限：</w:t>
            </w:r>
            <w:r>
              <w:rPr>
                <w:rFonts w:hint="eastAsia" w:ascii="宋体" w:hAnsi="宋体" w:cs="宋体"/>
                <w:szCs w:val="21"/>
                <w:lang w:val="en-US" w:eastAsia="zh-CN"/>
              </w:rPr>
              <w:t>300000元，</w:t>
            </w:r>
            <w:r>
              <w:rPr>
                <w:rFonts w:hint="eastAsia" w:ascii="宋体" w:hAnsi="宋体" w:cs="宋体"/>
                <w:szCs w:val="21"/>
              </w:rPr>
              <w:t>报价不得超</w:t>
            </w:r>
            <w:r>
              <w:rPr>
                <w:rFonts w:hint="eastAsia" w:ascii="宋体" w:hAnsi="宋体" w:cs="宋体"/>
                <w:szCs w:val="21"/>
                <w:lang w:eastAsia="zh-CN"/>
              </w:rPr>
              <w:t>最高限价</w:t>
            </w:r>
            <w:r>
              <w:rPr>
                <w:rFonts w:hint="eastAsia" w:ascii="宋体" w:hAnsi="宋体" w:cs="宋体"/>
                <w:szCs w:val="21"/>
              </w:rPr>
              <w:t>，否则投标无效。</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rPr>
            </w:pPr>
            <w:r>
              <w:rPr>
                <w:rFonts w:hint="eastAsia" w:ascii="宋体" w:hAnsi="宋体" w:cs="宋体"/>
                <w:szCs w:val="21"/>
              </w:rPr>
              <w:t>8</w:t>
            </w:r>
          </w:p>
        </w:tc>
        <w:tc>
          <w:tcPr>
            <w:tcW w:w="8614" w:type="dxa"/>
            <w:tcBorders>
              <w:top w:val="single" w:color="auto" w:sz="6" w:space="0"/>
              <w:left w:val="single" w:color="auto" w:sz="6" w:space="0"/>
              <w:bottom w:val="single" w:color="auto" w:sz="6" w:space="0"/>
              <w:right w:val="single" w:color="auto" w:sz="6" w:space="0"/>
            </w:tcBorders>
            <w:vAlign w:val="center"/>
          </w:tcPr>
          <w:p>
            <w:pPr>
              <w:pStyle w:val="7"/>
              <w:spacing w:line="360" w:lineRule="exact"/>
              <w:ind w:firstLine="0"/>
              <w:rPr>
                <w:rFonts w:ascii="宋体" w:hAnsi="宋体" w:cs="宋体"/>
                <w:szCs w:val="21"/>
              </w:rPr>
            </w:pPr>
            <w:r>
              <w:rPr>
                <w:rFonts w:hint="eastAsia" w:ascii="宋体" w:hAnsi="宋体" w:cs="宋体"/>
                <w:szCs w:val="21"/>
              </w:rPr>
              <w:t>现场踏勘：</w:t>
            </w:r>
          </w:p>
          <w:p>
            <w:pPr>
              <w:pStyle w:val="7"/>
              <w:spacing w:line="360" w:lineRule="exact"/>
              <w:ind w:firstLine="0"/>
              <w:rPr>
                <w:rFonts w:ascii="宋体" w:hAnsi="宋体" w:cs="宋体"/>
                <w:szCs w:val="21"/>
              </w:rPr>
            </w:pPr>
            <w:r>
              <w:rPr>
                <w:rFonts w:hint="eastAsia" w:ascii="宋体" w:hAnsi="宋体" w:cs="宋体"/>
                <w:szCs w:val="21"/>
              </w:rPr>
              <w:t>不集中组织，投标人可自行前往，踏勘现场所发生的费用由投标人自己承担。</w:t>
            </w:r>
          </w:p>
        </w:tc>
      </w:tr>
      <w:tr>
        <w:tblPrEx>
          <w:tblCellMar>
            <w:top w:w="0" w:type="dxa"/>
            <w:left w:w="108" w:type="dxa"/>
            <w:bottom w:w="0" w:type="dxa"/>
            <w:right w:w="108" w:type="dxa"/>
          </w:tblCellMar>
        </w:tblPrEx>
        <w:trPr>
          <w:trHeight w:val="477"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rPr>
            </w:pPr>
            <w:r>
              <w:rPr>
                <w:rFonts w:hint="eastAsia" w:ascii="宋体" w:hAnsi="宋体" w:cs="宋体"/>
                <w:szCs w:val="21"/>
              </w:rPr>
              <w:t>9</w:t>
            </w:r>
          </w:p>
        </w:tc>
        <w:tc>
          <w:tcPr>
            <w:tcW w:w="8614"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cs="宋体"/>
                <w:kern w:val="0"/>
                <w:szCs w:val="21"/>
              </w:rPr>
            </w:pPr>
            <w:r>
              <w:rPr>
                <w:rFonts w:hint="eastAsia" w:ascii="宋体" w:hAnsi="宋体" w:cs="宋体"/>
                <w:kern w:val="0"/>
                <w:szCs w:val="21"/>
              </w:rPr>
              <w:t>答疑与澄清：</w:t>
            </w:r>
          </w:p>
          <w:p>
            <w:pPr>
              <w:spacing w:line="360" w:lineRule="exact"/>
              <w:rPr>
                <w:rFonts w:ascii="宋体" w:hAnsi="宋体" w:cs="宋体"/>
                <w:szCs w:val="21"/>
              </w:rPr>
            </w:pPr>
            <w:r>
              <w:rPr>
                <w:rFonts w:hint="eastAsia" w:ascii="宋体" w:hAnsi="宋体" w:cs="宋体"/>
                <w:szCs w:val="21"/>
              </w:rPr>
              <w:t>（1）投标人认为招标文件使自己的权益受到损害的，可以自获取招标文件之日或者招标文件公告期限届满之日（公告期限届满后获取招标文件的，以公告期限届满之日为准）起7个工作日内，以书面形式向采购人和招标代理机构提出质疑。质疑投标人对采购人、采购代理机构的答复不满意或者采购人、采购代理机构未在规定的时间内作出答复的，可以在答复期满后十五个工作日内向同级政府采购监督管理部门投诉。</w:t>
            </w:r>
          </w:p>
          <w:p>
            <w:pPr>
              <w:spacing w:line="360" w:lineRule="exact"/>
              <w:rPr>
                <w:rFonts w:ascii="宋体" w:hAnsi="宋体" w:cs="宋体"/>
                <w:szCs w:val="21"/>
              </w:rPr>
            </w:pPr>
            <w:r>
              <w:rPr>
                <w:rFonts w:hint="eastAsia" w:ascii="宋体" w:hAnsi="宋体" w:cs="宋体"/>
                <w:szCs w:val="21"/>
              </w:rPr>
              <w:t>（2）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pPr>
              <w:spacing w:line="360" w:lineRule="exact"/>
              <w:rPr>
                <w:rFonts w:ascii="宋体" w:hAnsi="宋体" w:cs="宋体"/>
                <w:szCs w:val="21"/>
              </w:rPr>
            </w:pPr>
            <w:r>
              <w:rPr>
                <w:rFonts w:hint="eastAsia" w:ascii="宋体" w:hAnsi="宋体" w:cs="宋体"/>
                <w:szCs w:val="21"/>
              </w:rPr>
              <w:t>（3）</w:t>
            </w:r>
            <w:r>
              <w:rPr>
                <w:rFonts w:hint="eastAsia" w:ascii="宋体" w:hAnsi="宋体" w:cs="宋体"/>
                <w:szCs w:val="21"/>
                <w:lang w:val="zh-CN"/>
              </w:rPr>
              <w:t>质疑受理：投标人应将书面质疑函邮寄至</w:t>
            </w:r>
            <w:r>
              <w:rPr>
                <w:rFonts w:hint="eastAsia" w:ascii="宋体" w:hAnsi="宋体" w:cs="宋体"/>
                <w:szCs w:val="21"/>
              </w:rPr>
              <w:t>浙江省安吉县金融中心14楼湖州江南工程管理有限公司，联系人 曾先生 0572-5076515，同时将质疑函扫描件以电子邮件形式发送至电子邮箱</w:t>
            </w:r>
            <w:r>
              <w:rPr>
                <w:rFonts w:hint="eastAsia" w:ascii="宋体" w:hAnsi="宋体" w:cs="宋体"/>
                <w:szCs w:val="21"/>
                <w:u w:val="single"/>
              </w:rPr>
              <w:t xml:space="preserve"> </w:t>
            </w:r>
            <w:r>
              <w:fldChar w:fldCharType="begin"/>
            </w:r>
            <w:r>
              <w:instrText xml:space="preserve"> HYPERLINK "mailto:379797688@qq.com" </w:instrText>
            </w:r>
            <w:r>
              <w:fldChar w:fldCharType="separate"/>
            </w:r>
            <w:r>
              <w:rPr>
                <w:rFonts w:hint="eastAsia" w:ascii="宋体" w:hAnsi="宋体" w:cs="宋体"/>
                <w:szCs w:val="21"/>
                <w:u w:val="single"/>
              </w:rPr>
              <w:t>644655760</w:t>
            </w:r>
            <w:r>
              <w:rPr>
                <w:rStyle w:val="45"/>
                <w:rFonts w:hint="eastAsia" w:ascii="宋体" w:hAnsi="宋体" w:cs="宋体"/>
                <w:color w:val="auto"/>
                <w:szCs w:val="21"/>
              </w:rPr>
              <w:t>@qq.com</w:t>
            </w:r>
            <w:r>
              <w:rPr>
                <w:rStyle w:val="45"/>
                <w:rFonts w:hint="eastAsia" w:ascii="宋体" w:hAnsi="宋体" w:cs="宋体"/>
                <w:color w:val="auto"/>
                <w:szCs w:val="21"/>
              </w:rPr>
              <w:fldChar w:fldCharType="end"/>
            </w:r>
            <w:r>
              <w:rPr>
                <w:rFonts w:hint="eastAsia" w:ascii="宋体" w:hAnsi="宋体" w:cs="宋体"/>
                <w:szCs w:val="21"/>
                <w:u w:val="single"/>
              </w:rPr>
              <w:t>。</w:t>
            </w:r>
          </w:p>
        </w:tc>
      </w:tr>
      <w:tr>
        <w:tblPrEx>
          <w:tblCellMar>
            <w:top w:w="0" w:type="dxa"/>
            <w:left w:w="108" w:type="dxa"/>
            <w:bottom w:w="0" w:type="dxa"/>
            <w:right w:w="108" w:type="dxa"/>
          </w:tblCellMar>
        </w:tblPrEx>
        <w:trPr>
          <w:trHeight w:val="4760"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rPr>
            </w:pPr>
            <w:r>
              <w:rPr>
                <w:rFonts w:hint="eastAsia" w:ascii="宋体" w:hAnsi="宋体" w:cs="宋体"/>
                <w:szCs w:val="21"/>
              </w:rPr>
              <w:t>10</w:t>
            </w:r>
          </w:p>
        </w:tc>
        <w:tc>
          <w:tcPr>
            <w:tcW w:w="8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left"/>
            </w:pPr>
            <w:r>
              <w:rPr>
                <w:rFonts w:hint="eastAsia"/>
              </w:rPr>
              <w:t>投标文件的制作及组成：</w:t>
            </w:r>
          </w:p>
          <w:p>
            <w:pPr>
              <w:autoSpaceDE w:val="0"/>
              <w:autoSpaceDN w:val="0"/>
              <w:adjustRightInd w:val="0"/>
              <w:spacing w:line="360" w:lineRule="exact"/>
              <w:jc w:val="left"/>
              <w:rPr>
                <w:lang w:val="zh-CN"/>
              </w:rPr>
            </w:pPr>
            <w:r>
              <w:rPr>
                <w:rFonts w:hint="eastAsia"/>
              </w:rPr>
              <w:t>(1)</w:t>
            </w:r>
            <w:r>
              <w:rPr>
                <w:rFonts w:hint="eastAsia"/>
                <w:lang w:val="zh-CN"/>
              </w:rPr>
              <w:t>投标文件组成：</w:t>
            </w:r>
          </w:p>
          <w:p>
            <w:pPr>
              <w:autoSpaceDE w:val="0"/>
              <w:autoSpaceDN w:val="0"/>
              <w:adjustRightInd w:val="0"/>
              <w:spacing w:line="360" w:lineRule="exact"/>
              <w:jc w:val="left"/>
              <w:rPr>
                <w:lang w:val="zh-CN"/>
              </w:rPr>
            </w:pPr>
            <w:r>
              <w:rPr>
                <w:rFonts w:hint="eastAsia"/>
                <w:lang w:val="zh-CN"/>
              </w:rPr>
              <w:t>资格证明文件、报价文件、技术资信文件。</w:t>
            </w:r>
          </w:p>
          <w:p>
            <w:pPr>
              <w:autoSpaceDE w:val="0"/>
              <w:autoSpaceDN w:val="0"/>
              <w:adjustRightInd w:val="0"/>
              <w:spacing w:line="360" w:lineRule="exact"/>
              <w:jc w:val="left"/>
            </w:pPr>
            <w:r>
              <w:rPr>
                <w:rFonts w:hint="eastAsia"/>
              </w:rPr>
              <w:t>(2)投标文件编制：</w:t>
            </w:r>
          </w:p>
          <w:p>
            <w:pPr>
              <w:autoSpaceDE w:val="0"/>
              <w:autoSpaceDN w:val="0"/>
              <w:adjustRightInd w:val="0"/>
              <w:spacing w:line="360" w:lineRule="exact"/>
              <w:jc w:val="left"/>
            </w:pPr>
            <w:r>
              <w:rPr>
                <w:rFonts w:hint="eastAsia"/>
              </w:rPr>
              <w:t>投标人应先安装“政采云电子交易客户端”，并按照本招标文件和“政采云平台”的要求，通过“政采云电子交易客户端”编制并加密投标文件。</w:t>
            </w:r>
          </w:p>
          <w:p>
            <w:pPr>
              <w:autoSpaceDE w:val="0"/>
              <w:autoSpaceDN w:val="0"/>
              <w:adjustRightInd w:val="0"/>
              <w:spacing w:line="360" w:lineRule="exact"/>
              <w:jc w:val="left"/>
            </w:pPr>
            <w:r>
              <w:rPr>
                <w:rFonts w:hint="eastAsia"/>
              </w:rPr>
              <w:t>(3)投标文件的形式：</w:t>
            </w:r>
          </w:p>
          <w:p>
            <w:pPr>
              <w:autoSpaceDE w:val="0"/>
              <w:autoSpaceDN w:val="0"/>
              <w:adjustRightInd w:val="0"/>
              <w:spacing w:line="360" w:lineRule="exact"/>
              <w:jc w:val="left"/>
            </w:pPr>
            <w:r>
              <w:rPr>
                <w:rFonts w:hint="eastAsia"/>
              </w:rPr>
              <w:t>☑电子投标文件（包括“电子加密投标文件”和“备份投标文件”，在投标文件编制完成后同时生成）。</w:t>
            </w:r>
          </w:p>
          <w:p>
            <w:pPr>
              <w:autoSpaceDE w:val="0"/>
              <w:autoSpaceDN w:val="0"/>
              <w:adjustRightInd w:val="0"/>
              <w:spacing w:line="360" w:lineRule="exact"/>
              <w:jc w:val="left"/>
            </w:pPr>
            <w:r>
              <w:rPr>
                <w:rFonts w:hint="eastAsia"/>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p>
            <w:pPr>
              <w:autoSpaceDE w:val="0"/>
              <w:autoSpaceDN w:val="0"/>
              <w:adjustRightInd w:val="0"/>
              <w:spacing w:line="360" w:lineRule="exact"/>
              <w:jc w:val="left"/>
            </w:pPr>
            <w:r>
              <w:rPr>
                <w:rFonts w:hint="eastAsia"/>
              </w:rPr>
              <w:t>(4)投标文件份数：</w:t>
            </w:r>
          </w:p>
          <w:p>
            <w:pPr>
              <w:autoSpaceDE w:val="0"/>
              <w:autoSpaceDN w:val="0"/>
              <w:adjustRightInd w:val="0"/>
              <w:spacing w:line="360" w:lineRule="exact"/>
              <w:jc w:val="left"/>
            </w:pPr>
            <w:r>
              <w:rPr>
                <w:rFonts w:hint="eastAsia"/>
              </w:rPr>
              <w:t>“电子加密投标文件”(必须提交）：在线上传递交一份。</w:t>
            </w:r>
          </w:p>
          <w:p>
            <w:pPr>
              <w:widowControl/>
              <w:autoSpaceDE w:val="0"/>
              <w:autoSpaceDN w:val="0"/>
              <w:adjustRightInd w:val="0"/>
              <w:spacing w:line="360" w:lineRule="exact"/>
              <w:jc w:val="left"/>
            </w:pPr>
            <w:r>
              <w:rPr>
                <w:rFonts w:hint="eastAsia"/>
              </w:rPr>
              <w:t>“备份投标文件”（不强制提交）：密封包装后在投标截止时间前邮寄至安吉县金融中心14楼湖州江南工程管理有限公司，联系人曾先生，联系电话0572-5076515，数量为U盘一份。</w:t>
            </w:r>
          </w:p>
          <w:p>
            <w:pPr>
              <w:autoSpaceDE w:val="0"/>
              <w:autoSpaceDN w:val="0"/>
              <w:adjustRightInd w:val="0"/>
              <w:spacing w:line="360" w:lineRule="exact"/>
              <w:jc w:val="left"/>
            </w:pPr>
            <w:r>
              <w:rPr>
                <w:rFonts w:hint="eastAsia"/>
              </w:rPr>
              <w:t>(5)电子版演示资料一式二份（如有）</w:t>
            </w:r>
          </w:p>
          <w:p>
            <w:pPr>
              <w:autoSpaceDE w:val="0"/>
              <w:autoSpaceDN w:val="0"/>
              <w:adjustRightInd w:val="0"/>
              <w:spacing w:line="360" w:lineRule="exact"/>
              <w:jc w:val="left"/>
            </w:pPr>
            <w:r>
              <w:rPr>
                <w:rFonts w:hint="eastAsia"/>
              </w:rPr>
              <w:t>密封包装后在响应文件递交截止时间前邮寄至安吉县金融中心14楼湖州江南工程管理有限公司，联系人曾先生，联系电话0572-5076515。</w:t>
            </w:r>
          </w:p>
        </w:tc>
      </w:tr>
      <w:tr>
        <w:tblPrEx>
          <w:tblCellMar>
            <w:top w:w="0" w:type="dxa"/>
            <w:left w:w="108" w:type="dxa"/>
            <w:bottom w:w="0" w:type="dxa"/>
            <w:right w:w="108" w:type="dxa"/>
          </w:tblCellMar>
        </w:tblPrEx>
        <w:trPr>
          <w:trHeight w:val="305"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rPr>
            </w:pPr>
            <w:r>
              <w:rPr>
                <w:rFonts w:hint="eastAsia" w:ascii="宋体" w:hAnsi="宋体" w:cs="宋体"/>
                <w:szCs w:val="21"/>
              </w:rPr>
              <w:t>11</w:t>
            </w:r>
          </w:p>
        </w:tc>
        <w:tc>
          <w:tcPr>
            <w:tcW w:w="8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left"/>
            </w:pPr>
            <w:r>
              <w:rPr>
                <w:rFonts w:hint="eastAsia"/>
              </w:rPr>
              <w:t>投标文件的上传和递交：</w:t>
            </w:r>
          </w:p>
          <w:p>
            <w:pPr>
              <w:autoSpaceDE w:val="0"/>
              <w:autoSpaceDN w:val="0"/>
              <w:adjustRightInd w:val="0"/>
              <w:spacing w:line="360" w:lineRule="exact"/>
              <w:jc w:val="left"/>
            </w:pPr>
            <w:r>
              <w:rPr>
                <w:rFonts w:hint="eastAsia"/>
              </w:rPr>
              <w:t>（1）“电子加密投标文件”的上传、递交：</w:t>
            </w:r>
          </w:p>
          <w:p>
            <w:pPr>
              <w:autoSpaceDE w:val="0"/>
              <w:autoSpaceDN w:val="0"/>
              <w:adjustRightInd w:val="0"/>
              <w:spacing w:line="360" w:lineRule="exact"/>
              <w:jc w:val="left"/>
            </w:pPr>
            <w:r>
              <w:rPr>
                <w:rFonts w:hint="eastAsia"/>
              </w:rPr>
              <w:t>投标人应在投标截止时间前将“电子加密投标文件”成功上传递交至“政采云平台”，否则投标无效。</w:t>
            </w:r>
          </w:p>
          <w:p>
            <w:pPr>
              <w:autoSpaceDE w:val="0"/>
              <w:autoSpaceDN w:val="0"/>
              <w:adjustRightInd w:val="0"/>
              <w:spacing w:line="360" w:lineRule="exact"/>
              <w:jc w:val="left"/>
            </w:pPr>
            <w:r>
              <w:rPr>
                <w:rFonts w:hint="eastAsia"/>
              </w:rPr>
              <w:t>“电子加密投标文件”成功上传递交后，投标人可自行打印投标文件接收回执。</w:t>
            </w:r>
          </w:p>
          <w:p>
            <w:pPr>
              <w:autoSpaceDE w:val="0"/>
              <w:autoSpaceDN w:val="0"/>
              <w:adjustRightInd w:val="0"/>
              <w:spacing w:line="360" w:lineRule="exact"/>
              <w:jc w:val="left"/>
            </w:pPr>
            <w:r>
              <w:rPr>
                <w:rFonts w:hint="eastAsia"/>
              </w:rPr>
              <w:t>（2）“备份投标文件”的密封包装、递交：</w:t>
            </w:r>
          </w:p>
          <w:p>
            <w:pPr>
              <w:autoSpaceDE w:val="0"/>
              <w:autoSpaceDN w:val="0"/>
              <w:adjustRightInd w:val="0"/>
              <w:spacing w:line="360" w:lineRule="exact"/>
              <w:jc w:val="left"/>
            </w:pPr>
            <w:r>
              <w:rPr>
                <w:rFonts w:hint="eastAsia"/>
              </w:rPr>
              <w:t>投标人在“政采云平台”完成“电子加密投标文件”的上传递交后，还可以在投标截止时间前递交以介质（U盘）存储的 “备份投标文件”（一份）；</w:t>
            </w:r>
          </w:p>
          <w:p>
            <w:pPr>
              <w:autoSpaceDE w:val="0"/>
              <w:autoSpaceDN w:val="0"/>
              <w:adjustRightInd w:val="0"/>
              <w:spacing w:line="360" w:lineRule="exact"/>
              <w:jc w:val="left"/>
            </w:pPr>
            <w:r>
              <w:rPr>
                <w:rFonts w:hint="eastAsia"/>
              </w:rPr>
              <w:t>“备份投标文件”应当密封包装，并在包装上标注投标项目名称、投标单位名称并加盖公章。没有密封包装或者逾期送达的“备份投标文件”无效；</w:t>
            </w:r>
          </w:p>
          <w:p>
            <w:pPr>
              <w:autoSpaceDE w:val="0"/>
              <w:autoSpaceDN w:val="0"/>
              <w:adjustRightInd w:val="0"/>
              <w:spacing w:line="360" w:lineRule="exact"/>
              <w:jc w:val="left"/>
            </w:pPr>
            <w:r>
              <w:rPr>
                <w:rFonts w:hint="eastAsia"/>
              </w:rPr>
              <w:t>通过“政府采购云平台”成功上传递交的“电子加密投标文件”已按时解密的，“备份投标文件”自动失效。投标截止时间前，投标人仅递交了“备份投标文件”而未将“电子加密投标文件”成功上传至“政采云平台”的，投标无效。</w:t>
            </w:r>
          </w:p>
        </w:tc>
      </w:tr>
      <w:tr>
        <w:tblPrEx>
          <w:tblCellMar>
            <w:top w:w="0" w:type="dxa"/>
            <w:left w:w="108" w:type="dxa"/>
            <w:bottom w:w="0" w:type="dxa"/>
            <w:right w:w="108" w:type="dxa"/>
          </w:tblCellMar>
        </w:tblPrEx>
        <w:trPr>
          <w:trHeight w:val="977"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rPr>
            </w:pPr>
            <w:r>
              <w:rPr>
                <w:rFonts w:hint="eastAsia" w:ascii="宋体" w:hAnsi="宋体" w:cs="宋体"/>
                <w:szCs w:val="21"/>
              </w:rPr>
              <w:t>12</w:t>
            </w:r>
          </w:p>
        </w:tc>
        <w:tc>
          <w:tcPr>
            <w:tcW w:w="8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left"/>
              <w:rPr>
                <w:lang w:val="zh-CN"/>
              </w:rPr>
            </w:pPr>
            <w:r>
              <w:rPr>
                <w:rFonts w:hint="eastAsia"/>
                <w:lang w:val="zh-CN"/>
              </w:rPr>
              <w:t>投标文件递交地点及截止时间：</w:t>
            </w:r>
          </w:p>
          <w:p>
            <w:pPr>
              <w:autoSpaceDE w:val="0"/>
              <w:autoSpaceDN w:val="0"/>
              <w:adjustRightInd w:val="0"/>
              <w:spacing w:line="360" w:lineRule="exact"/>
              <w:jc w:val="left"/>
              <w:rPr>
                <w:lang w:val="zh-CN"/>
              </w:rPr>
            </w:pPr>
            <w:r>
              <w:rPr>
                <w:rFonts w:hint="eastAsia"/>
                <w:lang w:val="zh-CN"/>
              </w:rPr>
              <w:t>地点：</w:t>
            </w:r>
            <w:r>
              <w:rPr>
                <w:rFonts w:hint="eastAsia"/>
              </w:rPr>
              <w:t>通过“政采云平台（www.zcygov.cn）”实行在线投标响应</w:t>
            </w:r>
          </w:p>
          <w:p>
            <w:pPr>
              <w:autoSpaceDE w:val="0"/>
              <w:autoSpaceDN w:val="0"/>
              <w:adjustRightInd w:val="0"/>
              <w:spacing w:line="360" w:lineRule="exact"/>
              <w:jc w:val="left"/>
            </w:pPr>
            <w:r>
              <w:rPr>
                <w:rFonts w:hint="eastAsia"/>
                <w:lang w:val="zh-CN"/>
              </w:rPr>
              <w:t>时间：</w:t>
            </w:r>
            <w:r>
              <w:rPr>
                <w:rFonts w:hint="eastAsia" w:ascii="宋体" w:hAnsi="宋体" w:cs="宋体"/>
                <w:szCs w:val="21"/>
              </w:rPr>
              <w:t>2024年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日09：00</w:t>
            </w:r>
            <w:r>
              <w:rPr>
                <w:rFonts w:hint="eastAsia"/>
              </w:rPr>
              <w:t>时</w:t>
            </w:r>
          </w:p>
        </w:tc>
      </w:tr>
      <w:tr>
        <w:tblPrEx>
          <w:tblCellMar>
            <w:top w:w="0" w:type="dxa"/>
            <w:left w:w="108" w:type="dxa"/>
            <w:bottom w:w="0" w:type="dxa"/>
            <w:right w:w="108" w:type="dxa"/>
          </w:tblCellMar>
        </w:tblPrEx>
        <w:trPr>
          <w:trHeight w:val="269"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rPr>
            </w:pPr>
            <w:r>
              <w:rPr>
                <w:rFonts w:hint="eastAsia" w:ascii="宋体" w:hAnsi="宋体" w:cs="宋体"/>
                <w:szCs w:val="21"/>
              </w:rPr>
              <w:t>13</w:t>
            </w:r>
          </w:p>
        </w:tc>
        <w:tc>
          <w:tcPr>
            <w:tcW w:w="8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69"/>
              <w:rPr>
                <w:rFonts w:ascii="宋体" w:hAnsi="宋体" w:cs="宋体"/>
                <w:szCs w:val="21"/>
              </w:rPr>
            </w:pPr>
            <w:r>
              <w:rPr>
                <w:rFonts w:hint="eastAsia" w:ascii="宋体" w:hAnsi="宋体" w:cs="宋体"/>
                <w:szCs w:val="21"/>
                <w:lang w:val="zh-CN"/>
              </w:rPr>
              <w:t>开标会议时间和地点</w:t>
            </w:r>
            <w:r>
              <w:rPr>
                <w:rFonts w:hint="eastAsia" w:ascii="宋体" w:hAnsi="宋体" w:cs="宋体"/>
                <w:szCs w:val="21"/>
              </w:rPr>
              <w:t>：</w:t>
            </w:r>
          </w:p>
          <w:p>
            <w:pPr>
              <w:autoSpaceDE w:val="0"/>
              <w:autoSpaceDN w:val="0"/>
              <w:adjustRightInd w:val="0"/>
              <w:spacing w:line="360" w:lineRule="exact"/>
              <w:jc w:val="left"/>
              <w:rPr>
                <w:rFonts w:ascii="宋体" w:hAnsi="宋体" w:cs="宋体"/>
                <w:szCs w:val="21"/>
              </w:rPr>
            </w:pPr>
            <w:r>
              <w:rPr>
                <w:rFonts w:hint="eastAsia" w:ascii="宋体" w:hAnsi="宋体" w:cs="宋体"/>
                <w:szCs w:val="21"/>
                <w:lang w:val="zh-CN"/>
              </w:rPr>
              <w:t>地点</w:t>
            </w:r>
            <w:r>
              <w:rPr>
                <w:rFonts w:hint="eastAsia" w:ascii="宋体" w:hAnsi="宋体" w:cs="宋体"/>
                <w:szCs w:val="21"/>
              </w:rPr>
              <w:t>：通过“政采云平台（www.zcygov.cn）”实行在线开标</w:t>
            </w:r>
          </w:p>
          <w:p>
            <w:pPr>
              <w:autoSpaceDE w:val="0"/>
              <w:autoSpaceDN w:val="0"/>
              <w:adjustRightInd w:val="0"/>
              <w:spacing w:line="360" w:lineRule="exact"/>
              <w:jc w:val="left"/>
              <w:rPr>
                <w:rFonts w:ascii="宋体" w:hAnsi="宋体" w:cs="宋体"/>
                <w:szCs w:val="21"/>
                <w:lang w:val="zh-CN"/>
              </w:rPr>
            </w:pPr>
            <w:r>
              <w:rPr>
                <w:rFonts w:hint="eastAsia" w:ascii="宋体" w:hAnsi="宋体" w:cs="宋体"/>
                <w:szCs w:val="21"/>
                <w:lang w:val="zh-CN"/>
              </w:rPr>
              <w:t>时间：</w:t>
            </w:r>
            <w:r>
              <w:rPr>
                <w:rFonts w:hint="eastAsia" w:ascii="宋体" w:hAnsi="宋体" w:cs="宋体"/>
                <w:szCs w:val="21"/>
              </w:rPr>
              <w:t>2024年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9</w:t>
            </w:r>
            <w:bookmarkStart w:id="196" w:name="_GoBack"/>
            <w:bookmarkEnd w:id="196"/>
            <w:r>
              <w:rPr>
                <w:rFonts w:hint="eastAsia" w:ascii="宋体" w:hAnsi="宋体" w:cs="宋体"/>
                <w:szCs w:val="21"/>
              </w:rPr>
              <w:t>日09：00时</w:t>
            </w:r>
          </w:p>
          <w:p>
            <w:pPr>
              <w:autoSpaceDE w:val="0"/>
              <w:autoSpaceDN w:val="0"/>
              <w:adjustRightInd w:val="0"/>
              <w:spacing w:line="360" w:lineRule="exact"/>
              <w:jc w:val="left"/>
              <w:rPr>
                <w:rFonts w:ascii="宋体" w:hAnsi="宋体" w:cs="宋体"/>
                <w:szCs w:val="21"/>
                <w:lang w:val="zh-CN"/>
              </w:rPr>
            </w:pPr>
            <w:r>
              <w:rPr>
                <w:rFonts w:hint="eastAsia" w:ascii="宋体" w:hAnsi="宋体" w:cs="宋体"/>
                <w:szCs w:val="21"/>
                <w:lang w:val="zh-CN"/>
              </w:rPr>
              <w:t>投标人应准时在线参加。</w:t>
            </w:r>
          </w:p>
        </w:tc>
      </w:tr>
      <w:tr>
        <w:tblPrEx>
          <w:tblCellMar>
            <w:top w:w="0" w:type="dxa"/>
            <w:left w:w="108" w:type="dxa"/>
            <w:bottom w:w="0" w:type="dxa"/>
            <w:right w:w="108" w:type="dxa"/>
          </w:tblCellMar>
        </w:tblPrEx>
        <w:trPr>
          <w:trHeight w:val="2630"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rPr>
            </w:pPr>
            <w:r>
              <w:rPr>
                <w:rFonts w:hint="eastAsia" w:ascii="宋体" w:hAnsi="宋体" w:cs="宋体"/>
                <w:szCs w:val="21"/>
              </w:rPr>
              <w:t>14</w:t>
            </w:r>
          </w:p>
        </w:tc>
        <w:tc>
          <w:tcPr>
            <w:tcW w:w="8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left"/>
              <w:rPr>
                <w:rFonts w:ascii="宋体" w:hAnsi="宋体" w:cs="宋体"/>
                <w:szCs w:val="21"/>
                <w:lang w:bidi="ar"/>
              </w:rPr>
            </w:pPr>
            <w:r>
              <w:rPr>
                <w:rFonts w:hint="eastAsia" w:ascii="宋体" w:hAnsi="宋体" w:cs="宋体"/>
                <w:szCs w:val="21"/>
                <w:lang w:bidi="ar"/>
              </w:rPr>
              <w:t>电子加密投标文件的解密和异常情况处理：</w:t>
            </w:r>
          </w:p>
          <w:p>
            <w:pPr>
              <w:autoSpaceDE w:val="0"/>
              <w:autoSpaceDN w:val="0"/>
              <w:adjustRightInd w:val="0"/>
              <w:spacing w:line="360" w:lineRule="exact"/>
              <w:jc w:val="left"/>
              <w:rPr>
                <w:rFonts w:ascii="宋体" w:hAnsi="宋体" w:cs="宋体"/>
                <w:szCs w:val="21"/>
                <w:lang w:bidi="ar"/>
              </w:rPr>
            </w:pPr>
            <w:r>
              <w:rPr>
                <w:rFonts w:hint="eastAsia" w:ascii="宋体" w:hAnsi="宋体" w:cs="宋体"/>
                <w:szCs w:val="21"/>
                <w:lang w:bidi="ar"/>
              </w:rPr>
              <w:t>（1）开标后，采购组织机构将向各投标人发出“电子加密投标文件”的解密通知，各投标人代表应当在接到解密通知后30分钟内自行完成“电子加密投标文件”的在线解密。</w:t>
            </w:r>
          </w:p>
          <w:p>
            <w:pPr>
              <w:autoSpaceDE w:val="0"/>
              <w:autoSpaceDN w:val="0"/>
              <w:adjustRightInd w:val="0"/>
              <w:spacing w:line="360" w:lineRule="exact"/>
              <w:jc w:val="left"/>
              <w:rPr>
                <w:rFonts w:ascii="宋体" w:hAnsi="宋体" w:cs="宋体"/>
                <w:szCs w:val="21"/>
                <w:lang w:bidi="ar"/>
              </w:rPr>
            </w:pPr>
            <w:r>
              <w:rPr>
                <w:rFonts w:hint="eastAsia" w:ascii="宋体" w:hAnsi="宋体" w:cs="宋体"/>
                <w:szCs w:val="21"/>
                <w:lang w:bidi="ar"/>
              </w:rPr>
              <w:t>（2）通过“政采云平台”成功上传递交的“电子加密投标文件”无法按时解密的，投标人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spacing w:line="360" w:lineRule="exact"/>
              <w:jc w:val="left"/>
              <w:rPr>
                <w:rFonts w:ascii="宋体" w:hAnsi="宋体" w:cs="宋体"/>
                <w:szCs w:val="21"/>
                <w:lang w:bidi="ar"/>
              </w:rPr>
            </w:pPr>
            <w:r>
              <w:rPr>
                <w:rFonts w:hint="eastAsia" w:ascii="宋体" w:hAnsi="宋体" w:cs="宋体"/>
                <w:szCs w:val="21"/>
                <w:lang w:bidi="ar"/>
              </w:rPr>
              <w:t>（3）投标截止时间前，投标人仅递交了“备份投标文件”而未将电子加密投标文件上传至“政府采购云平台”的，投标无效。</w:t>
            </w:r>
          </w:p>
        </w:tc>
      </w:tr>
      <w:tr>
        <w:tblPrEx>
          <w:tblCellMar>
            <w:top w:w="0" w:type="dxa"/>
            <w:left w:w="108" w:type="dxa"/>
            <w:bottom w:w="0" w:type="dxa"/>
            <w:right w:w="108" w:type="dxa"/>
          </w:tblCellMar>
        </w:tblPrEx>
        <w:trPr>
          <w:trHeight w:val="3005"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rPr>
            </w:pPr>
            <w:r>
              <w:rPr>
                <w:rFonts w:hint="eastAsia" w:ascii="宋体" w:hAnsi="宋体" w:cs="宋体"/>
                <w:szCs w:val="21"/>
              </w:rPr>
              <w:t>15</w:t>
            </w:r>
          </w:p>
        </w:tc>
        <w:tc>
          <w:tcPr>
            <w:tcW w:w="8614" w:type="dxa"/>
            <w:tcBorders>
              <w:top w:val="single" w:color="auto" w:sz="6" w:space="0"/>
              <w:left w:val="single" w:color="auto" w:sz="6" w:space="0"/>
              <w:bottom w:val="single" w:color="auto" w:sz="6" w:space="0"/>
              <w:right w:val="single" w:color="auto" w:sz="6" w:space="0"/>
            </w:tcBorders>
            <w:vAlign w:val="center"/>
          </w:tcPr>
          <w:p>
            <w:pPr>
              <w:pStyle w:val="5"/>
              <w:keepNext w:val="0"/>
              <w:keepLines w:val="0"/>
              <w:numPr>
                <w:ilvl w:val="0"/>
                <w:numId w:val="0"/>
              </w:numPr>
              <w:tabs>
                <w:tab w:val="clear" w:pos="720"/>
              </w:tabs>
              <w:spacing w:before="0" w:after="0" w:line="360" w:lineRule="exact"/>
              <w:rPr>
                <w:rFonts w:ascii="宋体" w:hAnsi="宋体" w:cs="宋体"/>
                <w:b w:val="0"/>
                <w:bCs w:val="0"/>
                <w:sz w:val="21"/>
                <w:szCs w:val="21"/>
              </w:rPr>
            </w:pPr>
            <w:r>
              <w:rPr>
                <w:rFonts w:hint="eastAsia" w:ascii="宋体" w:hAnsi="宋体" w:cs="宋体"/>
                <w:b w:val="0"/>
                <w:bCs w:val="0"/>
                <w:sz w:val="21"/>
                <w:szCs w:val="21"/>
              </w:rPr>
              <w:t>可中止电子交易活动的情形</w:t>
            </w:r>
          </w:p>
          <w:p>
            <w:pPr>
              <w:spacing w:line="360" w:lineRule="exact"/>
              <w:ind w:firstLine="369" w:firstLineChars="176"/>
              <w:rPr>
                <w:rFonts w:ascii="宋体" w:hAnsi="宋体" w:cs="宋体"/>
                <w:szCs w:val="21"/>
              </w:rPr>
            </w:pPr>
            <w:r>
              <w:rPr>
                <w:rFonts w:hint="eastAsia" w:ascii="宋体" w:hAnsi="宋体" w:cs="宋体"/>
                <w:szCs w:val="21"/>
              </w:rPr>
              <w:t>采购过程中出现以下情形，导致电子交易平台无法正常运行，或者无法保证电子交易的公平、公正和安全时，采购组织机构可中止电子交易活动：</w:t>
            </w:r>
          </w:p>
          <w:p>
            <w:pPr>
              <w:spacing w:line="360" w:lineRule="exact"/>
              <w:rPr>
                <w:rFonts w:ascii="宋体" w:hAnsi="宋体" w:cs="宋体"/>
                <w:szCs w:val="21"/>
              </w:rPr>
            </w:pPr>
            <w:r>
              <w:rPr>
                <w:rFonts w:hint="eastAsia" w:ascii="宋体" w:hAnsi="宋体" w:cs="宋体"/>
                <w:szCs w:val="21"/>
              </w:rPr>
              <w:t>（1）电子交易平台发生故障而无法登录访问的；</w:t>
            </w:r>
          </w:p>
          <w:p>
            <w:pPr>
              <w:spacing w:line="360" w:lineRule="exact"/>
              <w:rPr>
                <w:rFonts w:ascii="宋体" w:hAnsi="宋体" w:cs="宋体"/>
                <w:szCs w:val="21"/>
              </w:rPr>
            </w:pPr>
            <w:r>
              <w:rPr>
                <w:rFonts w:hint="eastAsia" w:ascii="宋体" w:hAnsi="宋体" w:cs="宋体"/>
                <w:szCs w:val="21"/>
              </w:rPr>
              <w:t>（2）电子交易平台应用或数据库出现错误，不能进行正常操作的；</w:t>
            </w:r>
          </w:p>
          <w:p>
            <w:pPr>
              <w:spacing w:line="360" w:lineRule="exact"/>
              <w:rPr>
                <w:rFonts w:ascii="宋体" w:hAnsi="宋体" w:cs="宋体"/>
                <w:szCs w:val="21"/>
              </w:rPr>
            </w:pPr>
            <w:r>
              <w:rPr>
                <w:rFonts w:hint="eastAsia" w:ascii="宋体" w:hAnsi="宋体" w:cs="宋体"/>
                <w:szCs w:val="21"/>
              </w:rPr>
              <w:t>（3）电子交易平台发现严重安全漏洞，有潜在泄密危险的；</w:t>
            </w:r>
          </w:p>
          <w:p>
            <w:pPr>
              <w:spacing w:line="360" w:lineRule="exact"/>
              <w:rPr>
                <w:rFonts w:ascii="宋体" w:hAnsi="宋体" w:cs="宋体"/>
                <w:szCs w:val="21"/>
              </w:rPr>
            </w:pPr>
            <w:r>
              <w:rPr>
                <w:rFonts w:hint="eastAsia" w:ascii="宋体" w:hAnsi="宋体" w:cs="宋体"/>
                <w:szCs w:val="21"/>
              </w:rPr>
              <w:t>（4）病毒发作导致不能进行正常操作的；</w:t>
            </w:r>
          </w:p>
          <w:p>
            <w:pPr>
              <w:spacing w:line="360" w:lineRule="exact"/>
              <w:rPr>
                <w:rFonts w:ascii="宋体" w:hAnsi="宋体" w:cs="宋体"/>
                <w:szCs w:val="21"/>
              </w:rPr>
            </w:pPr>
            <w:r>
              <w:rPr>
                <w:rFonts w:hint="eastAsia" w:ascii="宋体" w:hAnsi="宋体" w:cs="宋体"/>
                <w:szCs w:val="21"/>
              </w:rPr>
              <w:t>（5）其他无法保证电子交易的公平、公正和安全的情况。</w:t>
            </w:r>
          </w:p>
          <w:p>
            <w:pPr>
              <w:autoSpaceDE w:val="0"/>
              <w:autoSpaceDN w:val="0"/>
              <w:adjustRightInd w:val="0"/>
              <w:spacing w:line="360" w:lineRule="exact"/>
              <w:jc w:val="left"/>
              <w:rPr>
                <w:rFonts w:ascii="宋体" w:hAnsi="宋体" w:cs="宋体"/>
                <w:szCs w:val="21"/>
                <w:lang w:bidi="ar"/>
              </w:rPr>
            </w:pPr>
            <w:r>
              <w:rPr>
                <w:rFonts w:hint="eastAsia" w:ascii="宋体" w:hAnsi="宋体" w:cs="宋体"/>
                <w:szCs w:val="21"/>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rPr>
            </w:pPr>
            <w:r>
              <w:rPr>
                <w:rFonts w:hint="eastAsia" w:ascii="宋体" w:hAnsi="宋体" w:cs="宋体"/>
                <w:szCs w:val="21"/>
              </w:rPr>
              <w:t>16</w:t>
            </w:r>
          </w:p>
        </w:tc>
        <w:tc>
          <w:tcPr>
            <w:tcW w:w="8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评标办法及标准：</w:t>
            </w:r>
          </w:p>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综合评分法，按照招标文件第四章评标办法及标准。</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rPr>
            </w:pPr>
            <w:r>
              <w:rPr>
                <w:rFonts w:hint="eastAsia" w:ascii="宋体" w:hAnsi="宋体" w:cs="宋体"/>
                <w:szCs w:val="21"/>
              </w:rPr>
              <w:t>17</w:t>
            </w:r>
          </w:p>
        </w:tc>
        <w:tc>
          <w:tcPr>
            <w:tcW w:w="8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69"/>
              <w:rPr>
                <w:rFonts w:ascii="宋体" w:hAnsi="宋体" w:cs="宋体"/>
                <w:szCs w:val="21"/>
              </w:rPr>
            </w:pPr>
            <w:r>
              <w:rPr>
                <w:rFonts w:hint="eastAsia" w:ascii="宋体" w:hAnsi="宋体" w:cs="宋体"/>
                <w:szCs w:val="21"/>
              </w:rPr>
              <w:t>中标候选人：</w:t>
            </w:r>
          </w:p>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经评审排名第一的投标人即为第一中标候选人，排名第二的为第二中标候选人……其他投标人中标候选资格依此类推。</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rPr>
            </w:pPr>
            <w:r>
              <w:rPr>
                <w:rFonts w:hint="eastAsia" w:ascii="宋体" w:hAnsi="宋体" w:cs="宋体"/>
                <w:szCs w:val="21"/>
              </w:rPr>
              <w:t>18</w:t>
            </w:r>
          </w:p>
        </w:tc>
        <w:tc>
          <w:tcPr>
            <w:tcW w:w="8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中标公告及中标通知书：</w:t>
            </w:r>
          </w:p>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采购人依法确定中标人2个工作日内，发出中标通知书。</w:t>
            </w:r>
          </w:p>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同时中标公告发布于浙江政府采购网(</w:t>
            </w:r>
            <w:r>
              <w:fldChar w:fldCharType="begin"/>
            </w:r>
            <w:r>
              <w:instrText xml:space="preserve"> HYPERLINK "http://zfcg.czt.zj.gov.cn/" </w:instrText>
            </w:r>
            <w:r>
              <w:fldChar w:fldCharType="separate"/>
            </w:r>
            <w:r>
              <w:rPr>
                <w:rStyle w:val="45"/>
                <w:rFonts w:hint="eastAsia" w:ascii="宋体" w:hAnsi="宋体" w:cs="宋体"/>
                <w:color w:val="auto"/>
                <w:szCs w:val="21"/>
              </w:rPr>
              <w:t>http://zfcg.czt.zj.gov.cn/</w:t>
            </w:r>
            <w:r>
              <w:rPr>
                <w:rStyle w:val="45"/>
                <w:rFonts w:hint="eastAsia" w:ascii="宋体" w:hAnsi="宋体" w:cs="宋体"/>
                <w:color w:val="auto"/>
                <w:szCs w:val="21"/>
              </w:rPr>
              <w:fldChar w:fldCharType="end"/>
            </w:r>
            <w:r>
              <w:rPr>
                <w:rFonts w:hint="eastAsia" w:ascii="宋体" w:hAnsi="宋体" w:cs="宋体"/>
                <w:szCs w:val="21"/>
              </w:rPr>
              <w:t>)、安吉县公共资源交易网（http://ggzy.anji.gov.cn/），中标公告期限为1个工作日。</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rPr>
            </w:pPr>
            <w:r>
              <w:rPr>
                <w:rFonts w:hint="eastAsia" w:ascii="宋体" w:hAnsi="宋体" w:cs="宋体"/>
                <w:szCs w:val="21"/>
              </w:rPr>
              <w:t>19</w:t>
            </w:r>
          </w:p>
        </w:tc>
        <w:tc>
          <w:tcPr>
            <w:tcW w:w="8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exact"/>
              <w:textAlignment w:val="bottom"/>
              <w:rPr>
                <w:rFonts w:ascii="宋体" w:hAnsi="宋体" w:cs="宋体"/>
                <w:szCs w:val="21"/>
                <w:lang w:val="zh-CN"/>
              </w:rPr>
            </w:pPr>
            <w:r>
              <w:rPr>
                <w:rFonts w:hint="eastAsia" w:ascii="宋体" w:hAnsi="宋体" w:cs="宋体"/>
                <w:szCs w:val="21"/>
                <w:lang w:val="zh-CN"/>
              </w:rPr>
              <w:t>履约保证金：</w:t>
            </w:r>
          </w:p>
          <w:p>
            <w:pPr>
              <w:autoSpaceDE w:val="0"/>
              <w:autoSpaceDN w:val="0"/>
              <w:adjustRightInd w:val="0"/>
              <w:snapToGrid w:val="0"/>
              <w:spacing w:line="360" w:lineRule="exact"/>
              <w:textAlignment w:val="bottom"/>
              <w:rPr>
                <w:rFonts w:ascii="宋体" w:hAnsi="宋体" w:cs="宋体"/>
                <w:szCs w:val="21"/>
              </w:rPr>
            </w:pPr>
            <w:r>
              <w:rPr>
                <w:rFonts w:hint="eastAsia" w:ascii="宋体" w:hAnsi="宋体"/>
                <w:szCs w:val="21"/>
              </w:rPr>
              <w:t>不收取。</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rPr>
            </w:pPr>
            <w:r>
              <w:rPr>
                <w:rFonts w:hint="eastAsia" w:ascii="宋体" w:hAnsi="宋体" w:cs="宋体"/>
                <w:szCs w:val="21"/>
              </w:rPr>
              <w:t>20</w:t>
            </w:r>
          </w:p>
        </w:tc>
        <w:tc>
          <w:tcPr>
            <w:tcW w:w="8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exact"/>
              <w:ind w:left="1050" w:hanging="1050" w:hangingChars="500"/>
              <w:textAlignment w:val="bottom"/>
              <w:rPr>
                <w:rFonts w:ascii="宋体" w:hAnsi="宋体" w:cs="宋体"/>
                <w:szCs w:val="21"/>
              </w:rPr>
            </w:pPr>
            <w:r>
              <w:rPr>
                <w:rFonts w:hint="eastAsia" w:ascii="宋体" w:hAnsi="宋体" w:cs="宋体"/>
                <w:szCs w:val="21"/>
              </w:rPr>
              <w:t>签订合同：</w:t>
            </w:r>
          </w:p>
          <w:p>
            <w:pPr>
              <w:autoSpaceDE w:val="0"/>
              <w:autoSpaceDN w:val="0"/>
              <w:adjustRightInd w:val="0"/>
              <w:snapToGrid w:val="0"/>
              <w:spacing w:line="360" w:lineRule="exact"/>
              <w:jc w:val="left"/>
              <w:textAlignment w:val="bottom"/>
              <w:rPr>
                <w:rFonts w:ascii="宋体" w:hAnsi="宋体" w:cs="宋体"/>
                <w:szCs w:val="21"/>
              </w:rPr>
            </w:pPr>
            <w:r>
              <w:rPr>
                <w:rFonts w:hint="eastAsia" w:ascii="宋体" w:hAnsi="宋体" w:cs="宋体"/>
                <w:szCs w:val="21"/>
              </w:rPr>
              <w:t>根据《中华人民共和国政府采购法》第四十六条规定，采购人与中标（成交）投标人应当在中标（成交）通知书发出后30天内，按照采购文件确定的事项签订政府采购合同。因本项目工期紧张，采购人要求中标（成交）投标人在中标（成交）通知书发出后5天内前来签订合同。</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rPr>
            </w:pPr>
            <w:r>
              <w:rPr>
                <w:rFonts w:hint="eastAsia" w:ascii="宋体" w:hAnsi="宋体" w:cs="宋体"/>
                <w:szCs w:val="21"/>
              </w:rPr>
              <w:t>21</w:t>
            </w:r>
          </w:p>
        </w:tc>
        <w:tc>
          <w:tcPr>
            <w:tcW w:w="8614" w:type="dxa"/>
            <w:tcBorders>
              <w:top w:val="single" w:color="auto" w:sz="6" w:space="0"/>
              <w:left w:val="single" w:color="auto" w:sz="6" w:space="0"/>
              <w:bottom w:val="single" w:color="auto" w:sz="6" w:space="0"/>
              <w:right w:val="single" w:color="auto" w:sz="6" w:space="0"/>
            </w:tcBorders>
            <w:vAlign w:val="center"/>
          </w:tcPr>
          <w:p>
            <w:pPr>
              <w:pStyle w:val="15"/>
              <w:spacing w:before="0" w:beforeLines="0" w:after="0" w:afterLines="0" w:line="360" w:lineRule="exact"/>
              <w:rPr>
                <w:rFonts w:hAnsi="宋体" w:cs="宋体"/>
                <w:sz w:val="21"/>
                <w:szCs w:val="21"/>
              </w:rPr>
            </w:pPr>
            <w:r>
              <w:rPr>
                <w:rFonts w:hint="eastAsia" w:hAnsi="宋体" w:cs="宋体"/>
                <w:sz w:val="21"/>
                <w:szCs w:val="21"/>
              </w:rPr>
              <w:t>信用记录查询：依据财库[2016]125号文件执行</w:t>
            </w:r>
          </w:p>
          <w:p>
            <w:pPr>
              <w:pStyle w:val="15"/>
              <w:spacing w:before="0" w:beforeLines="0" w:after="0" w:afterLines="0" w:line="360" w:lineRule="exact"/>
              <w:rPr>
                <w:rFonts w:hAnsi="宋体" w:cs="宋体"/>
                <w:sz w:val="21"/>
                <w:szCs w:val="21"/>
              </w:rPr>
            </w:pPr>
            <w:r>
              <w:rPr>
                <w:rFonts w:hint="eastAsia" w:hAnsi="宋体" w:cs="宋体"/>
                <w:sz w:val="21"/>
                <w:szCs w:val="21"/>
              </w:rPr>
              <w:t>查询渠道：信用中国（www.creditchina.gov.cn）、中国政府采购网（www.ccgp.gov.cn）；</w:t>
            </w:r>
          </w:p>
          <w:p>
            <w:pPr>
              <w:pStyle w:val="15"/>
              <w:spacing w:before="0" w:beforeLines="0" w:after="0" w:afterLines="0" w:line="360" w:lineRule="exact"/>
              <w:rPr>
                <w:rFonts w:hAnsi="宋体" w:cs="宋体"/>
                <w:sz w:val="21"/>
                <w:szCs w:val="21"/>
              </w:rPr>
            </w:pPr>
            <w:r>
              <w:rPr>
                <w:rFonts w:hint="eastAsia" w:hAnsi="宋体" w:cs="宋体"/>
                <w:sz w:val="21"/>
                <w:szCs w:val="21"/>
              </w:rPr>
              <w:t>时间：提交首次投标文件截止时间前3年内；</w:t>
            </w:r>
          </w:p>
          <w:p>
            <w:pPr>
              <w:spacing w:line="360" w:lineRule="exact"/>
              <w:rPr>
                <w:rFonts w:ascii="宋体" w:hAnsi="宋体" w:cs="宋体"/>
                <w:szCs w:val="21"/>
              </w:rPr>
            </w:pPr>
            <w:r>
              <w:rPr>
                <w:rFonts w:hint="eastAsia" w:ascii="宋体" w:hAnsi="宋体" w:cs="宋体"/>
                <w:szCs w:val="21"/>
              </w:rPr>
              <w:t>查询记录和证据的留存：网站查询，打印留存。</w:t>
            </w:r>
          </w:p>
          <w:p>
            <w:pPr>
              <w:autoSpaceDE w:val="0"/>
              <w:autoSpaceDN w:val="0"/>
              <w:adjustRightInd w:val="0"/>
              <w:spacing w:line="360" w:lineRule="exact"/>
              <w:rPr>
                <w:rFonts w:ascii="宋体" w:hAnsi="宋体" w:cs="宋体"/>
                <w:kern w:val="0"/>
                <w:szCs w:val="21"/>
                <w:lang w:val="zh-CN"/>
              </w:rPr>
            </w:pPr>
            <w:r>
              <w:rPr>
                <w:rFonts w:hint="eastAsia" w:ascii="宋体" w:hAnsi="宋体" w:cs="宋体"/>
                <w:szCs w:val="21"/>
              </w:rPr>
              <w:t>使用规则：被列入失信被执行人、重大税收违法失信主体、政府采购严重违法失信行为记录名单及其它不符合《中华人民共和国政府采购法》第二十二条规定条件的，其投标将被拒绝。</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rPr>
            </w:pPr>
            <w:r>
              <w:rPr>
                <w:rFonts w:hint="eastAsia" w:ascii="宋体" w:hAnsi="宋体" w:cs="宋体"/>
                <w:szCs w:val="21"/>
              </w:rPr>
              <w:t>22</w:t>
            </w:r>
          </w:p>
        </w:tc>
        <w:tc>
          <w:tcPr>
            <w:tcW w:w="8614" w:type="dxa"/>
            <w:tcBorders>
              <w:top w:val="single" w:color="auto" w:sz="6" w:space="0"/>
              <w:left w:val="single" w:color="auto" w:sz="6" w:space="0"/>
              <w:bottom w:val="single" w:color="auto" w:sz="6" w:space="0"/>
              <w:right w:val="single" w:color="auto" w:sz="6" w:space="0"/>
            </w:tcBorders>
            <w:vAlign w:val="center"/>
          </w:tcPr>
          <w:p>
            <w:pPr>
              <w:snapToGrid w:val="0"/>
              <w:spacing w:line="360" w:lineRule="exact"/>
              <w:rPr>
                <w:b/>
                <w:bCs/>
              </w:rPr>
            </w:pPr>
            <w:r>
              <w:rPr>
                <w:rFonts w:hint="eastAsia"/>
                <w:b/>
                <w:bCs/>
              </w:rPr>
              <w:t>政府采购政策执行：本项目中小企业政策执行以下第1）条</w:t>
            </w:r>
          </w:p>
          <w:p>
            <w:pPr>
              <w:snapToGrid w:val="0"/>
              <w:spacing w:line="360" w:lineRule="exact"/>
            </w:pPr>
            <w:r>
              <w:rPr>
                <w:rFonts w:hint="eastAsia"/>
                <w:b/>
                <w:bCs/>
                <w:sz w:val="24"/>
                <w:szCs w:val="32"/>
              </w:rPr>
              <w:sym w:font="Wingdings" w:char="00FE"/>
            </w:r>
            <w:r>
              <w:rPr>
                <w:rFonts w:hint="eastAsia"/>
                <w:b/>
                <w:bCs/>
                <w:sz w:val="24"/>
                <w:szCs w:val="32"/>
              </w:rPr>
              <w:t>1）</w:t>
            </w:r>
            <w:r>
              <w:rPr>
                <w:rFonts w:hint="eastAsia"/>
              </w:rPr>
              <w:t>本项目为专门面向中小企业采购，提供服务的供应商非中小企业的，资格审查不通过；符合上述条件的中小微型企业应按照招标文件附件的格式要求在资格文件中提供《中小企业声明函》；</w:t>
            </w:r>
          </w:p>
          <w:p>
            <w:pPr>
              <w:snapToGrid w:val="0"/>
              <w:spacing w:line="360" w:lineRule="exact"/>
            </w:pPr>
            <w:r>
              <w:rPr>
                <w:rFonts w:hint="eastAsia"/>
                <w:b/>
                <w:bCs/>
                <w:sz w:val="24"/>
                <w:szCs w:val="32"/>
              </w:rPr>
              <w:sym w:font="Wingdings" w:char="00FD"/>
            </w:r>
            <w:r>
              <w:rPr>
                <w:rFonts w:hint="eastAsia"/>
                <w:b/>
                <w:bCs/>
                <w:sz w:val="24"/>
                <w:szCs w:val="32"/>
              </w:rPr>
              <w:t>2）</w:t>
            </w:r>
            <w:r>
              <w:rPr>
                <w:rFonts w:hint="eastAsia"/>
              </w:rPr>
              <w:t>符合上述条件的中小微型企业应按照招标文件附件的格式要求提供《中小企业声明函》。符合《关于促进残疾人就业政府采购政策的通知》（财库〔2018〕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60" w:lineRule="exact"/>
            </w:pPr>
            <w:r>
              <w:rPr>
                <w:rFonts w:hint="eastAsia"/>
              </w:rPr>
              <w:t>根据财政部发布的《政府采购促进中小企业发展管理办法》（财库﹝2020﹞46 号）规定，对于非专门面向此类企业的项目，对小型和微型企业产品和服务的投标价格给予20 %的扣除，用扣除后的价格参与评审。</w:t>
            </w:r>
          </w:p>
          <w:p>
            <w:pPr>
              <w:snapToGrid w:val="0"/>
              <w:spacing w:line="360" w:lineRule="exact"/>
            </w:pPr>
            <w:r>
              <w:rPr>
                <w:rFonts w:hint="eastAsia"/>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6%的投标价格扣除。</w:t>
            </w:r>
          </w:p>
          <w:p>
            <w:pPr>
              <w:spacing w:line="360" w:lineRule="exact"/>
            </w:pPr>
            <w:r>
              <w:rPr>
                <w:rFonts w:hint="eastAsia"/>
              </w:rPr>
              <w:t>联合体各方均为小型、微型企业的，联合体视同为小型、微型企业。</w:t>
            </w:r>
          </w:p>
          <w:p>
            <w:pPr>
              <w:snapToGrid w:val="0"/>
              <w:spacing w:line="360" w:lineRule="exact"/>
            </w:pPr>
            <w:r>
              <w:rPr>
                <w:rFonts w:hint="eastAsia"/>
              </w:rPr>
              <w:t>投标人按照本办法规定提供声明函内容不实的，属于提供虚假材料谋取中标、成交，依照《中华人民共和国政府采购法》等国家有关规定追究相应责任。采购代理机构在中标结果公告中公开中标的《中小企业声明函》。</w:t>
            </w:r>
          </w:p>
          <w:p>
            <w:pPr>
              <w:snapToGrid w:val="0"/>
              <w:spacing w:line="360" w:lineRule="exact"/>
              <w:rPr>
                <w:b/>
                <w:bCs/>
              </w:rPr>
            </w:pPr>
            <w:r>
              <w:rPr>
                <w:rFonts w:hint="eastAsia"/>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Fonts w:hint="eastAsia"/>
                <w:b/>
                <w:bCs/>
              </w:rPr>
              <w:t>软件和信息技术服务业和其他未列明行业</w:t>
            </w:r>
          </w:p>
          <w:p>
            <w:pPr>
              <w:snapToGrid w:val="0"/>
              <w:spacing w:line="360" w:lineRule="exact"/>
            </w:pPr>
            <w:r>
              <w:rPr>
                <w:rFonts w:hint="eastAsia"/>
                <w:b/>
                <w:bCs/>
              </w:rPr>
              <w:t>特别提醒：投标人按照本办法规定提供声明函内容不实的，属于提供虚假材料谋取中标、成交，依照《中华人民共和国政府采购法》等国家有关规定追究相应责任。采购代理机构在中标结果公告中公开中标人的《中小企业声明函》。</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rPr>
            </w:pPr>
            <w:r>
              <w:rPr>
                <w:rFonts w:hint="eastAsia" w:ascii="宋体" w:hAnsi="宋体" w:cs="宋体"/>
                <w:szCs w:val="21"/>
              </w:rPr>
              <w:t>23</w:t>
            </w:r>
          </w:p>
        </w:tc>
        <w:tc>
          <w:tcPr>
            <w:tcW w:w="8614" w:type="dxa"/>
            <w:tcBorders>
              <w:top w:val="single" w:color="auto" w:sz="6" w:space="0"/>
              <w:left w:val="single" w:color="auto" w:sz="6" w:space="0"/>
              <w:bottom w:val="single" w:color="auto" w:sz="6" w:space="0"/>
              <w:right w:val="single" w:color="auto" w:sz="6" w:space="0"/>
            </w:tcBorders>
            <w:vAlign w:val="center"/>
          </w:tcPr>
          <w:p>
            <w:pPr>
              <w:snapToGrid w:val="0"/>
              <w:spacing w:line="360" w:lineRule="exact"/>
            </w:pPr>
            <w:r>
              <w:rPr>
                <w:rFonts w:hint="eastAsia"/>
              </w:rPr>
              <w:t>政府采购政策执行：</w:t>
            </w:r>
          </w:p>
          <w:p>
            <w:pPr>
              <w:snapToGrid w:val="0"/>
              <w:spacing w:line="360" w:lineRule="exact"/>
            </w:pPr>
            <w:r>
              <w:rPr>
                <w:rFonts w:hint="eastAsia"/>
              </w:rPr>
              <w:t>（1）采购本国生产的货物、工程和服务（经审批允许进口产品投标的除外）</w:t>
            </w:r>
          </w:p>
          <w:p>
            <w:pPr>
              <w:snapToGrid w:val="0"/>
              <w:spacing w:line="360" w:lineRule="exact"/>
            </w:pPr>
            <w:r>
              <w:rPr>
                <w:rFonts w:hint="eastAsia"/>
              </w:rPr>
              <w:t>（2）支持绿色采购</w:t>
            </w:r>
          </w:p>
          <w:p>
            <w:pPr>
              <w:snapToGrid w:val="0"/>
              <w:spacing w:line="360" w:lineRule="exact"/>
            </w:pPr>
            <w:r>
              <w:rPr>
                <w:rFonts w:hint="eastAsia"/>
              </w:rPr>
              <w:t>（3）支持科技创新</w:t>
            </w:r>
          </w:p>
          <w:p>
            <w:pPr>
              <w:snapToGrid w:val="0"/>
              <w:spacing w:line="360" w:lineRule="exact"/>
            </w:pPr>
            <w:r>
              <w:rPr>
                <w:rFonts w:hint="eastAsia"/>
              </w:rPr>
              <w:t>（4）中小企业信用融资</w:t>
            </w:r>
          </w:p>
          <w:p>
            <w:pPr>
              <w:snapToGrid w:val="0"/>
              <w:spacing w:line="360" w:lineRule="exact"/>
            </w:pPr>
            <w:r>
              <w:rPr>
                <w:rFonts w:hint="eastAsia"/>
              </w:rPr>
              <w:t>（5）支持中小企业发展</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rPr>
            </w:pPr>
            <w:r>
              <w:rPr>
                <w:rFonts w:hint="eastAsia" w:ascii="宋体" w:hAnsi="宋体" w:cs="宋体"/>
                <w:szCs w:val="21"/>
              </w:rPr>
              <w:t>24</w:t>
            </w:r>
          </w:p>
        </w:tc>
        <w:tc>
          <w:tcPr>
            <w:tcW w:w="8614"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cs="宋体"/>
                <w:szCs w:val="21"/>
              </w:rPr>
            </w:pPr>
            <w:r>
              <w:rPr>
                <w:rFonts w:hint="eastAsia" w:ascii="宋体" w:hAnsi="宋体" w:cs="宋体"/>
                <w:szCs w:val="21"/>
              </w:rPr>
              <w:t>节能环保要求：</w:t>
            </w:r>
          </w:p>
          <w:p>
            <w:pPr>
              <w:autoSpaceDE w:val="0"/>
              <w:autoSpaceDN w:val="0"/>
              <w:adjustRightInd w:val="0"/>
              <w:spacing w:line="360" w:lineRule="exact"/>
              <w:ind w:left="71" w:right="69"/>
              <w:rPr>
                <w:rFonts w:ascii="宋体" w:hAnsi="宋体" w:cs="宋体"/>
                <w:szCs w:val="21"/>
                <w:shd w:val="clear" w:color="auto" w:fill="FFFFFF"/>
              </w:rPr>
            </w:pPr>
            <w:r>
              <w:rPr>
                <w:rFonts w:hint="eastAsia" w:ascii="宋体" w:hAnsi="宋体" w:cs="宋体"/>
                <w:szCs w:val="21"/>
                <w:shd w:val="clear" w:color="auto" w:fill="FFFFFF"/>
              </w:rPr>
              <w:t>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pPr>
              <w:autoSpaceDE w:val="0"/>
              <w:autoSpaceDN w:val="0"/>
              <w:adjustRightInd w:val="0"/>
              <w:spacing w:line="360" w:lineRule="exact"/>
              <w:ind w:left="71" w:right="69"/>
              <w:rPr>
                <w:rFonts w:ascii="宋体" w:hAnsi="宋体" w:cs="宋体"/>
                <w:szCs w:val="21"/>
              </w:rPr>
            </w:pPr>
            <w:r>
              <w:rPr>
                <w:rFonts w:hint="eastAsia" w:ascii="宋体" w:hAnsi="宋体" w:cs="宋体"/>
                <w:szCs w:val="21"/>
                <w:shd w:val="clear" w:color="auto" w:fill="FFFFFF"/>
              </w:rPr>
              <w:t>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rPr>
            </w:pPr>
            <w:r>
              <w:rPr>
                <w:rFonts w:hint="eastAsia" w:ascii="宋体" w:hAnsi="宋体" w:cs="宋体"/>
                <w:szCs w:val="21"/>
              </w:rPr>
              <w:t>25</w:t>
            </w:r>
          </w:p>
        </w:tc>
        <w:tc>
          <w:tcPr>
            <w:tcW w:w="8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left"/>
              <w:rPr>
                <w:rFonts w:ascii="宋体" w:hAnsi="宋体" w:cs="宋体"/>
                <w:szCs w:val="21"/>
                <w:lang w:bidi="ar"/>
              </w:rPr>
            </w:pPr>
            <w:r>
              <w:rPr>
                <w:rFonts w:hint="eastAsia" w:ascii="宋体" w:hAnsi="宋体" w:cs="宋体"/>
                <w:szCs w:val="21"/>
                <w:lang w:bidi="ar"/>
              </w:rPr>
              <w:t>投标注意事项：</w:t>
            </w:r>
          </w:p>
          <w:p>
            <w:pPr>
              <w:autoSpaceDE w:val="0"/>
              <w:autoSpaceDN w:val="0"/>
              <w:adjustRightInd w:val="0"/>
              <w:spacing w:line="360" w:lineRule="exact"/>
              <w:ind w:left="71" w:right="69"/>
              <w:jc w:val="left"/>
              <w:rPr>
                <w:rFonts w:ascii="宋体" w:hAnsi="宋体" w:cs="宋体"/>
                <w:szCs w:val="21"/>
                <w:shd w:val="clear" w:color="auto" w:fill="FFFFFF"/>
              </w:rPr>
            </w:pPr>
            <w:r>
              <w:rPr>
                <w:rFonts w:hint="eastAsia" w:ascii="宋体" w:hAnsi="宋体" w:cs="宋体"/>
                <w:szCs w:val="21"/>
                <w:shd w:val="clear" w:color="auto" w:fill="FFFFFF"/>
              </w:rPr>
              <w:t>（1）中标后，投标人拒绝签订合同的，采购人可以依法按照评审报告推荐的中标候选人名单排序，确定下一候选人为中标投标人，也可以重新开展政府采购活动。投标人中标后拒绝签订合同的，应按预算金额的2%对采购人进行赔偿；赔偿金额不足以弥补采购人损失的，投标人应继续承担超过部分的损失。</w:t>
            </w:r>
          </w:p>
          <w:p>
            <w:pPr>
              <w:autoSpaceDE w:val="0"/>
              <w:autoSpaceDN w:val="0"/>
              <w:adjustRightInd w:val="0"/>
              <w:spacing w:line="360" w:lineRule="exact"/>
              <w:ind w:left="71" w:right="69"/>
              <w:jc w:val="left"/>
              <w:rPr>
                <w:rFonts w:ascii="宋体" w:hAnsi="宋体" w:cs="宋体"/>
                <w:szCs w:val="21"/>
                <w:shd w:val="clear" w:color="auto" w:fill="FFFFFF"/>
              </w:rPr>
            </w:pPr>
            <w:r>
              <w:rPr>
                <w:rFonts w:hint="eastAsia" w:ascii="宋体" w:hAnsi="宋体" w:cs="宋体"/>
                <w:szCs w:val="21"/>
                <w:shd w:val="clear" w:color="auto" w:fill="FFFFFF"/>
              </w:rPr>
              <w:t>（2）存在下列行为的，采购人将其失信行为上报政府采购主管部门，由主管部门按有关规定对其违法失信行为记录进行公开：</w:t>
            </w:r>
          </w:p>
          <w:p>
            <w:pPr>
              <w:autoSpaceDE w:val="0"/>
              <w:autoSpaceDN w:val="0"/>
              <w:adjustRightInd w:val="0"/>
              <w:spacing w:line="360" w:lineRule="exact"/>
              <w:ind w:left="71" w:right="69"/>
              <w:jc w:val="left"/>
              <w:rPr>
                <w:rFonts w:ascii="宋体" w:hAnsi="宋体" w:cs="宋体"/>
                <w:szCs w:val="21"/>
                <w:shd w:val="clear" w:color="auto" w:fill="FFFFFF"/>
              </w:rPr>
            </w:pPr>
            <w:r>
              <w:rPr>
                <w:rFonts w:hint="eastAsia" w:ascii="宋体" w:hAnsi="宋体" w:cs="宋体"/>
                <w:szCs w:val="21"/>
                <w:shd w:val="clear" w:color="auto" w:fill="FFFFFF"/>
              </w:rPr>
              <w:t>中标或者成交后，拒绝签订政府采购合同的；</w:t>
            </w:r>
          </w:p>
          <w:p>
            <w:pPr>
              <w:autoSpaceDE w:val="0"/>
              <w:autoSpaceDN w:val="0"/>
              <w:adjustRightInd w:val="0"/>
              <w:spacing w:line="360" w:lineRule="exact"/>
              <w:ind w:left="71" w:right="69"/>
              <w:jc w:val="left"/>
              <w:rPr>
                <w:rFonts w:ascii="宋体" w:hAnsi="宋体" w:cs="宋体"/>
                <w:kern w:val="0"/>
                <w:szCs w:val="21"/>
              </w:rPr>
            </w:pPr>
            <w:r>
              <w:rPr>
                <w:rFonts w:hint="eastAsia" w:ascii="宋体" w:hAnsi="宋体" w:cs="宋体"/>
                <w:szCs w:val="21"/>
                <w:shd w:val="clear" w:color="auto" w:fill="FFFFFF"/>
              </w:rPr>
              <w:t>投标有效期内撤销投标文件的。</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rPr>
                <w:rFonts w:ascii="宋体" w:hAnsi="宋体" w:cs="宋体"/>
                <w:szCs w:val="21"/>
              </w:rPr>
            </w:pPr>
            <w:r>
              <w:rPr>
                <w:rFonts w:hint="eastAsia" w:ascii="宋体" w:hAnsi="宋体" w:cs="宋体"/>
                <w:szCs w:val="21"/>
              </w:rPr>
              <w:t>25</w:t>
            </w:r>
          </w:p>
        </w:tc>
        <w:tc>
          <w:tcPr>
            <w:tcW w:w="8614"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exact"/>
              <w:rPr>
                <w:rFonts w:ascii="宋体" w:hAnsi="宋体" w:cs="宋体"/>
                <w:szCs w:val="21"/>
              </w:rPr>
            </w:pPr>
            <w:r>
              <w:rPr>
                <w:rStyle w:val="37"/>
                <w:rFonts w:hint="eastAsia" w:ascii="宋体" w:hAnsi="宋体" w:cs="宋体"/>
                <w:b w:val="0"/>
                <w:szCs w:val="21"/>
                <w:shd w:val="clear" w:color="auto" w:fill="FFFFFF"/>
              </w:rPr>
              <w:t>投标人注册</w:t>
            </w:r>
            <w:r>
              <w:rPr>
                <w:rFonts w:hint="eastAsia" w:ascii="宋体" w:hAnsi="宋体" w:cs="宋体"/>
                <w:szCs w:val="21"/>
              </w:rPr>
              <w:t>：</w:t>
            </w:r>
          </w:p>
          <w:p>
            <w:pPr>
              <w:autoSpaceDE w:val="0"/>
              <w:autoSpaceDN w:val="0"/>
              <w:adjustRightInd w:val="0"/>
              <w:spacing w:line="360" w:lineRule="exact"/>
              <w:ind w:left="71" w:right="69"/>
              <w:rPr>
                <w:rFonts w:ascii="宋体" w:hAnsi="宋体" w:cs="宋体"/>
                <w:kern w:val="0"/>
                <w:szCs w:val="21"/>
              </w:rPr>
            </w:pPr>
            <w:r>
              <w:rPr>
                <w:rFonts w:hint="eastAsia" w:ascii="宋体" w:hAnsi="宋体" w:cs="宋体"/>
                <w:szCs w:val="21"/>
                <w:shd w:val="clear" w:color="auto" w:fill="FFFFFF"/>
              </w:rPr>
              <w:t>未注册加入“浙江省政府采购供应商库”的投标人，应当按照《浙江省政府采购供应商注册及诚信管理暂行办法》的规定进行注册登记（网址：</w:t>
            </w:r>
            <w:r>
              <w:rPr>
                <w:rFonts w:hint="eastAsia" w:ascii="宋体" w:hAnsi="宋体" w:cs="宋体"/>
                <w:szCs w:val="21"/>
              </w:rPr>
              <w:t>http://zfcg.czt.zj.gov.cn/</w:t>
            </w:r>
            <w:r>
              <w:rPr>
                <w:rFonts w:hint="eastAsia" w:ascii="宋体" w:hAnsi="宋体" w:cs="宋体"/>
                <w:szCs w:val="21"/>
                <w:shd w:val="clear" w:color="auto" w:fill="FFFFFF"/>
              </w:rPr>
              <w:t>）。一旦被确定为中标候选投标人的，应当在发出中标通知书前按规定进行注册申请，否则，采购人将拒绝向其发出中标通知书。</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rPr>
            </w:pPr>
            <w:r>
              <w:rPr>
                <w:rFonts w:hint="eastAsia" w:ascii="宋体" w:hAnsi="宋体" w:cs="宋体"/>
                <w:szCs w:val="21"/>
              </w:rPr>
              <w:t>26</w:t>
            </w:r>
          </w:p>
        </w:tc>
        <w:tc>
          <w:tcPr>
            <w:tcW w:w="8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left="71" w:right="69"/>
              <w:rPr>
                <w:rFonts w:ascii="宋体" w:hAnsi="宋体" w:cs="宋体"/>
                <w:szCs w:val="21"/>
                <w:shd w:val="clear" w:color="auto" w:fill="FFFFFF"/>
              </w:rPr>
            </w:pPr>
            <w:r>
              <w:rPr>
                <w:rFonts w:hint="eastAsia" w:ascii="宋体" w:hAnsi="宋体" w:cs="宋体"/>
                <w:b/>
                <w:bCs/>
                <w:szCs w:val="21"/>
                <w:shd w:val="clear" w:color="auto" w:fill="FFFFFF"/>
              </w:rPr>
              <w:t>纸质版投标文件（响应文件）的提供：中标（成交）投标人应在中标（成交）公告发出后三天内提供与在线投标（响应）文件一致的纸质版响应文件及在线询标答复函、最终报价表(竞争性谈判或竞争性磋商需提供）等，共一式三套。具有电子签章或单位公章，提交给采购代理机构作为各单位资料存档使用。中标（成交）投标人应确保纸质版资料与在线电子版资料的一致性，否则导致后期纠纷的责任由中标（成交）投标人自行承担。</w:t>
            </w:r>
          </w:p>
        </w:tc>
      </w:tr>
      <w:tr>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right="-359" w:firstLine="105"/>
              <w:rPr>
                <w:rFonts w:ascii="宋体" w:hAnsi="宋体" w:cs="宋体"/>
                <w:szCs w:val="21"/>
              </w:rPr>
            </w:pPr>
            <w:r>
              <w:rPr>
                <w:rFonts w:hint="eastAsia" w:ascii="宋体" w:hAnsi="宋体" w:cs="宋体"/>
                <w:szCs w:val="21"/>
              </w:rPr>
              <w:t>27</w:t>
            </w:r>
          </w:p>
        </w:tc>
        <w:tc>
          <w:tcPr>
            <w:tcW w:w="8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ind w:left="71" w:right="69"/>
              <w:rPr>
                <w:rFonts w:ascii="宋体" w:hAnsi="宋体" w:cs="宋体"/>
                <w:szCs w:val="21"/>
              </w:rPr>
            </w:pPr>
            <w:r>
              <w:rPr>
                <w:rFonts w:hint="eastAsia" w:ascii="宋体" w:hAnsi="宋体" w:cs="宋体"/>
                <w:szCs w:val="21"/>
              </w:rPr>
              <w:t>特别说明：</w:t>
            </w:r>
          </w:p>
          <w:p>
            <w:pPr>
              <w:autoSpaceDE w:val="0"/>
              <w:autoSpaceDN w:val="0"/>
              <w:adjustRightInd w:val="0"/>
              <w:spacing w:line="360" w:lineRule="exact"/>
              <w:ind w:left="71" w:right="69"/>
              <w:rPr>
                <w:rFonts w:ascii="宋体" w:hAnsi="宋体" w:cs="宋体"/>
                <w:szCs w:val="21"/>
              </w:rPr>
            </w:pPr>
            <w:r>
              <w:rPr>
                <w:rFonts w:hint="eastAsia" w:ascii="宋体" w:hAnsi="宋体" w:cs="宋体"/>
                <w:szCs w:val="21"/>
              </w:rPr>
              <w:t>本表与招标文件其他部分内容不一致的，以本表为准。本招标文件的解释权属于采购人和采购代理机构。</w:t>
            </w:r>
          </w:p>
        </w:tc>
      </w:tr>
    </w:tbl>
    <w:p>
      <w:pPr>
        <w:rPr>
          <w:rFonts w:ascii="宋体" w:hAnsi="宋体" w:cs="宋体"/>
          <w:sz w:val="24"/>
        </w:rPr>
      </w:pPr>
    </w:p>
    <w:p>
      <w:pPr>
        <w:pStyle w:val="4"/>
        <w:spacing w:before="0" w:after="0" w:line="240" w:lineRule="auto"/>
        <w:rPr>
          <w:rFonts w:ascii="宋体" w:hAnsi="宋体" w:eastAsia="宋体" w:cs="宋体"/>
          <w:sz w:val="24"/>
          <w:szCs w:val="24"/>
        </w:rPr>
      </w:pPr>
      <w:bookmarkStart w:id="34" w:name="_Toc1651"/>
      <w:bookmarkStart w:id="35" w:name="_Toc27142"/>
      <w:bookmarkStart w:id="36" w:name="_Toc18381"/>
      <w:bookmarkStart w:id="37" w:name="_Toc222632754"/>
      <w:bookmarkStart w:id="38" w:name="_Toc7984"/>
      <w:bookmarkStart w:id="39" w:name="_Toc317341938"/>
      <w:r>
        <w:rPr>
          <w:rFonts w:hint="eastAsia" w:ascii="宋体" w:hAnsi="宋体" w:eastAsia="宋体" w:cs="宋体"/>
          <w:sz w:val="24"/>
          <w:szCs w:val="24"/>
        </w:rPr>
        <w:t>一、总  则</w:t>
      </w:r>
      <w:bookmarkEnd w:id="34"/>
      <w:bookmarkEnd w:id="35"/>
      <w:bookmarkEnd w:id="36"/>
      <w:bookmarkEnd w:id="37"/>
      <w:bookmarkEnd w:id="38"/>
      <w:bookmarkEnd w:id="39"/>
    </w:p>
    <w:p>
      <w:pPr>
        <w:adjustRightInd w:val="0"/>
        <w:snapToGrid w:val="0"/>
        <w:spacing w:line="360" w:lineRule="exact"/>
        <w:jc w:val="left"/>
        <w:rPr>
          <w:rFonts w:ascii="宋体" w:hAnsi="宋体" w:cs="宋体"/>
          <w:b/>
          <w:szCs w:val="21"/>
        </w:rPr>
      </w:pPr>
      <w:bookmarkStart w:id="40" w:name="_Toc177870537"/>
      <w:bookmarkStart w:id="41" w:name="_Toc177824939"/>
      <w:bookmarkStart w:id="42" w:name="_Toc177824872"/>
      <w:bookmarkStart w:id="43" w:name="_Toc177825120"/>
      <w:r>
        <w:rPr>
          <w:rFonts w:hint="eastAsia" w:ascii="宋体" w:hAnsi="宋体" w:cs="宋体"/>
          <w:b/>
          <w:szCs w:val="21"/>
        </w:rPr>
        <w:t>（一） 适用范围</w:t>
      </w:r>
      <w:bookmarkEnd w:id="40"/>
      <w:bookmarkEnd w:id="41"/>
      <w:bookmarkEnd w:id="42"/>
      <w:bookmarkEnd w:id="43"/>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本招标文件适用于</w:t>
      </w:r>
      <w:r>
        <w:rPr>
          <w:rFonts w:hint="eastAsia" w:ascii="宋体" w:hAnsi="宋体" w:cs="宋体"/>
          <w:szCs w:val="21"/>
          <w:u w:val="single"/>
        </w:rPr>
        <w:t xml:space="preserve"> 安吉技师学院单片机实训室建设项目</w:t>
      </w:r>
      <w:r>
        <w:rPr>
          <w:rFonts w:hint="eastAsia" w:ascii="宋体" w:hAnsi="宋体" w:cs="宋体"/>
          <w:szCs w:val="21"/>
        </w:rPr>
        <w:t>的招标、评标、定标、验收、合同履约、付款等（法律、法规另有规定的，从其规定）。</w:t>
      </w:r>
    </w:p>
    <w:p>
      <w:pPr>
        <w:adjustRightInd w:val="0"/>
        <w:snapToGrid w:val="0"/>
        <w:spacing w:line="360" w:lineRule="exact"/>
        <w:jc w:val="left"/>
        <w:rPr>
          <w:rFonts w:ascii="宋体" w:hAnsi="宋体" w:cs="宋体"/>
          <w:b/>
          <w:szCs w:val="21"/>
        </w:rPr>
      </w:pPr>
      <w:bookmarkStart w:id="44" w:name="_Toc177870538"/>
      <w:bookmarkStart w:id="45" w:name="_Toc177825121"/>
      <w:bookmarkStart w:id="46" w:name="_Toc177824873"/>
      <w:bookmarkStart w:id="47" w:name="_Toc177824940"/>
      <w:r>
        <w:rPr>
          <w:rFonts w:hint="eastAsia" w:ascii="宋体" w:hAnsi="宋体" w:cs="宋体"/>
          <w:b/>
          <w:szCs w:val="21"/>
        </w:rPr>
        <w:t>（二）定义</w:t>
      </w:r>
      <w:bookmarkEnd w:id="44"/>
      <w:bookmarkEnd w:id="45"/>
      <w:bookmarkEnd w:id="46"/>
      <w:bookmarkEnd w:id="47"/>
    </w:p>
    <w:p>
      <w:pPr>
        <w:adjustRightInd w:val="0"/>
        <w:snapToGrid w:val="0"/>
        <w:spacing w:line="380" w:lineRule="exact"/>
        <w:ind w:firstLine="411" w:firstLineChars="196"/>
        <w:jc w:val="left"/>
        <w:rPr>
          <w:rFonts w:ascii="宋体" w:hAnsi="宋体" w:cs="宋体"/>
          <w:szCs w:val="21"/>
        </w:rPr>
      </w:pPr>
      <w:bookmarkStart w:id="48" w:name="_Toc293916356"/>
      <w:bookmarkStart w:id="49" w:name="_Toc293916005"/>
      <w:r>
        <w:rPr>
          <w:rFonts w:hint="eastAsia" w:ascii="宋体" w:hAnsi="宋体" w:cs="宋体"/>
          <w:szCs w:val="21"/>
        </w:rPr>
        <w:t>1、“采购人”系指安吉技师学院 。</w:t>
      </w:r>
    </w:p>
    <w:p>
      <w:pPr>
        <w:adjustRightInd w:val="0"/>
        <w:snapToGrid w:val="0"/>
        <w:spacing w:line="380" w:lineRule="exact"/>
        <w:ind w:firstLine="411" w:firstLineChars="196"/>
        <w:jc w:val="left"/>
        <w:rPr>
          <w:rFonts w:ascii="宋体" w:hAnsi="宋体" w:cs="宋体"/>
          <w:szCs w:val="21"/>
        </w:rPr>
      </w:pPr>
      <w:r>
        <w:rPr>
          <w:rFonts w:hint="eastAsia" w:ascii="宋体" w:hAnsi="宋体" w:cs="宋体"/>
          <w:szCs w:val="21"/>
        </w:rPr>
        <w:t>2、“采购代理机构”系指湖州江南工程管理有限公司。</w:t>
      </w:r>
    </w:p>
    <w:p>
      <w:pPr>
        <w:adjustRightInd w:val="0"/>
        <w:snapToGrid w:val="0"/>
        <w:spacing w:line="360" w:lineRule="exact"/>
        <w:ind w:firstLine="420" w:firstLineChars="200"/>
        <w:jc w:val="left"/>
        <w:rPr>
          <w:rFonts w:ascii="宋体" w:hAnsi="宋体" w:cs="宋体"/>
          <w:b/>
          <w:szCs w:val="21"/>
        </w:rPr>
      </w:pPr>
      <w:r>
        <w:rPr>
          <w:rFonts w:hint="eastAsia" w:ascii="宋体" w:hAnsi="宋体" w:cs="宋体"/>
          <w:szCs w:val="21"/>
        </w:rPr>
        <w:t>3、“投标人”系指向采购人和采购代理机构提交投标文件的单位或个人。</w:t>
      </w:r>
      <w:bookmarkEnd w:id="48"/>
      <w:bookmarkEnd w:id="49"/>
    </w:p>
    <w:p>
      <w:pPr>
        <w:adjustRightInd w:val="0"/>
        <w:snapToGrid w:val="0"/>
        <w:spacing w:line="360" w:lineRule="exact"/>
        <w:ind w:firstLine="411" w:firstLineChars="196"/>
        <w:jc w:val="left"/>
        <w:rPr>
          <w:rFonts w:ascii="宋体" w:hAnsi="宋体" w:cs="宋体"/>
          <w:szCs w:val="21"/>
        </w:rPr>
      </w:pPr>
      <w:r>
        <w:rPr>
          <w:rFonts w:hint="eastAsia" w:ascii="宋体" w:hAnsi="宋体" w:cs="宋体"/>
          <w:szCs w:val="21"/>
        </w:rPr>
        <w:t>4、“产品”系指供方按招标文件规定，须向采购人提供的一切有关设备、软件、设施以及技术资料和材料。</w:t>
      </w:r>
    </w:p>
    <w:p>
      <w:pPr>
        <w:adjustRightInd w:val="0"/>
        <w:snapToGrid w:val="0"/>
        <w:spacing w:line="360" w:lineRule="exact"/>
        <w:ind w:firstLine="411" w:firstLineChars="196"/>
        <w:jc w:val="left"/>
        <w:rPr>
          <w:rFonts w:ascii="宋体" w:hAnsi="宋体" w:cs="宋体"/>
          <w:szCs w:val="21"/>
        </w:rPr>
      </w:pPr>
      <w:r>
        <w:rPr>
          <w:rFonts w:hint="eastAsia" w:ascii="宋体" w:hAnsi="宋体" w:cs="宋体"/>
          <w:szCs w:val="21"/>
        </w:rPr>
        <w:t>5、“服务”系指招标文件规定投标人须承担的需求调查、系统建设、设备运维、光纤和链路服务等义务。</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6、“项目”系指投标人按招标文件规定向采购人提供的产品和服务。</w:t>
      </w:r>
    </w:p>
    <w:p>
      <w:pPr>
        <w:adjustRightInd w:val="0"/>
        <w:snapToGrid w:val="0"/>
        <w:spacing w:line="360" w:lineRule="exact"/>
        <w:ind w:firstLine="411" w:firstLineChars="196"/>
        <w:jc w:val="left"/>
        <w:rPr>
          <w:rFonts w:ascii="宋体" w:hAnsi="宋体" w:cs="宋体"/>
          <w:szCs w:val="21"/>
        </w:rPr>
      </w:pPr>
      <w:r>
        <w:rPr>
          <w:rFonts w:hint="eastAsia" w:ascii="宋体" w:hAnsi="宋体" w:cs="宋体"/>
          <w:szCs w:val="21"/>
        </w:rPr>
        <w:t>7、“书面形式”包括信函、传真、电子文档、电子邮件等。</w:t>
      </w:r>
    </w:p>
    <w:p>
      <w:pPr>
        <w:adjustRightInd w:val="0"/>
        <w:snapToGrid w:val="0"/>
        <w:spacing w:line="360" w:lineRule="exact"/>
        <w:ind w:firstLine="411" w:firstLineChars="196"/>
        <w:jc w:val="left"/>
        <w:rPr>
          <w:rFonts w:ascii="宋体" w:hAnsi="宋体" w:cs="宋体"/>
          <w:szCs w:val="21"/>
        </w:rPr>
      </w:pPr>
      <w:r>
        <w:rPr>
          <w:rFonts w:hint="eastAsia" w:ascii="宋体" w:hAnsi="宋体" w:cs="宋体"/>
          <w:szCs w:val="21"/>
        </w:rPr>
        <w:t>8、“▲”系指实质性要求条款。</w:t>
      </w:r>
    </w:p>
    <w:p>
      <w:pPr>
        <w:adjustRightInd w:val="0"/>
        <w:snapToGrid w:val="0"/>
        <w:spacing w:line="360" w:lineRule="exact"/>
        <w:jc w:val="left"/>
        <w:rPr>
          <w:rFonts w:ascii="宋体" w:hAnsi="宋体" w:cs="宋体"/>
          <w:b/>
          <w:szCs w:val="21"/>
        </w:rPr>
      </w:pPr>
      <w:bookmarkStart w:id="50" w:name="_Toc177870539"/>
      <w:r>
        <w:rPr>
          <w:rFonts w:hint="eastAsia" w:ascii="宋体" w:hAnsi="宋体" w:cs="宋体"/>
          <w:b/>
          <w:szCs w:val="21"/>
        </w:rPr>
        <w:t>（三）招标方式</w:t>
      </w:r>
      <w:bookmarkEnd w:id="50"/>
      <w:r>
        <w:rPr>
          <w:rFonts w:hint="eastAsia" w:ascii="宋体" w:hAnsi="宋体" w:cs="宋体"/>
          <w:b/>
          <w:szCs w:val="21"/>
        </w:rPr>
        <w:t>：</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1、本次招标采用公开招标方式进行。</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2、本次招标设定上限价，上限价详见前附表。</w:t>
      </w:r>
    </w:p>
    <w:p>
      <w:pPr>
        <w:adjustRightInd w:val="0"/>
        <w:snapToGrid w:val="0"/>
        <w:spacing w:line="360" w:lineRule="exact"/>
        <w:jc w:val="left"/>
        <w:rPr>
          <w:rFonts w:ascii="宋体" w:hAnsi="宋体" w:cs="宋体"/>
          <w:b/>
          <w:szCs w:val="21"/>
        </w:rPr>
      </w:pPr>
      <w:bookmarkStart w:id="51" w:name="_Toc177870540"/>
      <w:bookmarkStart w:id="52" w:name="_Toc177825122"/>
      <w:bookmarkStart w:id="53" w:name="_Toc177824941"/>
      <w:bookmarkStart w:id="54" w:name="_Toc177824874"/>
      <w:r>
        <w:rPr>
          <w:rFonts w:hint="eastAsia" w:ascii="宋体" w:hAnsi="宋体" w:cs="宋体"/>
          <w:b/>
          <w:szCs w:val="21"/>
        </w:rPr>
        <w:t>（四）投标委托</w:t>
      </w:r>
      <w:bookmarkEnd w:id="51"/>
      <w:bookmarkEnd w:id="52"/>
      <w:bookmarkEnd w:id="53"/>
      <w:bookmarkEnd w:id="54"/>
    </w:p>
    <w:p>
      <w:pPr>
        <w:pStyle w:val="11"/>
        <w:adjustRightInd w:val="0"/>
        <w:snapToGrid w:val="0"/>
        <w:spacing w:line="360" w:lineRule="exact"/>
        <w:ind w:firstLine="420"/>
        <w:jc w:val="left"/>
        <w:rPr>
          <w:rFonts w:ascii="宋体" w:eastAsia="宋体" w:cs="宋体"/>
          <w:sz w:val="21"/>
          <w:szCs w:val="21"/>
        </w:rPr>
      </w:pPr>
      <w:r>
        <w:rPr>
          <w:rFonts w:hint="eastAsia" w:ascii="宋体" w:eastAsia="宋体" w:cs="宋体"/>
          <w:sz w:val="21"/>
          <w:szCs w:val="21"/>
        </w:rPr>
        <w:t>投标人代表须携带居民身份证，如投标人代表不是法定代表人，须有法定代表人出具的授权委托书（格式见第六章）。</w:t>
      </w:r>
    </w:p>
    <w:p>
      <w:pPr>
        <w:adjustRightInd w:val="0"/>
        <w:snapToGrid w:val="0"/>
        <w:spacing w:line="360" w:lineRule="exact"/>
        <w:jc w:val="left"/>
        <w:rPr>
          <w:rFonts w:ascii="宋体" w:hAnsi="宋体" w:cs="宋体"/>
          <w:b/>
          <w:szCs w:val="21"/>
        </w:rPr>
      </w:pPr>
      <w:bookmarkStart w:id="55" w:name="_Toc177870541"/>
      <w:bookmarkStart w:id="56" w:name="_Toc177824875"/>
      <w:bookmarkStart w:id="57" w:name="_Toc177824942"/>
      <w:bookmarkStart w:id="58" w:name="_Toc177825123"/>
      <w:r>
        <w:rPr>
          <w:rFonts w:hint="eastAsia" w:ascii="宋体" w:hAnsi="宋体" w:cs="宋体"/>
          <w:b/>
          <w:szCs w:val="21"/>
        </w:rPr>
        <w:t>（五）投标费用</w:t>
      </w:r>
      <w:bookmarkEnd w:id="55"/>
      <w:bookmarkEnd w:id="56"/>
      <w:bookmarkEnd w:id="57"/>
      <w:bookmarkEnd w:id="58"/>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不论投标结果如何，投标人均应自行承担所有与投标有关的全部费用。</w:t>
      </w:r>
    </w:p>
    <w:p>
      <w:pPr>
        <w:adjustRightInd w:val="0"/>
        <w:snapToGrid w:val="0"/>
        <w:spacing w:line="360" w:lineRule="exact"/>
        <w:rPr>
          <w:rFonts w:ascii="宋体" w:hAnsi="宋体" w:cs="宋体"/>
          <w:b/>
          <w:szCs w:val="21"/>
        </w:rPr>
      </w:pPr>
      <w:r>
        <w:rPr>
          <w:rFonts w:hint="eastAsia" w:ascii="宋体" w:hAnsi="宋体" w:cs="宋体"/>
          <w:b/>
          <w:szCs w:val="21"/>
        </w:rPr>
        <w:t>（六）合格投标人的资格要求</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符合第一章第五条的规定。</w:t>
      </w:r>
    </w:p>
    <w:p>
      <w:pPr>
        <w:adjustRightInd w:val="0"/>
        <w:snapToGrid w:val="0"/>
        <w:spacing w:line="360" w:lineRule="exact"/>
        <w:jc w:val="left"/>
        <w:rPr>
          <w:rFonts w:ascii="宋体" w:hAnsi="宋体" w:cs="宋体"/>
          <w:b/>
          <w:szCs w:val="21"/>
        </w:rPr>
      </w:pPr>
      <w:r>
        <w:rPr>
          <w:rFonts w:hint="eastAsia" w:ascii="宋体" w:hAnsi="宋体" w:cs="宋体"/>
          <w:b/>
          <w:szCs w:val="21"/>
        </w:rPr>
        <w:t>（七）转包与分包</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本项目不接受联合体投标，禁止转包，未经采购人同意不允许分包。</w:t>
      </w:r>
    </w:p>
    <w:p>
      <w:pPr>
        <w:adjustRightInd w:val="0"/>
        <w:snapToGrid w:val="0"/>
        <w:spacing w:line="360" w:lineRule="exact"/>
        <w:rPr>
          <w:rFonts w:ascii="宋体" w:hAnsi="宋体" w:cs="宋体"/>
          <w:b/>
        </w:rPr>
      </w:pPr>
      <w:r>
        <w:rPr>
          <w:rFonts w:hint="eastAsia" w:ascii="宋体" w:hAnsi="宋体" w:cs="宋体"/>
          <w:b/>
        </w:rPr>
        <w:t>（</w:t>
      </w:r>
      <w:r>
        <w:rPr>
          <w:rFonts w:hint="eastAsia" w:ascii="宋体" w:hAnsi="宋体" w:cs="宋体"/>
          <w:b/>
          <w:szCs w:val="21"/>
        </w:rPr>
        <w:t>八</w:t>
      </w:r>
      <w:r>
        <w:rPr>
          <w:rFonts w:hint="eastAsia" w:ascii="宋体" w:hAnsi="宋体" w:cs="宋体"/>
          <w:b/>
        </w:rPr>
        <w:t>）</w:t>
      </w:r>
      <w:bookmarkStart w:id="59" w:name="_Toc177870542"/>
      <w:r>
        <w:rPr>
          <w:rFonts w:hint="eastAsia" w:ascii="宋体" w:hAnsi="宋体" w:cs="宋体"/>
          <w:b/>
        </w:rPr>
        <w:t>特别说明：</w:t>
      </w:r>
      <w:bookmarkEnd w:id="59"/>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多家投标人参加投标，如其中两家或两家以上投标人的法定代表人为同一人或相互之间存在投资关系且达到控股的，同时提供的是同一品牌产品的，应当按一个投标人认定。评审时，取其中通过资格审查后的报价最低的一家为有效投标人；当报价相同时，则以技术标最优一家为有效投标人；均相同时，由评标委员会集体决定。</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多家代理商或经销商参加投标，如其中两家或两家以上投标人存在分级代理或代销关系，且提供的是其所代理品牌产品的，评审时，按上述规定确定其中一家为有效投标人。</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2、除招标文件另有规定外，投标人投标所使用的资格、信誉、荣誉、业绩与企业认证必须为本法人所拥有。投标人投标所使用的采购项目实施人员必须为本法人员工或其控股公司正式员工。</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4、投标人应仔细阅读招标文件所有内容，对招标文件的要求作出实质性响应，按照招标文件的要求提交投标文件，并对所提供的全部资料的真实性承担法律责任。</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5、投标人一旦递交了投标（响应）文件，即被视为接受了本招标文件的所有内容，如有任何异议，均应在答疑截止时间前提出。</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6、投标文件前后描述不一，评审时将按不利于投标人的一种描述进行评审（评标委员会按招标文件规定允许投标人予以澄清的除外）。</w:t>
      </w:r>
    </w:p>
    <w:p>
      <w:pPr>
        <w:adjustRightInd w:val="0"/>
        <w:snapToGrid w:val="0"/>
        <w:spacing w:line="400" w:lineRule="exact"/>
        <w:rPr>
          <w:rFonts w:ascii="宋体" w:hAnsi="宋体" w:cs="宋体"/>
          <w:b/>
        </w:rPr>
      </w:pPr>
      <w:bookmarkStart w:id="60" w:name="_Toc177870543"/>
      <w:r>
        <w:rPr>
          <w:rFonts w:hint="eastAsia" w:ascii="宋体" w:hAnsi="宋体" w:cs="宋体"/>
          <w:b/>
        </w:rPr>
        <w:t>（九）质疑</w:t>
      </w:r>
      <w:bookmarkEnd w:id="60"/>
      <w:r>
        <w:rPr>
          <w:rFonts w:hint="eastAsia" w:ascii="宋体" w:hAnsi="宋体" w:cs="宋体"/>
          <w:b/>
        </w:rPr>
        <w:t>和投诉</w:t>
      </w:r>
    </w:p>
    <w:p>
      <w:pPr>
        <w:snapToGrid w:val="0"/>
        <w:spacing w:line="400" w:lineRule="exact"/>
        <w:ind w:firstLine="420" w:firstLineChars="200"/>
        <w:rPr>
          <w:rFonts w:ascii="宋体" w:hAnsi="宋体" w:cs="宋体"/>
          <w:snapToGrid w:val="0"/>
          <w:kern w:val="0"/>
        </w:rPr>
      </w:pPr>
      <w:bookmarkStart w:id="61" w:name="_Toc222632755"/>
      <w:bookmarkStart w:id="62" w:name="_Toc317341939"/>
      <w:r>
        <w:rPr>
          <w:rFonts w:hint="eastAsia" w:ascii="宋体" w:hAnsi="宋体" w:cs="宋体"/>
          <w:snapToGrid w:val="0"/>
          <w:kern w:val="0"/>
        </w:rPr>
        <w:t xml:space="preserve">根据《中华人民共和国政府采购法》和《政府采购质疑和投诉办法》(财政部令第94号)的规定，投标人对政府采购活动事项有疑问的，可以向采购人和招标代理机构提出询问，采购人和招标代理机构应当及时作出答复，但答复的内容不得涉及商业秘密。  </w:t>
      </w:r>
    </w:p>
    <w:p>
      <w:pPr>
        <w:snapToGrid w:val="0"/>
        <w:spacing w:line="400" w:lineRule="exact"/>
        <w:ind w:firstLine="420" w:firstLineChars="200"/>
        <w:rPr>
          <w:rFonts w:ascii="宋体" w:hAnsi="宋体" w:cs="宋体"/>
        </w:rPr>
      </w:pPr>
      <w:r>
        <w:rPr>
          <w:rFonts w:hint="eastAsia" w:ascii="宋体" w:hAnsi="宋体" w:cs="宋体"/>
          <w:snapToGrid w:val="0"/>
          <w:kern w:val="0"/>
        </w:rPr>
        <w:t>1、</w:t>
      </w:r>
      <w:r>
        <w:rPr>
          <w:rFonts w:hint="eastAsia" w:ascii="宋体" w:hAnsi="宋体" w:cs="宋体"/>
        </w:rPr>
        <w:t>投标人认为</w:t>
      </w:r>
      <w:r>
        <w:rPr>
          <w:rFonts w:hint="eastAsia" w:ascii="宋体" w:hAnsi="宋体" w:cs="宋体"/>
          <w:szCs w:val="21"/>
        </w:rPr>
        <w:t>招标</w:t>
      </w:r>
      <w:r>
        <w:rPr>
          <w:rFonts w:hint="eastAsia" w:ascii="宋体" w:hAnsi="宋体" w:cs="宋体"/>
        </w:rPr>
        <w:t>文件、采购过程和中标、中标结果使自己的权益受到损害的，应当在知道或者应知其权益受到损害之日起七个工作日内，以书面形式向采购人、采购代理机构提出质疑。质疑起算日期如下：</w:t>
      </w:r>
    </w:p>
    <w:p>
      <w:pPr>
        <w:snapToGrid w:val="0"/>
        <w:spacing w:line="400" w:lineRule="exact"/>
        <w:ind w:firstLine="315" w:firstLineChars="150"/>
        <w:rPr>
          <w:rFonts w:ascii="宋体" w:hAnsi="宋体" w:cs="宋体"/>
        </w:rPr>
      </w:pPr>
      <w:r>
        <w:rPr>
          <w:rFonts w:hint="eastAsia" w:ascii="宋体" w:hAnsi="宋体" w:cs="宋体"/>
        </w:rPr>
        <w:t>（1）对可以质疑的</w:t>
      </w:r>
      <w:r>
        <w:rPr>
          <w:rFonts w:hint="eastAsia" w:ascii="宋体" w:hAnsi="宋体" w:cs="宋体"/>
          <w:szCs w:val="21"/>
        </w:rPr>
        <w:t>招标</w:t>
      </w:r>
      <w:r>
        <w:rPr>
          <w:rFonts w:hint="eastAsia" w:ascii="宋体" w:hAnsi="宋体" w:cs="宋体"/>
        </w:rPr>
        <w:t>文件提出质疑的，为收到招标文件之日或者招标文件公告期限届满之日</w:t>
      </w:r>
      <w:r>
        <w:rPr>
          <w:rFonts w:hint="eastAsia" w:ascii="宋体" w:hAnsi="宋体" w:cs="宋体"/>
          <w:szCs w:val="21"/>
        </w:rPr>
        <w:t>（公告期限届满后获取招标文件的，以公告期限届满之日为准）</w:t>
      </w:r>
      <w:r>
        <w:rPr>
          <w:rFonts w:hint="eastAsia" w:ascii="宋体" w:hAnsi="宋体" w:cs="宋体"/>
        </w:rPr>
        <w:t>；</w:t>
      </w:r>
    </w:p>
    <w:p>
      <w:pPr>
        <w:snapToGrid w:val="0"/>
        <w:spacing w:line="400" w:lineRule="exact"/>
        <w:ind w:firstLine="315" w:firstLineChars="150"/>
        <w:rPr>
          <w:rFonts w:ascii="宋体" w:hAnsi="宋体" w:cs="宋体"/>
        </w:rPr>
      </w:pPr>
      <w:r>
        <w:rPr>
          <w:rFonts w:hint="eastAsia" w:ascii="宋体" w:hAnsi="宋体" w:cs="宋体"/>
        </w:rPr>
        <w:t>（2）对采购过程提出质疑的，为各采购程序环节结束之日；</w:t>
      </w:r>
    </w:p>
    <w:p>
      <w:pPr>
        <w:snapToGrid w:val="0"/>
        <w:spacing w:line="400" w:lineRule="exact"/>
        <w:ind w:firstLine="315" w:firstLineChars="150"/>
        <w:rPr>
          <w:rFonts w:ascii="宋体" w:hAnsi="宋体" w:cs="宋体"/>
        </w:rPr>
      </w:pPr>
      <w:r>
        <w:rPr>
          <w:rFonts w:hint="eastAsia" w:ascii="宋体" w:hAnsi="宋体" w:cs="宋体"/>
        </w:rPr>
        <w:t>（3）对中标结果提出质疑的，为中标结果公告期限届满之日。</w:t>
      </w:r>
    </w:p>
    <w:p>
      <w:pPr>
        <w:snapToGrid w:val="0"/>
        <w:spacing w:line="400" w:lineRule="exact"/>
        <w:ind w:firstLine="420" w:firstLineChars="200"/>
        <w:rPr>
          <w:rFonts w:ascii="宋体" w:hAnsi="宋体" w:cs="宋体"/>
        </w:rPr>
      </w:pPr>
      <w:r>
        <w:rPr>
          <w:rFonts w:hint="eastAsia" w:ascii="宋体" w:hAnsi="宋体" w:cs="宋体"/>
          <w:snapToGrid w:val="0"/>
          <w:kern w:val="0"/>
        </w:rPr>
        <w:t>2、</w:t>
      </w:r>
      <w:r>
        <w:rPr>
          <w:rFonts w:hint="eastAsia" w:ascii="宋体" w:hAnsi="宋体" w:cs="宋体"/>
        </w:rPr>
        <w:t>质疑投标人对采购人、采购代理机构的答复不满意或者采购人、采购代理机构未在规定时间内作出答复的，可以在答复期满后十五个工作日内向同级政府采购监管部门投诉。</w:t>
      </w:r>
    </w:p>
    <w:p>
      <w:pPr>
        <w:snapToGrid w:val="0"/>
        <w:spacing w:line="400" w:lineRule="exact"/>
        <w:ind w:firstLine="420" w:firstLineChars="200"/>
        <w:rPr>
          <w:rFonts w:ascii="宋体" w:hAnsi="宋体" w:cs="宋体"/>
        </w:rPr>
      </w:pPr>
      <w:r>
        <w:rPr>
          <w:rFonts w:hint="eastAsia" w:ascii="宋体" w:hAnsi="宋体" w:cs="宋体"/>
        </w:rPr>
        <w:t>3、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pPr>
        <w:snapToGrid w:val="0"/>
        <w:spacing w:line="400" w:lineRule="exact"/>
        <w:ind w:firstLine="420" w:firstLineChars="200"/>
        <w:rPr>
          <w:rFonts w:ascii="宋体" w:hAnsi="宋体" w:cs="宋体"/>
        </w:rPr>
      </w:pPr>
      <w:r>
        <w:rPr>
          <w:rFonts w:hint="eastAsia" w:ascii="宋体" w:hAnsi="宋体" w:cs="宋体"/>
        </w:rPr>
        <w:t>质疑书、投诉书均应明确阐述招标文件、招标过程和中标结果中使自己合法权益受到损害的实质性内容，提供相关事实、依据和证据及其来源或线索，便于有关单位调查、答复和处理。</w:t>
      </w:r>
    </w:p>
    <w:p>
      <w:pPr>
        <w:snapToGrid w:val="0"/>
        <w:spacing w:line="400" w:lineRule="exact"/>
        <w:ind w:firstLine="420" w:firstLineChars="200"/>
        <w:rPr>
          <w:rFonts w:ascii="宋体" w:hAnsi="宋体" w:cs="宋体"/>
          <w:snapToGrid w:val="0"/>
          <w:kern w:val="0"/>
        </w:rPr>
      </w:pPr>
      <w:r>
        <w:rPr>
          <w:rFonts w:hint="eastAsia" w:ascii="宋体" w:hAnsi="宋体" w:cs="宋体"/>
        </w:rPr>
        <w:t>4</w:t>
      </w:r>
      <w:r>
        <w:rPr>
          <w:rFonts w:hint="eastAsia" w:ascii="宋体" w:hAnsi="宋体" w:cs="宋体"/>
          <w:snapToGrid w:val="0"/>
          <w:kern w:val="0"/>
        </w:rPr>
        <w:t>、对于询问的处理：采购人或者采购代理机构应当在3个工作日内对投标人依法提出的询问作出答复。</w:t>
      </w:r>
    </w:p>
    <w:p>
      <w:pPr>
        <w:snapToGrid w:val="0"/>
        <w:spacing w:line="400" w:lineRule="exact"/>
        <w:ind w:firstLine="420" w:firstLineChars="200"/>
        <w:rPr>
          <w:rFonts w:ascii="宋体" w:hAnsi="宋体" w:cs="宋体"/>
          <w:snapToGrid w:val="0"/>
          <w:kern w:val="0"/>
        </w:rPr>
      </w:pPr>
      <w:r>
        <w:rPr>
          <w:rFonts w:hint="eastAsia" w:ascii="宋体" w:hAnsi="宋体" w:cs="宋体"/>
          <w:snapToGrid w:val="0"/>
          <w:kern w:val="0"/>
        </w:rPr>
        <w:t>投标人提出的询问或者质疑超出采购人对采购代理机构委托授权范围的，采购代理机构应当告知投标人向采购人提出。</w:t>
      </w:r>
    </w:p>
    <w:p/>
    <w:p>
      <w:pPr>
        <w:pStyle w:val="4"/>
        <w:spacing w:before="0" w:after="0" w:line="240" w:lineRule="auto"/>
        <w:rPr>
          <w:rFonts w:ascii="宋体" w:hAnsi="宋体" w:eastAsia="宋体" w:cs="宋体"/>
          <w:sz w:val="24"/>
          <w:szCs w:val="24"/>
        </w:rPr>
      </w:pPr>
      <w:bookmarkStart w:id="63" w:name="_Toc19577"/>
      <w:bookmarkStart w:id="64" w:name="_Toc21697"/>
      <w:bookmarkStart w:id="65" w:name="_Toc18204"/>
      <w:bookmarkStart w:id="66" w:name="_Toc6470"/>
      <w:r>
        <w:rPr>
          <w:rFonts w:hint="eastAsia" w:ascii="宋体" w:hAnsi="宋体" w:eastAsia="宋体" w:cs="宋体"/>
          <w:sz w:val="24"/>
          <w:szCs w:val="24"/>
        </w:rPr>
        <w:t>二、招标文件</w:t>
      </w:r>
      <w:bookmarkEnd w:id="61"/>
      <w:bookmarkEnd w:id="62"/>
      <w:bookmarkEnd w:id="63"/>
      <w:bookmarkEnd w:id="64"/>
      <w:bookmarkEnd w:id="65"/>
      <w:bookmarkEnd w:id="66"/>
    </w:p>
    <w:p>
      <w:pPr>
        <w:adjustRightInd w:val="0"/>
        <w:snapToGrid w:val="0"/>
        <w:spacing w:line="360" w:lineRule="exact"/>
        <w:rPr>
          <w:rFonts w:ascii="宋体" w:hAnsi="宋体" w:cs="宋体"/>
          <w:b/>
        </w:rPr>
      </w:pPr>
      <w:r>
        <w:rPr>
          <w:rFonts w:hint="eastAsia" w:ascii="宋体" w:hAnsi="宋体" w:cs="宋体"/>
          <w:b/>
        </w:rPr>
        <w:t>（一）招标文件的构成。本招标文件由以下部份组成：</w:t>
      </w:r>
    </w:p>
    <w:p>
      <w:pPr>
        <w:adjustRightInd w:val="0"/>
        <w:snapToGrid w:val="0"/>
        <w:spacing w:line="360" w:lineRule="exact"/>
        <w:ind w:firstLine="420" w:firstLineChars="200"/>
        <w:rPr>
          <w:rFonts w:ascii="宋体" w:hAnsi="宋体" w:cs="宋体"/>
        </w:rPr>
      </w:pPr>
      <w:r>
        <w:rPr>
          <w:rFonts w:hint="eastAsia" w:ascii="宋体" w:hAnsi="宋体" w:cs="宋体"/>
        </w:rPr>
        <w:t>1、招标公告；</w:t>
      </w:r>
    </w:p>
    <w:p>
      <w:pPr>
        <w:adjustRightInd w:val="0"/>
        <w:snapToGrid w:val="0"/>
        <w:spacing w:line="360" w:lineRule="exact"/>
        <w:ind w:firstLine="420" w:firstLineChars="200"/>
        <w:rPr>
          <w:rFonts w:ascii="宋体" w:hAnsi="宋体" w:cs="宋体"/>
        </w:rPr>
      </w:pPr>
      <w:r>
        <w:rPr>
          <w:rFonts w:hint="eastAsia" w:ascii="宋体" w:hAnsi="宋体" w:cs="宋体"/>
        </w:rPr>
        <w:t>2、招标需求；</w:t>
      </w:r>
    </w:p>
    <w:p>
      <w:pPr>
        <w:adjustRightInd w:val="0"/>
        <w:snapToGrid w:val="0"/>
        <w:spacing w:line="360" w:lineRule="exact"/>
        <w:ind w:firstLine="420" w:firstLineChars="200"/>
        <w:rPr>
          <w:rFonts w:ascii="宋体" w:hAnsi="宋体" w:cs="宋体"/>
        </w:rPr>
      </w:pPr>
      <w:r>
        <w:rPr>
          <w:rFonts w:hint="eastAsia" w:ascii="宋体" w:hAnsi="宋体" w:cs="宋体"/>
        </w:rPr>
        <w:t>3、投标人须知；</w:t>
      </w:r>
    </w:p>
    <w:p>
      <w:pPr>
        <w:adjustRightInd w:val="0"/>
        <w:snapToGrid w:val="0"/>
        <w:spacing w:line="360" w:lineRule="exact"/>
        <w:ind w:firstLine="420" w:firstLineChars="200"/>
        <w:rPr>
          <w:rFonts w:ascii="宋体" w:hAnsi="宋体" w:cs="宋体"/>
        </w:rPr>
      </w:pPr>
      <w:r>
        <w:rPr>
          <w:rFonts w:hint="eastAsia" w:ascii="宋体" w:hAnsi="宋体" w:cs="宋体"/>
        </w:rPr>
        <w:t>4、评标办法及标准；</w:t>
      </w:r>
    </w:p>
    <w:p>
      <w:pPr>
        <w:adjustRightInd w:val="0"/>
        <w:snapToGrid w:val="0"/>
        <w:spacing w:line="360" w:lineRule="exact"/>
        <w:ind w:firstLine="420" w:firstLineChars="200"/>
        <w:rPr>
          <w:rFonts w:ascii="宋体" w:hAnsi="宋体" w:cs="宋体"/>
        </w:rPr>
      </w:pPr>
      <w:r>
        <w:rPr>
          <w:rFonts w:hint="eastAsia" w:ascii="宋体" w:hAnsi="宋体" w:cs="宋体"/>
        </w:rPr>
        <w:t>5、合同主要条款；</w:t>
      </w:r>
    </w:p>
    <w:p>
      <w:pPr>
        <w:adjustRightInd w:val="0"/>
        <w:snapToGrid w:val="0"/>
        <w:spacing w:line="360" w:lineRule="exact"/>
        <w:ind w:firstLine="420" w:firstLineChars="200"/>
        <w:rPr>
          <w:rFonts w:ascii="宋体" w:hAnsi="宋体" w:cs="宋体"/>
        </w:rPr>
      </w:pPr>
      <w:r>
        <w:rPr>
          <w:rFonts w:hint="eastAsia" w:ascii="宋体" w:hAnsi="宋体" w:cs="宋体"/>
        </w:rPr>
        <w:t>6、投标文件格式；</w:t>
      </w:r>
    </w:p>
    <w:p>
      <w:pPr>
        <w:adjustRightInd w:val="0"/>
        <w:snapToGrid w:val="0"/>
        <w:spacing w:line="360" w:lineRule="exact"/>
        <w:ind w:firstLine="420" w:firstLineChars="200"/>
        <w:rPr>
          <w:rFonts w:ascii="宋体" w:hAnsi="宋体" w:cs="宋体"/>
        </w:rPr>
      </w:pPr>
      <w:r>
        <w:rPr>
          <w:rFonts w:hint="eastAsia" w:ascii="宋体" w:hAnsi="宋体" w:cs="宋体"/>
        </w:rPr>
        <w:t>7、本项目招标文件的澄清、答复、修改、补充的内容。</w:t>
      </w:r>
    </w:p>
    <w:p>
      <w:pPr>
        <w:adjustRightInd w:val="0"/>
        <w:snapToGrid w:val="0"/>
        <w:spacing w:line="360" w:lineRule="exact"/>
        <w:rPr>
          <w:rFonts w:ascii="宋体" w:hAnsi="宋体" w:cs="宋体"/>
          <w:b/>
        </w:rPr>
      </w:pPr>
      <w:r>
        <w:rPr>
          <w:rFonts w:hint="eastAsia" w:ascii="宋体" w:hAnsi="宋体" w:cs="宋体"/>
          <w:b/>
        </w:rPr>
        <w:t>（二）投标人的风险</w:t>
      </w:r>
    </w:p>
    <w:p>
      <w:pPr>
        <w:adjustRightInd w:val="0"/>
        <w:snapToGrid w:val="0"/>
        <w:spacing w:line="360" w:lineRule="exact"/>
        <w:ind w:firstLine="420" w:firstLineChars="200"/>
        <w:rPr>
          <w:rFonts w:ascii="宋体" w:hAnsi="宋体" w:cs="宋体"/>
        </w:rPr>
      </w:pPr>
      <w:r>
        <w:rPr>
          <w:rFonts w:hint="eastAsia" w:ascii="宋体" w:hAnsi="宋体" w:cs="宋体"/>
        </w:rPr>
        <w:t>投标人没有按照招标文件要求提供全部资料，或者投标人没有对招标文件在各方面作出实质性响应是投标人的风险，并可能导致其投标被拒绝。</w:t>
      </w:r>
    </w:p>
    <w:p>
      <w:pPr>
        <w:adjustRightInd w:val="0"/>
        <w:snapToGrid w:val="0"/>
        <w:spacing w:line="360" w:lineRule="exact"/>
        <w:rPr>
          <w:rFonts w:ascii="宋体" w:hAnsi="宋体" w:cs="宋体"/>
          <w:b/>
        </w:rPr>
      </w:pPr>
      <w:r>
        <w:rPr>
          <w:rFonts w:hint="eastAsia" w:ascii="宋体" w:hAnsi="宋体" w:cs="宋体"/>
          <w:b/>
        </w:rPr>
        <w:t xml:space="preserve">（三）招标文件的澄清与修改 </w:t>
      </w:r>
    </w:p>
    <w:p>
      <w:pPr>
        <w:adjustRightInd w:val="0"/>
        <w:snapToGrid w:val="0"/>
        <w:spacing w:line="360" w:lineRule="exact"/>
        <w:ind w:firstLine="420" w:firstLineChars="200"/>
        <w:rPr>
          <w:rFonts w:ascii="宋体" w:hAnsi="宋体" w:cs="宋体"/>
        </w:rPr>
      </w:pPr>
      <w:r>
        <w:rPr>
          <w:rFonts w:hint="eastAsia" w:ascii="宋体" w:hAnsi="宋体" w:cs="宋体"/>
        </w:rPr>
        <w:t>1、投标人应认真阅读本招标文件，发现其中有误或有要求不合理的，投标人必须在投标须知前附表规定的招标文件答疑与澄清截止时间前以书面形式要求采购人和采购代理机构澄清。</w:t>
      </w:r>
    </w:p>
    <w:p>
      <w:pPr>
        <w:adjustRightInd w:val="0"/>
        <w:snapToGrid w:val="0"/>
        <w:spacing w:line="360" w:lineRule="exact"/>
        <w:ind w:firstLine="420" w:firstLineChars="200"/>
        <w:rPr>
          <w:rFonts w:ascii="宋体" w:hAnsi="宋体" w:cs="宋体"/>
        </w:rPr>
      </w:pPr>
      <w:r>
        <w:rPr>
          <w:rFonts w:hint="eastAsia" w:ascii="宋体" w:hAnsi="宋体" w:cs="宋体"/>
        </w:rPr>
        <w:t>2、采购人和采购代理机构必须以书面形式答复投标人要求澄清的问题，并将不包含问题来源的答复书面通知所有购买招标文件的投标人；除书面答复以外的其他澄清方式及澄清内容均无效。</w:t>
      </w:r>
    </w:p>
    <w:p>
      <w:pPr>
        <w:adjustRightInd w:val="0"/>
        <w:snapToGrid w:val="0"/>
        <w:spacing w:line="360" w:lineRule="exact"/>
        <w:ind w:firstLine="420" w:firstLineChars="200"/>
        <w:rPr>
          <w:rFonts w:ascii="宋体" w:hAnsi="宋体" w:cs="宋体"/>
        </w:rPr>
      </w:pPr>
      <w:r>
        <w:rPr>
          <w:rFonts w:hint="eastAsia" w:ascii="宋体" w:hAnsi="宋体" w:cs="宋体"/>
        </w:rPr>
        <w:t>3、采购人和采购代理机构对已发出的招标文件进行必要澄清、答复、修改或补充的，应在浙江政府采购网（</w:t>
      </w:r>
      <w:r>
        <w:rPr>
          <w:rFonts w:hint="eastAsia" w:ascii="宋体" w:hAnsi="宋体" w:cs="宋体"/>
          <w:szCs w:val="21"/>
        </w:rPr>
        <w:t>http://zfcg.czt.zj.gov.cn/</w:t>
      </w:r>
      <w:r>
        <w:rPr>
          <w:rFonts w:hint="eastAsia" w:ascii="宋体" w:hAnsi="宋体" w:cs="宋体"/>
        </w:rPr>
        <w:t>）上发布公告，并以书面形式通知所有招标文件收受人。</w:t>
      </w:r>
    </w:p>
    <w:p>
      <w:pPr>
        <w:adjustRightInd w:val="0"/>
        <w:snapToGrid w:val="0"/>
        <w:spacing w:line="360" w:lineRule="exact"/>
        <w:ind w:firstLine="420" w:firstLineChars="200"/>
        <w:rPr>
          <w:rFonts w:ascii="宋体" w:hAnsi="宋体" w:cs="宋体"/>
        </w:rPr>
      </w:pPr>
      <w:r>
        <w:rPr>
          <w:rFonts w:hint="eastAsia" w:ascii="宋体" w:hAnsi="宋体" w:cs="宋体"/>
        </w:rPr>
        <w:t>4、为保证投标人有足够的时间按修改、补充后的招标文件的要求编制和修正其投标文件，采购人和采购代理机构可依法酌情推迟投标截止时间和开标时间。</w:t>
      </w:r>
    </w:p>
    <w:p>
      <w:pPr>
        <w:adjustRightInd w:val="0"/>
        <w:snapToGrid w:val="0"/>
        <w:spacing w:line="360" w:lineRule="exact"/>
        <w:ind w:firstLine="420" w:firstLineChars="200"/>
        <w:rPr>
          <w:rFonts w:ascii="宋体" w:hAnsi="宋体" w:cs="宋体"/>
        </w:rPr>
      </w:pPr>
      <w:r>
        <w:rPr>
          <w:rFonts w:hint="eastAsia" w:ascii="宋体" w:hAnsi="宋体" w:cs="宋体"/>
        </w:rPr>
        <w:t>5、招标文件澄清、答复、修改、补充的内容为招标文件的组成部分。当招标文件与招标文件的答复、澄清、修改、补充通知就同一内容的表述不一致时，以最后发出的书面文件为准。</w:t>
      </w:r>
    </w:p>
    <w:p>
      <w:pPr>
        <w:adjustRightInd w:val="0"/>
        <w:snapToGrid w:val="0"/>
        <w:spacing w:line="360" w:lineRule="exact"/>
        <w:ind w:firstLine="420" w:firstLineChars="200"/>
        <w:rPr>
          <w:rFonts w:ascii="宋体" w:hAnsi="宋体" w:cs="宋体"/>
        </w:rPr>
      </w:pPr>
    </w:p>
    <w:p>
      <w:pPr>
        <w:pStyle w:val="4"/>
        <w:spacing w:before="0" w:after="0" w:line="240" w:lineRule="auto"/>
        <w:rPr>
          <w:rFonts w:ascii="宋体" w:hAnsi="宋体" w:eastAsia="宋体" w:cs="宋体"/>
          <w:sz w:val="24"/>
          <w:szCs w:val="24"/>
        </w:rPr>
      </w:pPr>
      <w:bookmarkStart w:id="67" w:name="_Toc18130"/>
      <w:bookmarkStart w:id="68" w:name="_Toc6078"/>
      <w:bookmarkStart w:id="69" w:name="_Toc222632756"/>
      <w:bookmarkStart w:id="70" w:name="_Toc317341940"/>
      <w:bookmarkStart w:id="71" w:name="_Toc16999"/>
      <w:bookmarkStart w:id="72" w:name="_Toc13474"/>
      <w:r>
        <w:rPr>
          <w:rFonts w:hint="eastAsia" w:ascii="宋体" w:hAnsi="宋体" w:eastAsia="宋体" w:cs="宋体"/>
          <w:sz w:val="24"/>
          <w:szCs w:val="24"/>
        </w:rPr>
        <w:t>三、投标文件的编制</w:t>
      </w:r>
      <w:bookmarkEnd w:id="67"/>
      <w:bookmarkEnd w:id="68"/>
      <w:bookmarkEnd w:id="69"/>
      <w:bookmarkEnd w:id="70"/>
      <w:r>
        <w:rPr>
          <w:rFonts w:hint="eastAsia" w:ascii="宋体" w:hAnsi="宋体" w:eastAsia="宋体" w:cs="宋体"/>
          <w:sz w:val="24"/>
          <w:szCs w:val="24"/>
        </w:rPr>
        <w:t>及递交</w:t>
      </w:r>
      <w:bookmarkEnd w:id="71"/>
      <w:bookmarkEnd w:id="72"/>
    </w:p>
    <w:p>
      <w:pPr>
        <w:adjustRightInd w:val="0"/>
        <w:snapToGrid w:val="0"/>
        <w:spacing w:line="360" w:lineRule="exact"/>
        <w:jc w:val="left"/>
        <w:rPr>
          <w:rFonts w:ascii="宋体" w:hAnsi="宋体" w:cs="宋体"/>
          <w:b/>
          <w:szCs w:val="21"/>
        </w:rPr>
      </w:pPr>
      <w:bookmarkStart w:id="73" w:name="_Toc177870546"/>
      <w:bookmarkStart w:id="74" w:name="_Toc177824943"/>
      <w:bookmarkStart w:id="75" w:name="_Toc177824876"/>
      <w:bookmarkStart w:id="76" w:name="_Toc177825124"/>
      <w:r>
        <w:rPr>
          <w:rFonts w:hint="eastAsia" w:ascii="宋体" w:hAnsi="宋体" w:cs="宋体"/>
          <w:b/>
          <w:szCs w:val="21"/>
        </w:rPr>
        <w:t>（一）投标文件的组成</w:t>
      </w:r>
      <w:bookmarkEnd w:id="73"/>
      <w:bookmarkEnd w:id="74"/>
      <w:bookmarkEnd w:id="75"/>
      <w:bookmarkEnd w:id="76"/>
      <w:r>
        <w:rPr>
          <w:rFonts w:hint="eastAsia" w:ascii="宋体" w:hAnsi="宋体" w:cs="宋体"/>
          <w:sz w:val="32"/>
        </w:rPr>
        <w:t xml:space="preserve"> </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投标文件由</w:t>
      </w:r>
      <w:r>
        <w:rPr>
          <w:rFonts w:hint="eastAsia" w:ascii="宋体" w:hAnsi="宋体" w:cs="宋体"/>
          <w:b/>
          <w:szCs w:val="21"/>
        </w:rPr>
        <w:t>资格证明文件</w:t>
      </w:r>
      <w:r>
        <w:rPr>
          <w:rFonts w:hint="eastAsia" w:ascii="宋体" w:hAnsi="宋体" w:cs="宋体"/>
          <w:szCs w:val="21"/>
        </w:rPr>
        <w:t>、</w:t>
      </w:r>
      <w:r>
        <w:rPr>
          <w:rFonts w:hint="eastAsia" w:ascii="宋体" w:hAnsi="宋体" w:cs="宋体"/>
          <w:b/>
          <w:szCs w:val="21"/>
        </w:rPr>
        <w:t>技术资信文件、报价文件</w:t>
      </w:r>
      <w:r>
        <w:rPr>
          <w:rFonts w:hint="eastAsia" w:ascii="宋体" w:hAnsi="宋体" w:cs="宋体"/>
          <w:szCs w:val="21"/>
        </w:rPr>
        <w:t>组成。</w:t>
      </w:r>
    </w:p>
    <w:p>
      <w:pPr>
        <w:adjustRightInd w:val="0"/>
        <w:snapToGrid w:val="0"/>
        <w:spacing w:line="360" w:lineRule="exact"/>
        <w:ind w:firstLine="422" w:firstLineChars="200"/>
        <w:jc w:val="left"/>
        <w:rPr>
          <w:rFonts w:ascii="宋体" w:hAnsi="宋体" w:cs="宋体"/>
          <w:b/>
          <w:szCs w:val="21"/>
        </w:rPr>
      </w:pPr>
      <w:r>
        <w:rPr>
          <w:rFonts w:hint="eastAsia" w:ascii="宋体" w:hAnsi="宋体" w:cs="宋体"/>
          <w:b/>
          <w:szCs w:val="21"/>
        </w:rPr>
        <w:t>1、资格证明文件包括：</w:t>
      </w:r>
    </w:p>
    <w:p>
      <w:pPr>
        <w:numPr>
          <w:ilvl w:val="0"/>
          <w:numId w:val="4"/>
        </w:numPr>
        <w:tabs>
          <w:tab w:val="clear" w:pos="533"/>
        </w:tabs>
        <w:adjustRightInd w:val="0"/>
        <w:snapToGrid w:val="0"/>
        <w:spacing w:line="360" w:lineRule="exact"/>
        <w:jc w:val="left"/>
        <w:rPr>
          <w:rFonts w:ascii="宋体" w:hAnsi="宋体" w:cs="宋体"/>
          <w:szCs w:val="21"/>
        </w:rPr>
      </w:pPr>
      <w:r>
        <w:rPr>
          <w:rFonts w:hint="eastAsia" w:ascii="宋体" w:hAnsi="宋体" w:cs="宋体"/>
          <w:szCs w:val="21"/>
        </w:rPr>
        <w:t>投标资格声明书（格式见第六章）；</w:t>
      </w:r>
    </w:p>
    <w:p>
      <w:pPr>
        <w:numPr>
          <w:ilvl w:val="0"/>
          <w:numId w:val="4"/>
        </w:numPr>
        <w:tabs>
          <w:tab w:val="clear" w:pos="533"/>
        </w:tabs>
        <w:adjustRightInd w:val="0"/>
        <w:snapToGrid w:val="0"/>
        <w:spacing w:line="360" w:lineRule="exact"/>
        <w:jc w:val="left"/>
        <w:rPr>
          <w:rFonts w:ascii="宋体" w:hAnsi="宋体" w:cs="宋体"/>
          <w:szCs w:val="21"/>
        </w:rPr>
      </w:pPr>
      <w:r>
        <w:rPr>
          <w:rFonts w:hint="eastAsia" w:ascii="宋体" w:hAnsi="宋体" w:cs="宋体"/>
          <w:szCs w:val="21"/>
        </w:rPr>
        <w:t>法定代表人身份证明书、法定代表人授权委托书（格式见第六章）</w:t>
      </w:r>
    </w:p>
    <w:p>
      <w:pPr>
        <w:numPr>
          <w:ilvl w:val="0"/>
          <w:numId w:val="4"/>
        </w:numPr>
        <w:tabs>
          <w:tab w:val="clear" w:pos="533"/>
        </w:tabs>
        <w:adjustRightInd w:val="0"/>
        <w:snapToGrid w:val="0"/>
        <w:spacing w:line="360" w:lineRule="exact"/>
        <w:jc w:val="left"/>
        <w:rPr>
          <w:rFonts w:ascii="宋体" w:hAnsi="宋体" w:cs="宋体"/>
          <w:szCs w:val="21"/>
        </w:rPr>
      </w:pPr>
      <w:r>
        <w:rPr>
          <w:rFonts w:hint="eastAsia" w:ascii="宋体" w:hAnsi="宋体" w:cs="宋体"/>
          <w:szCs w:val="21"/>
        </w:rPr>
        <w:t>授权代理人社保证明（社保机构出具的由本单位或分公司为其缴纳的近3个月中任何1个月的社保证明）；</w:t>
      </w:r>
    </w:p>
    <w:p>
      <w:pPr>
        <w:numPr>
          <w:ilvl w:val="0"/>
          <w:numId w:val="4"/>
        </w:numPr>
        <w:tabs>
          <w:tab w:val="clear" w:pos="533"/>
        </w:tabs>
        <w:adjustRightInd w:val="0"/>
        <w:snapToGrid w:val="0"/>
        <w:spacing w:line="360" w:lineRule="exact"/>
        <w:jc w:val="left"/>
        <w:rPr>
          <w:rFonts w:ascii="宋体" w:hAnsi="宋体" w:cs="宋体"/>
          <w:szCs w:val="21"/>
        </w:rPr>
      </w:pPr>
      <w:r>
        <w:rPr>
          <w:rFonts w:hint="eastAsia" w:ascii="宋体" w:hAnsi="宋体" w:cs="宋体"/>
          <w:szCs w:val="21"/>
        </w:rPr>
        <w:t>营业执照副本复印件；</w:t>
      </w:r>
    </w:p>
    <w:p>
      <w:pPr>
        <w:numPr>
          <w:ilvl w:val="0"/>
          <w:numId w:val="4"/>
        </w:numPr>
        <w:adjustRightInd w:val="0"/>
        <w:snapToGrid w:val="0"/>
        <w:spacing w:line="360" w:lineRule="exact"/>
        <w:jc w:val="left"/>
        <w:rPr>
          <w:rFonts w:ascii="宋体" w:hAnsi="宋体" w:cs="宋体"/>
          <w:szCs w:val="21"/>
        </w:rPr>
      </w:pPr>
      <w:r>
        <w:rPr>
          <w:rFonts w:hint="eastAsia" w:ascii="宋体" w:hAnsi="宋体" w:cs="宋体"/>
          <w:szCs w:val="21"/>
        </w:rPr>
        <w:t>投标人最近一个季度的依法缴纳税收的完税凭证复印件或不征（免征）税收证明书；</w:t>
      </w:r>
    </w:p>
    <w:p>
      <w:pPr>
        <w:numPr>
          <w:ilvl w:val="0"/>
          <w:numId w:val="4"/>
        </w:numPr>
        <w:adjustRightInd w:val="0"/>
        <w:snapToGrid w:val="0"/>
        <w:spacing w:line="360" w:lineRule="exact"/>
        <w:jc w:val="left"/>
        <w:rPr>
          <w:rFonts w:ascii="宋体" w:hAnsi="宋体" w:cs="宋体"/>
          <w:szCs w:val="21"/>
        </w:rPr>
      </w:pPr>
      <w:r>
        <w:rPr>
          <w:rFonts w:hint="eastAsia" w:ascii="宋体" w:hAnsi="宋体" w:cs="宋体"/>
          <w:szCs w:val="21"/>
        </w:rPr>
        <w:t>投标人最近一个季度的依法缴纳社保费的凭证复印件或不征（免征）社保证明书；</w:t>
      </w:r>
    </w:p>
    <w:p>
      <w:pPr>
        <w:numPr>
          <w:ilvl w:val="0"/>
          <w:numId w:val="4"/>
        </w:numPr>
        <w:adjustRightInd w:val="0"/>
        <w:snapToGrid w:val="0"/>
        <w:spacing w:line="360" w:lineRule="exact"/>
        <w:jc w:val="left"/>
        <w:rPr>
          <w:rFonts w:ascii="宋体" w:hAnsi="宋体" w:cs="宋体"/>
          <w:szCs w:val="21"/>
        </w:rPr>
      </w:pPr>
      <w:r>
        <w:rPr>
          <w:rFonts w:hint="eastAsia" w:ascii="宋体" w:hAnsi="宋体" w:cs="宋体"/>
          <w:szCs w:val="21"/>
        </w:rPr>
        <w:t>中小企业声明函（如投标人为中小微企业，格式见第六章）；残疾人福利性单位声明函（如投标人为残疾人福利性单位）； 提供社保缴纳人员名单、录用的残疾人的《中华人民共和国残疾人证》或者《中华人民共和国残疾军人证(1至8级)》复印件；监狱企业相关证明材料（如投标人为监狱企业）；</w:t>
      </w:r>
    </w:p>
    <w:p>
      <w:pPr>
        <w:numPr>
          <w:ilvl w:val="0"/>
          <w:numId w:val="4"/>
        </w:numPr>
        <w:adjustRightInd w:val="0"/>
        <w:snapToGrid w:val="0"/>
        <w:spacing w:line="360" w:lineRule="exact"/>
        <w:jc w:val="left"/>
        <w:rPr>
          <w:rFonts w:ascii="宋体" w:hAnsi="宋体" w:cs="宋体"/>
          <w:szCs w:val="21"/>
        </w:rPr>
      </w:pPr>
      <w:r>
        <w:rPr>
          <w:rFonts w:hint="eastAsia" w:ascii="宋体" w:hAnsi="宋体" w:cs="宋体"/>
          <w:szCs w:val="21"/>
        </w:rPr>
        <w:t>信用查询截图：提供自招标公告发布之后任意时间的“信用中国”（www.creditchina.gov.cn ）、“中国政府采购”（www.ccgp.gov.cn ）供应商信用查询网页截图（二者缺一不可）；</w:t>
      </w:r>
    </w:p>
    <w:p>
      <w:pPr>
        <w:numPr>
          <w:ilvl w:val="0"/>
          <w:numId w:val="4"/>
        </w:numPr>
        <w:adjustRightInd w:val="0"/>
        <w:snapToGrid w:val="0"/>
        <w:spacing w:line="360" w:lineRule="exact"/>
        <w:jc w:val="left"/>
        <w:rPr>
          <w:rFonts w:ascii="宋体" w:hAnsi="宋体" w:cs="宋体"/>
          <w:szCs w:val="21"/>
        </w:rPr>
      </w:pPr>
      <w:r>
        <w:rPr>
          <w:rFonts w:hint="eastAsia" w:ascii="宋体" w:hAnsi="宋体" w:cs="宋体"/>
          <w:szCs w:val="21"/>
        </w:rPr>
        <w:t>投标人认为需要提供的说明或证明材料</w:t>
      </w:r>
    </w:p>
    <w:p>
      <w:pPr>
        <w:tabs>
          <w:tab w:val="left" w:pos="533"/>
        </w:tabs>
        <w:adjustRightInd w:val="0"/>
        <w:snapToGrid w:val="0"/>
        <w:spacing w:line="360" w:lineRule="exact"/>
        <w:ind w:firstLine="422" w:firstLineChars="200"/>
        <w:jc w:val="left"/>
        <w:rPr>
          <w:rFonts w:ascii="宋体" w:hAnsi="宋体" w:cs="宋体"/>
          <w:szCs w:val="21"/>
        </w:rPr>
      </w:pPr>
      <w:r>
        <w:rPr>
          <w:rFonts w:hint="eastAsia" w:ascii="宋体" w:hAnsi="宋体" w:cs="宋体"/>
          <w:b/>
          <w:szCs w:val="21"/>
        </w:rPr>
        <w:t>2、技术资信文件包括：</w:t>
      </w:r>
    </w:p>
    <w:p>
      <w:pPr>
        <w:numPr>
          <w:ilvl w:val="0"/>
          <w:numId w:val="5"/>
        </w:numPr>
        <w:adjustRightInd w:val="0"/>
        <w:snapToGrid w:val="0"/>
        <w:spacing w:line="360" w:lineRule="exact"/>
        <w:jc w:val="left"/>
        <w:rPr>
          <w:rFonts w:ascii="宋体" w:hAnsi="宋体" w:cs="宋体"/>
          <w:szCs w:val="21"/>
        </w:rPr>
      </w:pPr>
      <w:r>
        <w:rPr>
          <w:rFonts w:hint="eastAsia" w:ascii="宋体" w:hAnsi="宋体" w:cs="宋体"/>
          <w:szCs w:val="21"/>
        </w:rPr>
        <w:t>投标单位情况表（格式见第六章）；</w:t>
      </w:r>
    </w:p>
    <w:p>
      <w:pPr>
        <w:numPr>
          <w:ilvl w:val="0"/>
          <w:numId w:val="5"/>
        </w:numPr>
        <w:adjustRightInd w:val="0"/>
        <w:snapToGrid w:val="0"/>
        <w:spacing w:line="360" w:lineRule="exact"/>
        <w:jc w:val="left"/>
        <w:rPr>
          <w:rFonts w:ascii="宋体" w:hAnsi="宋体" w:cs="宋体"/>
          <w:szCs w:val="21"/>
        </w:rPr>
      </w:pPr>
      <w:r>
        <w:rPr>
          <w:rFonts w:hint="eastAsia" w:ascii="宋体" w:hAnsi="宋体" w:cs="宋体"/>
          <w:szCs w:val="21"/>
        </w:rPr>
        <w:t>技术响应表（格式见第六章）；</w:t>
      </w:r>
    </w:p>
    <w:p>
      <w:pPr>
        <w:numPr>
          <w:ilvl w:val="0"/>
          <w:numId w:val="5"/>
        </w:numPr>
        <w:adjustRightInd w:val="0"/>
        <w:snapToGrid w:val="0"/>
        <w:spacing w:line="360" w:lineRule="exact"/>
        <w:jc w:val="left"/>
        <w:rPr>
          <w:rFonts w:ascii="宋体" w:hAnsi="宋体" w:cs="宋体"/>
          <w:szCs w:val="21"/>
        </w:rPr>
      </w:pPr>
      <w:r>
        <w:rPr>
          <w:rStyle w:val="45"/>
          <w:rFonts w:hint="eastAsia" w:ascii="宋体" w:hAnsi="宋体" w:cs="宋体"/>
          <w:color w:val="auto"/>
          <w:szCs w:val="21"/>
          <w:u w:val="none"/>
        </w:rPr>
        <w:t>技术指标响应程度；</w:t>
      </w:r>
    </w:p>
    <w:p>
      <w:pPr>
        <w:numPr>
          <w:ilvl w:val="0"/>
          <w:numId w:val="5"/>
        </w:numPr>
        <w:adjustRightInd w:val="0"/>
        <w:snapToGrid w:val="0"/>
        <w:spacing w:line="360" w:lineRule="exact"/>
        <w:jc w:val="left"/>
        <w:rPr>
          <w:rFonts w:ascii="宋体" w:hAnsi="宋体" w:cs="宋体"/>
          <w:szCs w:val="21"/>
        </w:rPr>
      </w:pPr>
      <w:r>
        <w:rPr>
          <w:rStyle w:val="45"/>
          <w:rFonts w:hint="eastAsia" w:ascii="宋体" w:hAnsi="宋体" w:cs="宋体"/>
          <w:color w:val="auto"/>
          <w:szCs w:val="21"/>
          <w:u w:val="none"/>
        </w:rPr>
        <w:t>总体建设方案；</w:t>
      </w:r>
    </w:p>
    <w:p>
      <w:pPr>
        <w:numPr>
          <w:ilvl w:val="0"/>
          <w:numId w:val="5"/>
        </w:numPr>
        <w:adjustRightInd w:val="0"/>
        <w:snapToGrid w:val="0"/>
        <w:spacing w:line="360" w:lineRule="exact"/>
        <w:jc w:val="left"/>
        <w:rPr>
          <w:rFonts w:ascii="宋体" w:hAnsi="宋体" w:cs="宋体"/>
          <w:szCs w:val="21"/>
        </w:rPr>
      </w:pPr>
      <w:r>
        <w:rPr>
          <w:rFonts w:hint="eastAsia" w:ascii="宋体" w:hAnsi="宋体" w:cs="宋体"/>
          <w:szCs w:val="21"/>
        </w:rPr>
        <w:t>确保供应货物质量的设施及措施；</w:t>
      </w:r>
    </w:p>
    <w:p>
      <w:pPr>
        <w:numPr>
          <w:ilvl w:val="0"/>
          <w:numId w:val="5"/>
        </w:numPr>
        <w:adjustRightInd w:val="0"/>
        <w:snapToGrid w:val="0"/>
        <w:spacing w:line="360" w:lineRule="exact"/>
        <w:jc w:val="left"/>
        <w:rPr>
          <w:rFonts w:ascii="宋体" w:hAnsi="宋体" w:cs="宋体"/>
          <w:szCs w:val="21"/>
        </w:rPr>
      </w:pPr>
      <w:r>
        <w:rPr>
          <w:rFonts w:hint="eastAsia" w:ascii="宋体" w:hAnsi="宋体" w:cs="宋体"/>
          <w:szCs w:val="21"/>
        </w:rPr>
        <w:t>确保工期和进度的方案和措施</w:t>
      </w:r>
    </w:p>
    <w:p>
      <w:pPr>
        <w:numPr>
          <w:ilvl w:val="0"/>
          <w:numId w:val="5"/>
        </w:numPr>
        <w:adjustRightInd w:val="0"/>
        <w:snapToGrid w:val="0"/>
        <w:spacing w:line="360" w:lineRule="exact"/>
        <w:jc w:val="left"/>
        <w:rPr>
          <w:rFonts w:ascii="宋体" w:hAnsi="宋体" w:cs="宋体"/>
          <w:szCs w:val="21"/>
        </w:rPr>
      </w:pPr>
      <w:r>
        <w:rPr>
          <w:rFonts w:hint="eastAsia" w:ascii="宋体" w:hAnsi="宋体" w:cs="宋体"/>
          <w:szCs w:val="21"/>
        </w:rPr>
        <w:t>安装、调试、验收的方案和措施</w:t>
      </w:r>
    </w:p>
    <w:p>
      <w:pPr>
        <w:numPr>
          <w:ilvl w:val="0"/>
          <w:numId w:val="5"/>
        </w:num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拟投入实施的团队人员配置（格式见第六章）；</w:t>
      </w:r>
    </w:p>
    <w:p>
      <w:pPr>
        <w:numPr>
          <w:ilvl w:val="0"/>
          <w:numId w:val="5"/>
        </w:num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售后服务及承诺；</w:t>
      </w:r>
    </w:p>
    <w:p>
      <w:pPr>
        <w:numPr>
          <w:ilvl w:val="0"/>
          <w:numId w:val="5"/>
        </w:num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体系认证证书；</w:t>
      </w:r>
    </w:p>
    <w:p>
      <w:pPr>
        <w:numPr>
          <w:ilvl w:val="0"/>
          <w:numId w:val="5"/>
        </w:num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商务响应表（格式见第六章）；</w:t>
      </w:r>
    </w:p>
    <w:p>
      <w:pPr>
        <w:numPr>
          <w:ilvl w:val="0"/>
          <w:numId w:val="5"/>
        </w:num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同类项目实施情况一览表（格式见第六章）；</w:t>
      </w:r>
    </w:p>
    <w:p>
      <w:pPr>
        <w:numPr>
          <w:ilvl w:val="0"/>
          <w:numId w:val="5"/>
        </w:num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根据评分表及项目需求情况，自行添加相关表格及资料。</w:t>
      </w:r>
    </w:p>
    <w:p>
      <w:pPr>
        <w:tabs>
          <w:tab w:val="left" w:pos="533"/>
        </w:tabs>
        <w:adjustRightInd w:val="0"/>
        <w:snapToGrid w:val="0"/>
        <w:spacing w:line="360" w:lineRule="exact"/>
        <w:ind w:firstLine="422" w:firstLineChars="200"/>
        <w:jc w:val="left"/>
        <w:rPr>
          <w:rFonts w:ascii="宋体" w:hAnsi="宋体" w:cs="宋体"/>
          <w:szCs w:val="21"/>
        </w:rPr>
      </w:pPr>
      <w:r>
        <w:rPr>
          <w:rFonts w:hint="eastAsia" w:ascii="宋体" w:hAnsi="宋体" w:cs="宋体"/>
          <w:b/>
          <w:szCs w:val="21"/>
        </w:rPr>
        <w:t>3、报价文件包括：</w:t>
      </w:r>
    </w:p>
    <w:p>
      <w:pPr>
        <w:numPr>
          <w:ilvl w:val="0"/>
          <w:numId w:val="6"/>
        </w:numPr>
        <w:snapToGrid w:val="0"/>
        <w:spacing w:line="360" w:lineRule="exact"/>
        <w:jc w:val="left"/>
        <w:rPr>
          <w:rFonts w:ascii="宋体" w:hAnsi="宋体" w:cs="宋体"/>
          <w:szCs w:val="21"/>
        </w:rPr>
      </w:pPr>
      <w:r>
        <w:rPr>
          <w:rFonts w:hint="eastAsia" w:ascii="宋体" w:hAnsi="宋体" w:cs="宋体"/>
          <w:szCs w:val="21"/>
        </w:rPr>
        <w:t>投标函（格式见第六章）；</w:t>
      </w:r>
    </w:p>
    <w:p>
      <w:pPr>
        <w:numPr>
          <w:ilvl w:val="0"/>
          <w:numId w:val="6"/>
        </w:numPr>
        <w:snapToGrid w:val="0"/>
        <w:spacing w:line="360" w:lineRule="exact"/>
        <w:jc w:val="left"/>
        <w:rPr>
          <w:rFonts w:ascii="宋体" w:hAnsi="宋体" w:cs="宋体"/>
          <w:szCs w:val="21"/>
        </w:rPr>
      </w:pPr>
      <w:r>
        <w:rPr>
          <w:rFonts w:hint="eastAsia" w:ascii="宋体" w:hAnsi="宋体" w:cs="宋体"/>
          <w:szCs w:val="21"/>
        </w:rPr>
        <w:t>开标一览表（格式见第六章）</w:t>
      </w:r>
    </w:p>
    <w:p>
      <w:pPr>
        <w:numPr>
          <w:ilvl w:val="0"/>
          <w:numId w:val="6"/>
        </w:numPr>
        <w:snapToGrid w:val="0"/>
        <w:spacing w:line="360" w:lineRule="exact"/>
        <w:jc w:val="left"/>
        <w:rPr>
          <w:rFonts w:ascii="宋体" w:hAnsi="宋体" w:cs="宋体"/>
          <w:szCs w:val="21"/>
        </w:rPr>
      </w:pPr>
      <w:r>
        <w:rPr>
          <w:rFonts w:hint="eastAsia" w:ascii="宋体" w:hAnsi="宋体" w:cs="宋体"/>
          <w:szCs w:val="21"/>
        </w:rPr>
        <w:t>报价明细表（格式见第六章）；</w:t>
      </w:r>
    </w:p>
    <w:p>
      <w:pPr>
        <w:numPr>
          <w:ilvl w:val="0"/>
          <w:numId w:val="6"/>
        </w:numPr>
        <w:snapToGrid w:val="0"/>
        <w:spacing w:line="360" w:lineRule="exact"/>
        <w:jc w:val="left"/>
        <w:rPr>
          <w:rFonts w:ascii="宋体" w:hAnsi="宋体" w:cs="宋体"/>
          <w:szCs w:val="21"/>
        </w:rPr>
      </w:pPr>
      <w:r>
        <w:rPr>
          <w:rFonts w:hint="eastAsia" w:ascii="宋体" w:hAnsi="宋体" w:cs="宋体"/>
          <w:szCs w:val="21"/>
        </w:rPr>
        <w:t>投标人针对报价的说明或证明材料。</w:t>
      </w:r>
    </w:p>
    <w:p>
      <w:pPr>
        <w:adjustRightInd w:val="0"/>
        <w:snapToGrid w:val="0"/>
        <w:spacing w:line="360" w:lineRule="exact"/>
        <w:jc w:val="left"/>
        <w:rPr>
          <w:rFonts w:ascii="宋体" w:hAnsi="宋体" w:cs="宋体"/>
          <w:b/>
          <w:szCs w:val="21"/>
        </w:rPr>
      </w:pPr>
      <w:r>
        <w:rPr>
          <w:rFonts w:hint="eastAsia" w:ascii="宋体" w:hAnsi="宋体" w:cs="宋体"/>
          <w:b/>
          <w:szCs w:val="21"/>
        </w:rPr>
        <w:t>（二）投标文件的语言及度量衡单位</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▲1、投标文件以及投标人与采购人和采购代理机构就有关投标事宜的所有来往函电，均应以中文书写。</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▲2、投标文件所使用的度量衡单位，均采用我国法定计量单位。</w:t>
      </w:r>
      <w:bookmarkStart w:id="77" w:name="_Toc177870548"/>
      <w:bookmarkStart w:id="78" w:name="_Toc177824945"/>
      <w:bookmarkStart w:id="79" w:name="_Toc177825126"/>
      <w:bookmarkStart w:id="80" w:name="_Toc177824878"/>
    </w:p>
    <w:p>
      <w:pPr>
        <w:spacing w:line="360" w:lineRule="exact"/>
        <w:ind w:firstLine="420" w:firstLineChars="200"/>
        <w:rPr>
          <w:rFonts w:ascii="宋体" w:hAnsi="宋体" w:cs="宋体"/>
          <w:szCs w:val="21"/>
        </w:rPr>
      </w:pPr>
      <w:r>
        <w:rPr>
          <w:rFonts w:hint="eastAsia" w:ascii="宋体" w:hAnsi="宋体" w:cs="宋体"/>
          <w:szCs w:val="21"/>
        </w:rPr>
        <w:t>3、对不同文字文本投标文件的解释发生异议的，以中文文本为准。</w:t>
      </w:r>
    </w:p>
    <w:bookmarkEnd w:id="77"/>
    <w:bookmarkEnd w:id="78"/>
    <w:bookmarkEnd w:id="79"/>
    <w:bookmarkEnd w:id="80"/>
    <w:p>
      <w:pPr>
        <w:adjustRightInd w:val="0"/>
        <w:snapToGrid w:val="0"/>
        <w:spacing w:line="360" w:lineRule="exact"/>
        <w:jc w:val="left"/>
        <w:rPr>
          <w:rFonts w:ascii="宋体" w:hAnsi="宋体" w:cs="宋体"/>
          <w:b/>
          <w:szCs w:val="21"/>
        </w:rPr>
      </w:pPr>
      <w:r>
        <w:rPr>
          <w:rFonts w:hint="eastAsia" w:ascii="宋体" w:hAnsi="宋体" w:cs="宋体"/>
          <w:b/>
          <w:szCs w:val="21"/>
        </w:rPr>
        <w:t>（三）投标报价</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1、投标报价应按招标文件中相关附表格式填写。</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▲2、招标采购单位不接受备选方案。</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▲3、投标文件只允许有一个报价，有选择的报价将不予接受。</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投标人应充分考虑因各种原因可能发生的费用。对没有填报的费用，采购人认为所有费用已包含在报价中，除合同条款另有规定外，不得进行调整。</w:t>
      </w:r>
    </w:p>
    <w:p>
      <w:pPr>
        <w:adjustRightInd w:val="0"/>
        <w:snapToGrid w:val="0"/>
        <w:spacing w:line="360" w:lineRule="exact"/>
        <w:jc w:val="left"/>
        <w:rPr>
          <w:rFonts w:ascii="宋体" w:hAnsi="宋体" w:cs="宋体"/>
          <w:b/>
          <w:szCs w:val="21"/>
        </w:rPr>
      </w:pPr>
      <w:r>
        <w:rPr>
          <w:rFonts w:hint="eastAsia" w:ascii="宋体" w:hAnsi="宋体" w:cs="宋体"/>
          <w:b/>
          <w:szCs w:val="21"/>
        </w:rPr>
        <w:t>（四）投标文件的有效期</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▲1、自投标截止日起</w:t>
      </w:r>
      <w:r>
        <w:rPr>
          <w:rFonts w:hint="eastAsia" w:ascii="宋体" w:hAnsi="宋体" w:cs="宋体"/>
          <w:szCs w:val="21"/>
          <w:u w:val="single"/>
        </w:rPr>
        <w:t>90天</w:t>
      </w:r>
      <w:r>
        <w:rPr>
          <w:rFonts w:hint="eastAsia" w:ascii="宋体" w:hAnsi="宋体" w:cs="宋体"/>
          <w:szCs w:val="21"/>
        </w:rPr>
        <w:t>投标书应保持有效。有效期短于这个规定期限的投标将被拒绝。</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2、在特殊情况下，采购人可与投标人协商延长投标书的有效期，这种要求和答复均以书面形式进行。</w:t>
      </w:r>
      <w:bookmarkStart w:id="81" w:name="_Toc177824879"/>
      <w:bookmarkStart w:id="82" w:name="_Toc177870549"/>
      <w:bookmarkStart w:id="83" w:name="_Toc177824946"/>
      <w:bookmarkStart w:id="84" w:name="_Toc177825127"/>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3、投标人可拒绝接受延期要求而不会导致投标保证金被不予返还。同意延长有效期的投标人需要相应延长投标保证金的有效期，但不能修改投标文件。</w:t>
      </w:r>
      <w:bookmarkEnd w:id="81"/>
      <w:bookmarkEnd w:id="82"/>
      <w:bookmarkEnd w:id="83"/>
      <w:bookmarkEnd w:id="84"/>
      <w:r>
        <w:rPr>
          <w:rFonts w:hint="eastAsia" w:ascii="宋体" w:hAnsi="宋体" w:cs="宋体"/>
          <w:szCs w:val="21"/>
        </w:rPr>
        <w:t xml:space="preserve"> </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4、中标人的投标文件自开标之日起至合同履行完毕止均应保持有效。</w:t>
      </w:r>
    </w:p>
    <w:p>
      <w:pPr>
        <w:adjustRightInd w:val="0"/>
        <w:snapToGrid w:val="0"/>
        <w:spacing w:line="360" w:lineRule="exact"/>
        <w:jc w:val="left"/>
        <w:rPr>
          <w:rFonts w:ascii="宋体" w:hAnsi="宋体" w:cs="宋体"/>
          <w:b/>
          <w:szCs w:val="21"/>
        </w:rPr>
      </w:pPr>
      <w:bookmarkStart w:id="85" w:name="_Toc177825128"/>
      <w:bookmarkStart w:id="86" w:name="_Toc177824880"/>
      <w:bookmarkStart w:id="87" w:name="_Toc177870550"/>
      <w:bookmarkStart w:id="88" w:name="_Toc177824947"/>
      <w:r>
        <w:rPr>
          <w:rFonts w:hint="eastAsia" w:ascii="宋体" w:hAnsi="宋体" w:cs="宋体"/>
          <w:b/>
          <w:szCs w:val="21"/>
        </w:rPr>
        <w:t>（五）投标保证金</w:t>
      </w:r>
      <w:bookmarkEnd w:id="85"/>
      <w:bookmarkEnd w:id="86"/>
      <w:bookmarkEnd w:id="87"/>
      <w:bookmarkEnd w:id="88"/>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无。</w:t>
      </w:r>
    </w:p>
    <w:p>
      <w:pPr>
        <w:rPr>
          <w:rFonts w:ascii="宋体" w:hAnsi="宋体" w:cs="宋体"/>
          <w:b/>
          <w:szCs w:val="20"/>
        </w:rPr>
      </w:pPr>
      <w:bookmarkStart w:id="89" w:name="_Toc177824948"/>
      <w:bookmarkStart w:id="90" w:name="_Toc177870551"/>
      <w:bookmarkStart w:id="91" w:name="_Toc177824881"/>
      <w:bookmarkStart w:id="92" w:name="_Toc177825129"/>
      <w:r>
        <w:rPr>
          <w:rFonts w:hint="eastAsia" w:ascii="宋体" w:hAnsi="宋体" w:cs="宋体"/>
          <w:b/>
          <w:szCs w:val="21"/>
        </w:rPr>
        <w:t>（六）</w:t>
      </w:r>
      <w:r>
        <w:rPr>
          <w:rFonts w:hint="eastAsia" w:ascii="宋体" w:hAnsi="宋体" w:cs="宋体"/>
          <w:b/>
          <w:szCs w:val="20"/>
        </w:rPr>
        <w:t>投标文件编制</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1、本项目通过“政采云平台（www.zcygov.cn）”实行在线投标响应（电子投标）。投标人应通过“政采云电子交易客户端”，并按照本招标文件和“政府采购云平台”的要求编制并加密投标文件。</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2、投标人应当按照本章节 “投标文件的组成”规定的内容及顺序在“政采云电子交易客户端”编制投标文件。其中《资格证明文件》和《技术资信文件》中不得出现本项目投标报价，如因投标人原因提前泄露投标报价的，是投标人的责任。</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本招标文件中有提供格式的，投标人须参照格式进行编制（格式中要求提供相关证明材料的或招标文件要求提供相关证明的，还需后附相关证明材料），未提供格式的，请各投标人自行拟定格式，加盖单位公章并由法定代表人或其授权代表签署（签字或盖章），否则视为未提供。</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4、投标文件内容不完整、编排混乱导致投标文件被误读、漏读或者查找不到相关内容的，是投标人的责任。</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5、投标文件因字迹潦草或表达不清所引起的后果由投标人负责。</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6、投标人没有按照本招标文件内 “投标文件的组成”要求提供全部资料，或者没有仔细阅读招标文件，或者没有对招标文件在各方面的要求作出实质性响应是投标人的风险，由此造成的一切后果由投标人自行承担。</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7、投标文件的签章</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7.1 投标文件的签章见《前附表》；</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7.2 投标文件应由投标人法定代表人或其授权代表签字（或盖章），并时加盖投标人公章。</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7.3 参与在线投标时如遇平台技术问题详询400-881-7190。</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8、投标文件的形式</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8.1 投标文件的形式：见《前附表》；</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8.2 “电子加密投标文件”：“电子加密投标文件”是指通过“政采云电子交易客户端”完成投标文件编制后生成并加密的数据电文形式的投标文件。</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8.3 “备份投标文件”：“备份投标文件”是指与“电子加密投标文件”同时生成的数据电文形式的电子文件（备份标书），其他方式编制的“备份投标文件”视为无效的“备份投标文件”。</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9、投标文件的份数</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投标文件的份数：见《前附表》。</w:t>
      </w:r>
    </w:p>
    <w:p>
      <w:pPr>
        <w:rPr>
          <w:rFonts w:ascii="宋体" w:hAnsi="宋体" w:cs="宋体"/>
          <w:b/>
          <w:szCs w:val="20"/>
        </w:rPr>
      </w:pPr>
      <w:r>
        <w:rPr>
          <w:rFonts w:hint="eastAsia" w:ascii="宋体" w:hAnsi="宋体" w:cs="宋体"/>
          <w:b/>
          <w:szCs w:val="20"/>
        </w:rPr>
        <w:t>（七）投标文件的递交</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1、投标文件的上传、递交</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“投标文件”的上传、递交：见《前附表》。</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2、“电子加密投标文件”解密和异常情况处理</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“电子加密投标文件”解密：见《前附表》。</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3、投标文件的补充、修改或撤回</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3.1 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3.2 投标截止时间后，投标人不得撤回、修改《投标文件》。</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4、投标文件的备选方案</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投标人不得递交任何的投标备选（替代）方案，否则其投标文件将作无效标处理。与“电子加密投标文件”同时生成的“备份投标文件”不是投标备选方案。</w:t>
      </w:r>
    </w:p>
    <w:bookmarkEnd w:id="89"/>
    <w:bookmarkEnd w:id="90"/>
    <w:bookmarkEnd w:id="91"/>
    <w:bookmarkEnd w:id="92"/>
    <w:p>
      <w:pPr>
        <w:adjustRightInd w:val="0"/>
        <w:snapToGrid w:val="0"/>
        <w:spacing w:line="360" w:lineRule="exact"/>
        <w:ind w:firstLine="420" w:firstLineChars="200"/>
        <w:jc w:val="left"/>
        <w:rPr>
          <w:rFonts w:ascii="宋体" w:hAnsi="宋体" w:cs="宋体"/>
          <w:szCs w:val="21"/>
        </w:rPr>
      </w:pPr>
      <w:bookmarkStart w:id="93" w:name="_Toc177870552"/>
      <w:r>
        <w:rPr>
          <w:rFonts w:hint="eastAsia" w:ascii="宋体" w:hAnsi="宋体" w:cs="宋体"/>
          <w:szCs w:val="21"/>
        </w:rPr>
        <w:t>5、投标截止期</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5.1投标人应按前附表规定的时间、地点将投标文件递交给采购代理机构，采购代理机构将拒绝接受逾期送达的投标文件。</w:t>
      </w:r>
    </w:p>
    <w:p>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5.2 采购人可以按本须知规定以补充通知的方式，酌情延长递交投标文件的截止日期。在上述情况下，采购人与投标人以前在投标截止期方面的全部权利、责任和义务，将适用于延长至新的投标截止期。</w:t>
      </w:r>
      <w:bookmarkEnd w:id="93"/>
      <w:bookmarkStart w:id="94" w:name="_Toc107820050"/>
      <w:bookmarkStart w:id="95" w:name="_Toc170792769"/>
    </w:p>
    <w:p/>
    <w:bookmarkEnd w:id="94"/>
    <w:bookmarkEnd w:id="95"/>
    <w:p>
      <w:pPr>
        <w:pStyle w:val="4"/>
        <w:spacing w:before="0" w:after="0" w:line="240" w:lineRule="auto"/>
        <w:rPr>
          <w:rFonts w:ascii="宋体" w:hAnsi="宋体" w:eastAsia="宋体" w:cs="宋体"/>
          <w:sz w:val="24"/>
          <w:szCs w:val="24"/>
        </w:rPr>
      </w:pPr>
      <w:bookmarkStart w:id="96" w:name="_Toc20939"/>
      <w:bookmarkStart w:id="97" w:name="_Toc15896"/>
      <w:bookmarkStart w:id="98" w:name="_Toc222632758"/>
      <w:bookmarkStart w:id="99" w:name="_Toc4085"/>
      <w:bookmarkStart w:id="100" w:name="_Toc317341941"/>
      <w:bookmarkStart w:id="101" w:name="_Toc4662"/>
      <w:r>
        <w:rPr>
          <w:rFonts w:hint="eastAsia" w:ascii="宋体" w:hAnsi="宋体" w:eastAsia="宋体" w:cs="宋体"/>
          <w:sz w:val="24"/>
          <w:szCs w:val="24"/>
        </w:rPr>
        <w:t>四、开标</w:t>
      </w:r>
      <w:bookmarkEnd w:id="96"/>
      <w:bookmarkEnd w:id="97"/>
      <w:bookmarkEnd w:id="98"/>
      <w:bookmarkEnd w:id="99"/>
      <w:bookmarkEnd w:id="100"/>
      <w:bookmarkEnd w:id="101"/>
    </w:p>
    <w:p>
      <w:pPr>
        <w:pStyle w:val="5"/>
        <w:numPr>
          <w:ilvl w:val="0"/>
          <w:numId w:val="0"/>
        </w:numPr>
        <w:tabs>
          <w:tab w:val="clear" w:pos="720"/>
        </w:tabs>
        <w:spacing w:before="0" w:after="0" w:line="400" w:lineRule="exact"/>
        <w:ind w:left="720" w:hanging="720"/>
        <w:rPr>
          <w:rFonts w:ascii="宋体" w:hAnsi="宋体" w:cs="宋体"/>
          <w:b w:val="0"/>
          <w:bCs w:val="0"/>
          <w:sz w:val="21"/>
          <w:szCs w:val="21"/>
        </w:rPr>
      </w:pPr>
      <w:bookmarkStart w:id="102" w:name="_Toc222632759"/>
      <w:bookmarkStart w:id="103" w:name="_Toc317341942"/>
      <w:r>
        <w:rPr>
          <w:rFonts w:hint="eastAsia" w:ascii="宋体" w:hAnsi="宋体" w:cs="宋体"/>
          <w:b w:val="0"/>
          <w:bCs w:val="0"/>
          <w:sz w:val="21"/>
          <w:szCs w:val="21"/>
        </w:rPr>
        <w:t>（一）开标形式</w:t>
      </w:r>
    </w:p>
    <w:p>
      <w:pPr>
        <w:spacing w:line="400" w:lineRule="exact"/>
        <w:ind w:firstLine="371" w:firstLineChars="177"/>
        <w:rPr>
          <w:rFonts w:ascii="宋体" w:hAnsi="宋体" w:cs="宋体"/>
          <w:szCs w:val="21"/>
        </w:rPr>
      </w:pPr>
      <w:r>
        <w:rPr>
          <w:rFonts w:hint="eastAsia" w:ascii="宋体" w:hAnsi="宋体" w:cs="宋体"/>
          <w:szCs w:val="21"/>
        </w:rPr>
        <w:t xml:space="preserve"> 采购组织机构将按照招标文件规定的时间通过“政采云平台”组织开标、开启投标文件，所有投标人均应当准时在线参加。</w:t>
      </w:r>
    </w:p>
    <w:p>
      <w:pPr>
        <w:pStyle w:val="5"/>
        <w:numPr>
          <w:ilvl w:val="0"/>
          <w:numId w:val="0"/>
        </w:numPr>
        <w:tabs>
          <w:tab w:val="clear" w:pos="720"/>
        </w:tabs>
        <w:spacing w:before="0" w:after="0" w:line="400" w:lineRule="exact"/>
        <w:ind w:left="720" w:hanging="720"/>
        <w:rPr>
          <w:rFonts w:ascii="宋体" w:hAnsi="宋体" w:cs="宋体"/>
          <w:b w:val="0"/>
          <w:bCs w:val="0"/>
          <w:sz w:val="21"/>
          <w:szCs w:val="21"/>
        </w:rPr>
      </w:pPr>
      <w:r>
        <w:rPr>
          <w:rFonts w:hint="eastAsia" w:ascii="宋体" w:hAnsi="宋体" w:cs="宋体"/>
          <w:b w:val="0"/>
          <w:bCs w:val="0"/>
          <w:sz w:val="21"/>
          <w:szCs w:val="21"/>
        </w:rPr>
        <w:t>（二） 开标准备</w:t>
      </w:r>
    </w:p>
    <w:p>
      <w:pPr>
        <w:spacing w:line="400" w:lineRule="exact"/>
        <w:ind w:firstLine="369" w:firstLineChars="176"/>
        <w:rPr>
          <w:rFonts w:ascii="宋体" w:hAnsi="宋体" w:cs="宋体"/>
          <w:kern w:val="0"/>
          <w:szCs w:val="21"/>
        </w:rPr>
      </w:pPr>
      <w:r>
        <w:rPr>
          <w:rFonts w:hint="eastAsia" w:ascii="宋体" w:hAnsi="宋体" w:cs="宋体"/>
          <w:kern w:val="0"/>
          <w:szCs w:val="21"/>
        </w:rPr>
        <w:t>1、开标的准备工作由采购组织机构负责落实；</w:t>
      </w:r>
    </w:p>
    <w:p>
      <w:pPr>
        <w:spacing w:after="120" w:line="400" w:lineRule="exact"/>
        <w:ind w:firstLine="369" w:firstLineChars="176"/>
        <w:rPr>
          <w:rFonts w:ascii="宋体" w:hAnsi="宋体" w:cs="宋体"/>
          <w:szCs w:val="21"/>
        </w:rPr>
      </w:pPr>
      <w:r>
        <w:rPr>
          <w:rFonts w:hint="eastAsia" w:ascii="宋体" w:hAnsi="宋体" w:cs="宋体"/>
          <w:kern w:val="0"/>
          <w:szCs w:val="21"/>
        </w:rPr>
        <w:t>2、</w:t>
      </w:r>
      <w:r>
        <w:rPr>
          <w:rFonts w:hint="eastAsia" w:ascii="宋体" w:hAnsi="宋体" w:cs="宋体"/>
          <w:szCs w:val="21"/>
        </w:rPr>
        <w:t>采购组织机构将按照招标文件规定的时间通过“政采云平台”组织开标、开启投标文件，所有投标人均应当准时在线参加。</w:t>
      </w:r>
      <w:r>
        <w:rPr>
          <w:rFonts w:hint="eastAsia" w:ascii="宋体" w:hAnsi="宋体" w:cs="宋体"/>
          <w:kern w:val="0"/>
          <w:szCs w:val="21"/>
        </w:rPr>
        <w:t>投标人如不参加开标大会的，视同认可开标结果，事后不得对采购相关人员、开标过程和开标结果提出异议，同时投标人因未在线参加开标而导致投标文件无法按时解密等一切后果由投标人自行承担。</w:t>
      </w:r>
    </w:p>
    <w:p>
      <w:pPr>
        <w:pStyle w:val="5"/>
        <w:numPr>
          <w:ilvl w:val="0"/>
          <w:numId w:val="0"/>
        </w:numPr>
        <w:tabs>
          <w:tab w:val="clear" w:pos="720"/>
        </w:tabs>
        <w:spacing w:before="0" w:after="0" w:line="400" w:lineRule="exact"/>
        <w:ind w:left="720" w:hanging="720"/>
        <w:rPr>
          <w:rFonts w:ascii="宋体" w:hAnsi="宋体" w:cs="宋体"/>
          <w:b w:val="0"/>
          <w:bCs w:val="0"/>
          <w:sz w:val="21"/>
          <w:szCs w:val="21"/>
        </w:rPr>
      </w:pPr>
      <w:r>
        <w:rPr>
          <w:rFonts w:hint="eastAsia" w:ascii="宋体" w:hAnsi="宋体" w:cs="宋体"/>
          <w:b w:val="0"/>
          <w:bCs w:val="0"/>
          <w:sz w:val="21"/>
          <w:szCs w:val="21"/>
        </w:rPr>
        <w:t>（三）开标流程</w:t>
      </w:r>
    </w:p>
    <w:p>
      <w:pPr>
        <w:spacing w:line="400" w:lineRule="exact"/>
        <w:ind w:firstLine="371" w:firstLineChars="177"/>
        <w:jc w:val="left"/>
        <w:rPr>
          <w:rFonts w:ascii="宋体" w:hAnsi="宋体" w:cs="宋体"/>
          <w:kern w:val="0"/>
          <w:szCs w:val="21"/>
        </w:rPr>
      </w:pPr>
      <w:r>
        <w:rPr>
          <w:rFonts w:hint="eastAsia" w:ascii="宋体" w:hAnsi="宋体" w:cs="宋体"/>
          <w:kern w:val="0"/>
          <w:szCs w:val="21"/>
        </w:rPr>
        <w:t>1、开标、开启投标文件时，电子交易平台自动提取所有投标、投标文件，提示采购组织机构和投标人按招标文件规定的方式和时间在线解密。给予投标人在线解密的时间为30分钟。</w:t>
      </w:r>
    </w:p>
    <w:p>
      <w:pPr>
        <w:spacing w:line="400" w:lineRule="exact"/>
        <w:ind w:firstLine="371" w:firstLineChars="177"/>
        <w:jc w:val="left"/>
        <w:rPr>
          <w:rFonts w:ascii="宋体" w:hAnsi="宋体" w:cs="宋体"/>
          <w:kern w:val="0"/>
          <w:szCs w:val="21"/>
        </w:rPr>
      </w:pPr>
      <w:r>
        <w:rPr>
          <w:rFonts w:hint="eastAsia" w:ascii="宋体" w:hAnsi="宋体" w:cs="宋体"/>
          <w:kern w:val="0"/>
          <w:szCs w:val="21"/>
        </w:rPr>
        <w:t>2、投标人在规定的时间内无法完成已递交的“电子加密投标文件”解密的：如已按规定递交了备份投标文件的，将由采购组织机构按“政采云平台”操作规范将备份投标文件上传至“政采云平台”，上传成功后，“电子加密投标文件”自动失效；投标人如未按规定递交备份投标文件的，视为投标文件撤回。</w:t>
      </w:r>
    </w:p>
    <w:p>
      <w:pPr>
        <w:spacing w:line="400" w:lineRule="exact"/>
        <w:ind w:firstLine="371" w:firstLineChars="177"/>
        <w:jc w:val="left"/>
        <w:rPr>
          <w:rFonts w:ascii="宋体" w:hAnsi="宋体" w:cs="宋体"/>
          <w:kern w:val="0"/>
          <w:szCs w:val="21"/>
        </w:rPr>
      </w:pPr>
      <w:r>
        <w:rPr>
          <w:rFonts w:hint="eastAsia" w:ascii="宋体" w:hAnsi="宋体" w:cs="宋体"/>
          <w:kern w:val="0"/>
          <w:szCs w:val="21"/>
        </w:rPr>
        <w:t>3、投标文件解密后，采购人及采购代理机构将对依法对投标人的资格进行审查，资格审查结束后进入符合性审查和资信技术的评审工作。</w:t>
      </w:r>
    </w:p>
    <w:p>
      <w:pPr>
        <w:spacing w:line="400" w:lineRule="exact"/>
        <w:ind w:firstLine="371" w:firstLineChars="177"/>
        <w:jc w:val="left"/>
        <w:rPr>
          <w:rFonts w:ascii="宋体" w:hAnsi="宋体" w:cs="宋体"/>
          <w:kern w:val="0"/>
          <w:szCs w:val="21"/>
        </w:rPr>
      </w:pPr>
      <w:r>
        <w:rPr>
          <w:rFonts w:hint="eastAsia" w:ascii="宋体" w:hAnsi="宋体" w:cs="宋体"/>
          <w:kern w:val="0"/>
          <w:szCs w:val="21"/>
        </w:rPr>
        <w:t>4、符合性审查、资信技术评审结束后，开启报价文件。</w:t>
      </w:r>
    </w:p>
    <w:p>
      <w:pPr>
        <w:spacing w:line="400" w:lineRule="exact"/>
        <w:ind w:firstLine="371" w:firstLineChars="177"/>
        <w:jc w:val="left"/>
        <w:rPr>
          <w:rFonts w:ascii="宋体" w:hAnsi="宋体" w:cs="宋体"/>
          <w:kern w:val="0"/>
          <w:szCs w:val="21"/>
        </w:rPr>
      </w:pPr>
      <w:r>
        <w:rPr>
          <w:rFonts w:hint="eastAsia" w:ascii="宋体" w:hAnsi="宋体" w:cs="宋体"/>
          <w:kern w:val="0"/>
          <w:szCs w:val="21"/>
        </w:rPr>
        <w:t>5、评标委员会对报价的合理性、准确性等进行审查核实。</w:t>
      </w:r>
    </w:p>
    <w:p>
      <w:pPr>
        <w:spacing w:line="400" w:lineRule="exact"/>
        <w:ind w:firstLine="371" w:firstLineChars="177"/>
        <w:jc w:val="left"/>
        <w:rPr>
          <w:rFonts w:ascii="宋体" w:hAnsi="宋体" w:cs="宋体"/>
          <w:kern w:val="0"/>
          <w:szCs w:val="21"/>
        </w:rPr>
      </w:pPr>
      <w:r>
        <w:rPr>
          <w:rFonts w:hint="eastAsia" w:ascii="宋体" w:hAnsi="宋体" w:cs="宋体"/>
          <w:kern w:val="0"/>
          <w:szCs w:val="21"/>
        </w:rPr>
        <w:t>6、评标委员会完成评审后，通过电子交易平台向采购人及其委托的代理机构提交评审报告。同时打印纸质评审报告签署后由采购代理机构保存。</w:t>
      </w:r>
    </w:p>
    <w:p>
      <w:pPr>
        <w:spacing w:line="400" w:lineRule="exact"/>
        <w:ind w:firstLine="420" w:firstLineChars="200"/>
        <w:jc w:val="left"/>
        <w:rPr>
          <w:rFonts w:ascii="宋体" w:hAnsi="宋体" w:cs="宋体"/>
          <w:kern w:val="0"/>
          <w:szCs w:val="21"/>
        </w:rPr>
      </w:pPr>
      <w:r>
        <w:rPr>
          <w:rFonts w:hint="eastAsia" w:ascii="宋体" w:hAnsi="宋体" w:cs="宋体"/>
          <w:kern w:val="0"/>
          <w:szCs w:val="21"/>
        </w:rPr>
        <w:t>7、评审结束后，代理机构通过电子交易平台或发送邮件形式向各投标人公布中标（成交）候选投标人名单，及采购人最终确定中标或中标人名单的时间和公告方式等。</w:t>
      </w:r>
    </w:p>
    <w:p>
      <w:pPr>
        <w:spacing w:line="400" w:lineRule="exact"/>
        <w:ind w:firstLine="420" w:firstLineChars="200"/>
        <w:jc w:val="left"/>
        <w:rPr>
          <w:rFonts w:ascii="宋体" w:hAnsi="宋体" w:cs="宋体"/>
          <w:kern w:val="0"/>
          <w:szCs w:val="21"/>
        </w:rPr>
      </w:pPr>
      <w:r>
        <w:rPr>
          <w:rFonts w:hint="eastAsia" w:ascii="宋体" w:hAnsi="宋体" w:cs="宋体"/>
          <w:kern w:val="0"/>
          <w:szCs w:val="21"/>
        </w:rPr>
        <w:t>8、开标会议结束。</w:t>
      </w:r>
    </w:p>
    <w:p>
      <w:pPr>
        <w:spacing w:after="120" w:line="400" w:lineRule="exact"/>
        <w:ind w:firstLine="373" w:firstLineChars="177"/>
        <w:jc w:val="left"/>
        <w:rPr>
          <w:rFonts w:ascii="宋体" w:hAnsi="宋体" w:cs="宋体"/>
          <w:b/>
          <w:szCs w:val="21"/>
        </w:rPr>
      </w:pPr>
      <w:r>
        <w:rPr>
          <w:rFonts w:hint="eastAsia" w:ascii="宋体" w:hAnsi="宋体" w:cs="宋体"/>
          <w:b/>
          <w:kern w:val="0"/>
          <w:szCs w:val="21"/>
        </w:rPr>
        <w:t>特别说明：如遇“政府采购云平台”电子化开标或评审程序调整的，按调整后程序执行。</w:t>
      </w:r>
    </w:p>
    <w:p>
      <w:pPr>
        <w:spacing w:line="360" w:lineRule="exact"/>
        <w:ind w:firstLine="420" w:firstLineChars="200"/>
        <w:rPr>
          <w:rFonts w:ascii="宋体" w:hAnsi="宋体" w:cs="宋体"/>
          <w:szCs w:val="21"/>
        </w:rPr>
      </w:pPr>
    </w:p>
    <w:p>
      <w:pPr>
        <w:pStyle w:val="4"/>
        <w:numPr>
          <w:ilvl w:val="0"/>
          <w:numId w:val="7"/>
        </w:numPr>
        <w:spacing w:before="0" w:after="0" w:line="240" w:lineRule="auto"/>
        <w:rPr>
          <w:rFonts w:ascii="宋体" w:hAnsi="宋体" w:eastAsia="宋体" w:cs="宋体"/>
          <w:sz w:val="24"/>
          <w:szCs w:val="24"/>
        </w:rPr>
      </w:pPr>
      <w:bookmarkStart w:id="104" w:name="_Toc13446"/>
      <w:bookmarkStart w:id="105" w:name="_Toc17668"/>
      <w:bookmarkStart w:id="106" w:name="_Toc13947"/>
      <w:bookmarkStart w:id="107" w:name="_Toc29731"/>
      <w:r>
        <w:rPr>
          <w:rFonts w:hint="eastAsia" w:ascii="宋体" w:hAnsi="宋体" w:eastAsia="宋体" w:cs="宋体"/>
          <w:sz w:val="24"/>
          <w:szCs w:val="24"/>
        </w:rPr>
        <w:t>资格审查</w:t>
      </w:r>
      <w:bookmarkEnd w:id="104"/>
      <w:bookmarkEnd w:id="105"/>
      <w:bookmarkEnd w:id="106"/>
    </w:p>
    <w:p>
      <w:pPr>
        <w:pStyle w:val="15"/>
        <w:numPr>
          <w:ilvl w:val="0"/>
          <w:numId w:val="8"/>
        </w:numPr>
        <w:adjustRightInd w:val="0"/>
        <w:snapToGrid w:val="0"/>
        <w:spacing w:before="0" w:beforeLines="0" w:after="0" w:afterLines="0"/>
        <w:rPr>
          <w:rFonts w:hAnsi="宋体" w:cs="宋体"/>
          <w:bCs/>
          <w:sz w:val="21"/>
          <w:szCs w:val="21"/>
        </w:rPr>
      </w:pPr>
      <w:r>
        <w:rPr>
          <w:rFonts w:hint="eastAsia" w:hAnsi="宋体" w:cs="宋体"/>
          <w:bCs/>
          <w:sz w:val="21"/>
          <w:szCs w:val="21"/>
        </w:rPr>
        <w:t>资格审查人员</w:t>
      </w:r>
    </w:p>
    <w:p>
      <w:pPr>
        <w:pStyle w:val="15"/>
        <w:adjustRightInd w:val="0"/>
        <w:snapToGrid w:val="0"/>
        <w:spacing w:before="0" w:beforeLines="0" w:after="0" w:afterLines="0"/>
        <w:ind w:firstLine="420" w:firstLineChars="200"/>
        <w:rPr>
          <w:rFonts w:hAnsi="宋体" w:cs="宋体"/>
          <w:bCs/>
          <w:sz w:val="21"/>
          <w:szCs w:val="21"/>
        </w:rPr>
      </w:pPr>
      <w:r>
        <w:rPr>
          <w:rFonts w:hint="eastAsia" w:hAnsi="宋体" w:cs="宋体"/>
          <w:bCs/>
          <w:sz w:val="21"/>
          <w:szCs w:val="21"/>
        </w:rPr>
        <w:t>由采购人及采购代理机构负责。</w:t>
      </w:r>
    </w:p>
    <w:p>
      <w:pPr>
        <w:pStyle w:val="15"/>
        <w:numPr>
          <w:ilvl w:val="0"/>
          <w:numId w:val="8"/>
        </w:numPr>
        <w:adjustRightInd w:val="0"/>
        <w:snapToGrid w:val="0"/>
        <w:spacing w:before="0" w:beforeLines="0" w:after="0" w:afterLines="0"/>
        <w:rPr>
          <w:rFonts w:hAnsi="宋体" w:cs="宋体"/>
          <w:bCs/>
          <w:sz w:val="21"/>
          <w:szCs w:val="21"/>
        </w:rPr>
      </w:pPr>
      <w:r>
        <w:rPr>
          <w:rFonts w:hint="eastAsia" w:hAnsi="宋体" w:cs="宋体"/>
          <w:bCs/>
          <w:sz w:val="21"/>
          <w:szCs w:val="21"/>
        </w:rPr>
        <w:t>资格审查依据</w:t>
      </w:r>
    </w:p>
    <w:p>
      <w:pPr>
        <w:pStyle w:val="15"/>
        <w:adjustRightInd w:val="0"/>
        <w:snapToGrid w:val="0"/>
        <w:spacing w:before="0" w:beforeLines="0" w:after="0" w:afterLines="0"/>
        <w:ind w:firstLine="420"/>
        <w:rPr>
          <w:rFonts w:hAnsi="宋体" w:cs="宋体"/>
          <w:bCs/>
          <w:sz w:val="21"/>
          <w:szCs w:val="21"/>
        </w:rPr>
      </w:pPr>
      <w:r>
        <w:rPr>
          <w:rFonts w:hint="eastAsia" w:hAnsi="宋体" w:cs="宋体"/>
          <w:bCs/>
          <w:sz w:val="21"/>
          <w:szCs w:val="21"/>
        </w:rPr>
        <w:t>招标文件、投标人的资格证明文件、“信用中国”网站www.creditchina.gov.cn及“中国政府采购网”www.ccgp.gov.cn查询结果。</w:t>
      </w:r>
    </w:p>
    <w:p>
      <w:pPr>
        <w:pStyle w:val="15"/>
        <w:numPr>
          <w:ilvl w:val="0"/>
          <w:numId w:val="8"/>
        </w:numPr>
        <w:adjustRightInd w:val="0"/>
        <w:snapToGrid w:val="0"/>
        <w:spacing w:before="0" w:beforeLines="0" w:after="0" w:afterLines="0"/>
        <w:rPr>
          <w:rFonts w:hAnsi="宋体" w:cs="宋体"/>
          <w:bCs/>
          <w:sz w:val="21"/>
          <w:szCs w:val="21"/>
        </w:rPr>
      </w:pPr>
      <w:r>
        <w:rPr>
          <w:rFonts w:hint="eastAsia" w:hAnsi="宋体" w:cs="宋体"/>
          <w:bCs/>
          <w:sz w:val="21"/>
          <w:szCs w:val="21"/>
        </w:rPr>
        <w:t>资格审查方法</w:t>
      </w:r>
    </w:p>
    <w:p>
      <w:pPr>
        <w:spacing w:line="400" w:lineRule="exact"/>
        <w:ind w:firstLine="371" w:firstLineChars="177"/>
        <w:jc w:val="left"/>
        <w:rPr>
          <w:rFonts w:ascii="宋体" w:hAnsi="宋体" w:cs="宋体"/>
          <w:kern w:val="0"/>
          <w:szCs w:val="21"/>
        </w:rPr>
      </w:pPr>
      <w:r>
        <w:rPr>
          <w:rFonts w:hint="eastAsia" w:ascii="宋体" w:hAnsi="宋体" w:cs="宋体"/>
          <w:kern w:val="0"/>
          <w:szCs w:val="21"/>
        </w:rPr>
        <w:t>1、审查投标人资格证明文件的完整性、符合性。</w:t>
      </w:r>
    </w:p>
    <w:p>
      <w:pPr>
        <w:spacing w:line="400" w:lineRule="exact"/>
        <w:ind w:firstLine="371" w:firstLineChars="177"/>
        <w:jc w:val="left"/>
        <w:rPr>
          <w:rFonts w:ascii="宋体" w:hAnsi="宋体" w:cs="宋体"/>
          <w:kern w:val="0"/>
          <w:szCs w:val="21"/>
        </w:rPr>
      </w:pPr>
      <w:r>
        <w:rPr>
          <w:rFonts w:hint="eastAsia" w:ascii="宋体" w:hAnsi="宋体" w:cs="宋体"/>
          <w:kern w:val="0"/>
          <w:szCs w:val="21"/>
        </w:rPr>
        <w:t>2、登录“信用中国”网站www.creditchina.gov.cn、“中国政府采购网”www.ccgp.gov.cn查询截止投标时间前的各投标人信用记录，打印相关网页页面留存。</w:t>
      </w:r>
    </w:p>
    <w:p>
      <w:pPr>
        <w:spacing w:line="400" w:lineRule="exact"/>
        <w:ind w:firstLine="371" w:firstLineChars="177"/>
        <w:jc w:val="left"/>
        <w:rPr>
          <w:rFonts w:ascii="宋体" w:hAnsi="宋体" w:cs="宋体"/>
          <w:kern w:val="0"/>
          <w:szCs w:val="21"/>
        </w:rPr>
      </w:pPr>
      <w:r>
        <w:rPr>
          <w:rFonts w:hint="eastAsia" w:ascii="宋体" w:hAnsi="宋体" w:cs="宋体"/>
          <w:kern w:val="0"/>
          <w:szCs w:val="21"/>
        </w:rPr>
        <w:t>3、打印纸质资格审查表并签字确认。</w:t>
      </w:r>
    </w:p>
    <w:p>
      <w:pPr>
        <w:spacing w:line="400" w:lineRule="exact"/>
        <w:ind w:firstLine="371" w:firstLineChars="177"/>
        <w:jc w:val="left"/>
        <w:rPr>
          <w:rFonts w:ascii="宋体" w:hAnsi="宋体" w:cs="宋体"/>
          <w:kern w:val="0"/>
          <w:szCs w:val="21"/>
        </w:rPr>
      </w:pPr>
      <w:r>
        <w:rPr>
          <w:rFonts w:hint="eastAsia" w:ascii="宋体" w:hAnsi="宋体" w:cs="宋体"/>
          <w:kern w:val="0"/>
          <w:szCs w:val="21"/>
        </w:rPr>
        <w:t>4、采购人或采购代理机构对投标人所提交的资格证明材料仅负审核的责任。如发现投标人所提交的资格证明材料不合法或与事实不符，采购人可取消其中标资格并追究投标人的法律责任。</w:t>
      </w:r>
    </w:p>
    <w:p>
      <w:pPr>
        <w:spacing w:line="400" w:lineRule="exact"/>
        <w:ind w:firstLine="371" w:firstLineChars="177"/>
        <w:jc w:val="left"/>
        <w:rPr>
          <w:rFonts w:ascii="宋体" w:hAnsi="宋体" w:cs="宋体"/>
          <w:kern w:val="0"/>
          <w:szCs w:val="21"/>
        </w:rPr>
      </w:pPr>
      <w:r>
        <w:rPr>
          <w:rFonts w:hint="eastAsia" w:ascii="宋体" w:hAnsi="宋体" w:cs="宋体"/>
          <w:kern w:val="0"/>
          <w:szCs w:val="21"/>
        </w:rPr>
        <w:t>5、投标人提交的资格证明材料无法证明其符合招标文件规定的“投标人资格要求”的，采购人或采购代理机构将对其作资格审查不通过处理（无效投标），并不再将其投标提交评标委员会进行后续评审。</w:t>
      </w:r>
    </w:p>
    <w:p>
      <w:pPr>
        <w:spacing w:line="400" w:lineRule="exact"/>
        <w:ind w:firstLine="371" w:firstLineChars="177"/>
        <w:jc w:val="left"/>
        <w:rPr>
          <w:rFonts w:ascii="宋体" w:hAnsi="宋体" w:cs="宋体"/>
          <w:kern w:val="0"/>
          <w:szCs w:val="21"/>
        </w:rPr>
      </w:pPr>
      <w:r>
        <w:rPr>
          <w:rFonts w:hint="eastAsia" w:ascii="宋体" w:hAnsi="宋体" w:cs="宋体"/>
          <w:kern w:val="0"/>
          <w:szCs w:val="21"/>
        </w:rPr>
        <w:t>6、单位负责人为同一人或者存在直接控股、管理关系的不同投标人参加同一合同项下的政府采购活动的，相关投标人均作资格无效处理。</w:t>
      </w:r>
    </w:p>
    <w:p>
      <w:pPr>
        <w:ind w:firstLine="371" w:firstLineChars="177"/>
        <w:jc w:val="left"/>
        <w:rPr>
          <w:rFonts w:ascii="宋体" w:hAnsi="宋体" w:cs="宋体"/>
          <w:kern w:val="0"/>
          <w:szCs w:val="21"/>
        </w:rPr>
      </w:pPr>
    </w:p>
    <w:p>
      <w:pPr>
        <w:pStyle w:val="4"/>
        <w:numPr>
          <w:ilvl w:val="0"/>
          <w:numId w:val="7"/>
        </w:numPr>
        <w:spacing w:before="0" w:after="0" w:line="240" w:lineRule="auto"/>
        <w:rPr>
          <w:rFonts w:ascii="宋体" w:hAnsi="宋体" w:eastAsia="宋体" w:cs="宋体"/>
          <w:sz w:val="24"/>
          <w:szCs w:val="24"/>
        </w:rPr>
      </w:pPr>
      <w:bookmarkStart w:id="108" w:name="_Toc27733"/>
      <w:bookmarkStart w:id="109" w:name="_Toc11885"/>
      <w:bookmarkStart w:id="110" w:name="_Toc16490"/>
      <w:r>
        <w:rPr>
          <w:rFonts w:hint="eastAsia" w:ascii="宋体" w:hAnsi="宋体" w:eastAsia="宋体" w:cs="宋体"/>
          <w:sz w:val="24"/>
          <w:szCs w:val="24"/>
        </w:rPr>
        <w:t>评标</w:t>
      </w:r>
      <w:bookmarkEnd w:id="102"/>
      <w:bookmarkEnd w:id="103"/>
      <w:bookmarkEnd w:id="107"/>
      <w:bookmarkEnd w:id="108"/>
      <w:bookmarkEnd w:id="109"/>
      <w:bookmarkEnd w:id="110"/>
    </w:p>
    <w:p>
      <w:pPr>
        <w:pStyle w:val="15"/>
        <w:tabs>
          <w:tab w:val="left" w:pos="720"/>
        </w:tabs>
        <w:adjustRightInd w:val="0"/>
        <w:snapToGrid w:val="0"/>
        <w:spacing w:before="0" w:beforeLines="0" w:after="0" w:afterLines="0"/>
        <w:rPr>
          <w:rFonts w:hAnsi="宋体" w:cs="宋体"/>
          <w:b/>
          <w:sz w:val="21"/>
          <w:szCs w:val="21"/>
        </w:rPr>
      </w:pPr>
      <w:bookmarkStart w:id="111" w:name="_Toc317341943"/>
      <w:r>
        <w:rPr>
          <w:rFonts w:hint="eastAsia" w:hAnsi="宋体" w:cs="宋体"/>
          <w:b/>
          <w:sz w:val="21"/>
          <w:szCs w:val="21"/>
        </w:rPr>
        <w:t>（一）评审工作的组织</w:t>
      </w:r>
    </w:p>
    <w:p>
      <w:pPr>
        <w:spacing w:line="400" w:lineRule="exact"/>
        <w:ind w:firstLine="369" w:firstLineChars="176"/>
        <w:rPr>
          <w:rFonts w:ascii="宋体" w:hAnsi="宋体" w:cs="宋体"/>
          <w:b/>
          <w:szCs w:val="21"/>
        </w:rPr>
      </w:pPr>
      <w:r>
        <w:rPr>
          <w:rFonts w:hint="eastAsia" w:ascii="宋体" w:hAnsi="宋体" w:cs="宋体"/>
          <w:kern w:val="0"/>
          <w:szCs w:val="21"/>
        </w:rPr>
        <w:t>采购人或采购代理机构负责组织本项目的评审工作，并依据政府采购法的相关规定履行职责。</w:t>
      </w:r>
    </w:p>
    <w:p>
      <w:pPr>
        <w:pStyle w:val="15"/>
        <w:adjustRightInd w:val="0"/>
        <w:snapToGrid w:val="0"/>
        <w:spacing w:before="0" w:beforeLines="0" w:after="0" w:afterLines="0"/>
        <w:rPr>
          <w:rFonts w:hAnsi="宋体" w:cs="宋体"/>
          <w:b/>
          <w:sz w:val="21"/>
          <w:szCs w:val="21"/>
        </w:rPr>
      </w:pPr>
      <w:r>
        <w:rPr>
          <w:rFonts w:hint="eastAsia" w:hAnsi="宋体" w:cs="宋体"/>
          <w:b/>
          <w:sz w:val="21"/>
          <w:szCs w:val="21"/>
        </w:rPr>
        <w:t>（二）组建评标委员会</w:t>
      </w:r>
    </w:p>
    <w:p>
      <w:pPr>
        <w:pStyle w:val="15"/>
        <w:adjustRightInd w:val="0"/>
        <w:snapToGrid w:val="0"/>
        <w:spacing w:before="0" w:beforeLines="0" w:after="0" w:afterLines="0"/>
        <w:ind w:firstLine="420" w:firstLineChars="200"/>
        <w:rPr>
          <w:rFonts w:hAnsi="宋体" w:cs="宋体"/>
          <w:sz w:val="21"/>
          <w:szCs w:val="21"/>
        </w:rPr>
      </w:pPr>
      <w:r>
        <w:rPr>
          <w:rFonts w:hint="eastAsia" w:hAnsi="宋体" w:cs="宋体"/>
          <w:sz w:val="21"/>
          <w:szCs w:val="21"/>
        </w:rPr>
        <w:t>本项目评标委员会由合法组建的5人（含）以上单数组成。评标委员会成员名单在评审结果（采购结果）公告前保密。</w:t>
      </w:r>
    </w:p>
    <w:p>
      <w:pPr>
        <w:pStyle w:val="15"/>
        <w:tabs>
          <w:tab w:val="left" w:pos="720"/>
        </w:tabs>
        <w:adjustRightInd w:val="0"/>
        <w:snapToGrid w:val="0"/>
        <w:spacing w:before="0" w:beforeLines="0" w:after="0" w:afterLines="0"/>
        <w:rPr>
          <w:rFonts w:hAnsi="宋体" w:cs="宋体"/>
          <w:b/>
          <w:sz w:val="21"/>
          <w:szCs w:val="21"/>
        </w:rPr>
      </w:pPr>
      <w:r>
        <w:rPr>
          <w:rFonts w:hint="eastAsia" w:hAnsi="宋体" w:cs="宋体"/>
          <w:b/>
          <w:sz w:val="21"/>
          <w:szCs w:val="21"/>
        </w:rPr>
        <w:t>（三）评标委员会的职责</w:t>
      </w:r>
    </w:p>
    <w:p>
      <w:pPr>
        <w:spacing w:line="400" w:lineRule="exact"/>
        <w:ind w:firstLine="371" w:firstLineChars="176"/>
        <w:rPr>
          <w:rFonts w:ascii="宋体" w:hAnsi="宋体" w:cs="宋体"/>
          <w:b/>
          <w:kern w:val="0"/>
          <w:szCs w:val="21"/>
        </w:rPr>
      </w:pPr>
      <w:r>
        <w:rPr>
          <w:rFonts w:hint="eastAsia" w:ascii="宋体" w:hAnsi="宋体" w:cs="宋体"/>
          <w:b/>
          <w:kern w:val="0"/>
          <w:szCs w:val="21"/>
        </w:rPr>
        <w:t>评标委员会负责具体评审事务，并独立履行下列职责：</w:t>
      </w:r>
    </w:p>
    <w:p>
      <w:pPr>
        <w:spacing w:line="400" w:lineRule="exact"/>
        <w:ind w:firstLine="369" w:firstLineChars="176"/>
        <w:rPr>
          <w:rFonts w:ascii="宋体" w:hAnsi="宋体" w:cs="宋体"/>
          <w:kern w:val="0"/>
          <w:szCs w:val="21"/>
        </w:rPr>
      </w:pPr>
      <w:r>
        <w:rPr>
          <w:rFonts w:hint="eastAsia" w:ascii="宋体" w:hAnsi="宋体" w:cs="宋体"/>
          <w:kern w:val="0"/>
          <w:szCs w:val="21"/>
        </w:rPr>
        <w:t>1、审查、评价投标文件是否符合招标文件的资信、技术等实质性要求；</w:t>
      </w:r>
    </w:p>
    <w:p>
      <w:pPr>
        <w:spacing w:line="400" w:lineRule="exact"/>
        <w:ind w:firstLine="369" w:firstLineChars="176"/>
        <w:rPr>
          <w:rFonts w:ascii="宋体" w:hAnsi="宋体" w:cs="宋体"/>
          <w:kern w:val="0"/>
          <w:szCs w:val="21"/>
        </w:rPr>
      </w:pPr>
      <w:r>
        <w:rPr>
          <w:rFonts w:hint="eastAsia" w:ascii="宋体" w:hAnsi="宋体" w:cs="宋体"/>
          <w:kern w:val="0"/>
          <w:szCs w:val="21"/>
        </w:rPr>
        <w:t>2、要求投标人对投标文件有关事项作出澄清或者说明；</w:t>
      </w:r>
    </w:p>
    <w:p>
      <w:pPr>
        <w:spacing w:line="400" w:lineRule="exact"/>
        <w:ind w:firstLine="369" w:firstLineChars="176"/>
        <w:rPr>
          <w:rFonts w:ascii="宋体" w:hAnsi="宋体" w:cs="宋体"/>
          <w:kern w:val="0"/>
          <w:szCs w:val="21"/>
        </w:rPr>
      </w:pPr>
      <w:r>
        <w:rPr>
          <w:rFonts w:hint="eastAsia" w:ascii="宋体" w:hAnsi="宋体" w:cs="宋体"/>
          <w:kern w:val="0"/>
          <w:szCs w:val="21"/>
        </w:rPr>
        <w:t>3、对投标文件进行比较和评价；</w:t>
      </w:r>
    </w:p>
    <w:p>
      <w:pPr>
        <w:spacing w:line="400" w:lineRule="exact"/>
        <w:ind w:firstLine="369" w:firstLineChars="176"/>
        <w:rPr>
          <w:rFonts w:ascii="宋体" w:hAnsi="宋体" w:cs="宋体"/>
          <w:kern w:val="0"/>
          <w:szCs w:val="21"/>
        </w:rPr>
      </w:pPr>
      <w:r>
        <w:rPr>
          <w:rFonts w:hint="eastAsia" w:ascii="宋体" w:hAnsi="宋体" w:cs="宋体"/>
          <w:kern w:val="0"/>
          <w:szCs w:val="21"/>
        </w:rPr>
        <w:t>4、确定中标候选人名单，以及根据采购人委托直接确定中标人；</w:t>
      </w:r>
    </w:p>
    <w:p>
      <w:pPr>
        <w:spacing w:line="400" w:lineRule="exact"/>
        <w:ind w:firstLine="369" w:firstLineChars="176"/>
        <w:rPr>
          <w:rFonts w:ascii="宋体" w:hAnsi="宋体" w:cs="宋体"/>
          <w:kern w:val="0"/>
          <w:szCs w:val="21"/>
        </w:rPr>
      </w:pPr>
      <w:r>
        <w:rPr>
          <w:rFonts w:hint="eastAsia" w:ascii="宋体" w:hAnsi="宋体" w:cs="宋体"/>
          <w:kern w:val="0"/>
          <w:szCs w:val="21"/>
        </w:rPr>
        <w:t>5、向采购人、采购代理机构或者有关部门报告评审中发现的违法行为。</w:t>
      </w:r>
    </w:p>
    <w:p>
      <w:pPr>
        <w:pStyle w:val="15"/>
        <w:tabs>
          <w:tab w:val="left" w:pos="720"/>
        </w:tabs>
        <w:adjustRightInd w:val="0"/>
        <w:snapToGrid w:val="0"/>
        <w:spacing w:before="0" w:beforeLines="0" w:after="0" w:afterLines="0"/>
        <w:rPr>
          <w:rFonts w:hAnsi="宋体" w:cs="宋体"/>
          <w:b/>
          <w:sz w:val="21"/>
          <w:szCs w:val="21"/>
        </w:rPr>
      </w:pPr>
      <w:r>
        <w:rPr>
          <w:rFonts w:hint="eastAsia" w:hAnsi="宋体" w:cs="宋体"/>
          <w:b/>
          <w:sz w:val="21"/>
          <w:szCs w:val="21"/>
        </w:rPr>
        <w:t>（四）评审原则和评标办法</w:t>
      </w:r>
    </w:p>
    <w:p>
      <w:pPr>
        <w:spacing w:line="400" w:lineRule="exact"/>
        <w:ind w:firstLine="371" w:firstLineChars="177"/>
        <w:rPr>
          <w:rFonts w:ascii="宋体" w:hAnsi="宋体" w:cs="宋体"/>
          <w:szCs w:val="21"/>
        </w:rPr>
      </w:pPr>
      <w:r>
        <w:rPr>
          <w:rFonts w:hint="eastAsia" w:ascii="宋体" w:hAnsi="宋体" w:cs="宋体"/>
          <w:szCs w:val="21"/>
        </w:rPr>
        <w:t>1、评审原则：</w:t>
      </w:r>
      <w:r>
        <w:rPr>
          <w:rFonts w:hint="eastAsia" w:ascii="宋体" w:hAnsi="宋体" w:cs="宋体"/>
          <w:kern w:val="0"/>
          <w:szCs w:val="21"/>
        </w:rPr>
        <w:t>评标委员会</w:t>
      </w:r>
      <w:r>
        <w:rPr>
          <w:rFonts w:hint="eastAsia" w:ascii="宋体" w:hAnsi="宋体" w:cs="宋体"/>
          <w:szCs w:val="21"/>
        </w:rPr>
        <w:t>按照客观、公正、审慎、择优的原则，根据招标文件规定的评审程序、评审方法和评审标准进行独立评审。</w:t>
      </w:r>
    </w:p>
    <w:p>
      <w:pPr>
        <w:spacing w:line="400" w:lineRule="exact"/>
        <w:ind w:firstLine="371" w:firstLineChars="177"/>
        <w:rPr>
          <w:rFonts w:ascii="宋体" w:hAnsi="宋体" w:cs="宋体"/>
          <w:kern w:val="0"/>
          <w:szCs w:val="21"/>
        </w:rPr>
      </w:pPr>
      <w:r>
        <w:rPr>
          <w:rFonts w:hint="eastAsia" w:ascii="宋体" w:hAnsi="宋体" w:cs="宋体"/>
          <w:szCs w:val="21"/>
        </w:rPr>
        <w:t>2、评审工作将依据</w:t>
      </w:r>
      <w:r>
        <w:rPr>
          <w:rFonts w:hint="eastAsia" w:ascii="宋体" w:hAnsi="宋体" w:cs="宋体"/>
          <w:kern w:val="0"/>
          <w:szCs w:val="21"/>
        </w:rPr>
        <w:t>招标文件、投标文件及招标文件中事先已列明的内容进行。</w:t>
      </w:r>
    </w:p>
    <w:p>
      <w:pPr>
        <w:spacing w:line="400" w:lineRule="exact"/>
        <w:ind w:firstLine="371" w:firstLineChars="177"/>
        <w:rPr>
          <w:rFonts w:ascii="宋体" w:hAnsi="宋体" w:cs="宋体"/>
          <w:kern w:val="0"/>
          <w:szCs w:val="21"/>
        </w:rPr>
      </w:pPr>
      <w:r>
        <w:rPr>
          <w:rFonts w:hint="eastAsia" w:ascii="宋体" w:hAnsi="宋体" w:cs="宋体"/>
          <w:szCs w:val="21"/>
        </w:rPr>
        <w:t>3、评标办法。本项目采用综合评分法，详见《第四章：评标办法及标准》。</w:t>
      </w:r>
    </w:p>
    <w:p>
      <w:pPr>
        <w:pStyle w:val="15"/>
        <w:tabs>
          <w:tab w:val="left" w:pos="720"/>
        </w:tabs>
        <w:adjustRightInd w:val="0"/>
        <w:snapToGrid w:val="0"/>
        <w:spacing w:before="0" w:beforeLines="0" w:after="0" w:afterLines="0"/>
        <w:rPr>
          <w:rFonts w:hAnsi="宋体" w:cs="宋体"/>
          <w:b/>
          <w:sz w:val="21"/>
          <w:szCs w:val="21"/>
        </w:rPr>
      </w:pPr>
      <w:r>
        <w:rPr>
          <w:rFonts w:hint="eastAsia" w:hAnsi="宋体" w:cs="宋体"/>
          <w:b/>
          <w:sz w:val="21"/>
          <w:szCs w:val="21"/>
        </w:rPr>
        <w:t>（五）评审意见的争议处理</w:t>
      </w:r>
    </w:p>
    <w:p>
      <w:pPr>
        <w:spacing w:line="400" w:lineRule="exact"/>
        <w:ind w:firstLine="371" w:firstLineChars="177"/>
        <w:rPr>
          <w:rFonts w:ascii="宋体" w:hAnsi="宋体" w:cs="宋体"/>
          <w:bCs/>
          <w:szCs w:val="21"/>
        </w:rPr>
      </w:pPr>
      <w:r>
        <w:rPr>
          <w:rFonts w:hint="eastAsia" w:ascii="宋体" w:hAnsi="宋体" w:cs="宋体"/>
          <w:bCs/>
          <w:szCs w:val="21"/>
        </w:rPr>
        <w:t>评标委员会成员对需要共同认定的事项存在争议的，按照少数服从多数的原则作出结论。持不同意见的评标委员会成员应当在评审报告上签署不同意见及理由，否则视为同意评审报告。</w:t>
      </w:r>
    </w:p>
    <w:p>
      <w:pPr>
        <w:pStyle w:val="15"/>
        <w:tabs>
          <w:tab w:val="left" w:pos="720"/>
        </w:tabs>
        <w:adjustRightInd w:val="0"/>
        <w:snapToGrid w:val="0"/>
        <w:spacing w:before="0" w:beforeLines="0" w:after="0" w:afterLines="0"/>
        <w:rPr>
          <w:rFonts w:hAnsi="宋体" w:cs="宋体"/>
          <w:b/>
          <w:sz w:val="21"/>
          <w:szCs w:val="21"/>
        </w:rPr>
      </w:pPr>
      <w:r>
        <w:rPr>
          <w:rFonts w:hint="eastAsia" w:hAnsi="宋体" w:cs="宋体"/>
          <w:b/>
          <w:sz w:val="21"/>
          <w:szCs w:val="21"/>
        </w:rPr>
        <w:t>（六）评审纪律</w:t>
      </w:r>
    </w:p>
    <w:p>
      <w:pPr>
        <w:spacing w:after="120" w:line="400" w:lineRule="exact"/>
        <w:ind w:firstLine="371" w:firstLineChars="177"/>
        <w:rPr>
          <w:rFonts w:ascii="宋体" w:hAnsi="宋体" w:cs="宋体"/>
          <w:b/>
          <w:szCs w:val="21"/>
        </w:rPr>
      </w:pPr>
      <w:r>
        <w:rPr>
          <w:rFonts w:hint="eastAsia" w:ascii="宋体" w:hAnsi="宋体" w:cs="宋体"/>
          <w:szCs w:val="21"/>
        </w:rPr>
        <w:t>评标委员会成员必须严格遵守保密规定，不得泄露评审的有关情况</w:t>
      </w:r>
      <w:r>
        <w:rPr>
          <w:rFonts w:hint="eastAsia" w:ascii="宋体" w:hAnsi="宋体" w:cs="宋体"/>
          <w:kern w:val="0"/>
          <w:szCs w:val="21"/>
        </w:rPr>
        <w:t>，任何单位和个人不得干扰、影响评标的正常进行，评标委员会成员不得私下与投标人接触，不得出现浙江省政府采购活动现场组织管理办法中规定的其他禁止行为。</w:t>
      </w:r>
    </w:p>
    <w:p>
      <w:pPr>
        <w:pStyle w:val="15"/>
        <w:tabs>
          <w:tab w:val="left" w:pos="720"/>
        </w:tabs>
        <w:adjustRightInd w:val="0"/>
        <w:snapToGrid w:val="0"/>
        <w:spacing w:before="0" w:beforeLines="0" w:after="0" w:afterLines="0"/>
        <w:rPr>
          <w:rFonts w:hAnsi="宋体" w:cs="宋体"/>
          <w:b/>
          <w:sz w:val="21"/>
          <w:szCs w:val="21"/>
        </w:rPr>
      </w:pPr>
      <w:bookmarkStart w:id="112" w:name="_Toc24550043"/>
      <w:bookmarkStart w:id="113" w:name="_Toc33194395"/>
      <w:r>
        <w:rPr>
          <w:rFonts w:hint="eastAsia" w:hAnsi="宋体" w:cs="宋体"/>
          <w:b/>
          <w:sz w:val="21"/>
          <w:szCs w:val="21"/>
        </w:rPr>
        <w:t>（七）</w:t>
      </w:r>
      <w:bookmarkEnd w:id="112"/>
      <w:bookmarkStart w:id="114" w:name="_Toc24550044"/>
      <w:r>
        <w:rPr>
          <w:rFonts w:hint="eastAsia" w:hAnsi="宋体" w:cs="宋体"/>
          <w:b/>
          <w:sz w:val="21"/>
          <w:szCs w:val="21"/>
        </w:rPr>
        <w:t>评审流程及内容</w:t>
      </w:r>
      <w:bookmarkEnd w:id="113"/>
      <w:bookmarkEnd w:id="114"/>
    </w:p>
    <w:p>
      <w:pPr>
        <w:spacing w:line="400" w:lineRule="exact"/>
        <w:ind w:firstLine="371" w:firstLineChars="176"/>
        <w:rPr>
          <w:rFonts w:ascii="宋体" w:hAnsi="宋体" w:cs="宋体"/>
          <w:szCs w:val="21"/>
        </w:rPr>
      </w:pPr>
      <w:r>
        <w:rPr>
          <w:rFonts w:hint="eastAsia" w:ascii="宋体" w:hAnsi="宋体" w:cs="宋体"/>
          <w:b/>
          <w:kern w:val="0"/>
          <w:szCs w:val="21"/>
        </w:rPr>
        <w:t>本项目具体的评审事务由评标委员会负责，评审流程及内容如下：</w:t>
      </w:r>
    </w:p>
    <w:p>
      <w:pPr>
        <w:pStyle w:val="5"/>
        <w:numPr>
          <w:ilvl w:val="0"/>
          <w:numId w:val="0"/>
        </w:numPr>
        <w:spacing w:before="0" w:after="0" w:line="400" w:lineRule="exact"/>
        <w:rPr>
          <w:rFonts w:ascii="宋体" w:hAnsi="宋体" w:cs="宋体"/>
          <w:sz w:val="21"/>
          <w:szCs w:val="21"/>
        </w:rPr>
      </w:pPr>
      <w:r>
        <w:rPr>
          <w:rFonts w:hint="eastAsia" w:ascii="宋体" w:hAnsi="宋体" w:cs="宋体"/>
          <w:sz w:val="21"/>
          <w:szCs w:val="21"/>
        </w:rPr>
        <w:t>1、 评审前准备</w:t>
      </w:r>
    </w:p>
    <w:p>
      <w:pPr>
        <w:spacing w:line="400" w:lineRule="exact"/>
        <w:ind w:firstLine="420" w:firstLineChars="200"/>
        <w:rPr>
          <w:rFonts w:ascii="宋体" w:hAnsi="宋体" w:cs="宋体"/>
          <w:kern w:val="0"/>
          <w:szCs w:val="21"/>
        </w:rPr>
      </w:pPr>
      <w:r>
        <w:rPr>
          <w:rFonts w:hint="eastAsia" w:ascii="宋体" w:hAnsi="宋体" w:cs="宋体"/>
          <w:kern w:val="0"/>
          <w:szCs w:val="21"/>
        </w:rPr>
        <w:t>1.1由评审专家推选评审小组组长，采购人代表不得担任评审小组组长。</w:t>
      </w:r>
    </w:p>
    <w:p>
      <w:pPr>
        <w:spacing w:line="400" w:lineRule="exact"/>
        <w:ind w:firstLine="371" w:firstLineChars="177"/>
        <w:rPr>
          <w:rFonts w:ascii="宋体" w:hAnsi="宋体" w:cs="宋体"/>
          <w:b/>
          <w:kern w:val="0"/>
          <w:szCs w:val="21"/>
        </w:rPr>
      </w:pPr>
      <w:r>
        <w:rPr>
          <w:rFonts w:hint="eastAsia" w:ascii="宋体" w:hAnsi="宋体" w:cs="宋体"/>
          <w:kern w:val="0"/>
          <w:szCs w:val="21"/>
        </w:rPr>
        <w:t>1.2由评审小组组长召集所有评委成员阅读招标文件及相关补充、质疑、答复文件、项目书面说明等材料，熟悉采购项目基本情况、采购需求、合同主要条款、投标文件无效情形、评审办法、评审标准，以及其他与评审有关的内容。</w:t>
      </w:r>
    </w:p>
    <w:p>
      <w:pPr>
        <w:pStyle w:val="5"/>
        <w:numPr>
          <w:ilvl w:val="0"/>
          <w:numId w:val="0"/>
        </w:numPr>
        <w:spacing w:before="0" w:after="0" w:line="400" w:lineRule="exact"/>
        <w:rPr>
          <w:rFonts w:ascii="宋体" w:hAnsi="宋体" w:cs="宋体"/>
          <w:sz w:val="21"/>
          <w:szCs w:val="21"/>
        </w:rPr>
      </w:pPr>
      <w:r>
        <w:rPr>
          <w:rFonts w:hint="eastAsia" w:ascii="宋体" w:hAnsi="宋体" w:cs="宋体"/>
          <w:sz w:val="21"/>
          <w:szCs w:val="21"/>
        </w:rPr>
        <w:t>2、投标文件的初步审查、符合性审查</w:t>
      </w:r>
    </w:p>
    <w:p>
      <w:pPr>
        <w:spacing w:line="400" w:lineRule="exact"/>
        <w:ind w:firstLine="373" w:firstLineChars="177"/>
        <w:rPr>
          <w:rFonts w:ascii="宋体" w:hAnsi="宋体" w:cs="宋体"/>
          <w:b/>
          <w:kern w:val="0"/>
          <w:szCs w:val="21"/>
        </w:rPr>
      </w:pPr>
      <w:r>
        <w:rPr>
          <w:rFonts w:hint="eastAsia" w:ascii="宋体" w:hAnsi="宋体" w:cs="宋体"/>
          <w:b/>
          <w:kern w:val="0"/>
          <w:szCs w:val="21"/>
        </w:rPr>
        <w:t>对所有通过资格审查的投标人的投标文件进行初步审查，审查、评价投标文件是否符合招标文件的资信、技术、服务等实质性要求。</w:t>
      </w:r>
    </w:p>
    <w:p>
      <w:pPr>
        <w:spacing w:line="400" w:lineRule="exact"/>
        <w:ind w:firstLine="371" w:firstLineChars="177"/>
        <w:rPr>
          <w:rFonts w:ascii="宋体" w:hAnsi="宋体" w:cs="宋体"/>
          <w:szCs w:val="21"/>
        </w:rPr>
      </w:pPr>
      <w:r>
        <w:rPr>
          <w:rFonts w:hint="eastAsia" w:ascii="宋体" w:hAnsi="宋体" w:cs="宋体"/>
          <w:szCs w:val="21"/>
        </w:rPr>
        <w:t>2.1评标委员会首先对所有通过资格审查的投标人的投标文件进行符合性审查，审查每份投标文件是否实质上响应了招标文件的要求（实质性响应的投标文件是指投标文件符合招标文件规定的实质性内容、条件和规定）。</w:t>
      </w:r>
    </w:p>
    <w:p>
      <w:pPr>
        <w:pStyle w:val="5"/>
        <w:numPr>
          <w:ilvl w:val="0"/>
          <w:numId w:val="0"/>
        </w:numPr>
        <w:tabs>
          <w:tab w:val="clear" w:pos="720"/>
        </w:tabs>
        <w:spacing w:before="0" w:after="0" w:line="400" w:lineRule="exact"/>
        <w:rPr>
          <w:rFonts w:ascii="宋体" w:hAnsi="宋体" w:cs="宋体"/>
          <w:sz w:val="21"/>
          <w:szCs w:val="21"/>
        </w:rPr>
      </w:pPr>
      <w:r>
        <w:rPr>
          <w:rFonts w:hint="eastAsia" w:ascii="宋体" w:hAnsi="宋体" w:cs="宋体"/>
          <w:sz w:val="21"/>
          <w:szCs w:val="21"/>
        </w:rPr>
        <w:t>3、投标文件的澄清、说明或补正</w:t>
      </w:r>
    </w:p>
    <w:p>
      <w:pPr>
        <w:spacing w:line="400" w:lineRule="exact"/>
        <w:ind w:firstLine="371" w:firstLineChars="177"/>
        <w:rPr>
          <w:rFonts w:ascii="宋体" w:hAnsi="宋体" w:cs="宋体"/>
          <w:kern w:val="0"/>
          <w:szCs w:val="21"/>
        </w:rPr>
      </w:pPr>
      <w:r>
        <w:rPr>
          <w:rFonts w:hint="eastAsia" w:ascii="宋体" w:hAnsi="宋体" w:cs="宋体"/>
          <w:kern w:val="0"/>
          <w:szCs w:val="21"/>
        </w:rPr>
        <w:t>3.1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3.2评标过程中评标委员会对投标人提出质询或要求投标人书面确认的（或通过“政采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pPr>
        <w:pStyle w:val="5"/>
        <w:numPr>
          <w:ilvl w:val="0"/>
          <w:numId w:val="0"/>
        </w:numPr>
        <w:tabs>
          <w:tab w:val="clear" w:pos="720"/>
        </w:tabs>
        <w:spacing w:before="0" w:after="0" w:line="400" w:lineRule="exact"/>
        <w:rPr>
          <w:rFonts w:ascii="宋体" w:hAnsi="宋体" w:cs="宋体"/>
          <w:sz w:val="21"/>
          <w:szCs w:val="21"/>
        </w:rPr>
      </w:pPr>
      <w:r>
        <w:rPr>
          <w:rFonts w:hint="eastAsia" w:ascii="宋体" w:hAnsi="宋体" w:cs="宋体"/>
          <w:sz w:val="21"/>
          <w:szCs w:val="21"/>
        </w:rPr>
        <w:t>4、投标文件的错误修正</w:t>
      </w:r>
    </w:p>
    <w:p>
      <w:pPr>
        <w:spacing w:line="400" w:lineRule="exact"/>
        <w:ind w:firstLine="369" w:firstLineChars="175"/>
        <w:rPr>
          <w:rFonts w:ascii="宋体" w:hAnsi="宋体" w:cs="宋体"/>
          <w:b/>
          <w:kern w:val="0"/>
          <w:szCs w:val="21"/>
        </w:rPr>
      </w:pPr>
      <w:r>
        <w:rPr>
          <w:rFonts w:hint="eastAsia" w:ascii="宋体" w:hAnsi="宋体" w:cs="宋体"/>
          <w:b/>
          <w:kern w:val="0"/>
          <w:szCs w:val="21"/>
        </w:rPr>
        <w:t>4.1投标文件如果出现计算或表达上的错误，修正错误的原则如下：</w:t>
      </w:r>
    </w:p>
    <w:p>
      <w:pPr>
        <w:spacing w:line="400" w:lineRule="exact"/>
        <w:ind w:firstLine="367" w:firstLineChars="175"/>
        <w:rPr>
          <w:rFonts w:ascii="宋体" w:hAnsi="宋体" w:cs="宋体"/>
          <w:kern w:val="0"/>
          <w:szCs w:val="21"/>
        </w:rPr>
      </w:pPr>
      <w:r>
        <w:rPr>
          <w:rFonts w:hint="eastAsia" w:ascii="宋体" w:hAnsi="宋体" w:cs="宋体"/>
          <w:kern w:val="0"/>
          <w:szCs w:val="21"/>
        </w:rPr>
        <w:t>（1）投标文件中开标一览表（报价表）内容与投标文件中相应内容不一致的，以开标一览表（报价表）为准。</w:t>
      </w:r>
    </w:p>
    <w:p>
      <w:pPr>
        <w:spacing w:line="400" w:lineRule="exact"/>
        <w:ind w:firstLine="367" w:firstLineChars="175"/>
        <w:rPr>
          <w:rFonts w:ascii="宋体" w:hAnsi="宋体" w:cs="宋体"/>
          <w:kern w:val="0"/>
          <w:szCs w:val="21"/>
        </w:rPr>
      </w:pPr>
      <w:r>
        <w:rPr>
          <w:rFonts w:hint="eastAsia" w:ascii="宋体" w:hAnsi="宋体" w:cs="宋体"/>
          <w:kern w:val="0"/>
          <w:szCs w:val="21"/>
        </w:rPr>
        <w:t>（2）投标文件的大写金额和小写金额不一致的，以大写金额为准；</w:t>
      </w:r>
    </w:p>
    <w:p>
      <w:pPr>
        <w:spacing w:line="400" w:lineRule="exact"/>
        <w:ind w:firstLine="367" w:firstLineChars="175"/>
        <w:rPr>
          <w:rFonts w:ascii="宋体" w:hAnsi="宋体" w:cs="宋体"/>
          <w:kern w:val="0"/>
          <w:szCs w:val="21"/>
        </w:rPr>
      </w:pPr>
      <w:r>
        <w:rPr>
          <w:rFonts w:hint="eastAsia" w:ascii="宋体" w:hAnsi="宋体" w:cs="宋体"/>
          <w:kern w:val="0"/>
          <w:szCs w:val="21"/>
        </w:rPr>
        <w:t>（3）单价金额小数点或者百分比有明显错位的，应以开标一览表（报价表）的总价为准，并修改单价；</w:t>
      </w:r>
    </w:p>
    <w:p>
      <w:pPr>
        <w:spacing w:line="400" w:lineRule="exact"/>
        <w:ind w:firstLine="367" w:firstLineChars="175"/>
        <w:rPr>
          <w:rFonts w:ascii="宋体" w:hAnsi="宋体" w:cs="宋体"/>
          <w:kern w:val="0"/>
          <w:szCs w:val="21"/>
        </w:rPr>
      </w:pPr>
      <w:r>
        <w:rPr>
          <w:rFonts w:hint="eastAsia" w:ascii="宋体" w:hAnsi="宋体" w:cs="宋体"/>
          <w:kern w:val="0"/>
          <w:szCs w:val="21"/>
        </w:rPr>
        <w:t>（4）总价金额与按单价汇总金额不一致的，以单价金额计算结果为准。</w:t>
      </w:r>
    </w:p>
    <w:p>
      <w:pPr>
        <w:adjustRightInd w:val="0"/>
        <w:spacing w:line="400" w:lineRule="exact"/>
        <w:ind w:firstLine="480"/>
        <w:rPr>
          <w:rFonts w:ascii="宋体" w:hAnsi="宋体" w:cs="宋体"/>
          <w:szCs w:val="21"/>
        </w:rPr>
      </w:pPr>
      <w:r>
        <w:rPr>
          <w:rFonts w:hint="eastAsia" w:ascii="宋体" w:hAnsi="宋体" w:cs="宋体"/>
          <w:szCs w:val="21"/>
        </w:rPr>
        <w:t>同时出现两种以上不一致的，按照上述规定的顺序修正。投标人按照澄清投标文件的形式同意并确认后，调整后的投标报价对投标人具有约束作用。如果投标人不接受修正后的报价，则其投标无效。</w:t>
      </w:r>
    </w:p>
    <w:p>
      <w:pPr>
        <w:spacing w:after="120" w:line="400" w:lineRule="exact"/>
        <w:ind w:firstLine="367" w:firstLineChars="175"/>
        <w:rPr>
          <w:rFonts w:ascii="宋体" w:hAnsi="宋体" w:cs="宋体"/>
          <w:kern w:val="0"/>
          <w:szCs w:val="21"/>
        </w:rPr>
      </w:pPr>
      <w:r>
        <w:rPr>
          <w:rFonts w:hint="eastAsia" w:ascii="宋体" w:hAnsi="宋体" w:cs="宋体"/>
          <w:kern w:val="0"/>
          <w:szCs w:val="21"/>
        </w:rPr>
        <w:t>4.2对不同文字文本投标文件的解释发生异议的，以中文文本为准。</w:t>
      </w:r>
    </w:p>
    <w:p>
      <w:pPr>
        <w:spacing w:line="400" w:lineRule="exact"/>
        <w:ind w:firstLine="369" w:firstLineChars="175"/>
        <w:rPr>
          <w:rFonts w:ascii="宋体" w:hAnsi="宋体" w:cs="宋体"/>
          <w:b/>
          <w:bCs/>
          <w:kern w:val="0"/>
          <w:szCs w:val="21"/>
        </w:rPr>
      </w:pPr>
      <w:r>
        <w:rPr>
          <w:rFonts w:hint="eastAsia" w:ascii="宋体" w:hAnsi="宋体" w:cs="宋体"/>
          <w:b/>
          <w:bCs/>
          <w:kern w:val="0"/>
          <w:szCs w:val="21"/>
        </w:rPr>
        <w:t>（八）投标文件有下列情况之一者将视为无效：</w:t>
      </w:r>
    </w:p>
    <w:p>
      <w:pPr>
        <w:spacing w:line="400" w:lineRule="exact"/>
        <w:ind w:firstLine="367" w:firstLineChars="175"/>
        <w:rPr>
          <w:rFonts w:ascii="宋体" w:hAnsi="宋体" w:cs="宋体"/>
          <w:kern w:val="0"/>
          <w:szCs w:val="21"/>
        </w:rPr>
      </w:pPr>
      <w:bookmarkStart w:id="115" w:name="_Hlk33211013"/>
      <w:r>
        <w:rPr>
          <w:rFonts w:hint="eastAsia" w:ascii="宋体" w:hAnsi="宋体" w:cs="宋体"/>
          <w:kern w:val="0"/>
          <w:szCs w:val="21"/>
        </w:rPr>
        <w:t>1、资信、技术文件符合性审查中，存在下列情形之一的，经评标委员会认定后作无效标处理：</w:t>
      </w:r>
    </w:p>
    <w:p>
      <w:pPr>
        <w:tabs>
          <w:tab w:val="left" w:pos="1110"/>
        </w:tabs>
        <w:spacing w:line="400" w:lineRule="exact"/>
        <w:ind w:firstLine="367" w:firstLineChars="175"/>
        <w:rPr>
          <w:rFonts w:ascii="宋体" w:hAnsi="宋体" w:cs="宋体"/>
          <w:kern w:val="0"/>
          <w:szCs w:val="21"/>
        </w:rPr>
      </w:pPr>
      <w:bookmarkStart w:id="116" w:name="_Toc33194396"/>
      <w:r>
        <w:rPr>
          <w:rFonts w:hint="eastAsia" w:ascii="宋体" w:hAnsi="宋体" w:cs="宋体"/>
          <w:kern w:val="0"/>
          <w:szCs w:val="21"/>
        </w:rPr>
        <w:t>（1）投标文件未有效授权，法定代表人授权委托书等填写不完整或有涂改的；</w:t>
      </w:r>
      <w:bookmarkEnd w:id="116"/>
    </w:p>
    <w:p>
      <w:pPr>
        <w:spacing w:line="400" w:lineRule="exact"/>
        <w:ind w:firstLine="367" w:firstLineChars="175"/>
        <w:rPr>
          <w:rFonts w:ascii="宋体" w:hAnsi="宋体" w:cs="宋体"/>
          <w:kern w:val="0"/>
          <w:szCs w:val="21"/>
        </w:rPr>
      </w:pPr>
      <w:r>
        <w:rPr>
          <w:rFonts w:hint="eastAsia" w:ascii="宋体" w:hAnsi="宋体" w:cs="宋体"/>
          <w:kern w:val="0"/>
          <w:szCs w:val="21"/>
        </w:rPr>
        <w:t>（2）投标文件没有对本招标文件作出实质性响应的，或不满足（不响应）本招标文件中标注“▲”的实质性要求条款的，或存在招标文件中明确规定的其他无效标情形的；</w:t>
      </w:r>
    </w:p>
    <w:p>
      <w:pPr>
        <w:spacing w:line="400" w:lineRule="exact"/>
        <w:ind w:firstLine="367" w:firstLineChars="175"/>
        <w:rPr>
          <w:rFonts w:ascii="宋体" w:hAnsi="宋体" w:cs="宋体"/>
          <w:kern w:val="0"/>
          <w:szCs w:val="21"/>
        </w:rPr>
      </w:pPr>
      <w:r>
        <w:rPr>
          <w:rFonts w:hint="eastAsia" w:ascii="宋体" w:hAnsi="宋体" w:cs="宋体"/>
          <w:kern w:val="0"/>
          <w:szCs w:val="21"/>
        </w:rPr>
        <w:t>（3）投标文件存在一个或一个以上备选（替代）投标方案的；</w:t>
      </w:r>
    </w:p>
    <w:p>
      <w:pPr>
        <w:spacing w:line="400" w:lineRule="exact"/>
        <w:ind w:firstLine="367" w:firstLineChars="175"/>
        <w:rPr>
          <w:rFonts w:ascii="宋体" w:hAnsi="宋体" w:cs="宋体"/>
          <w:kern w:val="0"/>
          <w:szCs w:val="21"/>
        </w:rPr>
      </w:pPr>
      <w:r>
        <w:rPr>
          <w:rFonts w:hint="eastAsia" w:ascii="宋体" w:hAnsi="宋体" w:cs="宋体"/>
          <w:kern w:val="0"/>
          <w:szCs w:val="21"/>
        </w:rPr>
        <w:t>（4）仅提交“备份投标文件”的；</w:t>
      </w:r>
    </w:p>
    <w:p>
      <w:pPr>
        <w:spacing w:line="400" w:lineRule="exact"/>
        <w:ind w:firstLine="367" w:firstLineChars="175"/>
        <w:rPr>
          <w:rFonts w:ascii="宋体" w:hAnsi="宋体" w:cs="宋体"/>
          <w:kern w:val="0"/>
          <w:szCs w:val="21"/>
        </w:rPr>
      </w:pPr>
      <w:r>
        <w:rPr>
          <w:rFonts w:hint="eastAsia" w:ascii="宋体" w:hAnsi="宋体" w:cs="宋体"/>
          <w:kern w:val="0"/>
          <w:szCs w:val="21"/>
        </w:rPr>
        <w:t>（5）文件组成内容不齐全，本招标文件规定必须提供而未提供的（属于资格审查范围的除外）；</w:t>
      </w:r>
    </w:p>
    <w:p>
      <w:pPr>
        <w:spacing w:line="400" w:lineRule="exact"/>
        <w:ind w:firstLine="367" w:firstLineChars="175"/>
        <w:rPr>
          <w:rFonts w:ascii="宋体" w:hAnsi="宋体" w:cs="宋体"/>
          <w:kern w:val="0"/>
          <w:szCs w:val="21"/>
        </w:rPr>
      </w:pPr>
      <w:r>
        <w:rPr>
          <w:rFonts w:hint="eastAsia" w:ascii="宋体" w:hAnsi="宋体" w:cs="宋体"/>
          <w:kern w:val="0"/>
          <w:szCs w:val="21"/>
        </w:rPr>
        <w:t>（6）投标文件标注的响应或偏离情况与事实不符，或提供了虚假材料的；</w:t>
      </w:r>
    </w:p>
    <w:p>
      <w:pPr>
        <w:spacing w:line="400" w:lineRule="exact"/>
        <w:ind w:firstLine="367" w:firstLineChars="175"/>
        <w:rPr>
          <w:rFonts w:ascii="宋体" w:hAnsi="宋体" w:cs="宋体"/>
          <w:kern w:val="0"/>
          <w:szCs w:val="21"/>
        </w:rPr>
      </w:pPr>
      <w:r>
        <w:rPr>
          <w:rFonts w:hint="eastAsia" w:ascii="宋体" w:hAnsi="宋体" w:cs="宋体"/>
          <w:kern w:val="0"/>
          <w:szCs w:val="21"/>
        </w:rPr>
        <w:t>（7）不响应或擅自改变本招标文件要求或投标文件有采购人不能接受的附加条件的；</w:t>
      </w:r>
    </w:p>
    <w:p>
      <w:pPr>
        <w:spacing w:line="400" w:lineRule="exact"/>
        <w:ind w:firstLine="367" w:firstLineChars="175"/>
        <w:rPr>
          <w:rFonts w:ascii="宋体" w:hAnsi="宋体" w:cs="宋体"/>
          <w:kern w:val="0"/>
          <w:szCs w:val="21"/>
        </w:rPr>
      </w:pPr>
      <w:r>
        <w:rPr>
          <w:rFonts w:hint="eastAsia" w:ascii="宋体" w:hAnsi="宋体" w:cs="宋体"/>
          <w:kern w:val="0"/>
          <w:szCs w:val="21"/>
        </w:rPr>
        <w:t>（8）违反国家或政府部门相关法律、法规、文件规定的。</w:t>
      </w:r>
      <w:bookmarkEnd w:id="115"/>
    </w:p>
    <w:p>
      <w:pPr>
        <w:spacing w:line="400" w:lineRule="exact"/>
        <w:ind w:firstLine="367" w:firstLineChars="175"/>
        <w:rPr>
          <w:rFonts w:ascii="宋体" w:hAnsi="宋体" w:cs="宋体"/>
          <w:kern w:val="0"/>
          <w:szCs w:val="21"/>
        </w:rPr>
      </w:pPr>
      <w:r>
        <w:rPr>
          <w:rFonts w:hint="eastAsia" w:ascii="宋体" w:hAnsi="宋体" w:cs="宋体"/>
          <w:kern w:val="0"/>
          <w:szCs w:val="21"/>
        </w:rPr>
        <w:t>2、报价文件符合性审查中，存在下列情形之一的，经评标委员会认定后作无效标处理：</w:t>
      </w:r>
    </w:p>
    <w:p>
      <w:pPr>
        <w:spacing w:line="400" w:lineRule="exact"/>
        <w:ind w:firstLine="367" w:firstLineChars="175"/>
        <w:rPr>
          <w:rFonts w:ascii="宋体" w:hAnsi="宋体" w:cs="宋体"/>
          <w:kern w:val="0"/>
          <w:szCs w:val="21"/>
        </w:rPr>
      </w:pPr>
      <w:r>
        <w:rPr>
          <w:rFonts w:hint="eastAsia" w:ascii="宋体" w:hAnsi="宋体" w:cs="宋体"/>
          <w:kern w:val="0"/>
          <w:szCs w:val="21"/>
        </w:rPr>
        <w:t>（1）未按照招标文件标明的币种报价的，或者投标报价涵盖的内容不符合招标文件要求的；</w:t>
      </w:r>
    </w:p>
    <w:p>
      <w:pPr>
        <w:spacing w:line="400" w:lineRule="exact"/>
        <w:ind w:firstLine="367" w:firstLineChars="175"/>
        <w:jc w:val="left"/>
        <w:rPr>
          <w:rFonts w:ascii="宋体" w:hAnsi="宋体" w:cs="宋体"/>
          <w:kern w:val="0"/>
          <w:szCs w:val="21"/>
        </w:rPr>
      </w:pPr>
      <w:r>
        <w:rPr>
          <w:rFonts w:hint="eastAsia" w:ascii="宋体" w:hAnsi="宋体" w:cs="宋体"/>
          <w:kern w:val="0"/>
          <w:szCs w:val="21"/>
        </w:rPr>
        <w:t>（2）投标报价出现前后不一致且不同意按照招标文件规定的方法进行修正的；</w:t>
      </w:r>
    </w:p>
    <w:p>
      <w:pPr>
        <w:spacing w:line="400" w:lineRule="exact"/>
        <w:ind w:firstLine="367" w:firstLineChars="175"/>
        <w:jc w:val="left"/>
        <w:rPr>
          <w:rFonts w:ascii="宋体" w:hAnsi="宋体" w:cs="宋体"/>
          <w:kern w:val="0"/>
          <w:szCs w:val="21"/>
        </w:rPr>
      </w:pPr>
      <w:r>
        <w:rPr>
          <w:rFonts w:hint="eastAsia" w:ascii="宋体" w:hAnsi="宋体" w:cs="宋体"/>
          <w:kern w:val="0"/>
          <w:szCs w:val="21"/>
        </w:rPr>
        <w:t>（3）投标报价具有选择性，且未注明哪个有效的；</w:t>
      </w:r>
    </w:p>
    <w:p>
      <w:pPr>
        <w:spacing w:line="400" w:lineRule="exact"/>
        <w:ind w:firstLine="367" w:firstLineChars="175"/>
        <w:jc w:val="left"/>
        <w:rPr>
          <w:rFonts w:ascii="宋体" w:hAnsi="宋体" w:cs="宋体"/>
          <w:kern w:val="0"/>
          <w:szCs w:val="21"/>
        </w:rPr>
      </w:pPr>
      <w:r>
        <w:rPr>
          <w:rFonts w:hint="eastAsia" w:ascii="宋体" w:hAnsi="宋体" w:cs="宋体"/>
          <w:kern w:val="0"/>
          <w:szCs w:val="21"/>
        </w:rPr>
        <w:t>（4）投标报价超过采购预算（或最高限价）的；</w:t>
      </w:r>
    </w:p>
    <w:p>
      <w:pPr>
        <w:spacing w:line="400" w:lineRule="exact"/>
        <w:ind w:firstLine="367" w:firstLineChars="175"/>
        <w:rPr>
          <w:rFonts w:ascii="宋体" w:hAnsi="宋体" w:cs="宋体"/>
          <w:kern w:val="0"/>
          <w:szCs w:val="21"/>
        </w:rPr>
      </w:pPr>
      <w:r>
        <w:rPr>
          <w:rFonts w:hint="eastAsia" w:ascii="宋体" w:hAnsi="宋体" w:cs="宋体"/>
          <w:kern w:val="0"/>
          <w:szCs w:val="21"/>
        </w:rPr>
        <w:t>（5）评审委员会认为投标人报价明显低于其他合格投标人的报价，有可能影响产品质量或者不能诚信履约的，应当要求其在合理时间内提供书面说明，必要时提供相关证明材料；投标人不能证明其报价合理性的，评审委员会应当将其作为无效投标或者无效响应处理；</w:t>
      </w:r>
    </w:p>
    <w:p>
      <w:pPr>
        <w:spacing w:line="400" w:lineRule="exact"/>
        <w:ind w:firstLine="367" w:firstLineChars="175"/>
        <w:rPr>
          <w:rFonts w:ascii="宋体" w:hAnsi="宋体" w:cs="宋体"/>
          <w:kern w:val="0"/>
          <w:szCs w:val="21"/>
        </w:rPr>
      </w:pPr>
      <w:r>
        <w:rPr>
          <w:rFonts w:hint="eastAsia" w:ascii="宋体" w:hAnsi="宋体" w:cs="宋体"/>
          <w:kern w:val="0"/>
          <w:szCs w:val="21"/>
        </w:rPr>
        <w:t>（6）违反国家或政府部门相关法律、法规、文件规定的。</w:t>
      </w:r>
    </w:p>
    <w:p>
      <w:pPr>
        <w:spacing w:line="400" w:lineRule="exact"/>
        <w:ind w:firstLine="367" w:firstLineChars="175"/>
        <w:jc w:val="left"/>
        <w:rPr>
          <w:rFonts w:ascii="宋体" w:hAnsi="宋体" w:cs="宋体"/>
          <w:kern w:val="0"/>
          <w:szCs w:val="21"/>
        </w:rPr>
      </w:pPr>
      <w:r>
        <w:rPr>
          <w:rFonts w:hint="eastAsia" w:ascii="宋体" w:hAnsi="宋体" w:cs="宋体"/>
          <w:kern w:val="0"/>
          <w:szCs w:val="21"/>
        </w:rPr>
        <w:t>3、投标人串通投标的，投标无效。</w:t>
      </w:r>
    </w:p>
    <w:p>
      <w:pPr>
        <w:spacing w:line="400" w:lineRule="exact"/>
        <w:ind w:firstLine="367" w:firstLineChars="175"/>
        <w:jc w:val="left"/>
        <w:rPr>
          <w:rFonts w:ascii="宋体" w:hAnsi="宋体" w:cs="宋体"/>
          <w:kern w:val="0"/>
          <w:szCs w:val="21"/>
        </w:rPr>
      </w:pPr>
      <w:r>
        <w:rPr>
          <w:rFonts w:hint="eastAsia" w:ascii="宋体" w:hAnsi="宋体" w:cs="宋体"/>
          <w:kern w:val="0"/>
          <w:szCs w:val="21"/>
        </w:rPr>
        <w:t>投标人有以下情形之一的，视为投标人串通投标：</w:t>
      </w:r>
    </w:p>
    <w:p>
      <w:pPr>
        <w:spacing w:line="400" w:lineRule="exact"/>
        <w:ind w:firstLine="367" w:firstLineChars="175"/>
        <w:jc w:val="left"/>
        <w:rPr>
          <w:rFonts w:ascii="宋体" w:hAnsi="宋体" w:cs="宋体"/>
          <w:kern w:val="0"/>
          <w:szCs w:val="21"/>
        </w:rPr>
      </w:pPr>
      <w:r>
        <w:rPr>
          <w:rFonts w:hint="eastAsia" w:ascii="宋体" w:hAnsi="宋体" w:cs="宋体"/>
          <w:kern w:val="0"/>
          <w:szCs w:val="21"/>
        </w:rPr>
        <w:t>（1）不同投标人的投标文件由同一单位或者个人编制；</w:t>
      </w:r>
    </w:p>
    <w:p>
      <w:pPr>
        <w:spacing w:line="400" w:lineRule="exact"/>
        <w:ind w:firstLine="367" w:firstLineChars="175"/>
        <w:jc w:val="left"/>
        <w:rPr>
          <w:rFonts w:ascii="宋体" w:hAnsi="宋体" w:cs="宋体"/>
          <w:kern w:val="0"/>
          <w:szCs w:val="21"/>
        </w:rPr>
      </w:pPr>
      <w:r>
        <w:rPr>
          <w:rFonts w:hint="eastAsia" w:ascii="宋体" w:hAnsi="宋体" w:cs="宋体"/>
          <w:kern w:val="0"/>
          <w:szCs w:val="21"/>
        </w:rPr>
        <w:t>（2）不同投标人委托同一单位或者个人办理投标事宜；</w:t>
      </w:r>
    </w:p>
    <w:p>
      <w:pPr>
        <w:spacing w:line="400" w:lineRule="exact"/>
        <w:ind w:firstLine="367" w:firstLineChars="175"/>
        <w:jc w:val="left"/>
        <w:rPr>
          <w:rFonts w:ascii="宋体" w:hAnsi="宋体" w:cs="宋体"/>
          <w:kern w:val="0"/>
          <w:szCs w:val="21"/>
        </w:rPr>
      </w:pPr>
      <w:r>
        <w:rPr>
          <w:rFonts w:hint="eastAsia" w:ascii="宋体" w:hAnsi="宋体" w:cs="宋体"/>
          <w:kern w:val="0"/>
          <w:szCs w:val="21"/>
        </w:rPr>
        <w:t>（3）不同投标人的投标文件载明的项目管理成员或者联系人员为同一人；</w:t>
      </w:r>
    </w:p>
    <w:p>
      <w:pPr>
        <w:spacing w:line="400" w:lineRule="exact"/>
        <w:ind w:firstLine="367" w:firstLineChars="175"/>
        <w:jc w:val="left"/>
        <w:rPr>
          <w:rFonts w:ascii="宋体" w:hAnsi="宋体" w:cs="宋体"/>
          <w:kern w:val="0"/>
          <w:szCs w:val="21"/>
        </w:rPr>
      </w:pPr>
      <w:r>
        <w:rPr>
          <w:rFonts w:hint="eastAsia" w:ascii="宋体" w:hAnsi="宋体" w:cs="宋体"/>
          <w:kern w:val="0"/>
          <w:szCs w:val="21"/>
        </w:rPr>
        <w:t>（4）不同投标人的投标文件异常一致或者投标报价呈规律性差异；</w:t>
      </w:r>
    </w:p>
    <w:p>
      <w:pPr>
        <w:spacing w:line="400" w:lineRule="exact"/>
        <w:ind w:firstLine="367" w:firstLineChars="175"/>
        <w:jc w:val="left"/>
        <w:rPr>
          <w:rFonts w:ascii="宋体" w:hAnsi="宋体" w:cs="宋体"/>
          <w:kern w:val="0"/>
          <w:szCs w:val="21"/>
        </w:rPr>
      </w:pPr>
      <w:r>
        <w:rPr>
          <w:rFonts w:hint="eastAsia" w:ascii="宋体" w:hAnsi="宋体" w:cs="宋体"/>
          <w:kern w:val="0"/>
          <w:szCs w:val="21"/>
        </w:rPr>
        <w:t>（5）不同投标人的投标文件相互混装；</w:t>
      </w:r>
    </w:p>
    <w:p>
      <w:pPr>
        <w:spacing w:line="400" w:lineRule="exact"/>
        <w:ind w:firstLine="367" w:firstLineChars="175"/>
        <w:jc w:val="left"/>
        <w:rPr>
          <w:rFonts w:ascii="宋体" w:hAnsi="宋体" w:cs="宋体"/>
          <w:kern w:val="0"/>
          <w:szCs w:val="21"/>
        </w:rPr>
      </w:pPr>
      <w:r>
        <w:rPr>
          <w:rFonts w:hint="eastAsia" w:ascii="宋体" w:hAnsi="宋体" w:cs="宋体"/>
          <w:kern w:val="0"/>
          <w:szCs w:val="21"/>
        </w:rPr>
        <w:t>4、法律、法规和招标文件规定的其他无效标情形。</w:t>
      </w:r>
    </w:p>
    <w:p>
      <w:pPr>
        <w:adjustRightInd w:val="0"/>
        <w:snapToGrid w:val="0"/>
        <w:spacing w:line="360" w:lineRule="exact"/>
        <w:ind w:firstLine="422" w:firstLineChars="200"/>
        <w:jc w:val="left"/>
        <w:rPr>
          <w:rFonts w:ascii="宋体" w:hAnsi="宋体" w:cs="宋体"/>
          <w:kern w:val="0"/>
          <w:szCs w:val="21"/>
        </w:rPr>
      </w:pPr>
      <w:r>
        <w:rPr>
          <w:rFonts w:hint="eastAsia" w:ascii="宋体" w:hAnsi="宋体" w:cs="宋体"/>
          <w:b/>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30分钟内进行修改或者补正（可以是复印件、传真件等）。修改或者补正投标文件必须以书面形式进行，限期内不补正或经补正后仍不符合招标文件要求的，应认定其投标无效。投标人修改、补正投标文件后，不影响评标委员会对其投标文件所作的评价和评分结果。</w:t>
      </w:r>
    </w:p>
    <w:p>
      <w:pPr>
        <w:tabs>
          <w:tab w:val="left" w:pos="720"/>
        </w:tabs>
        <w:spacing w:line="400" w:lineRule="exact"/>
        <w:ind w:firstLine="369" w:firstLineChars="175"/>
        <w:rPr>
          <w:rFonts w:ascii="宋体" w:hAnsi="宋体" w:cs="宋体"/>
          <w:b/>
          <w:bCs/>
          <w:kern w:val="0"/>
          <w:szCs w:val="21"/>
        </w:rPr>
      </w:pPr>
      <w:r>
        <w:rPr>
          <w:rFonts w:hint="eastAsia" w:ascii="宋体" w:hAnsi="宋体" w:cs="宋体"/>
          <w:b/>
          <w:bCs/>
          <w:kern w:val="0"/>
          <w:szCs w:val="21"/>
        </w:rPr>
        <w:t>（九）投标文件的评估、比较、评分</w:t>
      </w:r>
    </w:p>
    <w:p>
      <w:pPr>
        <w:spacing w:line="400" w:lineRule="exact"/>
        <w:ind w:firstLine="367" w:firstLineChars="175"/>
        <w:rPr>
          <w:rFonts w:ascii="宋体" w:hAnsi="宋体" w:cs="宋体"/>
          <w:kern w:val="0"/>
          <w:szCs w:val="21"/>
        </w:rPr>
      </w:pPr>
      <w:r>
        <w:rPr>
          <w:rFonts w:hint="eastAsia" w:ascii="宋体" w:hAnsi="宋体" w:cs="宋体"/>
          <w:kern w:val="0"/>
          <w:szCs w:val="21"/>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评标办法”。</w:t>
      </w:r>
    </w:p>
    <w:p>
      <w:pPr>
        <w:spacing w:line="400" w:lineRule="exact"/>
        <w:ind w:firstLine="367" w:firstLineChars="175"/>
        <w:rPr>
          <w:rFonts w:ascii="宋体" w:hAnsi="宋体" w:cs="宋体"/>
          <w:kern w:val="0"/>
          <w:szCs w:val="21"/>
        </w:rPr>
      </w:pPr>
      <w:r>
        <w:rPr>
          <w:rFonts w:hint="eastAsia" w:ascii="宋体" w:hAnsi="宋体" w:cs="宋体"/>
          <w:kern w:val="0"/>
          <w:szCs w:val="21"/>
        </w:rPr>
        <w:t>2、对采购组织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pPr>
        <w:tabs>
          <w:tab w:val="left" w:pos="720"/>
        </w:tabs>
        <w:spacing w:line="400" w:lineRule="exact"/>
        <w:ind w:firstLine="369" w:firstLineChars="175"/>
        <w:rPr>
          <w:rFonts w:ascii="宋体" w:hAnsi="宋体" w:cs="宋体"/>
          <w:b/>
          <w:bCs/>
          <w:kern w:val="0"/>
          <w:szCs w:val="21"/>
        </w:rPr>
      </w:pPr>
      <w:r>
        <w:rPr>
          <w:rFonts w:hint="eastAsia" w:ascii="宋体" w:hAnsi="宋体" w:cs="宋体"/>
          <w:b/>
          <w:bCs/>
          <w:kern w:val="0"/>
          <w:szCs w:val="21"/>
        </w:rPr>
        <w:t>（十）修改评审结果</w:t>
      </w:r>
    </w:p>
    <w:p>
      <w:pPr>
        <w:spacing w:line="400" w:lineRule="exact"/>
        <w:ind w:firstLine="367" w:firstLineChars="175"/>
        <w:rPr>
          <w:rFonts w:ascii="宋体" w:hAnsi="宋体" w:cs="宋体"/>
          <w:kern w:val="0"/>
          <w:szCs w:val="21"/>
        </w:rPr>
      </w:pPr>
      <w:r>
        <w:rPr>
          <w:rFonts w:hint="eastAsia" w:ascii="宋体" w:hAnsi="宋体" w:cs="宋体"/>
          <w:kern w:val="0"/>
          <w:szCs w:val="21"/>
        </w:rPr>
        <w:t>1、评标结果汇总完成后，除下列情形外，任何人不得修改评标结果：</w:t>
      </w:r>
    </w:p>
    <w:p>
      <w:pPr>
        <w:spacing w:line="400" w:lineRule="exact"/>
        <w:ind w:firstLine="367" w:firstLineChars="175"/>
        <w:rPr>
          <w:rFonts w:ascii="宋体" w:hAnsi="宋体" w:cs="宋体"/>
          <w:kern w:val="0"/>
          <w:szCs w:val="21"/>
        </w:rPr>
      </w:pPr>
      <w:r>
        <w:rPr>
          <w:rFonts w:hint="eastAsia" w:ascii="宋体" w:hAnsi="宋体" w:cs="宋体"/>
          <w:kern w:val="0"/>
          <w:szCs w:val="21"/>
        </w:rPr>
        <w:t>1.1 分值汇总计算错误的；</w:t>
      </w:r>
    </w:p>
    <w:p>
      <w:pPr>
        <w:spacing w:line="400" w:lineRule="exact"/>
        <w:ind w:firstLine="367" w:firstLineChars="175"/>
        <w:rPr>
          <w:rFonts w:ascii="宋体" w:hAnsi="宋体" w:cs="宋体"/>
          <w:kern w:val="0"/>
          <w:szCs w:val="21"/>
        </w:rPr>
      </w:pPr>
      <w:r>
        <w:rPr>
          <w:rFonts w:hint="eastAsia" w:ascii="宋体" w:hAnsi="宋体" w:cs="宋体"/>
          <w:kern w:val="0"/>
          <w:szCs w:val="21"/>
        </w:rPr>
        <w:t>1.2 分项评分超出评分标准范围的；</w:t>
      </w:r>
    </w:p>
    <w:p>
      <w:pPr>
        <w:spacing w:line="400" w:lineRule="exact"/>
        <w:ind w:firstLine="367" w:firstLineChars="175"/>
        <w:rPr>
          <w:rFonts w:ascii="宋体" w:hAnsi="宋体" w:cs="宋体"/>
          <w:kern w:val="0"/>
          <w:szCs w:val="21"/>
        </w:rPr>
      </w:pPr>
      <w:r>
        <w:rPr>
          <w:rFonts w:hint="eastAsia" w:ascii="宋体" w:hAnsi="宋体" w:cs="宋体"/>
          <w:kern w:val="0"/>
          <w:szCs w:val="21"/>
        </w:rPr>
        <w:t>1.3 评标委员会成员对客观评审因素评分不一致的；</w:t>
      </w:r>
    </w:p>
    <w:p>
      <w:pPr>
        <w:spacing w:line="400" w:lineRule="exact"/>
        <w:ind w:firstLine="367" w:firstLineChars="175"/>
        <w:rPr>
          <w:rFonts w:ascii="宋体" w:hAnsi="宋体" w:cs="宋体"/>
          <w:kern w:val="0"/>
          <w:szCs w:val="21"/>
        </w:rPr>
      </w:pPr>
      <w:r>
        <w:rPr>
          <w:rFonts w:hint="eastAsia" w:ascii="宋体" w:hAnsi="宋体" w:cs="宋体"/>
          <w:kern w:val="0"/>
          <w:szCs w:val="21"/>
        </w:rPr>
        <w:t>1.4 经评标委员会认定评分畸高、畸低的。</w:t>
      </w:r>
    </w:p>
    <w:p>
      <w:pPr>
        <w:spacing w:line="400" w:lineRule="exact"/>
        <w:ind w:firstLine="367" w:firstLineChars="175"/>
        <w:rPr>
          <w:rFonts w:ascii="宋体" w:hAnsi="宋体" w:cs="宋体"/>
          <w:kern w:val="0"/>
          <w:szCs w:val="21"/>
        </w:rPr>
      </w:pPr>
      <w:r>
        <w:rPr>
          <w:rFonts w:hint="eastAsia" w:ascii="宋体" w:hAnsi="宋体" w:cs="宋体"/>
          <w:kern w:val="0"/>
          <w:szCs w:val="21"/>
        </w:rPr>
        <w:t>2、评标报告签署前，经复核发现存在以上情形之一的，评标委员会将当场修改评标结果，并在评标报告中记载。</w:t>
      </w:r>
    </w:p>
    <w:p>
      <w:pPr>
        <w:tabs>
          <w:tab w:val="left" w:pos="720"/>
        </w:tabs>
        <w:spacing w:line="400" w:lineRule="exact"/>
        <w:ind w:firstLine="369" w:firstLineChars="175"/>
        <w:rPr>
          <w:rFonts w:ascii="宋体" w:hAnsi="宋体" w:cs="宋体"/>
          <w:b/>
          <w:bCs/>
          <w:kern w:val="0"/>
          <w:szCs w:val="21"/>
        </w:rPr>
      </w:pPr>
      <w:r>
        <w:rPr>
          <w:rFonts w:hint="eastAsia" w:ascii="宋体" w:hAnsi="宋体" w:cs="宋体"/>
          <w:b/>
          <w:bCs/>
          <w:kern w:val="0"/>
          <w:szCs w:val="21"/>
        </w:rPr>
        <w:t>（十一）投标人排序及推荐中标（成交）候选投标人</w:t>
      </w:r>
    </w:p>
    <w:p>
      <w:pPr>
        <w:spacing w:line="400" w:lineRule="exact"/>
        <w:ind w:firstLine="367" w:firstLineChars="175"/>
        <w:rPr>
          <w:rFonts w:ascii="宋体" w:hAnsi="宋体" w:cs="宋体"/>
          <w:kern w:val="0"/>
          <w:szCs w:val="21"/>
        </w:rPr>
      </w:pPr>
      <w:r>
        <w:rPr>
          <w:rFonts w:hint="eastAsia" w:ascii="宋体" w:hAnsi="宋体" w:cs="宋体"/>
          <w:kern w:val="0"/>
          <w:szCs w:val="21"/>
        </w:rPr>
        <w:t>评标委员会根据以下规定确定投标人排名并推荐中标（成交）候选投标人。评标委员会根据各投标人的综合得分（技术资信分与报价得分之和）从高到低依次进行排名排序。特殊情形按以下原则处理：</w:t>
      </w:r>
    </w:p>
    <w:p>
      <w:pPr>
        <w:spacing w:line="400" w:lineRule="exact"/>
        <w:ind w:firstLine="367" w:firstLineChars="175"/>
        <w:rPr>
          <w:rFonts w:ascii="宋体" w:hAnsi="宋体" w:cs="宋体"/>
          <w:kern w:val="0"/>
          <w:szCs w:val="21"/>
        </w:rPr>
      </w:pPr>
      <w:r>
        <w:rPr>
          <w:rFonts w:hint="eastAsia" w:ascii="宋体" w:hAnsi="宋体" w:cs="宋体"/>
          <w:kern w:val="0"/>
          <w:szCs w:val="21"/>
        </w:rPr>
        <w:t>1、综合得分相同的，按投标报价低的优先原则确定排名；</w:t>
      </w:r>
    </w:p>
    <w:p>
      <w:pPr>
        <w:spacing w:line="400" w:lineRule="exact"/>
        <w:ind w:firstLine="367" w:firstLineChars="175"/>
        <w:rPr>
          <w:rFonts w:ascii="宋体" w:hAnsi="宋体" w:cs="宋体"/>
          <w:kern w:val="0"/>
          <w:szCs w:val="21"/>
        </w:rPr>
      </w:pPr>
      <w:r>
        <w:rPr>
          <w:rFonts w:hint="eastAsia" w:ascii="宋体" w:hAnsi="宋体" w:cs="宋体"/>
          <w:kern w:val="0"/>
          <w:szCs w:val="21"/>
        </w:rPr>
        <w:t>2、综合得分和投标报价均相同的，按技术资信得分从高到低确定排名；</w:t>
      </w:r>
    </w:p>
    <w:p>
      <w:pPr>
        <w:spacing w:line="400" w:lineRule="exact"/>
        <w:ind w:firstLine="367" w:firstLineChars="175"/>
        <w:rPr>
          <w:rFonts w:ascii="宋体" w:hAnsi="宋体" w:cs="宋体"/>
          <w:kern w:val="0"/>
          <w:szCs w:val="21"/>
        </w:rPr>
      </w:pPr>
      <w:r>
        <w:rPr>
          <w:rFonts w:hint="eastAsia" w:ascii="宋体" w:hAnsi="宋体" w:cs="宋体"/>
          <w:kern w:val="0"/>
          <w:szCs w:val="21"/>
        </w:rPr>
        <w:t>3、综合得分、投标报价和技术资信得分均相同的由评标委员会全体成员记名投票按少数服从多数的原则确定排名。</w:t>
      </w:r>
    </w:p>
    <w:p>
      <w:pPr>
        <w:spacing w:line="380" w:lineRule="exact"/>
        <w:ind w:firstLine="373" w:firstLineChars="177"/>
        <w:rPr>
          <w:rFonts w:ascii="宋体" w:hAnsi="宋体" w:cs="宋体"/>
          <w:b/>
        </w:rPr>
      </w:pPr>
      <w:r>
        <w:rPr>
          <w:rFonts w:hint="eastAsia" w:ascii="宋体" w:hAnsi="宋体" w:cs="宋体"/>
          <w:b/>
        </w:rPr>
        <w:t>4、根据最终得分排序，通过书面评审报告的形式，向采购人推荐</w:t>
      </w:r>
      <w:r>
        <w:rPr>
          <w:rFonts w:hint="eastAsia" w:ascii="宋体" w:hAnsi="宋体" w:cs="宋体"/>
          <w:b/>
          <w:kern w:val="0"/>
        </w:rPr>
        <w:t>排名第一的投标人为第一中标候选人，排名第二的为第二中标候选人</w:t>
      </w:r>
      <w:r>
        <w:rPr>
          <w:rFonts w:hint="eastAsia" w:ascii="宋体" w:hAnsi="宋体" w:cs="宋体"/>
          <w:b/>
        </w:rPr>
        <w:t>。</w:t>
      </w:r>
    </w:p>
    <w:p>
      <w:pPr>
        <w:tabs>
          <w:tab w:val="left" w:pos="720"/>
        </w:tabs>
        <w:spacing w:line="360" w:lineRule="exact"/>
        <w:ind w:firstLine="369" w:firstLineChars="175"/>
        <w:rPr>
          <w:rFonts w:ascii="宋体" w:hAnsi="宋体" w:cs="宋体"/>
          <w:b/>
          <w:bCs/>
          <w:kern w:val="0"/>
          <w:szCs w:val="21"/>
        </w:rPr>
      </w:pPr>
      <w:r>
        <w:rPr>
          <w:rFonts w:hint="eastAsia" w:ascii="宋体" w:hAnsi="宋体" w:cs="宋体"/>
          <w:b/>
          <w:bCs/>
          <w:kern w:val="0"/>
          <w:szCs w:val="21"/>
        </w:rPr>
        <w:t>（十二）起草、签署评审报告</w:t>
      </w:r>
    </w:p>
    <w:p>
      <w:pPr>
        <w:spacing w:line="360" w:lineRule="exact"/>
        <w:ind w:firstLine="367" w:firstLineChars="175"/>
        <w:rPr>
          <w:rFonts w:ascii="宋体" w:hAnsi="宋体" w:cs="宋体"/>
          <w:kern w:val="0"/>
          <w:szCs w:val="21"/>
        </w:rPr>
      </w:pPr>
      <w:r>
        <w:rPr>
          <w:rFonts w:hint="eastAsia" w:ascii="宋体" w:hAnsi="宋体" w:cs="宋体"/>
          <w:kern w:val="0"/>
          <w:szCs w:val="21"/>
        </w:rPr>
        <w:t>评审结束后，评标委员会将通过“政采云平台”起草评审报告，并书面打印签字，对自己的评审意见承担法律责任。对评审报告有异议的，应当在评审报告上签署不同意见，并说明理由，否则视为同意评审报告。</w:t>
      </w:r>
    </w:p>
    <w:p>
      <w:pPr>
        <w:tabs>
          <w:tab w:val="left" w:pos="630"/>
        </w:tabs>
        <w:spacing w:after="120" w:line="360" w:lineRule="exact"/>
        <w:ind w:firstLine="369" w:firstLineChars="175"/>
        <w:rPr>
          <w:rFonts w:ascii="宋体" w:hAnsi="宋体" w:cs="宋体"/>
          <w:b/>
          <w:bCs/>
          <w:kern w:val="0"/>
          <w:szCs w:val="21"/>
        </w:rPr>
      </w:pPr>
      <w:r>
        <w:rPr>
          <w:rFonts w:hint="eastAsia" w:ascii="宋体" w:hAnsi="宋体" w:cs="宋体"/>
          <w:b/>
          <w:bCs/>
          <w:kern w:val="0"/>
          <w:szCs w:val="21"/>
        </w:rPr>
        <w:t>（十三）评标过程的保密</w:t>
      </w:r>
    </w:p>
    <w:p>
      <w:pPr>
        <w:spacing w:line="360" w:lineRule="exact"/>
        <w:ind w:firstLine="367" w:firstLineChars="175"/>
        <w:rPr>
          <w:rFonts w:ascii="宋体" w:hAnsi="宋体" w:cs="宋体"/>
          <w:kern w:val="0"/>
          <w:szCs w:val="21"/>
        </w:rPr>
      </w:pPr>
      <w:r>
        <w:rPr>
          <w:rFonts w:hint="eastAsia" w:ascii="宋体" w:hAnsi="宋体" w:cs="宋体"/>
          <w:kern w:val="0"/>
          <w:szCs w:val="21"/>
        </w:rPr>
        <w:t>凡是属于审查、澄清、评审和比较的有关资料以及授标建议，任何人均不得向投标人或其他无关的人员透露。</w:t>
      </w:r>
    </w:p>
    <w:p>
      <w:pPr>
        <w:spacing w:line="360" w:lineRule="exact"/>
        <w:ind w:firstLine="367" w:firstLineChars="175"/>
        <w:rPr>
          <w:rFonts w:ascii="宋体" w:hAnsi="宋体" w:cs="宋体"/>
          <w:kern w:val="0"/>
          <w:szCs w:val="21"/>
        </w:rPr>
      </w:pPr>
      <w:r>
        <w:rPr>
          <w:rFonts w:hint="eastAsia" w:ascii="宋体" w:hAnsi="宋体" w:cs="宋体"/>
          <w:kern w:val="0"/>
          <w:szCs w:val="21"/>
        </w:rPr>
        <w:t>本项目评标过程实行全程录音、录像监控，投标人在评标过程中所进行的力图影响评标结果的不公正活动，可能导致其投标被拒绝。</w:t>
      </w:r>
    </w:p>
    <w:p>
      <w:pPr>
        <w:spacing w:line="360" w:lineRule="exact"/>
        <w:ind w:firstLine="369" w:firstLineChars="175"/>
        <w:jc w:val="left"/>
        <w:rPr>
          <w:rFonts w:ascii="宋体" w:hAnsi="宋体" w:cs="宋体"/>
          <w:b/>
          <w:bCs/>
          <w:kern w:val="0"/>
          <w:szCs w:val="21"/>
        </w:rPr>
      </w:pPr>
      <w:r>
        <w:rPr>
          <w:rFonts w:hint="eastAsia" w:ascii="宋体" w:hAnsi="宋体" w:cs="宋体"/>
          <w:b/>
          <w:bCs/>
          <w:kern w:val="0"/>
          <w:szCs w:val="21"/>
        </w:rPr>
        <w:t>（十四）废标的情形</w:t>
      </w:r>
    </w:p>
    <w:p>
      <w:pPr>
        <w:spacing w:line="360" w:lineRule="exact"/>
        <w:ind w:firstLine="367" w:firstLineChars="175"/>
        <w:jc w:val="left"/>
        <w:rPr>
          <w:rFonts w:ascii="宋体" w:hAnsi="宋体" w:cs="宋体"/>
          <w:kern w:val="0"/>
          <w:szCs w:val="21"/>
        </w:rPr>
      </w:pPr>
      <w:r>
        <w:rPr>
          <w:rFonts w:hint="eastAsia" w:ascii="宋体" w:hAnsi="宋体" w:cs="宋体"/>
          <w:kern w:val="0"/>
          <w:szCs w:val="21"/>
        </w:rPr>
        <w:t>在招标采购中，出现下列情形之一的，应予废标：</w:t>
      </w:r>
    </w:p>
    <w:p>
      <w:pPr>
        <w:spacing w:line="360" w:lineRule="exact"/>
        <w:ind w:firstLine="367" w:firstLineChars="175"/>
        <w:jc w:val="left"/>
        <w:rPr>
          <w:rFonts w:ascii="宋体" w:hAnsi="宋体" w:cs="宋体"/>
          <w:kern w:val="0"/>
          <w:szCs w:val="21"/>
        </w:rPr>
      </w:pPr>
      <w:r>
        <w:rPr>
          <w:rFonts w:hint="eastAsia" w:ascii="宋体" w:hAnsi="宋体" w:cs="宋体"/>
          <w:kern w:val="0"/>
          <w:szCs w:val="21"/>
        </w:rPr>
        <w:t>1、符合专业条件的投标人或者对招标文件作实质性响应的投标人不足三家的；</w:t>
      </w:r>
    </w:p>
    <w:p>
      <w:pPr>
        <w:spacing w:line="360" w:lineRule="exact"/>
        <w:ind w:firstLine="367" w:firstLineChars="175"/>
        <w:jc w:val="left"/>
        <w:rPr>
          <w:rFonts w:ascii="宋体" w:hAnsi="宋体" w:cs="宋体"/>
          <w:kern w:val="0"/>
          <w:szCs w:val="21"/>
        </w:rPr>
      </w:pPr>
      <w:r>
        <w:rPr>
          <w:rFonts w:hint="eastAsia" w:ascii="宋体" w:hAnsi="宋体" w:cs="宋体"/>
          <w:kern w:val="0"/>
          <w:szCs w:val="21"/>
        </w:rPr>
        <w:t>2、出现影响采购公正的违法、违规行为的；</w:t>
      </w:r>
    </w:p>
    <w:p>
      <w:pPr>
        <w:spacing w:line="360" w:lineRule="exact"/>
        <w:ind w:firstLine="367" w:firstLineChars="175"/>
        <w:jc w:val="left"/>
        <w:rPr>
          <w:rFonts w:ascii="宋体" w:hAnsi="宋体" w:cs="宋体"/>
          <w:kern w:val="0"/>
          <w:szCs w:val="21"/>
        </w:rPr>
      </w:pPr>
      <w:r>
        <w:rPr>
          <w:rFonts w:hint="eastAsia" w:ascii="宋体" w:hAnsi="宋体" w:cs="宋体"/>
          <w:kern w:val="0"/>
          <w:szCs w:val="21"/>
        </w:rPr>
        <w:t>3、投标人的报价均超过了</w:t>
      </w:r>
      <w:r>
        <w:rPr>
          <w:rFonts w:hint="eastAsia" w:ascii="宋体" w:hAnsi="宋体" w:cs="宋体"/>
          <w:kern w:val="0"/>
          <w:szCs w:val="21"/>
          <w:lang w:eastAsia="zh-CN"/>
        </w:rPr>
        <w:t>最高限价</w:t>
      </w:r>
      <w:r>
        <w:rPr>
          <w:rFonts w:hint="eastAsia" w:ascii="宋体" w:hAnsi="宋体" w:cs="宋体"/>
          <w:kern w:val="0"/>
          <w:szCs w:val="21"/>
        </w:rPr>
        <w:t>，采购人不能支付的；</w:t>
      </w:r>
    </w:p>
    <w:p>
      <w:pPr>
        <w:spacing w:line="360" w:lineRule="exact"/>
        <w:ind w:firstLine="367" w:firstLineChars="175"/>
        <w:jc w:val="left"/>
        <w:rPr>
          <w:rFonts w:ascii="宋体" w:hAnsi="宋体" w:cs="宋体"/>
          <w:kern w:val="0"/>
          <w:szCs w:val="21"/>
        </w:rPr>
      </w:pPr>
      <w:r>
        <w:rPr>
          <w:rFonts w:hint="eastAsia" w:ascii="宋体" w:hAnsi="宋体" w:cs="宋体"/>
          <w:kern w:val="0"/>
          <w:szCs w:val="21"/>
        </w:rPr>
        <w:t>4、因重大变故，采购任务取消的。</w:t>
      </w:r>
    </w:p>
    <w:p>
      <w:pPr>
        <w:tabs>
          <w:tab w:val="left" w:pos="720"/>
        </w:tabs>
        <w:spacing w:line="360" w:lineRule="exact"/>
        <w:ind w:firstLine="369" w:firstLineChars="175"/>
        <w:jc w:val="left"/>
        <w:rPr>
          <w:rFonts w:ascii="宋体" w:hAnsi="宋体" w:cs="宋体"/>
          <w:b/>
          <w:bCs/>
          <w:kern w:val="0"/>
          <w:szCs w:val="21"/>
        </w:rPr>
      </w:pPr>
      <w:r>
        <w:rPr>
          <w:rFonts w:hint="eastAsia" w:ascii="宋体" w:hAnsi="宋体" w:cs="宋体"/>
          <w:b/>
          <w:bCs/>
          <w:kern w:val="0"/>
          <w:szCs w:val="21"/>
        </w:rPr>
        <w:t>（十五）可中止电子交易活动的情形</w:t>
      </w:r>
    </w:p>
    <w:p>
      <w:pPr>
        <w:spacing w:line="360" w:lineRule="exact"/>
        <w:ind w:firstLine="371" w:firstLineChars="176"/>
        <w:rPr>
          <w:rFonts w:ascii="宋体" w:hAnsi="宋体" w:cs="宋体"/>
        </w:rPr>
      </w:pPr>
      <w:r>
        <w:rPr>
          <w:rFonts w:hint="eastAsia" w:ascii="宋体" w:hAnsi="宋体" w:cs="宋体"/>
          <w:b/>
        </w:rPr>
        <w:t>采购过程中出现以下情形，导致电子交易平台无法正常运行，或者无法保证电子交易的公平、公正和安全时，采购组织机构可中止电子交易活动：</w:t>
      </w:r>
    </w:p>
    <w:p>
      <w:pPr>
        <w:spacing w:line="360" w:lineRule="exact"/>
        <w:ind w:firstLine="369" w:firstLineChars="176"/>
        <w:rPr>
          <w:rFonts w:ascii="宋体" w:hAnsi="宋体" w:cs="宋体"/>
        </w:rPr>
      </w:pPr>
      <w:r>
        <w:rPr>
          <w:rFonts w:hint="eastAsia" w:ascii="宋体" w:hAnsi="宋体" w:cs="宋体"/>
        </w:rPr>
        <w:t>1、电子交易平台发生故障而无法登录访问的；</w:t>
      </w:r>
    </w:p>
    <w:p>
      <w:pPr>
        <w:spacing w:line="360" w:lineRule="exact"/>
        <w:ind w:firstLine="369" w:firstLineChars="176"/>
        <w:rPr>
          <w:rFonts w:ascii="宋体" w:hAnsi="宋体" w:cs="宋体"/>
        </w:rPr>
      </w:pPr>
      <w:r>
        <w:rPr>
          <w:rFonts w:hint="eastAsia" w:ascii="宋体" w:hAnsi="宋体" w:cs="宋体"/>
        </w:rPr>
        <w:t>2、电子交易平台应用或数据库出现错误，不能进行正常操作的；</w:t>
      </w:r>
    </w:p>
    <w:p>
      <w:pPr>
        <w:spacing w:line="360" w:lineRule="exact"/>
        <w:ind w:firstLine="369" w:firstLineChars="176"/>
        <w:rPr>
          <w:rFonts w:ascii="宋体" w:hAnsi="宋体" w:cs="宋体"/>
        </w:rPr>
      </w:pPr>
      <w:r>
        <w:rPr>
          <w:rFonts w:hint="eastAsia" w:ascii="宋体" w:hAnsi="宋体" w:cs="宋体"/>
        </w:rPr>
        <w:t>3、电子交易平台发现严重安全漏洞，有潜在泄密危险的；</w:t>
      </w:r>
    </w:p>
    <w:p>
      <w:pPr>
        <w:spacing w:line="360" w:lineRule="exact"/>
        <w:ind w:firstLine="369" w:firstLineChars="176"/>
        <w:rPr>
          <w:rFonts w:ascii="宋体" w:hAnsi="宋体" w:cs="宋体"/>
        </w:rPr>
      </w:pPr>
      <w:r>
        <w:rPr>
          <w:rFonts w:hint="eastAsia" w:ascii="宋体" w:hAnsi="宋体" w:cs="宋体"/>
        </w:rPr>
        <w:t>4、病毒发作导致不能进行正常操作的；</w:t>
      </w:r>
    </w:p>
    <w:p>
      <w:pPr>
        <w:spacing w:line="360" w:lineRule="exact"/>
        <w:ind w:firstLine="369" w:firstLineChars="176"/>
        <w:rPr>
          <w:rFonts w:ascii="宋体" w:hAnsi="宋体" w:cs="宋体"/>
        </w:rPr>
      </w:pPr>
      <w:r>
        <w:rPr>
          <w:rFonts w:hint="eastAsia" w:ascii="宋体" w:hAnsi="宋体" w:cs="宋体"/>
        </w:rPr>
        <w:t>5、其他无法保证电子交易的公平、公正和安全的情况。</w:t>
      </w:r>
    </w:p>
    <w:p>
      <w:pPr>
        <w:spacing w:line="360" w:lineRule="exact"/>
        <w:ind w:firstLine="422" w:firstLineChars="200"/>
        <w:rPr>
          <w:rFonts w:ascii="宋体" w:hAnsi="宋体" w:cs="宋体"/>
          <w:b/>
        </w:rPr>
      </w:pPr>
      <w:r>
        <w:rPr>
          <w:rFonts w:hint="eastAsia" w:ascii="宋体" w:hAnsi="宋体" w:cs="宋体"/>
          <w:b/>
        </w:rPr>
        <w:t>出现上述情形，不影响采购公平、公正性的，采购组织机构可以待上述情形消除后继续组织电子交易活动；影响或可能影响采购公平、公正性的，应当重新采购。</w:t>
      </w:r>
    </w:p>
    <w:p/>
    <w:p>
      <w:pPr>
        <w:pStyle w:val="4"/>
        <w:numPr>
          <w:ilvl w:val="0"/>
          <w:numId w:val="7"/>
        </w:numPr>
        <w:spacing w:before="0" w:after="0" w:line="240" w:lineRule="auto"/>
        <w:rPr>
          <w:rFonts w:ascii="宋体" w:hAnsi="宋体" w:eastAsia="宋体" w:cs="宋体"/>
          <w:sz w:val="24"/>
          <w:szCs w:val="24"/>
        </w:rPr>
      </w:pPr>
      <w:bookmarkStart w:id="117" w:name="_Toc28539"/>
      <w:bookmarkStart w:id="118" w:name="_Toc11475"/>
      <w:bookmarkStart w:id="119" w:name="_Toc10758"/>
      <w:bookmarkStart w:id="120" w:name="_Toc30968"/>
      <w:r>
        <w:rPr>
          <w:rFonts w:hint="eastAsia" w:ascii="宋体" w:hAnsi="宋体" w:eastAsia="宋体" w:cs="宋体"/>
          <w:sz w:val="24"/>
          <w:szCs w:val="24"/>
        </w:rPr>
        <w:t>定标</w:t>
      </w:r>
      <w:bookmarkEnd w:id="111"/>
      <w:bookmarkEnd w:id="117"/>
      <w:bookmarkEnd w:id="118"/>
      <w:bookmarkEnd w:id="119"/>
      <w:bookmarkEnd w:id="120"/>
    </w:p>
    <w:p>
      <w:pPr>
        <w:adjustRightInd w:val="0"/>
        <w:snapToGrid w:val="0"/>
        <w:spacing w:line="360" w:lineRule="exact"/>
        <w:jc w:val="left"/>
        <w:rPr>
          <w:rFonts w:ascii="宋体" w:hAnsi="宋体" w:cs="宋体"/>
          <w:szCs w:val="21"/>
        </w:rPr>
      </w:pPr>
      <w:bookmarkStart w:id="121" w:name="_Toc317341944"/>
      <w:bookmarkStart w:id="122" w:name="_Toc222632760"/>
      <w:r>
        <w:rPr>
          <w:rFonts w:hint="eastAsia" w:ascii="宋体" w:hAnsi="宋体" w:cs="宋体"/>
          <w:szCs w:val="21"/>
        </w:rPr>
        <w:t>（一）确定中标人。本项目由采购单位确定中标人。</w:t>
      </w:r>
    </w:p>
    <w:p>
      <w:pPr>
        <w:adjustRightInd w:val="0"/>
        <w:snapToGrid w:val="0"/>
        <w:spacing w:line="360" w:lineRule="exact"/>
        <w:jc w:val="left"/>
        <w:rPr>
          <w:rFonts w:ascii="宋体" w:hAnsi="宋体" w:cs="宋体"/>
          <w:szCs w:val="21"/>
        </w:rPr>
      </w:pPr>
      <w:r>
        <w:rPr>
          <w:rFonts w:hint="eastAsia" w:ascii="宋体" w:hAnsi="宋体" w:cs="宋体"/>
          <w:szCs w:val="21"/>
        </w:rPr>
        <w:t>（二）采购代理机构在评标结束后2个工作日内将评标报告交采购单位。</w:t>
      </w:r>
    </w:p>
    <w:p>
      <w:pPr>
        <w:adjustRightInd w:val="0"/>
        <w:snapToGrid w:val="0"/>
        <w:spacing w:line="360" w:lineRule="exact"/>
        <w:jc w:val="left"/>
        <w:rPr>
          <w:rFonts w:ascii="宋体" w:hAnsi="宋体" w:cs="宋体"/>
          <w:szCs w:val="21"/>
        </w:rPr>
      </w:pPr>
      <w:r>
        <w:rPr>
          <w:rFonts w:hint="eastAsia" w:ascii="宋体" w:hAnsi="宋体" w:cs="宋体"/>
          <w:szCs w:val="21"/>
        </w:rPr>
        <w:t>（三）采购人在收到评标报告后5个工作日内按照评标报告推荐的顺序确定中标人。中标候选人顺序并列的，由采购人采购小组成员集体讨论确定。</w:t>
      </w:r>
    </w:p>
    <w:p>
      <w:pPr>
        <w:adjustRightInd w:val="0"/>
        <w:snapToGrid w:val="0"/>
        <w:spacing w:line="360" w:lineRule="exact"/>
        <w:jc w:val="left"/>
        <w:rPr>
          <w:rFonts w:ascii="宋体" w:hAnsi="宋体" w:cs="宋体"/>
          <w:szCs w:val="21"/>
        </w:rPr>
      </w:pPr>
      <w:r>
        <w:rPr>
          <w:rFonts w:hint="eastAsia" w:ascii="宋体" w:hAnsi="宋体" w:cs="宋体"/>
          <w:szCs w:val="21"/>
        </w:rPr>
        <w:t>（四）采购人依法确定中标人后2个工作日内，采购人和采购代理机构以书面形式发出《中标通知书》，并同时在相关网站发布中标公告。中标公告期限为1个工作日。</w:t>
      </w:r>
    </w:p>
    <w:p>
      <w:pPr>
        <w:adjustRightInd w:val="0"/>
        <w:snapToGrid w:val="0"/>
        <w:spacing w:line="360" w:lineRule="exact"/>
        <w:jc w:val="left"/>
        <w:rPr>
          <w:rFonts w:ascii="宋体" w:hAnsi="宋体" w:cs="宋体"/>
          <w:szCs w:val="21"/>
        </w:rPr>
      </w:pPr>
      <w:r>
        <w:rPr>
          <w:rFonts w:hint="eastAsia" w:ascii="宋体" w:hAnsi="宋体" w:cs="宋体"/>
          <w:szCs w:val="21"/>
        </w:rPr>
        <w:t xml:space="preserve">     采购代理机构对未通过资格审查的投标人，告知其未通过的原因。对未中标人，告知其本人的评审得分和排序。</w:t>
      </w:r>
    </w:p>
    <w:p>
      <w:pPr>
        <w:jc w:val="left"/>
      </w:pPr>
    </w:p>
    <w:p>
      <w:pPr>
        <w:pStyle w:val="4"/>
        <w:numPr>
          <w:ilvl w:val="0"/>
          <w:numId w:val="7"/>
        </w:numPr>
        <w:spacing w:before="0" w:after="0" w:line="340" w:lineRule="exact"/>
        <w:rPr>
          <w:rFonts w:ascii="宋体" w:hAnsi="宋体" w:eastAsia="宋体" w:cs="宋体"/>
          <w:sz w:val="24"/>
          <w:szCs w:val="24"/>
        </w:rPr>
      </w:pPr>
      <w:bookmarkStart w:id="123" w:name="_Toc16672"/>
      <w:bookmarkStart w:id="124" w:name="_Toc15751"/>
      <w:bookmarkStart w:id="125" w:name="_Toc23493"/>
      <w:bookmarkStart w:id="126" w:name="_Toc10354"/>
      <w:r>
        <w:rPr>
          <w:rFonts w:hint="eastAsia" w:ascii="宋体" w:hAnsi="宋体" w:eastAsia="宋体" w:cs="宋体"/>
          <w:sz w:val="24"/>
          <w:szCs w:val="24"/>
        </w:rPr>
        <w:t>合同的授予</w:t>
      </w:r>
      <w:bookmarkEnd w:id="121"/>
      <w:bookmarkEnd w:id="122"/>
      <w:bookmarkEnd w:id="123"/>
      <w:bookmarkEnd w:id="124"/>
      <w:bookmarkEnd w:id="125"/>
      <w:bookmarkEnd w:id="126"/>
    </w:p>
    <w:p>
      <w:pPr>
        <w:adjustRightInd w:val="0"/>
        <w:snapToGrid w:val="0"/>
        <w:spacing w:line="340" w:lineRule="exact"/>
        <w:rPr>
          <w:rFonts w:ascii="宋体" w:hAnsi="宋体" w:cs="宋体"/>
          <w:b/>
          <w:szCs w:val="21"/>
        </w:rPr>
      </w:pPr>
      <w:r>
        <w:rPr>
          <w:rFonts w:hint="eastAsia" w:ascii="宋体" w:hAnsi="宋体" w:cs="宋体"/>
          <w:b/>
          <w:szCs w:val="21"/>
        </w:rPr>
        <w:t>（一）授予合同的依据</w:t>
      </w:r>
    </w:p>
    <w:p>
      <w:pPr>
        <w:adjustRightInd w:val="0"/>
        <w:snapToGrid w:val="0"/>
        <w:spacing w:line="340" w:lineRule="exact"/>
        <w:ind w:firstLine="420" w:firstLineChars="200"/>
        <w:rPr>
          <w:rFonts w:ascii="宋体" w:hAnsi="宋体" w:cs="宋体"/>
          <w:szCs w:val="21"/>
        </w:rPr>
      </w:pPr>
      <w:r>
        <w:rPr>
          <w:rFonts w:hint="eastAsia" w:ascii="宋体" w:hAnsi="宋体" w:cs="宋体"/>
          <w:szCs w:val="21"/>
        </w:rPr>
        <w:t>1、采购人和采购代理机构签发的中标通知书；</w:t>
      </w:r>
    </w:p>
    <w:p>
      <w:pPr>
        <w:adjustRightInd w:val="0"/>
        <w:snapToGrid w:val="0"/>
        <w:spacing w:line="340" w:lineRule="exact"/>
        <w:ind w:firstLine="420" w:firstLineChars="200"/>
        <w:rPr>
          <w:rFonts w:ascii="宋体" w:hAnsi="宋体" w:cs="宋体"/>
          <w:szCs w:val="21"/>
        </w:rPr>
      </w:pPr>
      <w:r>
        <w:rPr>
          <w:rFonts w:hint="eastAsia" w:ascii="宋体" w:hAnsi="宋体" w:cs="宋体"/>
          <w:szCs w:val="21"/>
        </w:rPr>
        <w:t>2、招标文件、招标文件的修改及补充文件；</w:t>
      </w:r>
    </w:p>
    <w:p>
      <w:pPr>
        <w:adjustRightInd w:val="0"/>
        <w:snapToGrid w:val="0"/>
        <w:spacing w:line="340" w:lineRule="exact"/>
        <w:ind w:firstLine="420" w:firstLineChars="200"/>
        <w:rPr>
          <w:rFonts w:ascii="宋体" w:hAnsi="宋体" w:cs="宋体"/>
          <w:szCs w:val="21"/>
        </w:rPr>
      </w:pPr>
      <w:r>
        <w:rPr>
          <w:rFonts w:hint="eastAsia" w:ascii="宋体" w:hAnsi="宋体" w:cs="宋体"/>
          <w:szCs w:val="21"/>
        </w:rPr>
        <w:t>3、投标文件和询标时投标人做出的澄清、说明、纠正、承诺；</w:t>
      </w:r>
    </w:p>
    <w:p>
      <w:pPr>
        <w:adjustRightInd w:val="0"/>
        <w:snapToGrid w:val="0"/>
        <w:spacing w:line="340" w:lineRule="exact"/>
        <w:ind w:firstLine="420" w:firstLineChars="200"/>
        <w:rPr>
          <w:rFonts w:ascii="宋体" w:hAnsi="宋体" w:cs="宋体"/>
          <w:szCs w:val="21"/>
        </w:rPr>
      </w:pPr>
      <w:r>
        <w:rPr>
          <w:rFonts w:hint="eastAsia" w:ascii="宋体" w:hAnsi="宋体" w:cs="宋体"/>
          <w:szCs w:val="21"/>
        </w:rPr>
        <w:t>4、《中华人民共和国民法典》的规定。</w:t>
      </w:r>
    </w:p>
    <w:p>
      <w:pPr>
        <w:adjustRightInd w:val="0"/>
        <w:snapToGrid w:val="0"/>
        <w:spacing w:line="340" w:lineRule="exact"/>
        <w:rPr>
          <w:rFonts w:ascii="宋体" w:hAnsi="宋体" w:cs="宋体"/>
          <w:b/>
          <w:szCs w:val="21"/>
        </w:rPr>
      </w:pPr>
      <w:r>
        <w:rPr>
          <w:rFonts w:hint="eastAsia" w:ascii="宋体" w:hAnsi="宋体" w:cs="宋体"/>
          <w:b/>
          <w:szCs w:val="21"/>
        </w:rPr>
        <w:t>（二）签署合同的要求</w:t>
      </w:r>
    </w:p>
    <w:p>
      <w:pPr>
        <w:adjustRightInd w:val="0"/>
        <w:snapToGrid w:val="0"/>
        <w:spacing w:line="340" w:lineRule="exact"/>
        <w:ind w:firstLine="420" w:firstLineChars="200"/>
        <w:rPr>
          <w:rFonts w:ascii="宋体" w:hAnsi="宋体" w:cs="宋体"/>
          <w:szCs w:val="21"/>
        </w:rPr>
      </w:pPr>
      <w:r>
        <w:rPr>
          <w:rFonts w:hint="eastAsia" w:ascii="宋体" w:hAnsi="宋体" w:cs="宋体"/>
          <w:szCs w:val="21"/>
        </w:rPr>
        <w:t>1、采购人与中标人按照中标通知书的规定时间、地点签订书面合同；</w:t>
      </w:r>
    </w:p>
    <w:p>
      <w:pPr>
        <w:adjustRightInd w:val="0"/>
        <w:snapToGrid w:val="0"/>
        <w:spacing w:line="340" w:lineRule="exact"/>
        <w:ind w:firstLine="420" w:firstLineChars="200"/>
        <w:rPr>
          <w:rFonts w:ascii="宋体" w:hAnsi="宋体" w:cs="宋体"/>
          <w:szCs w:val="21"/>
        </w:rPr>
      </w:pPr>
      <w:r>
        <w:rPr>
          <w:rFonts w:hint="eastAsia" w:ascii="宋体" w:hAnsi="宋体" w:cs="宋体"/>
          <w:szCs w:val="21"/>
        </w:rPr>
        <w:t>2、签订合同的时间（以前附表为准）；</w:t>
      </w:r>
    </w:p>
    <w:p>
      <w:pPr>
        <w:adjustRightInd w:val="0"/>
        <w:snapToGrid w:val="0"/>
        <w:spacing w:line="340" w:lineRule="exact"/>
        <w:ind w:firstLine="420" w:firstLineChars="200"/>
        <w:rPr>
          <w:rFonts w:ascii="宋体" w:hAnsi="宋体" w:cs="宋体"/>
          <w:szCs w:val="21"/>
        </w:rPr>
      </w:pPr>
      <w:r>
        <w:rPr>
          <w:rFonts w:hint="eastAsia" w:ascii="宋体" w:hAnsi="宋体" w:cs="宋体"/>
          <w:szCs w:val="21"/>
        </w:rPr>
        <w:t>3、所签订的采购合同内容不得对招标文件和中标人的投标文件作实质性修改；</w:t>
      </w:r>
    </w:p>
    <w:p>
      <w:pPr>
        <w:adjustRightInd w:val="0"/>
        <w:snapToGrid w:val="0"/>
        <w:spacing w:line="340" w:lineRule="exact"/>
        <w:ind w:firstLine="420" w:firstLineChars="200"/>
        <w:rPr>
          <w:rFonts w:ascii="宋体" w:hAnsi="宋体" w:cs="宋体"/>
          <w:szCs w:val="21"/>
        </w:rPr>
      </w:pPr>
      <w:r>
        <w:rPr>
          <w:rFonts w:hint="eastAsia" w:ascii="宋体" w:hAnsi="宋体" w:cs="宋体"/>
          <w:szCs w:val="21"/>
        </w:rPr>
        <w:t>4、采购人不得向中标人提出任何不合理的要求，作为签订合同的条件，不得与中标人私下订立背离合同实质性内容的协议；</w:t>
      </w:r>
    </w:p>
    <w:p>
      <w:pPr>
        <w:adjustRightInd w:val="0"/>
        <w:snapToGrid w:val="0"/>
        <w:spacing w:line="340" w:lineRule="exact"/>
        <w:ind w:firstLine="420" w:firstLineChars="200"/>
        <w:rPr>
          <w:rFonts w:ascii="宋体" w:hAnsi="宋体" w:cs="宋体"/>
          <w:szCs w:val="21"/>
        </w:rPr>
      </w:pPr>
      <w:r>
        <w:rPr>
          <w:rFonts w:hint="eastAsia" w:ascii="宋体" w:hAnsi="宋体" w:cs="宋体"/>
          <w:szCs w:val="21"/>
        </w:rPr>
        <w:t>5、自合同签订之日起二个工作日内，采购人应将合同进行网上公告。</w:t>
      </w:r>
    </w:p>
    <w:p>
      <w:pPr>
        <w:adjustRightInd w:val="0"/>
        <w:snapToGrid w:val="0"/>
        <w:spacing w:line="340" w:lineRule="exact"/>
        <w:rPr>
          <w:rFonts w:ascii="宋体" w:hAnsi="宋体" w:cs="宋体"/>
          <w:b/>
          <w:szCs w:val="21"/>
        </w:rPr>
      </w:pPr>
      <w:r>
        <w:rPr>
          <w:rFonts w:hint="eastAsia" w:ascii="宋体" w:hAnsi="宋体" w:cs="宋体"/>
          <w:b/>
          <w:szCs w:val="21"/>
        </w:rPr>
        <w:t>（三）中标通知书</w:t>
      </w:r>
    </w:p>
    <w:p>
      <w:pPr>
        <w:adjustRightInd w:val="0"/>
        <w:snapToGrid w:val="0"/>
        <w:spacing w:line="340" w:lineRule="exact"/>
        <w:ind w:firstLine="420" w:firstLineChars="200"/>
        <w:rPr>
          <w:rFonts w:ascii="宋体" w:hAnsi="宋体" w:cs="宋体"/>
          <w:szCs w:val="21"/>
        </w:rPr>
      </w:pPr>
      <w:r>
        <w:rPr>
          <w:rFonts w:hint="eastAsia" w:ascii="宋体" w:hAnsi="宋体" w:cs="宋体"/>
          <w:szCs w:val="21"/>
        </w:rPr>
        <w:t>1、确定中标人后，采购人和采购代理机构将以书面形式发出中标通知书；</w:t>
      </w:r>
    </w:p>
    <w:p>
      <w:pPr>
        <w:adjustRightInd w:val="0"/>
        <w:snapToGrid w:val="0"/>
        <w:spacing w:line="340" w:lineRule="exact"/>
        <w:ind w:firstLine="420" w:firstLineChars="200"/>
        <w:rPr>
          <w:rFonts w:ascii="宋体" w:hAnsi="宋体" w:cs="宋体"/>
          <w:szCs w:val="21"/>
        </w:rPr>
      </w:pPr>
      <w:r>
        <w:rPr>
          <w:rFonts w:hint="eastAsia" w:ascii="宋体" w:hAnsi="宋体" w:cs="宋体"/>
          <w:szCs w:val="21"/>
        </w:rPr>
        <w:t>2、中标通知书为双方签订采购合同的依据；</w:t>
      </w:r>
    </w:p>
    <w:p>
      <w:pPr>
        <w:adjustRightInd w:val="0"/>
        <w:snapToGrid w:val="0"/>
        <w:spacing w:line="340" w:lineRule="exact"/>
        <w:ind w:firstLine="420" w:firstLineChars="200"/>
        <w:rPr>
          <w:rFonts w:ascii="宋体" w:hAnsi="宋体" w:cs="宋体"/>
          <w:szCs w:val="21"/>
        </w:rPr>
      </w:pPr>
      <w:r>
        <w:rPr>
          <w:rFonts w:hint="eastAsia" w:ascii="宋体" w:hAnsi="宋体" w:cs="宋体"/>
          <w:szCs w:val="21"/>
        </w:rPr>
        <w:t>3、中标人应根据中标通知书中规定的时间内，由法定代表人或其授权代理人与采购人签订合同。</w:t>
      </w:r>
    </w:p>
    <w:p>
      <w:pPr>
        <w:adjustRightInd w:val="0"/>
        <w:snapToGrid w:val="0"/>
        <w:spacing w:line="340" w:lineRule="exact"/>
        <w:ind w:firstLine="420" w:firstLineChars="200"/>
        <w:jc w:val="left"/>
        <w:rPr>
          <w:rFonts w:ascii="宋体" w:hAnsi="宋体" w:cs="宋体"/>
          <w:szCs w:val="21"/>
        </w:rPr>
      </w:pPr>
      <w:r>
        <w:rPr>
          <w:rFonts w:hint="eastAsia" w:ascii="宋体" w:hAnsi="宋体" w:cs="宋体"/>
          <w:szCs w:val="21"/>
        </w:rPr>
        <w:t>4、中标通知书发出后，采购人改变中标结果，或者中标人放弃中标，应当承担相应的法律责任。</w:t>
      </w:r>
    </w:p>
    <w:p>
      <w:pPr>
        <w:adjustRightInd w:val="0"/>
        <w:snapToGrid w:val="0"/>
        <w:spacing w:line="340" w:lineRule="exact"/>
        <w:rPr>
          <w:rFonts w:ascii="宋体" w:hAnsi="宋体" w:cs="宋体"/>
          <w:b/>
          <w:szCs w:val="21"/>
        </w:rPr>
      </w:pPr>
      <w:r>
        <w:rPr>
          <w:rFonts w:hint="eastAsia" w:ascii="宋体" w:hAnsi="宋体" w:cs="宋体"/>
          <w:b/>
          <w:szCs w:val="21"/>
        </w:rPr>
        <w:t>（四）履约保证金</w:t>
      </w:r>
    </w:p>
    <w:p>
      <w:pPr>
        <w:adjustRightInd w:val="0"/>
        <w:snapToGrid w:val="0"/>
        <w:spacing w:line="340" w:lineRule="exact"/>
        <w:ind w:firstLine="420" w:firstLineChars="200"/>
        <w:rPr>
          <w:rFonts w:ascii="宋体" w:hAnsi="宋体" w:cs="宋体"/>
          <w:bCs/>
          <w:szCs w:val="21"/>
        </w:rPr>
      </w:pPr>
      <w:r>
        <w:rPr>
          <w:rFonts w:hint="eastAsia" w:ascii="宋体" w:hAnsi="宋体" w:cs="宋体"/>
          <w:bCs/>
          <w:szCs w:val="21"/>
        </w:rPr>
        <w:t>不收取。</w:t>
      </w:r>
    </w:p>
    <w:p>
      <w:pPr>
        <w:adjustRightInd w:val="0"/>
        <w:snapToGrid w:val="0"/>
        <w:spacing w:line="340" w:lineRule="exact"/>
        <w:rPr>
          <w:rFonts w:ascii="宋体" w:hAnsi="宋体" w:cs="宋体"/>
          <w:b/>
          <w:szCs w:val="21"/>
        </w:rPr>
      </w:pPr>
      <w:r>
        <w:rPr>
          <w:rFonts w:hint="eastAsia" w:ascii="宋体" w:hAnsi="宋体" w:cs="宋体"/>
          <w:b/>
          <w:szCs w:val="21"/>
        </w:rPr>
        <w:t>（五）合同签订</w:t>
      </w:r>
    </w:p>
    <w:p>
      <w:pPr>
        <w:adjustRightInd w:val="0"/>
        <w:snapToGrid w:val="0"/>
        <w:spacing w:line="340" w:lineRule="exact"/>
        <w:ind w:firstLine="420" w:firstLineChars="200"/>
        <w:rPr>
          <w:rFonts w:ascii="宋体" w:hAnsi="宋体" w:cs="宋体"/>
          <w:szCs w:val="21"/>
        </w:rPr>
      </w:pPr>
      <w:r>
        <w:rPr>
          <w:rFonts w:hint="eastAsia" w:ascii="宋体" w:hAnsi="宋体" w:cs="宋体"/>
          <w:szCs w:val="21"/>
        </w:rPr>
        <w:t>1、采购人与中标人依据招标文件和中标人的投标文件签订书面合同；</w:t>
      </w:r>
    </w:p>
    <w:p>
      <w:pPr>
        <w:adjustRightInd w:val="0"/>
        <w:snapToGrid w:val="0"/>
        <w:spacing w:line="340" w:lineRule="exact"/>
        <w:ind w:firstLine="420" w:firstLineChars="200"/>
        <w:rPr>
          <w:rFonts w:ascii="宋体" w:hAnsi="宋体" w:cs="宋体"/>
          <w:szCs w:val="21"/>
        </w:rPr>
      </w:pPr>
      <w:r>
        <w:rPr>
          <w:rFonts w:hint="eastAsia" w:ascii="宋体" w:hAnsi="宋体" w:cs="宋体"/>
          <w:szCs w:val="21"/>
        </w:rPr>
        <w:t>2、 采购人如不与中标人订立协议的，或者采购人、中标人订立背离实质性内容的协议，由政府有关部门责令改正，同时依法承担相应法律责任；</w:t>
      </w:r>
    </w:p>
    <w:p>
      <w:pPr>
        <w:adjustRightInd w:val="0"/>
        <w:snapToGrid w:val="0"/>
        <w:spacing w:line="340" w:lineRule="exact"/>
        <w:ind w:firstLine="420" w:firstLineChars="200"/>
        <w:rPr>
          <w:rFonts w:ascii="宋体" w:hAnsi="宋体" w:cs="宋体"/>
          <w:szCs w:val="21"/>
        </w:rPr>
      </w:pPr>
      <w:r>
        <w:rPr>
          <w:rFonts w:hint="eastAsia" w:ascii="宋体" w:hAnsi="宋体" w:cs="宋体"/>
          <w:szCs w:val="21"/>
        </w:rPr>
        <w:t>3、中标人如不按规定与采购人订立协议的，则采购人将取消其中标资格，并向其要求以预算金额2%额度的赔偿；</w:t>
      </w:r>
    </w:p>
    <w:p>
      <w:pPr>
        <w:adjustRightInd w:val="0"/>
        <w:snapToGrid w:val="0"/>
        <w:spacing w:line="340" w:lineRule="exact"/>
        <w:ind w:firstLine="420" w:firstLineChars="200"/>
        <w:rPr>
          <w:rFonts w:ascii="宋体" w:hAnsi="宋体" w:cs="宋体"/>
          <w:szCs w:val="21"/>
        </w:rPr>
      </w:pPr>
      <w:r>
        <w:rPr>
          <w:rFonts w:hint="eastAsia" w:ascii="宋体" w:hAnsi="宋体" w:cs="宋体"/>
          <w:szCs w:val="21"/>
        </w:rPr>
        <w:t>4、 中标人应当按照协议约定履行义务，完成项目各项工作，不得将中标项目违法转让（转包）给他人。</w:t>
      </w:r>
    </w:p>
    <w:p>
      <w:pPr>
        <w:pStyle w:val="3"/>
        <w:spacing w:before="0" w:after="0" w:line="240" w:lineRule="auto"/>
        <w:jc w:val="center"/>
        <w:rPr>
          <w:rFonts w:ascii="宋体" w:hAnsi="宋体" w:cs="宋体"/>
          <w:szCs w:val="21"/>
        </w:rPr>
      </w:pPr>
      <w:bookmarkStart w:id="127" w:name="_Toc3637"/>
      <w:bookmarkStart w:id="128" w:name="_Toc317341945"/>
      <w:bookmarkStart w:id="129" w:name="_Toc27963"/>
      <w:bookmarkStart w:id="130" w:name="_Toc29826"/>
      <w:bookmarkStart w:id="131" w:name="_Toc17693"/>
      <w:bookmarkStart w:id="132" w:name="_Toc222632762"/>
      <w:r>
        <w:rPr>
          <w:rFonts w:hint="eastAsia" w:ascii="宋体" w:hAnsi="宋体" w:cs="宋体"/>
          <w:snapToGrid w:val="0"/>
          <w:sz w:val="40"/>
          <w:szCs w:val="36"/>
        </w:rPr>
        <w:t xml:space="preserve">第四章 </w:t>
      </w:r>
      <w:bookmarkEnd w:id="127"/>
      <w:bookmarkEnd w:id="128"/>
      <w:r>
        <w:rPr>
          <w:rFonts w:hint="eastAsia" w:ascii="宋体" w:hAnsi="宋体" w:cs="宋体"/>
          <w:snapToGrid w:val="0"/>
          <w:sz w:val="40"/>
          <w:szCs w:val="36"/>
        </w:rPr>
        <w:t xml:space="preserve"> 评标办法及标准</w:t>
      </w:r>
      <w:bookmarkEnd w:id="129"/>
      <w:bookmarkEnd w:id="130"/>
      <w:bookmarkEnd w:id="131"/>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为公正、公平、科学地选择中标人，根据《中华人民共和国政府采购法》《政府采购货物服务招标投标管理办法》等有关法律法规的规定，并结合本项目的实际，制定本办法。</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本办法适用于</w:t>
      </w:r>
      <w:r>
        <w:rPr>
          <w:rFonts w:hint="eastAsia" w:ascii="宋体" w:hAnsi="宋体" w:cs="宋体"/>
          <w:b/>
          <w:bCs/>
          <w:szCs w:val="21"/>
          <w:u w:val="single"/>
        </w:rPr>
        <w:t xml:space="preserve"> 安吉技师学院单片机实训室建设项目</w:t>
      </w:r>
      <w:r>
        <w:rPr>
          <w:rFonts w:hint="eastAsia" w:ascii="宋体" w:hAnsi="宋体" w:cs="宋体"/>
          <w:szCs w:val="21"/>
        </w:rPr>
        <w:t>的评标。</w:t>
      </w:r>
    </w:p>
    <w:p>
      <w:pPr>
        <w:pStyle w:val="4"/>
        <w:spacing w:before="0" w:after="0" w:line="240" w:lineRule="auto"/>
        <w:rPr>
          <w:rFonts w:ascii="宋体" w:hAnsi="宋体" w:eastAsia="宋体" w:cs="宋体"/>
          <w:sz w:val="24"/>
          <w:szCs w:val="24"/>
        </w:rPr>
      </w:pPr>
      <w:bookmarkStart w:id="133" w:name="_Toc4155"/>
      <w:bookmarkStart w:id="134" w:name="_Toc27962"/>
      <w:bookmarkStart w:id="135" w:name="_Toc18753"/>
      <w:bookmarkStart w:id="136" w:name="_Toc300812053"/>
      <w:bookmarkStart w:id="137" w:name="_Toc317341947"/>
      <w:bookmarkStart w:id="138" w:name="_Toc294470144"/>
      <w:r>
        <w:rPr>
          <w:rFonts w:hint="eastAsia" w:ascii="宋体" w:hAnsi="宋体" w:eastAsia="宋体" w:cs="宋体"/>
          <w:sz w:val="24"/>
          <w:szCs w:val="24"/>
        </w:rPr>
        <w:t>一、评标程序与方法</w:t>
      </w:r>
      <w:bookmarkEnd w:id="133"/>
      <w:bookmarkEnd w:id="134"/>
      <w:bookmarkEnd w:id="135"/>
    </w:p>
    <w:p>
      <w:pPr>
        <w:spacing w:line="360" w:lineRule="exact"/>
        <w:ind w:firstLine="420" w:firstLineChars="200"/>
        <w:rPr>
          <w:rFonts w:ascii="宋体" w:hAnsi="宋体" w:cs="宋体"/>
          <w:szCs w:val="21"/>
        </w:rPr>
      </w:pPr>
      <w:r>
        <w:rPr>
          <w:rFonts w:hint="eastAsia" w:ascii="宋体" w:hAnsi="宋体" w:cs="宋体"/>
          <w:szCs w:val="21"/>
        </w:rPr>
        <w:t>1、评标委员会对通过资格性检查的投标人进行符合性检查。依据招标文件的规定，从投标文件的有效性、完整性和对招标文件的响应程度进行审查，以确定是否对招标文件的实质性要求做出响应。</w:t>
      </w:r>
    </w:p>
    <w:p>
      <w:pPr>
        <w:spacing w:line="360" w:lineRule="exact"/>
        <w:ind w:firstLine="420" w:firstLineChars="200"/>
        <w:rPr>
          <w:rFonts w:ascii="宋体" w:hAnsi="宋体" w:cs="宋体"/>
          <w:szCs w:val="21"/>
        </w:rPr>
      </w:pPr>
      <w:r>
        <w:rPr>
          <w:rFonts w:hint="eastAsia" w:ascii="宋体" w:hAnsi="宋体" w:cs="宋体"/>
          <w:szCs w:val="21"/>
        </w:rPr>
        <w:t>2、澄清有关问题。对投标文件中含义不明确、同类问题表述不一致或者有明显文字和计算错误的内容，评标委员会可书面形式要求投标人做出必要的澄清、说明。投标人的说明或者澄清应当采用书面形式，由其授权的代表签字，并不得超出投标文件的范围或者改变投标文件的实质性内容。</w:t>
      </w:r>
    </w:p>
    <w:p>
      <w:pPr>
        <w:spacing w:line="360" w:lineRule="exact"/>
        <w:ind w:firstLine="420" w:firstLineChars="200"/>
        <w:rPr>
          <w:rFonts w:ascii="宋体" w:hAnsi="宋体" w:cs="宋体"/>
          <w:szCs w:val="21"/>
        </w:rPr>
      </w:pPr>
      <w:r>
        <w:rPr>
          <w:rFonts w:hint="eastAsia" w:ascii="宋体" w:hAnsi="宋体" w:cs="宋体"/>
          <w:szCs w:val="21"/>
        </w:rPr>
        <w:t>3、比较与评价。评标委员会按上述规定的评标内容和标准，对符合性检查合格的投标文件进行综合比较与独立评分。</w:t>
      </w:r>
    </w:p>
    <w:p>
      <w:pPr>
        <w:pStyle w:val="4"/>
        <w:spacing w:before="0" w:after="0" w:line="240" w:lineRule="auto"/>
        <w:rPr>
          <w:rFonts w:ascii="宋体" w:hAnsi="宋体" w:eastAsia="宋体" w:cs="宋体"/>
          <w:sz w:val="24"/>
          <w:szCs w:val="24"/>
        </w:rPr>
      </w:pPr>
      <w:bookmarkStart w:id="139" w:name="_Toc7267"/>
      <w:bookmarkStart w:id="140" w:name="_Toc2491"/>
      <w:bookmarkStart w:id="141" w:name="_Toc26404"/>
      <w:r>
        <w:rPr>
          <w:rFonts w:hint="eastAsia" w:ascii="宋体" w:hAnsi="宋体" w:eastAsia="宋体" w:cs="宋体"/>
          <w:sz w:val="24"/>
          <w:szCs w:val="24"/>
        </w:rPr>
        <w:t>二、综合评分法</w:t>
      </w:r>
      <w:bookmarkEnd w:id="139"/>
      <w:bookmarkEnd w:id="140"/>
      <w:bookmarkEnd w:id="141"/>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次评标采用综合评分法，总分为100分，其中价格分30分、技术商务资信分70分。合格投标人的评标得分为各项目汇总得分，中标候选资格按评标综合得分由高到低顺序排列，推荐中标候选人；得分相同的，按投标报价由低到高顺序排列；得分且投标报价相同的并列。</w:t>
      </w:r>
    </w:p>
    <w:p>
      <w:pPr>
        <w:pStyle w:val="4"/>
        <w:spacing w:before="0" w:after="0" w:line="240" w:lineRule="auto"/>
        <w:rPr>
          <w:rFonts w:ascii="宋体" w:hAnsi="宋体" w:eastAsia="宋体" w:cs="宋体"/>
          <w:sz w:val="24"/>
          <w:szCs w:val="24"/>
        </w:rPr>
      </w:pPr>
      <w:bookmarkStart w:id="142" w:name="_Toc3993"/>
      <w:bookmarkStart w:id="143" w:name="_Toc26255"/>
      <w:bookmarkStart w:id="144" w:name="_Toc23186"/>
      <w:bookmarkStart w:id="145" w:name="_Toc14114"/>
      <w:r>
        <w:rPr>
          <w:rFonts w:hint="eastAsia" w:ascii="宋体" w:hAnsi="宋体" w:eastAsia="宋体" w:cs="宋体"/>
          <w:sz w:val="24"/>
          <w:szCs w:val="24"/>
        </w:rPr>
        <w:t>三、评标内容及标准</w:t>
      </w:r>
      <w:bookmarkEnd w:id="136"/>
      <w:bookmarkEnd w:id="137"/>
      <w:bookmarkEnd w:id="138"/>
      <w:bookmarkEnd w:id="142"/>
      <w:bookmarkEnd w:id="143"/>
      <w:bookmarkEnd w:id="144"/>
      <w:bookmarkEnd w:id="145"/>
    </w:p>
    <w:p>
      <w:pPr>
        <w:spacing w:line="360" w:lineRule="exact"/>
        <w:ind w:firstLine="105" w:firstLineChars="50"/>
        <w:rPr>
          <w:rFonts w:ascii="宋体" w:hAnsi="宋体" w:cs="宋体"/>
          <w:b/>
          <w:szCs w:val="21"/>
        </w:rPr>
      </w:pPr>
      <w:r>
        <w:rPr>
          <w:rFonts w:hint="eastAsia" w:ascii="宋体" w:hAnsi="宋体" w:cs="宋体"/>
          <w:b/>
          <w:szCs w:val="21"/>
        </w:rPr>
        <w:t>（一）价格分（30分）</w:t>
      </w:r>
    </w:p>
    <w:p>
      <w:pPr>
        <w:pStyle w:val="70"/>
        <w:adjustRightInd w:val="0"/>
        <w:snapToGrid w:val="0"/>
        <w:spacing w:line="360" w:lineRule="exact"/>
        <w:rPr>
          <w:rFonts w:ascii="宋体" w:hAnsi="宋体" w:cs="宋体"/>
          <w:szCs w:val="21"/>
        </w:rPr>
      </w:pPr>
      <w:r>
        <w:rPr>
          <w:rFonts w:hint="eastAsia" w:ascii="宋体" w:hAnsi="宋体" w:cs="宋体"/>
          <w:szCs w:val="21"/>
        </w:rPr>
        <w:t>1、价格分采用低价优先法计算，即满足招标文件要求且投标报价最低的价格为评标基准价，其他投标人的价格分按照下列公式计算：</w:t>
      </w:r>
    </w:p>
    <w:p>
      <w:pPr>
        <w:spacing w:line="400" w:lineRule="exact"/>
        <w:ind w:firstLine="420" w:firstLineChars="200"/>
        <w:jc w:val="left"/>
        <w:rPr>
          <w:rFonts w:ascii="宋体" w:hAnsi="宋体" w:cs="宋体"/>
          <w:szCs w:val="21"/>
        </w:rPr>
      </w:pPr>
      <w:r>
        <w:rPr>
          <w:rFonts w:hint="eastAsia" w:ascii="宋体" w:hAnsi="宋体" w:cs="宋体"/>
          <w:szCs w:val="21"/>
        </w:rPr>
        <w:t>其他投标人的价格分=评标基准价/投标报价×30%×100</w:t>
      </w:r>
    </w:p>
    <w:p>
      <w:pPr>
        <w:adjustRightInd w:val="0"/>
        <w:snapToGrid w:val="0"/>
        <w:spacing w:line="360" w:lineRule="exact"/>
        <w:ind w:left="420"/>
        <w:rPr>
          <w:rFonts w:ascii="宋体" w:hAnsi="宋体" w:cs="宋体"/>
          <w:szCs w:val="21"/>
        </w:rPr>
      </w:pPr>
      <w:r>
        <w:rPr>
          <w:rFonts w:hint="eastAsia" w:ascii="宋体" w:hAnsi="宋体" w:cs="宋体"/>
          <w:szCs w:val="21"/>
        </w:rPr>
        <w:t>2、中小企业政策执行：</w:t>
      </w:r>
      <w:r>
        <w:rPr>
          <w:b/>
          <w:bCs/>
        </w:rPr>
        <w:t>中小企业政策执行以下第</w:t>
      </w:r>
      <w:r>
        <w:rPr>
          <w:rFonts w:hint="eastAsia"/>
          <w:b/>
          <w:bCs/>
        </w:rPr>
        <w:t>2.1</w:t>
      </w:r>
      <w:r>
        <w:rPr>
          <w:b/>
          <w:bCs/>
        </w:rPr>
        <w:t>条</w:t>
      </w:r>
    </w:p>
    <w:p>
      <w:pPr>
        <w:adjustRightInd w:val="0"/>
        <w:snapToGrid w:val="0"/>
        <w:spacing w:line="360" w:lineRule="exact"/>
        <w:ind w:firstLine="420" w:firstLineChars="200"/>
        <w:rPr>
          <w:rFonts w:ascii="宋体" w:hAnsi="宋体" w:cs="宋体"/>
          <w:bCs/>
          <w:szCs w:val="21"/>
        </w:rPr>
      </w:pPr>
      <w:r>
        <w:rPr>
          <w:rFonts w:hint="eastAsia" w:ascii="宋体" w:hAnsi="宋体" w:cs="宋体"/>
          <w:bCs/>
          <w:szCs w:val="21"/>
        </w:rPr>
        <w:t>2.1 本项目为专门面向中小企业采购，提</w:t>
      </w:r>
      <w:r>
        <w:rPr>
          <w:rFonts w:hint="eastAsia" w:ascii="宋体" w:hAnsi="宋体" w:cs="宋体"/>
          <w:szCs w:val="21"/>
        </w:rPr>
        <w:t>供服务的供应商非中小企业的，资格审查不通过；符合上述条件的中小微型企业应按照招标文件附件的格式要求在资格文件中提供《中小企业声明函》</w:t>
      </w:r>
      <w:r>
        <w:rPr>
          <w:rFonts w:hint="eastAsia"/>
        </w:rPr>
        <w:t>；</w:t>
      </w:r>
    </w:p>
    <w:p>
      <w:pPr>
        <w:adjustRightInd w:val="0"/>
        <w:snapToGrid w:val="0"/>
        <w:spacing w:line="360" w:lineRule="exact"/>
        <w:ind w:firstLine="420" w:firstLineChars="200"/>
        <w:rPr>
          <w:rFonts w:ascii="宋体" w:hAnsi="宋体" w:cs="宋体"/>
          <w:bCs/>
          <w:szCs w:val="21"/>
        </w:rPr>
      </w:pPr>
      <w:r>
        <w:rPr>
          <w:rFonts w:hint="eastAsia" w:ascii="宋体" w:hAnsi="宋体" w:cs="宋体"/>
          <w:bCs/>
          <w:szCs w:val="21"/>
        </w:rPr>
        <w:t>2.2根据</w:t>
      </w:r>
      <w:r>
        <w:rPr>
          <w:rFonts w:hint="eastAsia"/>
          <w:lang w:bidi="ar"/>
        </w:rPr>
        <w:t>《政府采购促进中小</w:t>
      </w:r>
      <w:r>
        <w:rPr>
          <w:lang w:bidi="ar"/>
        </w:rPr>
        <w:t>企业发展管理办法》（财库﹝2020﹞46 号）</w:t>
      </w:r>
      <w:r>
        <w:rPr>
          <w:rFonts w:hint="eastAsia" w:ascii="宋体" w:hAnsi="宋体" w:cs="宋体"/>
          <w:bCs/>
          <w:szCs w:val="21"/>
        </w:rPr>
        <w:t>，对小型或微型企业参加投标且投标产品（或服务）为小型或微型企业生产（提供服务）的，价格给予20%的扣除，用扣除后的价格参与价格评分。小型、微型企业以联合体参加投标的，联合体协议中约定，小型、微型企业产品的协议合同金额占到联合体协议合同总金额 30%以上的，投标报价给予4%的扣除，并用扣除后的价格计算价格评分。组成联合体的大中型企业和其他自然人、法人或者其他组织，与小型、微型企业之间不得存在投资关系，否则不予价格扣除。</w:t>
      </w:r>
    </w:p>
    <w:p>
      <w:pPr>
        <w:adjustRightInd w:val="0"/>
        <w:snapToGrid w:val="0"/>
        <w:spacing w:line="360" w:lineRule="exact"/>
        <w:rPr>
          <w:rFonts w:ascii="宋体" w:hAnsi="宋体" w:cs="宋体"/>
          <w:bCs/>
          <w:szCs w:val="21"/>
        </w:rPr>
      </w:pPr>
      <w:r>
        <w:rPr>
          <w:rFonts w:hint="eastAsia" w:hAnsi="宋体" w:cs="宋体"/>
          <w:bCs/>
          <w:szCs w:val="21"/>
        </w:rPr>
        <w:t xml:space="preserve">   </w:t>
      </w:r>
      <w:r>
        <w:rPr>
          <w:rFonts w:hint="eastAsia" w:ascii="宋体" w:hAnsi="宋体" w:cs="宋体"/>
          <w:bCs/>
          <w:szCs w:val="21"/>
        </w:rPr>
        <w:t>投标产品生产企业（提供服务的企业）按照《关于印发中小企业划型标准规定的通知》（工信部联企业〔2011〕300 号）的所属行业规定为小型、微型企业。投标文件中必须提供《中小企业声明函》；</w:t>
      </w:r>
    </w:p>
    <w:p>
      <w:pPr>
        <w:widowControl/>
        <w:adjustRightInd w:val="0"/>
        <w:snapToGrid w:val="0"/>
        <w:spacing w:line="360" w:lineRule="exact"/>
        <w:ind w:firstLine="420" w:firstLineChars="200"/>
        <w:jc w:val="left"/>
        <w:rPr>
          <w:rFonts w:ascii="宋体" w:hAnsi="宋体" w:cs="宋体"/>
          <w:bCs/>
          <w:szCs w:val="21"/>
        </w:rPr>
      </w:pPr>
      <w:r>
        <w:rPr>
          <w:rFonts w:hint="eastAsia" w:ascii="宋体" w:hAnsi="宋体" w:cs="宋体"/>
          <w:bCs/>
          <w:szCs w:val="21"/>
          <w:lang w:bidi="ar"/>
        </w:rPr>
        <w:t>符合中小企业划分标准的个体工商户，视同中小企业。</w:t>
      </w:r>
    </w:p>
    <w:p>
      <w:pPr>
        <w:adjustRightInd w:val="0"/>
        <w:snapToGrid w:val="0"/>
        <w:spacing w:line="360" w:lineRule="exact"/>
        <w:rPr>
          <w:rFonts w:ascii="宋体" w:hAnsi="宋体" w:cs="宋体"/>
          <w:bCs/>
          <w:szCs w:val="21"/>
        </w:rPr>
      </w:pPr>
      <w:r>
        <w:rPr>
          <w:rFonts w:hint="eastAsia" w:ascii="宋体" w:hAnsi="宋体" w:cs="宋体"/>
          <w:bCs/>
          <w:szCs w:val="21"/>
        </w:rPr>
        <w:t>3、残疾人福利性单位视同小微企业，其产品参加本项目投标的，享受小微企业同等的价格扣除。</w:t>
      </w:r>
    </w:p>
    <w:p>
      <w:pPr>
        <w:adjustRightInd w:val="0"/>
        <w:snapToGrid w:val="0"/>
        <w:spacing w:line="360" w:lineRule="exact"/>
        <w:rPr>
          <w:rFonts w:ascii="宋体" w:hAnsi="宋体" w:cs="宋体"/>
          <w:bCs/>
          <w:szCs w:val="21"/>
        </w:rPr>
      </w:pPr>
      <w:r>
        <w:rPr>
          <w:rFonts w:hint="eastAsia" w:ascii="宋体" w:hAnsi="宋体" w:cs="宋体"/>
          <w:bCs/>
          <w:szCs w:val="21"/>
        </w:rPr>
        <w:t>3.1残疾人福利性单位应当同时满足以下条件：</w:t>
      </w:r>
    </w:p>
    <w:p>
      <w:pPr>
        <w:adjustRightInd w:val="0"/>
        <w:snapToGrid w:val="0"/>
        <w:spacing w:line="360" w:lineRule="exact"/>
        <w:rPr>
          <w:rFonts w:ascii="宋体" w:hAnsi="宋体" w:cs="宋体"/>
          <w:bCs/>
          <w:szCs w:val="21"/>
        </w:rPr>
      </w:pPr>
      <w:r>
        <w:rPr>
          <w:rFonts w:hint="eastAsia" w:ascii="宋体" w:hAnsi="宋体" w:cs="宋体"/>
          <w:bCs/>
          <w:szCs w:val="21"/>
        </w:rPr>
        <w:t>① 安置的残疾人占本单位在职职工人数的比例不低于 25%（含 25%），并且安置的残疾人人数不少于 10 人（含 10 人）；</w:t>
      </w:r>
    </w:p>
    <w:p>
      <w:pPr>
        <w:adjustRightInd w:val="0"/>
        <w:snapToGrid w:val="0"/>
        <w:spacing w:line="360" w:lineRule="exact"/>
        <w:rPr>
          <w:rFonts w:ascii="宋体" w:hAnsi="宋体" w:cs="宋体"/>
          <w:bCs/>
          <w:szCs w:val="21"/>
        </w:rPr>
      </w:pPr>
      <w:r>
        <w:rPr>
          <w:rFonts w:hint="eastAsia" w:ascii="宋体" w:hAnsi="宋体" w:cs="宋体"/>
          <w:bCs/>
          <w:szCs w:val="21"/>
        </w:rPr>
        <w:t>②依法与安置的每位残疾人签订了一年以上（含一年）的劳动合同或服务协议；</w:t>
      </w:r>
    </w:p>
    <w:p>
      <w:pPr>
        <w:adjustRightInd w:val="0"/>
        <w:snapToGrid w:val="0"/>
        <w:spacing w:line="360" w:lineRule="exact"/>
        <w:rPr>
          <w:rFonts w:ascii="宋体" w:hAnsi="宋体" w:cs="宋体"/>
          <w:bCs/>
          <w:szCs w:val="21"/>
        </w:rPr>
      </w:pPr>
      <w:r>
        <w:rPr>
          <w:rFonts w:hint="eastAsia" w:ascii="宋体" w:hAnsi="宋体" w:cs="宋体"/>
          <w:bCs/>
          <w:szCs w:val="21"/>
        </w:rPr>
        <w:t>③为安置的每位残疾人按月足额缴纳了基本养老保险、基本医疗保险、失业保险、工伤保险和生育保险等社会保险费；</w:t>
      </w:r>
    </w:p>
    <w:p>
      <w:pPr>
        <w:adjustRightInd w:val="0"/>
        <w:snapToGrid w:val="0"/>
        <w:spacing w:line="360" w:lineRule="exact"/>
        <w:rPr>
          <w:rFonts w:ascii="宋体" w:hAnsi="宋体" w:cs="宋体"/>
          <w:bCs/>
          <w:szCs w:val="21"/>
        </w:rPr>
      </w:pPr>
      <w:r>
        <w:rPr>
          <w:rFonts w:hint="eastAsia" w:ascii="宋体" w:hAnsi="宋体" w:cs="宋体"/>
          <w:bCs/>
          <w:szCs w:val="21"/>
        </w:rPr>
        <w:t>④通过银行等金融机构向安置的每位残疾人，按月支付了不低于单位所在区县适用的经省级人民政府批准的月最低工资标准的工资；</w:t>
      </w:r>
    </w:p>
    <w:p>
      <w:pPr>
        <w:adjustRightInd w:val="0"/>
        <w:snapToGrid w:val="0"/>
        <w:spacing w:line="360" w:lineRule="exact"/>
        <w:rPr>
          <w:rFonts w:ascii="宋体" w:hAnsi="宋体" w:cs="宋体"/>
          <w:bCs/>
          <w:szCs w:val="21"/>
        </w:rPr>
      </w:pPr>
      <w:r>
        <w:rPr>
          <w:rFonts w:hint="eastAsia" w:ascii="宋体" w:hAnsi="宋体" w:cs="宋体"/>
          <w:bCs/>
          <w:szCs w:val="21"/>
        </w:rPr>
        <w:t>⑤提供本单位制造的货物、承担的工程或者服务（以下简称产品），或者提供其他残疾人福利性单位制造的货物（不包括使用非残疾人福利性单位注册商标的货物）。</w:t>
      </w:r>
    </w:p>
    <w:p>
      <w:pPr>
        <w:adjustRightInd w:val="0"/>
        <w:snapToGrid w:val="0"/>
        <w:spacing w:line="360" w:lineRule="exact"/>
        <w:rPr>
          <w:rFonts w:ascii="宋体" w:hAnsi="宋体" w:cs="宋体"/>
          <w:bCs/>
          <w:szCs w:val="21"/>
        </w:rPr>
      </w:pPr>
      <w:r>
        <w:rPr>
          <w:rFonts w:hint="eastAsia" w:ascii="宋体" w:hAnsi="宋体" w:cs="宋体"/>
          <w:bCs/>
          <w:szCs w:val="21"/>
        </w:rPr>
        <w:t>3.2 同时提供以下所有证明材料的投标人被认定为残疾人福利性单位：</w:t>
      </w:r>
    </w:p>
    <w:p>
      <w:pPr>
        <w:adjustRightInd w:val="0"/>
        <w:snapToGrid w:val="0"/>
        <w:spacing w:line="360" w:lineRule="exact"/>
        <w:rPr>
          <w:rFonts w:ascii="宋体" w:hAnsi="宋体" w:cs="宋体"/>
          <w:bCs/>
          <w:szCs w:val="21"/>
        </w:rPr>
      </w:pPr>
      <w:r>
        <w:rPr>
          <w:rFonts w:hint="eastAsia" w:ascii="宋体" w:hAnsi="宋体" w:cs="宋体"/>
          <w:bCs/>
          <w:szCs w:val="21"/>
        </w:rPr>
        <w:t>① 提供《残疾人福利性单位声明函》；</w:t>
      </w:r>
    </w:p>
    <w:p>
      <w:pPr>
        <w:adjustRightInd w:val="0"/>
        <w:snapToGrid w:val="0"/>
        <w:spacing w:line="360" w:lineRule="exact"/>
        <w:rPr>
          <w:rFonts w:ascii="宋体" w:hAnsi="宋体" w:cs="宋体"/>
          <w:bCs/>
          <w:szCs w:val="21"/>
        </w:rPr>
      </w:pPr>
      <w:r>
        <w:rPr>
          <w:rFonts w:hint="eastAsia" w:ascii="宋体" w:hAnsi="宋体" w:cs="宋体"/>
          <w:bCs/>
          <w:szCs w:val="21"/>
        </w:rPr>
        <w:t>② 提供社保缴纳人员名单、录用的残疾人的《中华人民共和国残疾人证》或者《中华人民共和国残疾军人证(1至8级)》复印件。</w:t>
      </w:r>
    </w:p>
    <w:p>
      <w:pPr>
        <w:adjustRightInd w:val="0"/>
        <w:snapToGrid w:val="0"/>
        <w:spacing w:line="360" w:lineRule="exact"/>
        <w:rPr>
          <w:rFonts w:ascii="宋体" w:hAnsi="宋体" w:cs="宋体"/>
          <w:bCs/>
          <w:szCs w:val="21"/>
        </w:rPr>
      </w:pPr>
      <w:r>
        <w:rPr>
          <w:rFonts w:hint="eastAsia" w:ascii="宋体" w:hAnsi="宋体" w:cs="宋体"/>
          <w:bCs/>
          <w:szCs w:val="21"/>
        </w:rPr>
        <w:t>4、监狱企业视同小微企业，其产品参加本项目投标的，享受小微企业同等的价格扣除。</w:t>
      </w:r>
    </w:p>
    <w:p>
      <w:pPr>
        <w:adjustRightInd w:val="0"/>
        <w:snapToGrid w:val="0"/>
        <w:spacing w:line="360" w:lineRule="exact"/>
        <w:rPr>
          <w:rFonts w:ascii="宋体" w:hAnsi="宋体" w:cs="宋体"/>
        </w:rPr>
      </w:pPr>
      <w:r>
        <w:rPr>
          <w:rFonts w:hint="eastAsia" w:ascii="宋体" w:hAnsi="宋体" w:cs="宋体"/>
          <w:bCs/>
          <w:szCs w:val="21"/>
        </w:rPr>
        <w:t>提供以下证明材料的投标人被认定为监狱企业：省级以上监狱管理局、戒毒管理局（含新疆生产建设兵团）出具的属于监狱企业的证明文件复印件。</w:t>
      </w:r>
    </w:p>
    <w:p>
      <w:pPr>
        <w:spacing w:line="440" w:lineRule="exact"/>
        <w:rPr>
          <w:rFonts w:ascii="宋体" w:hAnsi="宋体" w:cs="宋体"/>
          <w:b/>
          <w:szCs w:val="21"/>
        </w:rPr>
      </w:pPr>
      <w:r>
        <w:rPr>
          <w:rFonts w:hint="eastAsia" w:ascii="宋体" w:hAnsi="宋体" w:cs="宋体"/>
          <w:b/>
          <w:szCs w:val="21"/>
        </w:rPr>
        <w:t>（二）技术、商务资信分（70分）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2727"/>
        <w:gridCol w:w="5644"/>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gridSpan w:val="2"/>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评分项目</w:t>
            </w:r>
          </w:p>
        </w:tc>
        <w:tc>
          <w:tcPr>
            <w:tcW w:w="5644" w:type="dxa"/>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评分标准</w:t>
            </w:r>
          </w:p>
        </w:tc>
        <w:tc>
          <w:tcPr>
            <w:tcW w:w="740" w:type="dxa"/>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r>
              <w:rPr>
                <w:rFonts w:hint="eastAsia" w:ascii="微软雅黑" w:hAnsi="微软雅黑" w:eastAsia="微软雅黑" w:cs="等线"/>
                <w:szCs w:val="21"/>
              </w:rPr>
              <w:t>技术商务资信部分</w:t>
            </w:r>
          </w:p>
        </w:tc>
        <w:tc>
          <w:tcPr>
            <w:tcW w:w="2727" w:type="dxa"/>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r>
              <w:rPr>
                <w:rFonts w:hint="eastAsia" w:ascii="微软雅黑" w:hAnsi="微软雅黑" w:eastAsia="微软雅黑" w:cs="等线"/>
                <w:szCs w:val="21"/>
              </w:rPr>
              <w:t>技术指标响应程度</w:t>
            </w:r>
          </w:p>
        </w:tc>
        <w:tc>
          <w:tcPr>
            <w:tcW w:w="5644" w:type="dxa"/>
          </w:tcPr>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1、根据投标单位提供产品的技术性能及功能满足情况进行打分，经评标委员会讨论认可，完全符合采购要求没有负偏离的得14分；</w:t>
            </w:r>
          </w:p>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2. 优于招标文件要求的部件整体性能、技术参数、技术规格、技术规范和技术要求的给予逐项适当加分，每优于一项加0.5分，总加分不得超过2分。</w:t>
            </w:r>
          </w:p>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3. 低于招标文件要求的部件整体性能、技术参数、技术规格、技术规范和技术要求的给予逐项适当减分，每低于一项扣1分，扣完为止。</w:t>
            </w:r>
          </w:p>
        </w:tc>
        <w:tc>
          <w:tcPr>
            <w:tcW w:w="740" w:type="dxa"/>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r>
              <w:rPr>
                <w:rFonts w:hint="eastAsia" w:ascii="微软雅黑" w:hAnsi="微软雅黑" w:eastAsia="微软雅黑" w:cs="等线"/>
                <w:szCs w:val="21"/>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p>
        </w:tc>
        <w:tc>
          <w:tcPr>
            <w:tcW w:w="2727" w:type="dxa"/>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r>
              <w:rPr>
                <w:rFonts w:hint="eastAsia" w:ascii="微软雅黑" w:hAnsi="微软雅黑" w:eastAsia="微软雅黑" w:cs="等线"/>
                <w:szCs w:val="21"/>
              </w:rPr>
              <w:t>总体建设方案</w:t>
            </w:r>
          </w:p>
        </w:tc>
        <w:tc>
          <w:tcPr>
            <w:tcW w:w="5644" w:type="dxa"/>
          </w:tcPr>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根据供应商提供对项目现状的分析、功能需求的理解、各功能模块建设集成方案等的进行评分。</w:t>
            </w:r>
          </w:p>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1、建设方案对现状的分析具体详细，建设目标明确，功能需求完善，各功能模块集成方案深层优化得7-10分；</w:t>
            </w:r>
          </w:p>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2、建设方案对现状的分析简洁粗略，建设目标不清晰，功能需求合理，各功能模块集成方案符合项目基本要求得3-7（含）分；</w:t>
            </w:r>
          </w:p>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3、建设方案对现状的分析不到位，建设目标不符合本项目建设，功能需求欠缺，各功能模块集成方案不合理得0-3分；</w:t>
            </w:r>
          </w:p>
        </w:tc>
        <w:tc>
          <w:tcPr>
            <w:tcW w:w="740" w:type="dxa"/>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r>
              <w:rPr>
                <w:rFonts w:hint="eastAsia" w:ascii="微软雅黑" w:hAnsi="微软雅黑" w:eastAsia="微软雅黑" w:cs="等线"/>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p>
        </w:tc>
        <w:tc>
          <w:tcPr>
            <w:tcW w:w="2727" w:type="dxa"/>
            <w:vAlign w:val="center"/>
          </w:tcPr>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确保供应货物质量的设施及措施</w:t>
            </w:r>
          </w:p>
        </w:tc>
        <w:tc>
          <w:tcPr>
            <w:tcW w:w="5644" w:type="dxa"/>
            <w:vAlign w:val="center"/>
          </w:tcPr>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根据投标人提供的质量监控措施和质量检测设施的严密性、先进性进行比较打分。</w:t>
            </w:r>
          </w:p>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投标人提供的质量监控措施和质量检测设施的严密、先进的，得5-8分；</w:t>
            </w:r>
          </w:p>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投标人提供的质量监控措施和质量检测设施的较严密、较先进的，得2-5（含）分；</w:t>
            </w:r>
          </w:p>
          <w:p>
            <w:pPr>
              <w:widowControl/>
              <w:tabs>
                <w:tab w:val="left" w:pos="0"/>
                <w:tab w:val="left" w:pos="993"/>
                <w:tab w:val="left" w:pos="1134"/>
              </w:tabs>
              <w:adjustRightInd w:val="0"/>
              <w:snapToGrid w:val="0"/>
              <w:spacing w:line="440" w:lineRule="exact"/>
              <w:rPr>
                <w:rFonts w:ascii="微软雅黑" w:hAnsi="微软雅黑" w:eastAsia="微软雅黑" w:cs="等线"/>
                <w:szCs w:val="21"/>
                <w:lang w:eastAsia="zh-Hans"/>
              </w:rPr>
            </w:pPr>
            <w:r>
              <w:rPr>
                <w:rFonts w:hint="eastAsia" w:ascii="微软雅黑" w:hAnsi="微软雅黑" w:eastAsia="微软雅黑" w:cs="等线"/>
                <w:szCs w:val="21"/>
              </w:rPr>
              <w:t>投标人提供的质量监控措施和质量检测设施的不严密、不够先进的0-2（含）分。</w:t>
            </w:r>
          </w:p>
        </w:tc>
        <w:tc>
          <w:tcPr>
            <w:tcW w:w="740" w:type="dxa"/>
            <w:vAlign w:val="center"/>
          </w:tcPr>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p>
        </w:tc>
        <w:tc>
          <w:tcPr>
            <w:tcW w:w="2727" w:type="dxa"/>
            <w:vAlign w:val="center"/>
          </w:tcPr>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确保工期和进度的方案和措施</w:t>
            </w:r>
          </w:p>
        </w:tc>
        <w:tc>
          <w:tcPr>
            <w:tcW w:w="5644" w:type="dxa"/>
            <w:vAlign w:val="center"/>
          </w:tcPr>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根据投标人提供的确保工期和进度的方案是否严密，措施是否得力进行比较打分。</w:t>
            </w:r>
          </w:p>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投标人提供的确保工期和进度的方案严密，措施得力的，得4-8分；</w:t>
            </w:r>
          </w:p>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投标人提供的确保工期和进度的方案较严密，措施较得力的，得1-4（含）分；</w:t>
            </w:r>
          </w:p>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投标人提供的确保工期和进度的方案不够严密，措施不够得力的，得0-1（含）分。</w:t>
            </w:r>
          </w:p>
        </w:tc>
        <w:tc>
          <w:tcPr>
            <w:tcW w:w="740" w:type="dxa"/>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r>
              <w:rPr>
                <w:rFonts w:hint="eastAsia" w:ascii="微软雅黑" w:hAnsi="微软雅黑" w:eastAsia="微软雅黑" w:cs="等线"/>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p>
        </w:tc>
        <w:tc>
          <w:tcPr>
            <w:tcW w:w="2727" w:type="dxa"/>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r>
              <w:rPr>
                <w:rFonts w:hint="eastAsia" w:ascii="微软雅黑" w:hAnsi="微软雅黑" w:eastAsia="微软雅黑" w:cs="等线"/>
                <w:szCs w:val="21"/>
              </w:rPr>
              <w:t>安装、调试、验收的方案和措施</w:t>
            </w:r>
          </w:p>
        </w:tc>
        <w:tc>
          <w:tcPr>
            <w:tcW w:w="5644" w:type="dxa"/>
          </w:tcPr>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根据投标人提供的项目供货安装、调试、验收方案的科学有效性由评委酌情打分；无方案无措施的不得分。</w:t>
            </w:r>
          </w:p>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投标人提供的项目供货安装、调试、验收方案的科学有效的，得4-8分；</w:t>
            </w:r>
          </w:p>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投标人提供的项目供货安装、调试、验收方案的较科学有效的，得1-4（含）分；</w:t>
            </w:r>
          </w:p>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投标人提供的项目供货安装、调试、验收方案的不够科学有效的，得0-1（含）分。</w:t>
            </w:r>
          </w:p>
        </w:tc>
        <w:tc>
          <w:tcPr>
            <w:tcW w:w="740" w:type="dxa"/>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r>
              <w:rPr>
                <w:rFonts w:hint="eastAsia" w:ascii="微软雅黑" w:hAnsi="微软雅黑" w:eastAsia="微软雅黑" w:cs="等线"/>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17" w:type="dxa"/>
            <w:vMerge w:val="continue"/>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p>
        </w:tc>
        <w:tc>
          <w:tcPr>
            <w:tcW w:w="2727" w:type="dxa"/>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r>
              <w:rPr>
                <w:rFonts w:hint="eastAsia" w:ascii="微软雅黑" w:hAnsi="微软雅黑" w:eastAsia="微软雅黑" w:cs="等线"/>
                <w:szCs w:val="21"/>
              </w:rPr>
              <w:t>售后服务及承诺</w:t>
            </w:r>
          </w:p>
        </w:tc>
        <w:tc>
          <w:tcPr>
            <w:tcW w:w="5644" w:type="dxa"/>
          </w:tcPr>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投标人承诺的售后服务方案是否完善、是否有实质性优惠，对于质保期满后的备品备件供应价格等比较评分，给予0-4分。提供售后服务承诺。</w:t>
            </w:r>
          </w:p>
        </w:tc>
        <w:tc>
          <w:tcPr>
            <w:tcW w:w="740" w:type="dxa"/>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r>
              <w:rPr>
                <w:rFonts w:hint="eastAsia" w:ascii="微软雅黑" w:hAnsi="微软雅黑" w:eastAsia="微软雅黑" w:cs="等线"/>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17" w:type="dxa"/>
            <w:vMerge w:val="continue"/>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p>
        </w:tc>
        <w:tc>
          <w:tcPr>
            <w:tcW w:w="2727" w:type="dxa"/>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r>
              <w:rPr>
                <w:rFonts w:hint="eastAsia" w:ascii="微软雅黑" w:hAnsi="微软雅黑" w:eastAsia="微软雅黑" w:cs="等线"/>
                <w:szCs w:val="21"/>
              </w:rPr>
              <w:t>拟投入本项目团队人员</w:t>
            </w:r>
          </w:p>
        </w:tc>
        <w:tc>
          <w:tcPr>
            <w:tcW w:w="5644" w:type="dxa"/>
          </w:tcPr>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根据拟投入本项目团队人员的专业类别以及团队配置的合理性、科学性、人力资源安排的充足性、合理性等情况进行比较评分。</w:t>
            </w:r>
          </w:p>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拟投入本项目团队人员充足，合理的，得4-8分；</w:t>
            </w:r>
          </w:p>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拟投入本项目团队人员较充足，较合理的，得1-4（含）分；</w:t>
            </w:r>
          </w:p>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拟投入本项目团队人员不够充足，不够合理的，得0-1（含）分；</w:t>
            </w:r>
          </w:p>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提供团队人员近3个月的社保证明。</w:t>
            </w:r>
          </w:p>
        </w:tc>
        <w:tc>
          <w:tcPr>
            <w:tcW w:w="740" w:type="dxa"/>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r>
              <w:rPr>
                <w:rFonts w:hint="eastAsia" w:ascii="微软雅黑" w:hAnsi="微软雅黑" w:eastAsia="微软雅黑" w:cs="等线"/>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p>
        </w:tc>
        <w:tc>
          <w:tcPr>
            <w:tcW w:w="2727" w:type="dxa"/>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r>
              <w:rPr>
                <w:rFonts w:hint="eastAsia" w:ascii="微软雅黑" w:hAnsi="微软雅黑" w:eastAsia="微软雅黑" w:cs="等线"/>
                <w:szCs w:val="21"/>
              </w:rPr>
              <w:t>企业认证</w:t>
            </w:r>
          </w:p>
        </w:tc>
        <w:tc>
          <w:tcPr>
            <w:tcW w:w="5644" w:type="dxa"/>
          </w:tcPr>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投标人具有有效的质量管理体系、环境管理体系、职业健康安全管理体系标准认证的每个得 1 分，最多得3分。</w:t>
            </w:r>
          </w:p>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注：提供相关证书复印件。</w:t>
            </w:r>
          </w:p>
        </w:tc>
        <w:tc>
          <w:tcPr>
            <w:tcW w:w="740" w:type="dxa"/>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r>
              <w:rPr>
                <w:rFonts w:hint="eastAsia" w:ascii="微软雅黑" w:hAnsi="微软雅黑" w:eastAsia="微软雅黑" w:cs="等线"/>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p>
        </w:tc>
        <w:tc>
          <w:tcPr>
            <w:tcW w:w="2727" w:type="dxa"/>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r>
              <w:rPr>
                <w:rFonts w:hint="eastAsia" w:ascii="微软雅黑" w:hAnsi="微软雅黑" w:eastAsia="微软雅黑" w:cs="等线"/>
                <w:szCs w:val="21"/>
              </w:rPr>
              <w:t>业绩</w:t>
            </w:r>
          </w:p>
        </w:tc>
        <w:tc>
          <w:tcPr>
            <w:tcW w:w="5644" w:type="dxa"/>
          </w:tcPr>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磋商响应供应商自2021年1月1日以来类似的采购合同，每个有效业绩得1分，最高得3分；（以合同签订时间为准，需提供合同扫描件）</w:t>
            </w:r>
          </w:p>
        </w:tc>
        <w:tc>
          <w:tcPr>
            <w:tcW w:w="740" w:type="dxa"/>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r>
              <w:rPr>
                <w:rFonts w:hint="eastAsia" w:ascii="微软雅黑" w:hAnsi="微软雅黑" w:eastAsia="微软雅黑" w:cs="等线"/>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p>
        </w:tc>
        <w:tc>
          <w:tcPr>
            <w:tcW w:w="2727" w:type="dxa"/>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r>
              <w:rPr>
                <w:rFonts w:hint="eastAsia" w:ascii="微软雅黑" w:hAnsi="微软雅黑" w:eastAsia="微软雅黑" w:cs="等线"/>
                <w:szCs w:val="21"/>
              </w:rPr>
              <w:t>质保期</w:t>
            </w:r>
          </w:p>
        </w:tc>
        <w:tc>
          <w:tcPr>
            <w:tcW w:w="5644" w:type="dxa"/>
          </w:tcPr>
          <w:p>
            <w:pPr>
              <w:widowControl/>
              <w:tabs>
                <w:tab w:val="left" w:pos="0"/>
                <w:tab w:val="left" w:pos="993"/>
                <w:tab w:val="left" w:pos="1134"/>
              </w:tabs>
              <w:adjustRightInd w:val="0"/>
              <w:snapToGrid w:val="0"/>
              <w:spacing w:line="440" w:lineRule="exact"/>
              <w:rPr>
                <w:rFonts w:ascii="微软雅黑" w:hAnsi="微软雅黑" w:eastAsia="微软雅黑" w:cs="等线"/>
                <w:szCs w:val="21"/>
              </w:rPr>
            </w:pPr>
            <w:r>
              <w:rPr>
                <w:rFonts w:hint="eastAsia" w:ascii="微软雅黑" w:hAnsi="微软雅黑" w:eastAsia="微软雅黑" w:cs="等线"/>
                <w:szCs w:val="21"/>
              </w:rPr>
              <w:t>质保期在满足采购文件要求的基础上每延长一年（所有均延长）得1分，最高得2分，延长时间不足一年的不计入得分。</w:t>
            </w:r>
          </w:p>
        </w:tc>
        <w:tc>
          <w:tcPr>
            <w:tcW w:w="740" w:type="dxa"/>
            <w:vAlign w:val="center"/>
          </w:tcPr>
          <w:p>
            <w:pPr>
              <w:widowControl/>
              <w:tabs>
                <w:tab w:val="left" w:pos="0"/>
                <w:tab w:val="left" w:pos="993"/>
                <w:tab w:val="left" w:pos="1134"/>
              </w:tabs>
              <w:adjustRightInd w:val="0"/>
              <w:snapToGrid w:val="0"/>
              <w:spacing w:line="440" w:lineRule="exact"/>
              <w:jc w:val="center"/>
              <w:rPr>
                <w:rFonts w:ascii="微软雅黑" w:hAnsi="微软雅黑" w:eastAsia="微软雅黑" w:cs="等线"/>
                <w:szCs w:val="21"/>
              </w:rPr>
            </w:pPr>
            <w:r>
              <w:rPr>
                <w:rFonts w:hint="eastAsia" w:ascii="微软雅黑" w:hAnsi="微软雅黑" w:eastAsia="微软雅黑" w:cs="等线"/>
                <w:szCs w:val="21"/>
              </w:rPr>
              <w:t>2分</w:t>
            </w:r>
          </w:p>
        </w:tc>
      </w:tr>
    </w:tbl>
    <w:p>
      <w:pPr>
        <w:numPr>
          <w:ilvl w:val="0"/>
          <w:numId w:val="9"/>
        </w:numPr>
        <w:tabs>
          <w:tab w:val="center" w:pos="4706"/>
        </w:tabs>
        <w:spacing w:line="440" w:lineRule="exact"/>
        <w:rPr>
          <w:rFonts w:ascii="宋体" w:hAnsi="宋体" w:cs="宋体"/>
          <w:b/>
          <w:szCs w:val="21"/>
        </w:rPr>
      </w:pPr>
      <w:r>
        <w:rPr>
          <w:rFonts w:hint="eastAsia" w:ascii="宋体" w:hAnsi="宋体" w:cs="宋体"/>
          <w:b/>
          <w:szCs w:val="21"/>
        </w:rPr>
        <w:t>分值计算</w:t>
      </w:r>
    </w:p>
    <w:p>
      <w:pPr>
        <w:numPr>
          <w:ilvl w:val="0"/>
          <w:numId w:val="10"/>
        </w:numPr>
        <w:tabs>
          <w:tab w:val="center" w:pos="4706"/>
        </w:tabs>
        <w:spacing w:line="480" w:lineRule="exact"/>
        <w:rPr>
          <w:rFonts w:ascii="宋体" w:hAnsi="宋体" w:cs="宋体"/>
          <w:bCs/>
          <w:szCs w:val="21"/>
        </w:rPr>
      </w:pPr>
      <w:r>
        <w:rPr>
          <w:rFonts w:hint="eastAsia" w:ascii="宋体" w:hAnsi="宋体" w:cs="宋体"/>
          <w:bCs/>
          <w:szCs w:val="21"/>
        </w:rPr>
        <w:t>价格分</w:t>
      </w:r>
    </w:p>
    <w:p>
      <w:pPr>
        <w:tabs>
          <w:tab w:val="center" w:pos="4706"/>
        </w:tabs>
        <w:spacing w:line="480" w:lineRule="exact"/>
        <w:ind w:firstLine="420" w:firstLineChars="200"/>
        <w:rPr>
          <w:rFonts w:ascii="宋体" w:hAnsi="宋体" w:cs="宋体"/>
          <w:bCs/>
          <w:szCs w:val="21"/>
        </w:rPr>
      </w:pPr>
      <w:r>
        <w:rPr>
          <w:rFonts w:hint="eastAsia" w:ascii="宋体" w:hAnsi="宋体" w:cs="宋体"/>
          <w:bCs/>
          <w:szCs w:val="21"/>
        </w:rPr>
        <w:t>调整错误、并执行支付采购政策后按评分细则中的公式计算。</w:t>
      </w:r>
    </w:p>
    <w:p>
      <w:pPr>
        <w:tabs>
          <w:tab w:val="center" w:pos="4706"/>
        </w:tabs>
        <w:spacing w:line="360" w:lineRule="exact"/>
        <w:rPr>
          <w:rFonts w:ascii="宋体" w:hAnsi="宋体" w:cs="宋体"/>
          <w:bCs/>
          <w:szCs w:val="21"/>
        </w:rPr>
      </w:pPr>
      <w:r>
        <w:rPr>
          <w:rFonts w:hint="eastAsia" w:ascii="宋体" w:hAnsi="宋体" w:cs="宋体"/>
          <w:bCs/>
          <w:szCs w:val="21"/>
        </w:rPr>
        <w:t>2、技术、商务资信及其他分</w:t>
      </w:r>
    </w:p>
    <w:p>
      <w:pPr>
        <w:spacing w:line="360" w:lineRule="exact"/>
        <w:ind w:firstLine="420" w:firstLineChars="200"/>
        <w:rPr>
          <w:rFonts w:ascii="宋体" w:hAnsi="宋体" w:cs="宋体"/>
          <w:bCs/>
          <w:szCs w:val="21"/>
        </w:rPr>
      </w:pPr>
      <w:r>
        <w:rPr>
          <w:rFonts w:hint="eastAsia" w:ascii="宋体" w:hAnsi="宋体" w:cs="宋体"/>
          <w:bCs/>
          <w:szCs w:val="21"/>
        </w:rPr>
        <w:t>技术、商务资信及其他分按照评标委员会成员的独立评分结果汇总数算术平均分计算，计算公式为：</w:t>
      </w:r>
    </w:p>
    <w:p>
      <w:pPr>
        <w:spacing w:line="360" w:lineRule="exact"/>
        <w:ind w:firstLine="420" w:firstLineChars="200"/>
        <w:rPr>
          <w:rFonts w:ascii="宋体" w:hAnsi="宋体" w:cs="宋体"/>
          <w:bCs/>
          <w:szCs w:val="21"/>
        </w:rPr>
      </w:pPr>
      <w:r>
        <w:rPr>
          <w:rFonts w:hint="eastAsia" w:ascii="宋体" w:hAnsi="宋体" w:cs="宋体"/>
          <w:bCs/>
          <w:szCs w:val="21"/>
        </w:rPr>
        <w:t>技术、商务资信及其他分=（评标委员会所有成员评分合计数）/（评标委员会组成人员数）</w:t>
      </w:r>
      <w:bookmarkStart w:id="146" w:name="_Toc317341948"/>
    </w:p>
    <w:p>
      <w:pPr>
        <w:spacing w:line="320" w:lineRule="exact"/>
        <w:rPr>
          <w:rFonts w:ascii="宋体" w:hAnsi="宋体" w:cs="宋体"/>
          <w:bCs/>
          <w:szCs w:val="21"/>
        </w:rPr>
      </w:pPr>
      <w:r>
        <w:rPr>
          <w:rFonts w:hint="eastAsia" w:ascii="宋体" w:hAnsi="宋体" w:cs="宋体"/>
          <w:bCs/>
          <w:szCs w:val="21"/>
        </w:rPr>
        <w:t>3、综合得分</w:t>
      </w:r>
    </w:p>
    <w:p>
      <w:pPr>
        <w:adjustRightInd w:val="0"/>
        <w:snapToGrid w:val="0"/>
        <w:spacing w:line="360" w:lineRule="exact"/>
        <w:ind w:firstLine="420" w:firstLineChars="200"/>
        <w:rPr>
          <w:rFonts w:ascii="宋体" w:hAnsi="宋体" w:cs="宋体"/>
          <w:bCs/>
          <w:szCs w:val="21"/>
        </w:rPr>
      </w:pPr>
      <w:r>
        <w:rPr>
          <w:rFonts w:hint="eastAsia" w:ascii="宋体" w:hAnsi="宋体" w:cs="宋体"/>
          <w:bCs/>
          <w:szCs w:val="21"/>
        </w:rPr>
        <w:t>投标人评标综合得分=技术、商务资信及其他分+价格得分</w:t>
      </w:r>
    </w:p>
    <w:p>
      <w:pPr>
        <w:adjustRightInd w:val="0"/>
        <w:snapToGrid w:val="0"/>
        <w:spacing w:line="360" w:lineRule="exact"/>
        <w:ind w:firstLine="420" w:firstLineChars="200"/>
        <w:rPr>
          <w:rFonts w:ascii="宋体" w:hAnsi="宋体" w:cs="宋体"/>
          <w:bCs/>
          <w:szCs w:val="21"/>
        </w:rPr>
      </w:pPr>
      <w:r>
        <w:rPr>
          <w:rFonts w:hint="eastAsia" w:ascii="宋体" w:hAnsi="宋体" w:cs="宋体"/>
          <w:bCs/>
          <w:szCs w:val="21"/>
        </w:rPr>
        <w:t>评分过程中采用四舍五入法，并保留小数2位。</w:t>
      </w:r>
    </w:p>
    <w:bookmarkEnd w:id="146"/>
    <w:p>
      <w:pPr>
        <w:pStyle w:val="69"/>
      </w:pPr>
    </w:p>
    <w:p>
      <w:pPr>
        <w:pStyle w:val="69"/>
      </w:pPr>
    </w:p>
    <w:p>
      <w:pPr>
        <w:pStyle w:val="69"/>
      </w:pPr>
    </w:p>
    <w:p>
      <w:pPr>
        <w:pStyle w:val="69"/>
      </w:pPr>
    </w:p>
    <w:p>
      <w:pPr>
        <w:pStyle w:val="69"/>
      </w:pPr>
    </w:p>
    <w:p>
      <w:pPr>
        <w:pStyle w:val="69"/>
      </w:pPr>
    </w:p>
    <w:p>
      <w:pPr>
        <w:pStyle w:val="69"/>
      </w:pPr>
    </w:p>
    <w:p>
      <w:pPr>
        <w:pStyle w:val="69"/>
      </w:pPr>
    </w:p>
    <w:p>
      <w:pPr>
        <w:pStyle w:val="3"/>
        <w:spacing w:before="0" w:after="0" w:line="240" w:lineRule="auto"/>
        <w:jc w:val="center"/>
        <w:rPr>
          <w:rFonts w:ascii="宋体" w:hAnsi="宋体" w:cs="宋体"/>
          <w:snapToGrid w:val="0"/>
          <w:szCs w:val="36"/>
        </w:rPr>
      </w:pPr>
      <w:r>
        <w:br w:type="page"/>
      </w:r>
      <w:bookmarkStart w:id="147" w:name="_Toc2987"/>
      <w:bookmarkStart w:id="148" w:name="_Toc21450"/>
      <w:bookmarkStart w:id="149" w:name="_Toc5807"/>
      <w:bookmarkStart w:id="150" w:name="_Toc317341950"/>
      <w:bookmarkStart w:id="151" w:name="_Toc25477"/>
      <w:r>
        <w:rPr>
          <w:rFonts w:hint="eastAsia" w:ascii="宋体" w:hAnsi="宋体" w:cs="宋体"/>
          <w:snapToGrid w:val="0"/>
          <w:sz w:val="40"/>
          <w:szCs w:val="36"/>
        </w:rPr>
        <w:t>第五章 合同主要条款</w:t>
      </w:r>
      <w:bookmarkEnd w:id="132"/>
      <w:bookmarkEnd w:id="147"/>
      <w:bookmarkEnd w:id="148"/>
      <w:bookmarkEnd w:id="149"/>
      <w:bookmarkEnd w:id="150"/>
      <w:bookmarkEnd w:id="151"/>
    </w:p>
    <w:p>
      <w:pPr>
        <w:spacing w:line="360" w:lineRule="exact"/>
        <w:rPr>
          <w:rFonts w:ascii="宋体" w:hAnsi="宋体" w:cs="微软雅黑"/>
          <w:szCs w:val="21"/>
        </w:rPr>
      </w:pPr>
      <w:bookmarkStart w:id="152" w:name="_Toc222632763"/>
    </w:p>
    <w:p>
      <w:pPr>
        <w:spacing w:line="480" w:lineRule="exact"/>
        <w:jc w:val="center"/>
        <w:rPr>
          <w:rFonts w:ascii="宋体" w:hAnsi="宋体" w:cs="宋体"/>
          <w:b/>
          <w:sz w:val="28"/>
          <w:szCs w:val="28"/>
        </w:rPr>
      </w:pPr>
      <w:r>
        <w:rPr>
          <w:rFonts w:hint="eastAsia" w:ascii="宋体" w:hAnsi="宋体" w:cs="宋体"/>
          <w:b/>
          <w:sz w:val="28"/>
          <w:szCs w:val="28"/>
        </w:rPr>
        <w:t>安吉县政府采购合同书</w:t>
      </w:r>
    </w:p>
    <w:p>
      <w:pPr>
        <w:spacing w:line="400" w:lineRule="exact"/>
        <w:ind w:firstLine="560"/>
        <w:rPr>
          <w:rFonts w:ascii="宋体" w:hAnsi="宋体" w:cs="宋体"/>
          <w:szCs w:val="21"/>
        </w:rPr>
      </w:pPr>
    </w:p>
    <w:p>
      <w:pPr>
        <w:spacing w:line="480" w:lineRule="exact"/>
        <w:rPr>
          <w:rFonts w:ascii="宋体" w:hAnsi="宋体" w:cs="宋体"/>
          <w:szCs w:val="21"/>
        </w:rPr>
      </w:pPr>
      <w:r>
        <w:rPr>
          <w:rFonts w:hint="eastAsia" w:ascii="宋体" w:hAnsi="宋体" w:cs="宋体"/>
          <w:szCs w:val="21"/>
        </w:rPr>
        <w:t xml:space="preserve">项目名称：                                  </w:t>
      </w:r>
    </w:p>
    <w:p>
      <w:pPr>
        <w:spacing w:line="480" w:lineRule="exact"/>
        <w:rPr>
          <w:rFonts w:ascii="宋体" w:hAnsi="宋体" w:cs="宋体"/>
          <w:szCs w:val="21"/>
        </w:rPr>
      </w:pPr>
      <w:r>
        <w:rPr>
          <w:rFonts w:hint="eastAsia" w:ascii="宋体" w:hAnsi="宋体" w:cs="宋体"/>
          <w:szCs w:val="21"/>
        </w:rPr>
        <w:t xml:space="preserve">项目编号： </w:t>
      </w:r>
    </w:p>
    <w:p>
      <w:pPr>
        <w:spacing w:line="480" w:lineRule="exact"/>
        <w:rPr>
          <w:rFonts w:ascii="宋体" w:hAnsi="宋体" w:cs="宋体"/>
          <w:szCs w:val="21"/>
        </w:rPr>
      </w:pPr>
      <w:r>
        <w:rPr>
          <w:rFonts w:hint="eastAsia" w:ascii="宋体" w:hAnsi="宋体" w:cs="宋体"/>
          <w:szCs w:val="21"/>
        </w:rPr>
        <w:t>甲方：                              乙方：</w:t>
      </w:r>
    </w:p>
    <w:p>
      <w:pPr>
        <w:spacing w:line="480" w:lineRule="exact"/>
        <w:ind w:firstLine="420" w:firstLineChars="200"/>
        <w:rPr>
          <w:rFonts w:ascii="宋体" w:hAnsi="宋体" w:cs="宋体"/>
          <w:szCs w:val="21"/>
        </w:rPr>
      </w:pPr>
      <w:r>
        <w:rPr>
          <w:rFonts w:hint="eastAsia" w:ascii="宋体" w:hAnsi="宋体" w:cs="宋体"/>
          <w:szCs w:val="21"/>
        </w:rPr>
        <w:t>甲乙双方根据湖州江南工程管理有限公司关于</w:t>
      </w:r>
      <w:r>
        <w:rPr>
          <w:rFonts w:hint="eastAsia" w:ascii="宋体" w:hAnsi="宋体" w:cs="宋体"/>
          <w:szCs w:val="21"/>
          <w:u w:val="single"/>
        </w:rPr>
        <w:t xml:space="preserve">                        </w:t>
      </w:r>
      <w:r>
        <w:rPr>
          <w:rFonts w:hint="eastAsia" w:ascii="宋体" w:hAnsi="宋体" w:cs="宋体"/>
          <w:szCs w:val="21"/>
        </w:rPr>
        <w:t>项目的采购结果，甲乙双方本着既严格执行国家有关政策，又兼顾双方利益的原则，经协商，特签订本合同书。</w:t>
      </w:r>
    </w:p>
    <w:p>
      <w:pPr>
        <w:spacing w:line="480" w:lineRule="exact"/>
        <w:rPr>
          <w:rFonts w:ascii="宋体" w:hAnsi="宋体" w:cs="宋体"/>
          <w:szCs w:val="21"/>
        </w:rPr>
      </w:pPr>
      <w:r>
        <w:rPr>
          <w:rFonts w:hint="eastAsia" w:ascii="宋体" w:hAnsi="宋体" w:cs="宋体"/>
          <w:szCs w:val="21"/>
        </w:rPr>
        <w:t>一、采购内容</w:t>
      </w:r>
    </w:p>
    <w:p>
      <w:pPr>
        <w:spacing w:line="480" w:lineRule="exact"/>
        <w:rPr>
          <w:rFonts w:ascii="宋体" w:hAnsi="宋体" w:cs="宋体"/>
          <w:szCs w:val="21"/>
        </w:rPr>
      </w:pPr>
    </w:p>
    <w:p>
      <w:pPr>
        <w:spacing w:line="480" w:lineRule="exact"/>
        <w:rPr>
          <w:rFonts w:ascii="宋体" w:hAnsi="宋体" w:cs="宋体"/>
          <w:szCs w:val="21"/>
        </w:rPr>
      </w:pPr>
      <w:r>
        <w:rPr>
          <w:rFonts w:hint="eastAsia" w:ascii="宋体" w:hAnsi="宋体" w:cs="宋体"/>
          <w:szCs w:val="21"/>
        </w:rPr>
        <w:t>二、合同金额</w:t>
      </w:r>
    </w:p>
    <w:p>
      <w:pPr>
        <w:spacing w:line="480" w:lineRule="exact"/>
        <w:ind w:firstLine="420" w:firstLineChars="200"/>
        <w:rPr>
          <w:rFonts w:ascii="宋体" w:hAnsi="宋体" w:cs="宋体"/>
          <w:szCs w:val="21"/>
        </w:rPr>
      </w:pPr>
      <w:r>
        <w:rPr>
          <w:rFonts w:hint="eastAsia" w:ascii="宋体" w:hAnsi="宋体" w:cs="宋体"/>
          <w:szCs w:val="21"/>
        </w:rPr>
        <w:t>本合同金额为（大写）：__________________圆（￥___________元）人民币。</w:t>
      </w:r>
    </w:p>
    <w:p>
      <w:pPr>
        <w:spacing w:line="480" w:lineRule="exact"/>
        <w:rPr>
          <w:rFonts w:ascii="宋体" w:hAnsi="宋体" w:cs="宋体"/>
          <w:szCs w:val="21"/>
        </w:rPr>
      </w:pPr>
      <w:r>
        <w:rPr>
          <w:rFonts w:hint="eastAsia" w:ascii="宋体" w:hAnsi="宋体" w:cs="宋体"/>
          <w:szCs w:val="21"/>
        </w:rPr>
        <w:t>三、服务期限</w:t>
      </w:r>
    </w:p>
    <w:p>
      <w:pPr>
        <w:spacing w:line="480" w:lineRule="exact"/>
        <w:ind w:firstLine="420" w:firstLineChars="200"/>
        <w:rPr>
          <w:rFonts w:ascii="宋体" w:hAnsi="宋体" w:cs="宋体"/>
          <w:szCs w:val="21"/>
        </w:rPr>
      </w:pPr>
    </w:p>
    <w:p>
      <w:pPr>
        <w:spacing w:line="480" w:lineRule="exact"/>
        <w:rPr>
          <w:rFonts w:ascii="宋体" w:hAnsi="宋体" w:cs="宋体"/>
          <w:szCs w:val="21"/>
        </w:rPr>
      </w:pPr>
      <w:r>
        <w:rPr>
          <w:rFonts w:hint="eastAsia" w:ascii="宋体" w:hAnsi="宋体" w:cs="宋体"/>
          <w:szCs w:val="21"/>
        </w:rPr>
        <w:t>四、技术资料</w:t>
      </w:r>
    </w:p>
    <w:p>
      <w:pPr>
        <w:spacing w:line="480" w:lineRule="exact"/>
        <w:rPr>
          <w:rFonts w:ascii="宋体" w:hAnsi="宋体" w:cs="宋体"/>
          <w:szCs w:val="21"/>
        </w:rPr>
      </w:pPr>
      <w:r>
        <w:rPr>
          <w:rFonts w:hint="eastAsia" w:ascii="宋体" w:hAnsi="宋体" w:cs="宋体"/>
          <w:szCs w:val="21"/>
        </w:rPr>
        <w:t>1.乙方应按采购文件规定的时间向甲方提供服务的有关技术资料。</w:t>
      </w:r>
    </w:p>
    <w:p>
      <w:pPr>
        <w:spacing w:line="480" w:lineRule="exact"/>
        <w:rPr>
          <w:rFonts w:ascii="宋体" w:hAnsi="宋体" w:cs="宋体"/>
          <w:szCs w:val="21"/>
        </w:rPr>
      </w:pPr>
      <w:r>
        <w:rPr>
          <w:rFonts w:hint="eastAsia" w:ascii="宋体" w:hAnsi="宋体" w:cs="宋体"/>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80" w:lineRule="exact"/>
        <w:rPr>
          <w:rFonts w:ascii="宋体" w:hAnsi="宋体" w:cs="宋体"/>
          <w:szCs w:val="21"/>
        </w:rPr>
      </w:pPr>
      <w:r>
        <w:rPr>
          <w:rFonts w:hint="eastAsia" w:ascii="宋体" w:hAnsi="宋体" w:cs="宋体"/>
          <w:szCs w:val="21"/>
        </w:rPr>
        <w:t>五、知识产权</w:t>
      </w:r>
    </w:p>
    <w:p>
      <w:pPr>
        <w:spacing w:line="480" w:lineRule="exact"/>
        <w:rPr>
          <w:rFonts w:ascii="宋体" w:hAnsi="宋体" w:cs="宋体"/>
          <w:szCs w:val="21"/>
        </w:rPr>
      </w:pPr>
      <w:r>
        <w:rPr>
          <w:rFonts w:hint="eastAsia" w:ascii="宋体" w:hAnsi="宋体" w:cs="宋体"/>
          <w:szCs w:val="21"/>
        </w:rPr>
        <w:t>乙方应保证所提供的货物或其任何一部分均不会侵犯任何第三方的知识产权。</w:t>
      </w:r>
    </w:p>
    <w:p>
      <w:pPr>
        <w:spacing w:line="480" w:lineRule="exact"/>
        <w:rPr>
          <w:rFonts w:ascii="宋体" w:hAnsi="宋体" w:cs="宋体"/>
          <w:szCs w:val="21"/>
        </w:rPr>
      </w:pPr>
      <w:r>
        <w:rPr>
          <w:rFonts w:hint="eastAsia" w:ascii="宋体" w:hAnsi="宋体" w:cs="宋体"/>
          <w:szCs w:val="21"/>
        </w:rPr>
        <w:t>六、产权担保</w:t>
      </w:r>
    </w:p>
    <w:p>
      <w:pPr>
        <w:spacing w:line="480" w:lineRule="exact"/>
        <w:rPr>
          <w:rFonts w:ascii="宋体" w:hAnsi="宋体" w:cs="宋体"/>
          <w:szCs w:val="21"/>
        </w:rPr>
      </w:pPr>
      <w:r>
        <w:rPr>
          <w:rFonts w:hint="eastAsia" w:ascii="宋体" w:hAnsi="宋体" w:cs="宋体"/>
          <w:szCs w:val="21"/>
        </w:rPr>
        <w:t>乙方应保证提供服务过程中不会侵犯任何第三方的知识产权。</w:t>
      </w:r>
    </w:p>
    <w:p>
      <w:pPr>
        <w:spacing w:line="480" w:lineRule="exact"/>
        <w:rPr>
          <w:rFonts w:ascii="宋体" w:hAnsi="宋体" w:cs="宋体"/>
          <w:szCs w:val="21"/>
        </w:rPr>
      </w:pPr>
      <w:r>
        <w:rPr>
          <w:rFonts w:hint="eastAsia" w:ascii="宋体" w:hAnsi="宋体" w:cs="宋体"/>
          <w:szCs w:val="21"/>
        </w:rPr>
        <w:t>七、履约保证金</w:t>
      </w:r>
    </w:p>
    <w:p>
      <w:pPr>
        <w:spacing w:line="480" w:lineRule="exact"/>
        <w:rPr>
          <w:rFonts w:ascii="宋体" w:hAnsi="宋体" w:cs="宋体"/>
          <w:szCs w:val="21"/>
        </w:rPr>
      </w:pPr>
      <w:r>
        <w:rPr>
          <w:rFonts w:hint="eastAsia" w:ascii="宋体" w:hAnsi="宋体"/>
          <w:szCs w:val="21"/>
        </w:rPr>
        <w:t>不收取</w:t>
      </w:r>
      <w:r>
        <w:rPr>
          <w:rFonts w:hint="eastAsia" w:ascii="宋体" w:hAnsi="宋体" w:cs="宋体"/>
          <w:szCs w:val="21"/>
        </w:rPr>
        <w:t>。</w:t>
      </w:r>
    </w:p>
    <w:p>
      <w:pPr>
        <w:spacing w:line="480" w:lineRule="exact"/>
        <w:rPr>
          <w:rFonts w:ascii="宋体" w:hAnsi="宋体" w:cs="宋体"/>
          <w:szCs w:val="21"/>
        </w:rPr>
      </w:pPr>
      <w:r>
        <w:rPr>
          <w:rFonts w:hint="eastAsia" w:ascii="宋体" w:hAnsi="宋体" w:cs="宋体"/>
          <w:szCs w:val="21"/>
        </w:rPr>
        <w:t>八、转包或分包</w:t>
      </w:r>
    </w:p>
    <w:p>
      <w:pPr>
        <w:spacing w:line="480" w:lineRule="exact"/>
        <w:rPr>
          <w:rFonts w:ascii="宋体" w:hAnsi="宋体" w:cs="宋体"/>
          <w:szCs w:val="21"/>
        </w:rPr>
      </w:pPr>
      <w:r>
        <w:rPr>
          <w:rFonts w:hint="eastAsia" w:ascii="宋体" w:hAnsi="宋体" w:cs="宋体"/>
          <w:szCs w:val="21"/>
        </w:rPr>
        <w:t>1.本合同范围的服务，应由乙方直接供应，不得转让他人供应；</w:t>
      </w:r>
    </w:p>
    <w:p>
      <w:pPr>
        <w:spacing w:line="480" w:lineRule="exact"/>
        <w:rPr>
          <w:rFonts w:ascii="宋体" w:hAnsi="宋体" w:cs="宋体"/>
          <w:szCs w:val="21"/>
        </w:rPr>
      </w:pPr>
      <w:r>
        <w:rPr>
          <w:rFonts w:hint="eastAsia" w:ascii="宋体" w:hAnsi="宋体" w:cs="宋体"/>
          <w:szCs w:val="21"/>
        </w:rPr>
        <w:t>2.除非得到甲方的书面同意，乙方不得将本合同范围的服务全部或部分分包给他人供应；</w:t>
      </w:r>
    </w:p>
    <w:p>
      <w:pPr>
        <w:spacing w:line="480" w:lineRule="exact"/>
        <w:rPr>
          <w:rFonts w:ascii="宋体" w:hAnsi="宋体" w:cs="宋体"/>
          <w:szCs w:val="21"/>
        </w:rPr>
      </w:pPr>
      <w:r>
        <w:rPr>
          <w:rFonts w:hint="eastAsia" w:ascii="宋体" w:hAnsi="宋体" w:cs="宋体"/>
          <w:szCs w:val="21"/>
        </w:rPr>
        <w:t>3.如有转让和未经甲方同意的分包行为，甲方有权解除合同，并追究乙方的违约责任。</w:t>
      </w:r>
    </w:p>
    <w:p>
      <w:pPr>
        <w:spacing w:line="480" w:lineRule="exact"/>
        <w:rPr>
          <w:rFonts w:ascii="宋体" w:hAnsi="宋体" w:cs="宋体"/>
          <w:szCs w:val="21"/>
        </w:rPr>
      </w:pPr>
      <w:r>
        <w:rPr>
          <w:rFonts w:hint="eastAsia" w:ascii="宋体" w:hAnsi="宋体" w:cs="宋体"/>
          <w:szCs w:val="21"/>
        </w:rPr>
        <w:t>九、服务费支付</w:t>
      </w:r>
    </w:p>
    <w:p>
      <w:pPr>
        <w:spacing w:line="480" w:lineRule="exact"/>
        <w:rPr>
          <w:rFonts w:ascii="宋体" w:hAnsi="宋体" w:cs="宋体"/>
          <w:szCs w:val="21"/>
        </w:rPr>
      </w:pPr>
      <w:r>
        <w:rPr>
          <w:rFonts w:hint="eastAsia" w:ascii="宋体" w:hAnsi="宋体" w:cs="宋体"/>
          <w:szCs w:val="21"/>
        </w:rPr>
        <w:t xml:space="preserve">1. 付款方式： </w:t>
      </w:r>
    </w:p>
    <w:p>
      <w:pPr>
        <w:spacing w:line="480" w:lineRule="exact"/>
        <w:rPr>
          <w:rFonts w:ascii="宋体" w:hAnsi="宋体" w:cs="宋体"/>
          <w:szCs w:val="21"/>
        </w:rPr>
      </w:pPr>
      <w:r>
        <w:rPr>
          <w:rFonts w:hint="eastAsia" w:ascii="宋体" w:hAnsi="宋体" w:cs="宋体"/>
          <w:szCs w:val="21"/>
        </w:rPr>
        <w:t>十、税费</w:t>
      </w:r>
    </w:p>
    <w:p>
      <w:pPr>
        <w:spacing w:line="480" w:lineRule="exact"/>
        <w:rPr>
          <w:rFonts w:ascii="宋体" w:hAnsi="宋体" w:cs="宋体"/>
          <w:szCs w:val="21"/>
        </w:rPr>
      </w:pPr>
      <w:r>
        <w:rPr>
          <w:rFonts w:hint="eastAsia" w:ascii="宋体" w:hAnsi="宋体" w:cs="宋体"/>
          <w:szCs w:val="21"/>
        </w:rPr>
        <w:t>本合同执行中相关的一切税费均由乙方负担。</w:t>
      </w:r>
    </w:p>
    <w:p>
      <w:pPr>
        <w:spacing w:line="480" w:lineRule="exact"/>
        <w:rPr>
          <w:rFonts w:ascii="宋体" w:hAnsi="宋体" w:cs="宋体"/>
          <w:szCs w:val="21"/>
        </w:rPr>
      </w:pPr>
      <w:r>
        <w:rPr>
          <w:rFonts w:hint="eastAsia" w:ascii="宋体" w:hAnsi="宋体" w:cs="宋体"/>
          <w:szCs w:val="21"/>
        </w:rPr>
        <w:t>十一、质量保证及后续服务</w:t>
      </w:r>
    </w:p>
    <w:p>
      <w:pPr>
        <w:spacing w:line="480" w:lineRule="exact"/>
        <w:rPr>
          <w:rFonts w:ascii="宋体" w:hAnsi="宋体" w:cs="宋体"/>
          <w:szCs w:val="21"/>
        </w:rPr>
      </w:pPr>
      <w:r>
        <w:rPr>
          <w:rFonts w:hint="eastAsia" w:ascii="宋体" w:hAnsi="宋体" w:cs="宋体"/>
          <w:szCs w:val="21"/>
        </w:rPr>
        <w:t>1、乙方应按采购文件规定向甲方提供服务。</w:t>
      </w:r>
    </w:p>
    <w:p>
      <w:pPr>
        <w:spacing w:line="480" w:lineRule="exact"/>
        <w:rPr>
          <w:rFonts w:ascii="宋体" w:hAnsi="宋体" w:cs="宋体"/>
          <w:szCs w:val="21"/>
        </w:rPr>
      </w:pPr>
      <w:r>
        <w:rPr>
          <w:rFonts w:hint="eastAsia" w:ascii="宋体" w:hAnsi="宋体" w:cs="宋体"/>
          <w:szCs w:val="21"/>
        </w:rPr>
        <w:t>2、乙方提供的服务成果在服务质量保证期内发生故障，乙方应负责免费提供后续服务。对达不到要求者，根据实际情况，经双方协商，可按照以下办法处理：</w:t>
      </w:r>
    </w:p>
    <w:p>
      <w:pPr>
        <w:spacing w:line="480" w:lineRule="exact"/>
        <w:rPr>
          <w:rFonts w:ascii="宋体" w:hAnsi="宋体" w:cs="宋体"/>
          <w:szCs w:val="21"/>
        </w:rPr>
      </w:pPr>
      <w:r>
        <w:rPr>
          <w:rFonts w:hint="eastAsia" w:ascii="宋体" w:hAnsi="宋体" w:cs="宋体"/>
          <w:szCs w:val="21"/>
        </w:rPr>
        <w:t>1）重做：由乙方承担所发生的全部费用。</w:t>
      </w:r>
    </w:p>
    <w:p>
      <w:pPr>
        <w:spacing w:line="480" w:lineRule="exact"/>
        <w:rPr>
          <w:rFonts w:ascii="宋体" w:hAnsi="宋体" w:cs="宋体"/>
          <w:szCs w:val="21"/>
        </w:rPr>
      </w:pPr>
      <w:r>
        <w:rPr>
          <w:rFonts w:hint="eastAsia" w:ascii="宋体" w:hAnsi="宋体" w:cs="宋体"/>
          <w:szCs w:val="21"/>
        </w:rPr>
        <w:t>2）贬值处理：由甲乙双方合议定价。</w:t>
      </w:r>
    </w:p>
    <w:p>
      <w:pPr>
        <w:spacing w:line="480" w:lineRule="exact"/>
        <w:rPr>
          <w:rFonts w:ascii="宋体" w:hAnsi="宋体" w:cs="宋体"/>
          <w:szCs w:val="21"/>
        </w:rPr>
      </w:pPr>
      <w:r>
        <w:rPr>
          <w:rFonts w:hint="eastAsia" w:ascii="宋体" w:hAnsi="宋体" w:cs="宋体"/>
          <w:szCs w:val="21"/>
        </w:rPr>
        <w:t>3）解除合同。</w:t>
      </w:r>
    </w:p>
    <w:p>
      <w:pPr>
        <w:spacing w:line="480" w:lineRule="exact"/>
        <w:rPr>
          <w:rFonts w:ascii="宋体" w:hAnsi="宋体" w:cs="宋体"/>
          <w:szCs w:val="21"/>
        </w:rPr>
      </w:pPr>
      <w:r>
        <w:rPr>
          <w:rFonts w:hint="eastAsia" w:ascii="宋体" w:hAnsi="宋体" w:cs="宋体"/>
          <w:szCs w:val="21"/>
        </w:rPr>
        <w:t>3、如在使用过程中发生问题，乙方接到甲方通知后在  小时内到达甲方现场。</w:t>
      </w:r>
    </w:p>
    <w:p>
      <w:pPr>
        <w:spacing w:line="480" w:lineRule="exact"/>
        <w:rPr>
          <w:rFonts w:ascii="宋体" w:hAnsi="宋体" w:cs="宋体"/>
          <w:szCs w:val="21"/>
        </w:rPr>
      </w:pPr>
      <w:r>
        <w:rPr>
          <w:rFonts w:hint="eastAsia" w:ascii="宋体" w:hAnsi="宋体" w:cs="宋体"/>
          <w:szCs w:val="21"/>
        </w:rPr>
        <w:t>4、在服务质量保证期内，乙方应对出现的质量问题和安全问题负责处理并承担一切费用。</w:t>
      </w:r>
    </w:p>
    <w:p>
      <w:pPr>
        <w:spacing w:line="480" w:lineRule="exact"/>
        <w:rPr>
          <w:rFonts w:ascii="宋体" w:hAnsi="宋体" w:cs="宋体"/>
          <w:szCs w:val="21"/>
        </w:rPr>
      </w:pPr>
      <w:r>
        <w:rPr>
          <w:rFonts w:hint="eastAsia" w:ascii="宋体" w:hAnsi="宋体" w:cs="宋体"/>
          <w:szCs w:val="21"/>
        </w:rPr>
        <w:t>十二、验收标准</w:t>
      </w:r>
    </w:p>
    <w:p>
      <w:pPr>
        <w:spacing w:line="480" w:lineRule="exact"/>
        <w:rPr>
          <w:rFonts w:ascii="宋体" w:hAnsi="宋体" w:cs="宋体"/>
          <w:szCs w:val="21"/>
        </w:rPr>
      </w:pPr>
      <w:r>
        <w:rPr>
          <w:rFonts w:hint="eastAsia" w:ascii="宋体" w:hAnsi="宋体" w:cs="宋体"/>
          <w:szCs w:val="21"/>
        </w:rPr>
        <w:t xml:space="preserve"> 十三、违约责任</w:t>
      </w:r>
    </w:p>
    <w:p>
      <w:pPr>
        <w:spacing w:line="480" w:lineRule="exact"/>
        <w:rPr>
          <w:rFonts w:ascii="宋体" w:hAnsi="宋体" w:cs="宋体"/>
          <w:szCs w:val="21"/>
        </w:rPr>
      </w:pPr>
      <w:r>
        <w:rPr>
          <w:rFonts w:hint="eastAsia" w:ascii="宋体" w:hAnsi="宋体" w:cs="宋体"/>
          <w:szCs w:val="21"/>
        </w:rPr>
        <w:t>1. 甲方无正当理由拒收服务计划，甲方向乙方偿付拒收服务总值的百分之五违约金。</w:t>
      </w:r>
    </w:p>
    <w:p>
      <w:pPr>
        <w:spacing w:line="480" w:lineRule="exact"/>
        <w:rPr>
          <w:rFonts w:ascii="宋体" w:hAnsi="宋体" w:cs="宋体"/>
          <w:szCs w:val="21"/>
        </w:rPr>
      </w:pPr>
      <w:r>
        <w:rPr>
          <w:rFonts w:hint="eastAsia" w:ascii="宋体" w:hAnsi="宋体" w:cs="宋体"/>
          <w:szCs w:val="21"/>
        </w:rPr>
        <w:t>2. 甲方无故逾期验收和办理服务期限支付手续的,甲方应按逾期付款总额每日万分之五向乙方支付违约金。</w:t>
      </w:r>
    </w:p>
    <w:p>
      <w:pPr>
        <w:spacing w:line="480" w:lineRule="exact"/>
        <w:rPr>
          <w:rFonts w:ascii="宋体" w:hAnsi="宋体" w:cs="宋体"/>
          <w:szCs w:val="21"/>
        </w:rPr>
      </w:pPr>
      <w:r>
        <w:rPr>
          <w:rFonts w:hint="eastAsia" w:ascii="宋体" w:hAnsi="宋体" w:cs="宋体"/>
          <w:szCs w:val="21"/>
        </w:rPr>
        <w:t xml:space="preserve">3. 乙方逾期履约服务计划，乙方应按逾期服务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480" w:lineRule="exact"/>
        <w:rPr>
          <w:rFonts w:ascii="宋体" w:hAnsi="宋体" w:cs="宋体"/>
          <w:szCs w:val="21"/>
        </w:rPr>
      </w:pPr>
      <w:r>
        <w:rPr>
          <w:rFonts w:hint="eastAsia" w:ascii="宋体" w:hAnsi="宋体" w:cs="宋体"/>
          <w:szCs w:val="21"/>
        </w:rPr>
        <w:t>4. 乙方所提供的服务质量不符合合同规定及采购文件规定标准的，甲方有权拒收该继续服务，乙方愿意调整服务质量，按乙方部分悔约行为处理。乙方拒绝改进服务的，甲方可单方面解除合同。</w:t>
      </w:r>
    </w:p>
    <w:p>
      <w:pPr>
        <w:spacing w:line="480" w:lineRule="exact"/>
        <w:rPr>
          <w:rFonts w:ascii="宋体" w:hAnsi="宋体" w:cs="宋体"/>
          <w:szCs w:val="21"/>
        </w:rPr>
      </w:pPr>
      <w:r>
        <w:rPr>
          <w:rFonts w:hint="eastAsia" w:ascii="宋体" w:hAnsi="宋体" w:cs="宋体"/>
          <w:szCs w:val="21"/>
        </w:rPr>
        <w:t>十四、不可抗力事件处理</w:t>
      </w:r>
    </w:p>
    <w:p>
      <w:pPr>
        <w:spacing w:line="480" w:lineRule="exact"/>
        <w:rPr>
          <w:rFonts w:ascii="宋体" w:hAnsi="宋体" w:cs="宋体"/>
          <w:szCs w:val="21"/>
        </w:rPr>
      </w:pPr>
      <w:r>
        <w:rPr>
          <w:rFonts w:hint="eastAsia" w:ascii="宋体" w:hAnsi="宋体" w:cs="宋体"/>
          <w:szCs w:val="21"/>
        </w:rPr>
        <w:t>1. 在合同有效期内，任何一方因不可抗力事件导致不能履行合同，则合同履行期可延长，其延长期与不可抗力影响期相同。</w:t>
      </w:r>
    </w:p>
    <w:p>
      <w:pPr>
        <w:spacing w:line="480" w:lineRule="exact"/>
        <w:rPr>
          <w:rFonts w:ascii="宋体" w:hAnsi="宋体" w:cs="宋体"/>
          <w:szCs w:val="21"/>
        </w:rPr>
      </w:pPr>
      <w:r>
        <w:rPr>
          <w:rFonts w:hint="eastAsia" w:ascii="宋体" w:hAnsi="宋体" w:cs="宋体"/>
          <w:szCs w:val="21"/>
        </w:rPr>
        <w:t>2. 不可抗力事件发生后，应立即通知对方，并寄送有关权威机构出具的证明。</w:t>
      </w:r>
    </w:p>
    <w:p>
      <w:pPr>
        <w:spacing w:line="480" w:lineRule="exact"/>
        <w:rPr>
          <w:rFonts w:ascii="宋体" w:hAnsi="宋体" w:cs="宋体"/>
          <w:szCs w:val="21"/>
        </w:rPr>
      </w:pPr>
      <w:r>
        <w:rPr>
          <w:rFonts w:hint="eastAsia" w:ascii="宋体" w:hAnsi="宋体" w:cs="宋体"/>
          <w:szCs w:val="21"/>
        </w:rPr>
        <w:t>3. 不可抗力事件延续120天以上，双方应通过友好协商，确定是否继续履行合同。</w:t>
      </w:r>
    </w:p>
    <w:p>
      <w:pPr>
        <w:spacing w:line="480" w:lineRule="exact"/>
        <w:rPr>
          <w:rFonts w:ascii="宋体" w:hAnsi="宋体" w:cs="宋体"/>
          <w:szCs w:val="21"/>
        </w:rPr>
      </w:pPr>
      <w:r>
        <w:rPr>
          <w:rFonts w:hint="eastAsia" w:ascii="宋体" w:hAnsi="宋体" w:cs="宋体"/>
          <w:szCs w:val="21"/>
        </w:rPr>
        <w:t>十五、诉讼</w:t>
      </w:r>
    </w:p>
    <w:p>
      <w:pPr>
        <w:spacing w:line="480" w:lineRule="exact"/>
        <w:rPr>
          <w:rFonts w:ascii="宋体" w:hAnsi="宋体" w:cs="宋体"/>
          <w:szCs w:val="21"/>
        </w:rPr>
      </w:pPr>
      <w:r>
        <w:rPr>
          <w:rFonts w:hint="eastAsia" w:ascii="宋体" w:hAnsi="宋体" w:cs="宋体"/>
          <w:szCs w:val="21"/>
        </w:rPr>
        <w:t xml:space="preserve"> 双方在执行合同中所发生的一切争议，应通过协商解决。如协商不成，可向甲方所在地法院起诉。</w:t>
      </w:r>
    </w:p>
    <w:p>
      <w:pPr>
        <w:spacing w:line="480" w:lineRule="exact"/>
        <w:rPr>
          <w:rFonts w:ascii="宋体" w:hAnsi="宋体" w:cs="宋体"/>
          <w:szCs w:val="21"/>
        </w:rPr>
      </w:pPr>
      <w:r>
        <w:rPr>
          <w:rFonts w:hint="eastAsia" w:ascii="宋体" w:hAnsi="宋体" w:cs="宋体"/>
          <w:szCs w:val="21"/>
        </w:rPr>
        <w:t>十六、合同生效及其它</w:t>
      </w:r>
    </w:p>
    <w:p>
      <w:pPr>
        <w:spacing w:line="480" w:lineRule="exact"/>
        <w:rPr>
          <w:rFonts w:ascii="宋体" w:hAnsi="宋体" w:cs="宋体"/>
          <w:szCs w:val="21"/>
        </w:rPr>
      </w:pPr>
      <w:r>
        <w:rPr>
          <w:rFonts w:hint="eastAsia" w:ascii="宋体" w:hAnsi="宋体" w:cs="宋体"/>
          <w:szCs w:val="21"/>
        </w:rPr>
        <w:t>1. 合同经双方法定代表人或授权代表签字并加盖单位公章后生效。</w:t>
      </w:r>
    </w:p>
    <w:p>
      <w:pPr>
        <w:spacing w:line="480" w:lineRule="exact"/>
        <w:rPr>
          <w:rFonts w:ascii="宋体" w:hAnsi="宋体" w:cs="宋体"/>
          <w:szCs w:val="21"/>
        </w:rPr>
      </w:pPr>
      <w:r>
        <w:rPr>
          <w:rFonts w:hint="eastAsia" w:ascii="宋体" w:hAnsi="宋体" w:cs="宋体"/>
          <w:szCs w:val="21"/>
        </w:rPr>
        <w:t>2.合同执行中涉及采购资金和采购内容修改或补充的，须经财政部门审批，并签书面补充协议报采购代理机构及安吉县政府采购管理部门备案，方可作为主合同不可分割的一部分。</w:t>
      </w:r>
    </w:p>
    <w:p>
      <w:pPr>
        <w:spacing w:line="480" w:lineRule="exact"/>
        <w:rPr>
          <w:rFonts w:ascii="宋体" w:hAnsi="宋体" w:cs="宋体"/>
          <w:szCs w:val="21"/>
        </w:rPr>
      </w:pPr>
      <w:r>
        <w:rPr>
          <w:rFonts w:hint="eastAsia" w:ascii="宋体" w:hAnsi="宋体" w:cs="宋体"/>
          <w:szCs w:val="21"/>
        </w:rPr>
        <w:t>3.本合同未尽事宜，遵照《中华人民共和国民法典》有关条文执行。</w:t>
      </w:r>
    </w:p>
    <w:p>
      <w:pPr>
        <w:spacing w:line="480" w:lineRule="exact"/>
        <w:rPr>
          <w:rFonts w:ascii="宋体" w:hAnsi="宋体" w:cs="宋体"/>
          <w:szCs w:val="21"/>
        </w:rPr>
      </w:pPr>
      <w:r>
        <w:rPr>
          <w:rFonts w:hint="eastAsia" w:ascii="宋体" w:hAnsi="宋体" w:cs="宋体"/>
          <w:szCs w:val="21"/>
        </w:rPr>
        <w:t>4.本合同正本一式四份，具有同等法律效力，甲乙双方各执一份；采购代理机构及安吉县政府采购管理部门各执一份。</w:t>
      </w:r>
    </w:p>
    <w:p>
      <w:pPr>
        <w:spacing w:line="340" w:lineRule="exact"/>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ab/>
      </w:r>
      <w:r>
        <w:rPr>
          <w:rFonts w:hint="eastAsia" w:ascii="宋体" w:hAnsi="宋体" w:cs="宋体"/>
          <w:bCs/>
          <w:szCs w:val="21"/>
        </w:rPr>
        <w:tab/>
      </w:r>
      <w:r>
        <w:rPr>
          <w:rFonts w:hint="eastAsia" w:ascii="宋体" w:hAnsi="宋体" w:cs="宋体"/>
          <w:bCs/>
          <w:szCs w:val="21"/>
        </w:rPr>
        <w:t xml:space="preserve">        </w:t>
      </w:r>
      <w:r>
        <w:rPr>
          <w:rFonts w:hint="eastAsia" w:ascii="宋体" w:hAnsi="宋体" w:cs="宋体"/>
          <w:bCs/>
          <w:szCs w:val="21"/>
        </w:rPr>
        <w:tab/>
      </w:r>
      <w:r>
        <w:rPr>
          <w:rFonts w:hint="eastAsia" w:ascii="宋体" w:hAnsi="宋体" w:cs="宋体"/>
          <w:bCs/>
          <w:szCs w:val="21"/>
        </w:rPr>
        <w:t xml:space="preserve">       </w:t>
      </w:r>
    </w:p>
    <w:p>
      <w:pPr>
        <w:spacing w:line="480" w:lineRule="exact"/>
        <w:rPr>
          <w:rFonts w:ascii="宋体" w:hAnsi="宋体" w:cs="宋体"/>
          <w:sz w:val="24"/>
        </w:rPr>
      </w:pPr>
    </w:p>
    <w:p>
      <w:pPr>
        <w:spacing w:line="480" w:lineRule="exact"/>
        <w:rPr>
          <w:rFonts w:ascii="宋体" w:hAnsi="宋体"/>
          <w:szCs w:val="21"/>
        </w:rPr>
      </w:pPr>
      <w:r>
        <w:rPr>
          <w:rFonts w:hint="eastAsia" w:ascii="宋体" w:hAnsi="宋体"/>
          <w:szCs w:val="21"/>
        </w:rPr>
        <w:t xml:space="preserve">甲方：                                   乙方： </w:t>
      </w:r>
    </w:p>
    <w:p>
      <w:pPr>
        <w:spacing w:line="480" w:lineRule="exact"/>
        <w:rPr>
          <w:rFonts w:ascii="宋体" w:hAnsi="宋体"/>
          <w:szCs w:val="21"/>
        </w:rPr>
      </w:pPr>
      <w:r>
        <w:rPr>
          <w:rFonts w:hint="eastAsia" w:ascii="宋体" w:hAnsi="宋体"/>
          <w:szCs w:val="21"/>
        </w:rPr>
        <w:t xml:space="preserve">地址：                                   地址： </w:t>
      </w:r>
    </w:p>
    <w:p>
      <w:pPr>
        <w:spacing w:line="480" w:lineRule="exact"/>
        <w:rPr>
          <w:rFonts w:ascii="宋体" w:hAnsi="宋体"/>
          <w:szCs w:val="21"/>
        </w:rPr>
      </w:pPr>
      <w:r>
        <w:rPr>
          <w:rFonts w:hint="eastAsia" w:ascii="宋体" w:hAnsi="宋体"/>
          <w:szCs w:val="21"/>
        </w:rPr>
        <w:t>法定（授权）代表人：                     法定（授权）代表人：</w:t>
      </w:r>
    </w:p>
    <w:p>
      <w:pPr>
        <w:spacing w:line="480" w:lineRule="exact"/>
        <w:rPr>
          <w:rFonts w:ascii="宋体" w:hAnsi="宋体"/>
          <w:szCs w:val="21"/>
        </w:rPr>
      </w:pPr>
      <w:r>
        <w:rPr>
          <w:rFonts w:hint="eastAsia" w:ascii="宋体" w:hAnsi="宋体"/>
          <w:szCs w:val="21"/>
        </w:rPr>
        <w:t>签字日期：      年    月   日            签字日期：      年    月   日</w:t>
      </w:r>
    </w:p>
    <w:p>
      <w:pPr>
        <w:spacing w:line="400" w:lineRule="exact"/>
        <w:ind w:firstLine="560"/>
        <w:rPr>
          <w:rFonts w:ascii="宋体" w:hAnsi="宋体" w:cs="宋体"/>
          <w:szCs w:val="21"/>
        </w:rPr>
      </w:pPr>
    </w:p>
    <w:p>
      <w:pPr>
        <w:spacing w:line="400" w:lineRule="exact"/>
        <w:ind w:firstLine="560"/>
        <w:rPr>
          <w:rFonts w:ascii="宋体" w:hAnsi="宋体" w:cs="宋体"/>
          <w:szCs w:val="21"/>
        </w:rPr>
      </w:pPr>
    </w:p>
    <w:p>
      <w:pPr>
        <w:snapToGrid w:val="0"/>
        <w:spacing w:line="500" w:lineRule="exact"/>
        <w:ind w:firstLine="627" w:firstLineChars="196"/>
        <w:rPr>
          <w:rFonts w:ascii="宋体" w:hAnsi="宋体" w:cs="宋体"/>
          <w:sz w:val="32"/>
          <w:szCs w:val="32"/>
        </w:rPr>
      </w:pPr>
      <w:r>
        <w:rPr>
          <w:rFonts w:hint="eastAsia" w:ascii="宋体" w:hAnsi="宋体" w:cs="宋体"/>
          <w:sz w:val="32"/>
          <w:szCs w:val="32"/>
        </w:rPr>
        <w:t>注：本合同仅作示范文本，具体以双方签定的正式合同为准，合同内容不得违背本招标文件实质性要求。</w:t>
      </w:r>
    </w:p>
    <w:p>
      <w:pPr>
        <w:jc w:val="center"/>
        <w:rPr>
          <w:rFonts w:ascii="宋体"/>
          <w:b/>
          <w:spacing w:val="-22"/>
          <w:sz w:val="72"/>
        </w:rPr>
      </w:pPr>
    </w:p>
    <w:p>
      <w:pPr>
        <w:jc w:val="center"/>
        <w:rPr>
          <w:rFonts w:ascii="宋体"/>
          <w:b/>
          <w:spacing w:val="-22"/>
          <w:sz w:val="72"/>
        </w:rPr>
      </w:pPr>
    </w:p>
    <w:p>
      <w:pPr>
        <w:jc w:val="center"/>
        <w:rPr>
          <w:rFonts w:ascii="宋体"/>
          <w:b/>
          <w:spacing w:val="-22"/>
          <w:sz w:val="72"/>
        </w:rPr>
      </w:pPr>
    </w:p>
    <w:p>
      <w:pPr>
        <w:jc w:val="center"/>
        <w:rPr>
          <w:rFonts w:ascii="宋体"/>
          <w:b/>
          <w:spacing w:val="-22"/>
          <w:sz w:val="72"/>
        </w:rPr>
      </w:pPr>
    </w:p>
    <w:p>
      <w:pPr>
        <w:jc w:val="left"/>
      </w:pPr>
    </w:p>
    <w:p>
      <w:pPr>
        <w:pStyle w:val="31"/>
        <w:ind w:firstLine="210"/>
      </w:pPr>
    </w:p>
    <w:p>
      <w:pPr>
        <w:pStyle w:val="23"/>
        <w:ind w:firstLine="360"/>
      </w:pPr>
    </w:p>
    <w:p/>
    <w:p>
      <w:pPr>
        <w:pStyle w:val="31"/>
        <w:ind w:firstLine="210"/>
      </w:pPr>
    </w:p>
    <w:p>
      <w:pPr>
        <w:pStyle w:val="3"/>
        <w:spacing w:before="0" w:after="0" w:line="240" w:lineRule="auto"/>
        <w:jc w:val="center"/>
        <w:rPr>
          <w:rFonts w:ascii="宋体" w:hAnsi="宋体" w:cs="宋体"/>
          <w:snapToGrid w:val="0"/>
          <w:sz w:val="36"/>
          <w:szCs w:val="36"/>
        </w:rPr>
      </w:pPr>
      <w:bookmarkStart w:id="153" w:name="_Toc27994"/>
      <w:bookmarkStart w:id="154" w:name="_Toc18881"/>
      <w:bookmarkStart w:id="155" w:name="_Toc25035"/>
      <w:bookmarkStart w:id="156" w:name="_Toc19174"/>
      <w:bookmarkStart w:id="157" w:name="_Toc317341951"/>
      <w:r>
        <w:rPr>
          <w:rFonts w:hint="eastAsia" w:ascii="宋体" w:hAnsi="宋体" w:cs="宋体"/>
          <w:snapToGrid w:val="0"/>
          <w:sz w:val="36"/>
          <w:szCs w:val="36"/>
        </w:rPr>
        <w:t>第六章  投标文件的格式</w:t>
      </w:r>
      <w:bookmarkEnd w:id="152"/>
      <w:bookmarkEnd w:id="153"/>
      <w:bookmarkEnd w:id="154"/>
      <w:bookmarkEnd w:id="155"/>
      <w:bookmarkEnd w:id="156"/>
      <w:bookmarkEnd w:id="157"/>
    </w:p>
    <w:p>
      <w:pPr>
        <w:spacing w:line="320" w:lineRule="exact"/>
        <w:jc w:val="right"/>
        <w:rPr>
          <w:rFonts w:ascii="宋体" w:hAnsi="宋体" w:cs="宋体"/>
          <w:szCs w:val="21"/>
        </w:rPr>
      </w:pPr>
      <w:bookmarkStart w:id="158" w:name="_Toc286416745"/>
      <w:bookmarkStart w:id="159" w:name="_Toc251601950"/>
      <w:bookmarkStart w:id="160" w:name="_Toc251602205"/>
    </w:p>
    <w:p>
      <w:pPr>
        <w:spacing w:line="320" w:lineRule="exact"/>
        <w:rPr>
          <w:rFonts w:ascii="宋体" w:hAnsi="宋体" w:cs="宋体"/>
          <w:szCs w:val="21"/>
        </w:rPr>
      </w:pPr>
    </w:p>
    <w:p>
      <w:pPr>
        <w:pStyle w:val="4"/>
        <w:jc w:val="center"/>
        <w:rPr>
          <w:rFonts w:ascii="宋体" w:hAnsi="宋体" w:eastAsia="宋体" w:cs="宋体"/>
          <w:sz w:val="24"/>
        </w:rPr>
      </w:pPr>
      <w:bookmarkStart w:id="161" w:name="_Toc2236"/>
      <w:bookmarkStart w:id="162" w:name="_Toc95211197"/>
      <w:bookmarkStart w:id="163" w:name="_Toc32085"/>
      <w:bookmarkStart w:id="164" w:name="_Toc22205"/>
      <w:bookmarkStart w:id="165" w:name="_Toc32480"/>
      <w:bookmarkStart w:id="166" w:name="_Toc4567"/>
      <w:bookmarkStart w:id="167" w:name="_Toc318084367"/>
      <w:bookmarkStart w:id="168" w:name="_Toc26573"/>
      <w:r>
        <w:rPr>
          <w:rFonts w:hint="eastAsia" w:ascii="宋体" w:hAnsi="宋体" w:eastAsia="宋体" w:cs="宋体"/>
          <w:sz w:val="28"/>
          <w:szCs w:val="28"/>
        </w:rPr>
        <w:t>一、资格证明文件格式</w:t>
      </w:r>
      <w:bookmarkEnd w:id="158"/>
      <w:bookmarkEnd w:id="161"/>
      <w:bookmarkEnd w:id="162"/>
      <w:bookmarkEnd w:id="163"/>
      <w:bookmarkEnd w:id="164"/>
      <w:bookmarkEnd w:id="165"/>
      <w:bookmarkEnd w:id="166"/>
      <w:bookmarkEnd w:id="167"/>
      <w:bookmarkEnd w:id="168"/>
    </w:p>
    <w:p>
      <w:pPr>
        <w:adjustRightInd w:val="0"/>
        <w:snapToGrid w:val="0"/>
        <w:rPr>
          <w:rFonts w:ascii="宋体" w:hAnsi="宋体" w:cs="宋体"/>
          <w:sz w:val="24"/>
        </w:rPr>
      </w:pPr>
      <w:r>
        <w:rPr>
          <w:rFonts w:hint="eastAsia" w:ascii="宋体" w:hAnsi="宋体" w:cs="宋体"/>
          <w:sz w:val="24"/>
        </w:rPr>
        <w:t xml:space="preserve">1、资格证明文件封面格式： </w:t>
      </w: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b/>
          <w:bCs/>
          <w:sz w:val="24"/>
        </w:rPr>
      </w:pPr>
      <w:r>
        <w:rPr>
          <w:rFonts w:hint="eastAsia" w:ascii="宋体" w:hAnsi="宋体" w:cs="宋体"/>
          <w:sz w:val="24"/>
        </w:rPr>
        <w:t xml:space="preserve">                                                         </w:t>
      </w:r>
    </w:p>
    <w:p>
      <w:pPr>
        <w:adjustRightInd w:val="0"/>
        <w:snapToGrid w:val="0"/>
        <w:jc w:val="center"/>
        <w:rPr>
          <w:rFonts w:ascii="宋体" w:hAnsi="宋体" w:cs="宋体"/>
          <w:bCs/>
          <w:sz w:val="30"/>
          <w:szCs w:val="30"/>
        </w:rPr>
      </w:pPr>
      <w:r>
        <w:rPr>
          <w:rFonts w:hint="eastAsia" w:ascii="宋体" w:hAnsi="宋体" w:cs="宋体"/>
          <w:bCs/>
          <w:sz w:val="30"/>
          <w:szCs w:val="30"/>
        </w:rPr>
        <w:t>×××（投标人名称）</w:t>
      </w:r>
    </w:p>
    <w:p>
      <w:pPr>
        <w:adjustRightInd w:val="0"/>
        <w:snapToGrid w:val="0"/>
        <w:jc w:val="center"/>
        <w:rPr>
          <w:rFonts w:ascii="宋体" w:hAnsi="宋体" w:cs="宋体"/>
          <w:bCs/>
          <w:sz w:val="30"/>
          <w:szCs w:val="30"/>
        </w:rPr>
      </w:pPr>
    </w:p>
    <w:p>
      <w:pPr>
        <w:adjustRightInd w:val="0"/>
        <w:snapToGrid w:val="0"/>
        <w:jc w:val="center"/>
        <w:rPr>
          <w:rFonts w:ascii="宋体" w:hAnsi="宋体" w:cs="宋体"/>
          <w:b/>
          <w:bCs/>
          <w:sz w:val="48"/>
          <w:szCs w:val="48"/>
        </w:rPr>
      </w:pPr>
      <w:r>
        <w:rPr>
          <w:rFonts w:hint="eastAsia" w:ascii="宋体" w:hAnsi="宋体" w:cs="宋体"/>
          <w:b/>
          <w:bCs/>
          <w:sz w:val="48"/>
          <w:szCs w:val="48"/>
        </w:rPr>
        <w:t>资格证明文件</w:t>
      </w:r>
    </w:p>
    <w:p>
      <w:pPr>
        <w:adjustRightInd w:val="0"/>
        <w:snapToGrid w:val="0"/>
        <w:jc w:val="center"/>
        <w:rPr>
          <w:rFonts w:ascii="宋体" w:hAnsi="宋体" w:cs="宋体"/>
          <w:b/>
          <w:bCs/>
          <w:sz w:val="44"/>
          <w:szCs w:val="44"/>
        </w:rPr>
      </w:pPr>
    </w:p>
    <w:p>
      <w:pPr>
        <w:adjustRightInd w:val="0"/>
        <w:snapToGrid w:val="0"/>
        <w:jc w:val="center"/>
        <w:rPr>
          <w:rFonts w:ascii="宋体" w:hAnsi="宋体" w:cs="宋体"/>
          <w:b/>
          <w:bCs/>
          <w:sz w:val="44"/>
          <w:szCs w:val="44"/>
        </w:rPr>
      </w:pPr>
    </w:p>
    <w:p>
      <w:pPr>
        <w:adjustRightInd w:val="0"/>
        <w:snapToGrid w:val="0"/>
        <w:ind w:left="2250" w:leftChars="500" w:hanging="1200" w:hangingChars="500"/>
        <w:rPr>
          <w:rFonts w:ascii="宋体" w:hAnsi="宋体" w:cs="宋体"/>
          <w:bCs/>
          <w:sz w:val="24"/>
        </w:rPr>
      </w:pPr>
      <w:r>
        <w:rPr>
          <w:rFonts w:hint="eastAsia" w:ascii="宋体" w:hAnsi="宋体" w:cs="宋体"/>
          <w:bCs/>
          <w:sz w:val="24"/>
        </w:rPr>
        <w:t xml:space="preserve">项目名称： </w:t>
      </w:r>
    </w:p>
    <w:p>
      <w:pPr>
        <w:adjustRightInd w:val="0"/>
        <w:snapToGrid w:val="0"/>
        <w:ind w:firstLine="480" w:firstLineChars="200"/>
        <w:rPr>
          <w:rFonts w:ascii="宋体" w:hAnsi="宋体" w:cs="宋体"/>
          <w:bCs/>
          <w:sz w:val="24"/>
        </w:rPr>
      </w:pPr>
      <w:r>
        <w:rPr>
          <w:rFonts w:hint="eastAsia" w:ascii="宋体" w:hAnsi="宋体" w:cs="宋体"/>
          <w:bCs/>
          <w:sz w:val="24"/>
        </w:rPr>
        <w:t xml:space="preserve">     项目编号：</w:t>
      </w:r>
    </w:p>
    <w:p>
      <w:pPr>
        <w:adjustRightInd w:val="0"/>
        <w:snapToGrid w:val="0"/>
        <w:ind w:firstLine="480" w:firstLineChars="200"/>
        <w:rPr>
          <w:rFonts w:ascii="宋体" w:hAnsi="宋体" w:cs="宋体"/>
          <w:sz w:val="24"/>
        </w:rPr>
      </w:pPr>
      <w:r>
        <w:rPr>
          <w:rFonts w:hint="eastAsia" w:ascii="宋体" w:hAnsi="宋体" w:cs="宋体"/>
          <w:sz w:val="24"/>
        </w:rPr>
        <w:t xml:space="preserve">     投标人名称（盖章）：</w:t>
      </w:r>
    </w:p>
    <w:p>
      <w:pPr>
        <w:adjustRightInd w:val="0"/>
        <w:snapToGrid w:val="0"/>
        <w:ind w:firstLine="1080" w:firstLineChars="450"/>
        <w:rPr>
          <w:rFonts w:ascii="宋体" w:hAnsi="宋体" w:cs="宋体"/>
          <w:sz w:val="24"/>
        </w:rPr>
      </w:pPr>
      <w:r>
        <w:rPr>
          <w:rFonts w:hint="eastAsia" w:ascii="宋体" w:hAnsi="宋体" w:cs="宋体"/>
          <w:sz w:val="24"/>
        </w:rPr>
        <w:t>投标人地址：</w:t>
      </w:r>
    </w:p>
    <w:p>
      <w:pPr>
        <w:adjustRightInd w:val="0"/>
        <w:snapToGrid w:val="0"/>
        <w:ind w:firstLine="4080" w:firstLineChars="1700"/>
        <w:rPr>
          <w:rFonts w:ascii="宋体" w:hAnsi="宋体" w:cs="宋体"/>
          <w:sz w:val="24"/>
        </w:rPr>
      </w:pPr>
      <w:r>
        <w:rPr>
          <w:rFonts w:hint="eastAsia" w:ascii="宋体" w:hAnsi="宋体" w:cs="宋体"/>
          <w:sz w:val="24"/>
        </w:rPr>
        <w:t>授权代表签名或盖章：</w:t>
      </w:r>
    </w:p>
    <w:p>
      <w:pPr>
        <w:adjustRightInd w:val="0"/>
        <w:snapToGrid w:val="0"/>
        <w:ind w:firstLine="645"/>
        <w:jc w:val="right"/>
        <w:rPr>
          <w:rFonts w:ascii="宋体" w:hAnsi="宋体" w:cs="宋体"/>
          <w:sz w:val="24"/>
        </w:rPr>
      </w:pPr>
      <w:r>
        <w:rPr>
          <w:rFonts w:hint="eastAsia" w:ascii="宋体" w:hAnsi="宋体" w:cs="宋体"/>
          <w:sz w:val="24"/>
        </w:rPr>
        <w:t xml:space="preserve">                        年  月  日</w:t>
      </w:r>
    </w:p>
    <w:p>
      <w:pPr>
        <w:adjustRightInd w:val="0"/>
        <w:snapToGrid w:val="0"/>
        <w:ind w:firstLine="645"/>
        <w:jc w:val="right"/>
        <w:rPr>
          <w:rFonts w:ascii="宋体" w:hAnsi="宋体" w:cs="宋体"/>
          <w:sz w:val="24"/>
        </w:rPr>
      </w:pPr>
    </w:p>
    <w:p>
      <w:pPr>
        <w:adjustRightInd w:val="0"/>
        <w:snapToGrid w:val="0"/>
        <w:ind w:firstLine="645"/>
        <w:jc w:val="right"/>
        <w:rPr>
          <w:rFonts w:ascii="宋体" w:hAnsi="宋体" w:cs="宋体"/>
          <w:sz w:val="24"/>
        </w:rPr>
      </w:pPr>
    </w:p>
    <w:p>
      <w:pPr>
        <w:adjustRightInd w:val="0"/>
        <w:snapToGrid w:val="0"/>
        <w:ind w:firstLine="645"/>
        <w:jc w:val="right"/>
        <w:rPr>
          <w:rFonts w:ascii="宋体" w:hAnsi="宋体" w:cs="宋体"/>
          <w:sz w:val="24"/>
        </w:rPr>
      </w:pPr>
    </w:p>
    <w:p>
      <w:pPr>
        <w:pStyle w:val="31"/>
        <w:ind w:firstLine="240"/>
        <w:rPr>
          <w:rFonts w:ascii="宋体" w:hAnsi="宋体" w:cs="宋体"/>
          <w:sz w:val="24"/>
        </w:rPr>
      </w:pPr>
    </w:p>
    <w:p>
      <w:pPr>
        <w:rPr>
          <w:rFonts w:ascii="宋体" w:hAnsi="宋体" w:cs="宋体"/>
          <w:sz w:val="24"/>
        </w:rPr>
      </w:pPr>
    </w:p>
    <w:p>
      <w:pPr>
        <w:pStyle w:val="31"/>
        <w:ind w:firstLine="240"/>
        <w:rPr>
          <w:rFonts w:ascii="宋体" w:hAnsi="宋体" w:cs="宋体"/>
          <w:sz w:val="24"/>
        </w:rPr>
      </w:pPr>
    </w:p>
    <w:p>
      <w:pPr>
        <w:rPr>
          <w:rFonts w:ascii="宋体" w:hAnsi="宋体" w:cs="宋体"/>
          <w:sz w:val="24"/>
        </w:rPr>
      </w:pPr>
    </w:p>
    <w:p>
      <w:pPr>
        <w:pStyle w:val="31"/>
        <w:ind w:firstLine="240"/>
        <w:rPr>
          <w:rFonts w:ascii="宋体" w:hAnsi="宋体" w:cs="宋体"/>
          <w:sz w:val="24"/>
        </w:rPr>
      </w:pPr>
    </w:p>
    <w:p>
      <w:pPr>
        <w:rPr>
          <w:rFonts w:ascii="宋体" w:hAnsi="宋体" w:cs="宋体"/>
          <w:sz w:val="24"/>
        </w:rPr>
      </w:pPr>
    </w:p>
    <w:p>
      <w:pPr>
        <w:pStyle w:val="31"/>
        <w:ind w:firstLine="240"/>
        <w:rPr>
          <w:rFonts w:ascii="宋体" w:hAnsi="宋体" w:cs="宋体"/>
          <w:sz w:val="24"/>
        </w:rPr>
      </w:pPr>
    </w:p>
    <w:p>
      <w:pPr>
        <w:rPr>
          <w:rFonts w:ascii="宋体" w:hAnsi="宋体" w:cs="宋体"/>
          <w:sz w:val="24"/>
        </w:rPr>
      </w:pPr>
    </w:p>
    <w:p>
      <w:pPr>
        <w:pStyle w:val="31"/>
        <w:ind w:firstLine="240"/>
        <w:rPr>
          <w:rFonts w:ascii="宋体" w:hAnsi="宋体" w:cs="宋体"/>
          <w:sz w:val="24"/>
        </w:rPr>
      </w:pPr>
    </w:p>
    <w:p>
      <w:pPr>
        <w:rPr>
          <w:rFonts w:ascii="宋体" w:hAnsi="宋体" w:cs="宋体"/>
          <w:sz w:val="24"/>
        </w:rPr>
      </w:pPr>
    </w:p>
    <w:p>
      <w:pPr>
        <w:pStyle w:val="31"/>
        <w:ind w:firstLine="240"/>
        <w:rPr>
          <w:rFonts w:ascii="宋体" w:hAnsi="宋体" w:cs="宋体"/>
          <w:sz w:val="24"/>
        </w:rPr>
      </w:pPr>
    </w:p>
    <w:p>
      <w:pPr>
        <w:rPr>
          <w:rFonts w:ascii="宋体" w:hAnsi="宋体" w:cs="宋体"/>
          <w:sz w:val="24"/>
        </w:rPr>
      </w:pPr>
    </w:p>
    <w:p>
      <w:pPr>
        <w:pStyle w:val="31"/>
        <w:ind w:firstLine="240"/>
        <w:rPr>
          <w:rFonts w:ascii="宋体" w:hAnsi="宋体" w:cs="宋体"/>
          <w:sz w:val="24"/>
        </w:rPr>
      </w:pPr>
    </w:p>
    <w:p/>
    <w:p>
      <w:pPr>
        <w:adjustRightInd w:val="0"/>
        <w:snapToGrid w:val="0"/>
        <w:rPr>
          <w:rFonts w:ascii="宋体" w:hAnsi="宋体" w:cs="宋体"/>
          <w:sz w:val="24"/>
        </w:rPr>
      </w:pPr>
    </w:p>
    <w:p>
      <w:pPr>
        <w:adjustRightInd w:val="0"/>
        <w:snapToGrid w:val="0"/>
        <w:jc w:val="left"/>
        <w:rPr>
          <w:rFonts w:ascii="宋体" w:hAnsi="宋体" w:cs="宋体"/>
          <w:sz w:val="24"/>
        </w:rPr>
      </w:pPr>
      <w:r>
        <w:rPr>
          <w:rFonts w:hint="eastAsia" w:ascii="宋体" w:hAnsi="宋体" w:cs="宋体"/>
          <w:sz w:val="24"/>
        </w:rPr>
        <w:t>2、目录</w:t>
      </w:r>
    </w:p>
    <w:p>
      <w:pPr>
        <w:adjustRightInd w:val="0"/>
        <w:snapToGrid w:val="0"/>
        <w:spacing w:line="360" w:lineRule="exact"/>
        <w:ind w:firstLine="422" w:firstLineChars="200"/>
        <w:jc w:val="left"/>
        <w:rPr>
          <w:rFonts w:ascii="宋体" w:hAnsi="宋体" w:cs="宋体"/>
          <w:b/>
          <w:szCs w:val="21"/>
        </w:rPr>
      </w:pPr>
      <w:r>
        <w:rPr>
          <w:rFonts w:hint="eastAsia" w:ascii="宋体" w:hAnsi="宋体" w:cs="宋体"/>
          <w:b/>
          <w:szCs w:val="21"/>
        </w:rPr>
        <w:t>1、资格证明文件包括：</w:t>
      </w:r>
    </w:p>
    <w:p>
      <w:pPr>
        <w:numPr>
          <w:ilvl w:val="0"/>
          <w:numId w:val="11"/>
        </w:numPr>
        <w:tabs>
          <w:tab w:val="clear" w:pos="533"/>
        </w:tabs>
        <w:adjustRightInd w:val="0"/>
        <w:snapToGrid w:val="0"/>
        <w:spacing w:line="360" w:lineRule="exact"/>
        <w:jc w:val="left"/>
        <w:rPr>
          <w:rFonts w:ascii="宋体" w:hAnsi="宋体" w:cs="宋体"/>
          <w:szCs w:val="21"/>
        </w:rPr>
      </w:pPr>
      <w:r>
        <w:rPr>
          <w:rFonts w:hint="eastAsia" w:ascii="宋体" w:hAnsi="宋体" w:cs="宋体"/>
          <w:szCs w:val="21"/>
        </w:rPr>
        <w:t>投标资格声明书（格式见第六章）；</w:t>
      </w:r>
    </w:p>
    <w:p>
      <w:pPr>
        <w:numPr>
          <w:ilvl w:val="0"/>
          <w:numId w:val="11"/>
        </w:numPr>
        <w:tabs>
          <w:tab w:val="clear" w:pos="533"/>
        </w:tabs>
        <w:adjustRightInd w:val="0"/>
        <w:snapToGrid w:val="0"/>
        <w:spacing w:line="360" w:lineRule="exact"/>
        <w:jc w:val="left"/>
        <w:rPr>
          <w:rFonts w:ascii="宋体" w:hAnsi="宋体" w:cs="宋体"/>
          <w:szCs w:val="21"/>
        </w:rPr>
      </w:pPr>
      <w:r>
        <w:rPr>
          <w:rFonts w:hint="eastAsia" w:ascii="宋体" w:hAnsi="宋体" w:cs="宋体"/>
          <w:szCs w:val="21"/>
        </w:rPr>
        <w:t>法定代表人身份证明书、法定代表人授权委托书（格式见第六章）</w:t>
      </w:r>
    </w:p>
    <w:p>
      <w:pPr>
        <w:numPr>
          <w:ilvl w:val="0"/>
          <w:numId w:val="11"/>
        </w:numPr>
        <w:tabs>
          <w:tab w:val="clear" w:pos="533"/>
        </w:tabs>
        <w:adjustRightInd w:val="0"/>
        <w:snapToGrid w:val="0"/>
        <w:spacing w:line="360" w:lineRule="exact"/>
        <w:jc w:val="left"/>
        <w:rPr>
          <w:rFonts w:ascii="宋体" w:hAnsi="宋体" w:cs="宋体"/>
          <w:szCs w:val="21"/>
        </w:rPr>
      </w:pPr>
      <w:r>
        <w:rPr>
          <w:rFonts w:hint="eastAsia" w:ascii="宋体" w:hAnsi="宋体" w:cs="宋体"/>
          <w:szCs w:val="21"/>
        </w:rPr>
        <w:t>授权代理人社保证明（社保机构出具的由本单位或分公司为其缴纳的近3个月中任何1个月的社保证明）；</w:t>
      </w:r>
    </w:p>
    <w:p>
      <w:pPr>
        <w:numPr>
          <w:ilvl w:val="0"/>
          <w:numId w:val="11"/>
        </w:numPr>
        <w:tabs>
          <w:tab w:val="clear" w:pos="533"/>
        </w:tabs>
        <w:adjustRightInd w:val="0"/>
        <w:snapToGrid w:val="0"/>
        <w:spacing w:line="360" w:lineRule="exact"/>
        <w:jc w:val="left"/>
        <w:rPr>
          <w:rFonts w:ascii="宋体" w:hAnsi="宋体" w:cs="宋体"/>
          <w:szCs w:val="21"/>
        </w:rPr>
      </w:pPr>
      <w:r>
        <w:rPr>
          <w:rFonts w:hint="eastAsia" w:ascii="宋体" w:hAnsi="宋体" w:cs="宋体"/>
          <w:szCs w:val="21"/>
        </w:rPr>
        <w:t>营业执照副本复印件；</w:t>
      </w:r>
    </w:p>
    <w:p>
      <w:pPr>
        <w:numPr>
          <w:ilvl w:val="0"/>
          <w:numId w:val="11"/>
        </w:numPr>
        <w:adjustRightInd w:val="0"/>
        <w:snapToGrid w:val="0"/>
        <w:spacing w:line="360" w:lineRule="exact"/>
        <w:jc w:val="left"/>
        <w:rPr>
          <w:rFonts w:ascii="宋体" w:hAnsi="宋体" w:cs="宋体"/>
          <w:szCs w:val="21"/>
        </w:rPr>
      </w:pPr>
      <w:r>
        <w:rPr>
          <w:rFonts w:hint="eastAsia" w:ascii="宋体" w:hAnsi="宋体" w:cs="宋体"/>
          <w:szCs w:val="21"/>
        </w:rPr>
        <w:t>投标人最近一个季度的依法缴纳税收的完税凭证复印件或不征（免征）税收证明书；</w:t>
      </w:r>
    </w:p>
    <w:p>
      <w:pPr>
        <w:numPr>
          <w:ilvl w:val="0"/>
          <w:numId w:val="11"/>
        </w:numPr>
        <w:adjustRightInd w:val="0"/>
        <w:snapToGrid w:val="0"/>
        <w:spacing w:line="360" w:lineRule="exact"/>
        <w:jc w:val="left"/>
        <w:rPr>
          <w:rFonts w:ascii="宋体" w:hAnsi="宋体" w:cs="宋体"/>
          <w:szCs w:val="21"/>
        </w:rPr>
      </w:pPr>
      <w:r>
        <w:rPr>
          <w:rFonts w:hint="eastAsia" w:ascii="宋体" w:hAnsi="宋体" w:cs="宋体"/>
          <w:szCs w:val="21"/>
        </w:rPr>
        <w:t>投标人最近一个季度的依法缴纳社保费的凭证复印件或不征（免征）社保证明书；</w:t>
      </w:r>
    </w:p>
    <w:p>
      <w:pPr>
        <w:numPr>
          <w:ilvl w:val="0"/>
          <w:numId w:val="11"/>
        </w:numPr>
        <w:adjustRightInd w:val="0"/>
        <w:snapToGrid w:val="0"/>
        <w:spacing w:line="360" w:lineRule="exact"/>
        <w:jc w:val="left"/>
        <w:rPr>
          <w:rFonts w:ascii="宋体" w:hAnsi="宋体" w:cs="宋体"/>
          <w:szCs w:val="21"/>
        </w:rPr>
      </w:pPr>
      <w:r>
        <w:rPr>
          <w:rFonts w:hint="eastAsia" w:ascii="宋体" w:hAnsi="宋体" w:cs="宋体"/>
          <w:szCs w:val="21"/>
        </w:rPr>
        <w:t>中小企业声明函（如投标人为中小微企业，格式见第六章）；残疾人福利性单位声明函（如投标人为残疾人福利性单位）； 提供社保缴纳人员名单、录用的残疾人的《中华人民共和国残疾人证》或者《中华人民共和国残疾军人证(1至8级)》复印件；监狱企业相关证明材料（如投标人为监狱企业）；</w:t>
      </w:r>
    </w:p>
    <w:p>
      <w:pPr>
        <w:numPr>
          <w:ilvl w:val="0"/>
          <w:numId w:val="11"/>
        </w:numPr>
        <w:adjustRightInd w:val="0"/>
        <w:snapToGrid w:val="0"/>
        <w:spacing w:line="360" w:lineRule="exact"/>
        <w:jc w:val="left"/>
        <w:rPr>
          <w:rFonts w:ascii="宋体" w:hAnsi="宋体" w:cs="宋体"/>
          <w:szCs w:val="21"/>
        </w:rPr>
      </w:pPr>
      <w:r>
        <w:rPr>
          <w:rFonts w:hint="eastAsia" w:ascii="宋体" w:hAnsi="宋体" w:cs="宋体"/>
          <w:szCs w:val="21"/>
        </w:rPr>
        <w:t>信用查询截图：提供自招标公告发布之后任意时间的“信用中国”（www.creditchina.gov.cn ）、“中国政府采购”（www.ccgp.gov.cn ）供应商信用查询网页截图（二者缺一不可）；</w:t>
      </w:r>
    </w:p>
    <w:p>
      <w:pPr>
        <w:numPr>
          <w:ilvl w:val="0"/>
          <w:numId w:val="11"/>
        </w:numPr>
        <w:adjustRightInd w:val="0"/>
        <w:snapToGrid w:val="0"/>
        <w:spacing w:line="360" w:lineRule="exact"/>
        <w:jc w:val="left"/>
        <w:rPr>
          <w:rFonts w:ascii="宋体" w:hAnsi="宋体" w:cs="宋体"/>
          <w:szCs w:val="21"/>
        </w:rPr>
      </w:pPr>
      <w:r>
        <w:rPr>
          <w:rFonts w:hint="eastAsia" w:ascii="宋体" w:hAnsi="宋体" w:cs="宋体"/>
          <w:szCs w:val="21"/>
        </w:rPr>
        <w:t>投标人认为需要提供的说明或证明材料</w:t>
      </w:r>
    </w:p>
    <w:p/>
    <w:p/>
    <w:p>
      <w:pPr>
        <w:pStyle w:val="31"/>
        <w:ind w:firstLine="210"/>
      </w:pPr>
    </w:p>
    <w:p/>
    <w:p>
      <w:pPr>
        <w:pStyle w:val="31"/>
        <w:ind w:firstLine="210"/>
      </w:pPr>
    </w:p>
    <w:p/>
    <w:p>
      <w:pPr>
        <w:pStyle w:val="31"/>
        <w:ind w:firstLine="210"/>
      </w:pPr>
    </w:p>
    <w:p/>
    <w:p>
      <w:pPr>
        <w:pStyle w:val="31"/>
        <w:ind w:firstLine="210"/>
      </w:pPr>
    </w:p>
    <w:p/>
    <w:p>
      <w:pPr>
        <w:pStyle w:val="31"/>
        <w:ind w:firstLine="210"/>
      </w:pPr>
    </w:p>
    <w:p/>
    <w:p>
      <w:pPr>
        <w:pStyle w:val="31"/>
        <w:ind w:firstLine="210"/>
      </w:pPr>
    </w:p>
    <w:p/>
    <w:p>
      <w:pPr>
        <w:pStyle w:val="31"/>
        <w:ind w:firstLine="210"/>
      </w:pPr>
    </w:p>
    <w:p/>
    <w:p>
      <w:pPr>
        <w:pStyle w:val="31"/>
        <w:ind w:firstLine="210"/>
      </w:pPr>
    </w:p>
    <w:p/>
    <w:p>
      <w:pPr>
        <w:pStyle w:val="31"/>
        <w:ind w:firstLine="210"/>
      </w:pPr>
    </w:p>
    <w:p/>
    <w:p>
      <w:pPr>
        <w:pStyle w:val="31"/>
        <w:ind w:firstLine="210"/>
      </w:pPr>
    </w:p>
    <w:p/>
    <w:p>
      <w:pPr>
        <w:pStyle w:val="31"/>
        <w:ind w:firstLine="210"/>
      </w:pPr>
    </w:p>
    <w:p/>
    <w:p>
      <w:pPr>
        <w:pStyle w:val="31"/>
        <w:ind w:firstLine="210"/>
      </w:pPr>
    </w:p>
    <w:p/>
    <w:p>
      <w:pPr>
        <w:pStyle w:val="31"/>
        <w:ind w:firstLine="210"/>
      </w:pPr>
    </w:p>
    <w:p>
      <w:pPr>
        <w:pStyle w:val="23"/>
        <w:ind w:firstLine="360"/>
      </w:pPr>
    </w:p>
    <w:p>
      <w:pPr>
        <w:pStyle w:val="23"/>
        <w:ind w:firstLine="360"/>
      </w:pPr>
    </w:p>
    <w:p/>
    <w:p>
      <w:pPr>
        <w:rPr>
          <w:rFonts w:ascii="宋体" w:hAnsi="宋体" w:cs="宋体"/>
          <w:sz w:val="24"/>
        </w:rPr>
      </w:pPr>
      <w:r>
        <w:rPr>
          <w:rFonts w:hint="eastAsia" w:ascii="宋体" w:hAnsi="宋体" w:cs="宋体"/>
          <w:sz w:val="24"/>
        </w:rPr>
        <w:t>1、投标资格声明书格式：</w:t>
      </w:r>
    </w:p>
    <w:p/>
    <w:p>
      <w:pPr>
        <w:adjustRightInd w:val="0"/>
        <w:snapToGrid w:val="0"/>
        <w:jc w:val="center"/>
        <w:rPr>
          <w:rFonts w:ascii="宋体" w:hAnsi="宋体" w:cs="宋体"/>
          <w:b/>
          <w:sz w:val="44"/>
          <w:szCs w:val="44"/>
        </w:rPr>
      </w:pPr>
      <w:r>
        <w:rPr>
          <w:rFonts w:hint="eastAsia" w:ascii="宋体" w:hAnsi="宋体" w:cs="宋体"/>
          <w:b/>
          <w:sz w:val="36"/>
          <w:szCs w:val="36"/>
        </w:rPr>
        <w:t>投标资格声明书</w:t>
      </w:r>
    </w:p>
    <w:p>
      <w:pPr>
        <w:adjustRightInd w:val="0"/>
        <w:snapToGrid w:val="0"/>
        <w:spacing w:line="400" w:lineRule="exact"/>
        <w:rPr>
          <w:rFonts w:ascii="宋体" w:hAnsi="宋体" w:cs="宋体"/>
          <w:spacing w:val="8"/>
          <w:kern w:val="0"/>
          <w:szCs w:val="21"/>
        </w:rPr>
      </w:pPr>
      <w:r>
        <w:rPr>
          <w:rFonts w:hint="eastAsia" w:ascii="宋体" w:hAnsi="宋体" w:cs="宋体"/>
          <w:szCs w:val="21"/>
        </w:rPr>
        <w:t>致：</w:t>
      </w:r>
      <w:r>
        <w:rPr>
          <w:rFonts w:hint="eastAsia" w:ascii="宋体" w:hAnsi="宋体" w:cs="宋体"/>
          <w:szCs w:val="21"/>
          <w:u w:val="single"/>
        </w:rPr>
        <w:t>安吉技师学院 ：</w:t>
      </w:r>
    </w:p>
    <w:p>
      <w:pPr>
        <w:adjustRightInd w:val="0"/>
        <w:snapToGrid w:val="0"/>
        <w:spacing w:line="400" w:lineRule="exact"/>
        <w:ind w:firstLine="315" w:firstLineChars="150"/>
        <w:rPr>
          <w:rFonts w:ascii="宋体" w:hAnsi="宋体" w:cs="宋体"/>
          <w:szCs w:val="21"/>
        </w:rPr>
      </w:pPr>
      <w:r>
        <w:rPr>
          <w:rFonts w:hint="eastAsia" w:ascii="宋体" w:hAnsi="宋体" w:cs="宋体"/>
          <w:szCs w:val="21"/>
          <w:u w:val="single"/>
        </w:rPr>
        <w:t>湖州江南工程管理有限公司</w:t>
      </w:r>
      <w:r>
        <w:rPr>
          <w:rFonts w:hint="eastAsia" w:ascii="宋体" w:hAnsi="宋体" w:cs="宋体"/>
          <w:szCs w:val="21"/>
        </w:rPr>
        <w:t>：</w:t>
      </w:r>
    </w:p>
    <w:p>
      <w:pPr>
        <w:tabs>
          <w:tab w:val="left" w:pos="1418"/>
        </w:tabs>
        <w:snapToGrid w:val="0"/>
        <w:spacing w:before="50" w:after="50" w:line="400" w:lineRule="exact"/>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（投标人名称）系中华人民共和国合法企业，经营地址</w:t>
      </w:r>
      <w:r>
        <w:rPr>
          <w:rFonts w:hint="eastAsia" w:ascii="宋体" w:hAnsi="宋体" w:cs="宋体"/>
          <w:szCs w:val="21"/>
          <w:u w:val="single"/>
        </w:rPr>
        <w:t xml:space="preserve">                        </w:t>
      </w:r>
      <w:r>
        <w:rPr>
          <w:rFonts w:hint="eastAsia" w:ascii="宋体" w:hAnsi="宋体" w:cs="宋体"/>
          <w:szCs w:val="21"/>
        </w:rPr>
        <w:t>。</w:t>
      </w:r>
    </w:p>
    <w:p>
      <w:pPr>
        <w:tabs>
          <w:tab w:val="left" w:pos="1418"/>
        </w:tabs>
        <w:snapToGrid w:val="0"/>
        <w:spacing w:before="50" w:after="50" w:line="400" w:lineRule="exact"/>
        <w:ind w:firstLine="420" w:firstLineChars="200"/>
        <w:rPr>
          <w:rFonts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（投标人名称）的法定代表人，我方愿意参加贵方组织的</w:t>
      </w:r>
      <w:r>
        <w:rPr>
          <w:rFonts w:hint="eastAsia" w:ascii="宋体" w:hAnsi="宋体" w:cs="宋体"/>
          <w:szCs w:val="21"/>
          <w:u w:val="single"/>
        </w:rPr>
        <w:t xml:space="preserve">             </w:t>
      </w:r>
      <w:r>
        <w:rPr>
          <w:rFonts w:hint="eastAsia" w:ascii="宋体" w:hAnsi="宋体" w:cs="宋体"/>
          <w:szCs w:val="21"/>
        </w:rPr>
        <w:t>项目的投标，为便于贵方公正、择优地确定中标人及其投标项目的服务，我方就本次投标有关事项郑重声明如下：</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1、我方向贵方提交的所有投标文件、资料都是准确的和真实的；</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2、我方不是采购人的附属机构；在获知本项目采购信息后，与采购人聘请的为此项目提供咨询服务的公司及其附属机构没有任何联系。</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3、我方承诺已经具备招标文件规定的参加本项目政府采购活动的投标人应当具备的条件：</w:t>
      </w:r>
    </w:p>
    <w:p>
      <w:pPr>
        <w:spacing w:line="340" w:lineRule="exact"/>
        <w:ind w:firstLine="420" w:firstLineChars="200"/>
        <w:rPr>
          <w:rFonts w:ascii="宋体" w:hAnsi="宋体" w:cs="宋体"/>
          <w:szCs w:val="21"/>
        </w:rPr>
      </w:pPr>
      <w:r>
        <w:rPr>
          <w:rFonts w:hint="eastAsia" w:ascii="宋体" w:hAnsi="宋体" w:cs="宋体"/>
          <w:szCs w:val="21"/>
        </w:rPr>
        <w:t>（1）具有独立承担民事责任的能力；</w:t>
      </w:r>
    </w:p>
    <w:p>
      <w:pPr>
        <w:spacing w:line="340" w:lineRule="exact"/>
        <w:ind w:firstLine="420" w:firstLineChars="200"/>
        <w:rPr>
          <w:rFonts w:ascii="宋体" w:hAnsi="宋体" w:cs="宋体"/>
          <w:szCs w:val="21"/>
        </w:rPr>
      </w:pPr>
      <w:r>
        <w:rPr>
          <w:rFonts w:hint="eastAsia" w:ascii="宋体" w:hAnsi="宋体" w:cs="宋体"/>
          <w:szCs w:val="21"/>
        </w:rPr>
        <w:t>（2）具有良好的商业信誉和健全的财务会计制度；</w:t>
      </w:r>
    </w:p>
    <w:p>
      <w:pPr>
        <w:spacing w:line="340" w:lineRule="exact"/>
        <w:ind w:firstLine="420" w:firstLineChars="200"/>
        <w:rPr>
          <w:rFonts w:ascii="宋体" w:hAnsi="宋体" w:cs="宋体"/>
          <w:szCs w:val="21"/>
        </w:rPr>
      </w:pPr>
      <w:r>
        <w:rPr>
          <w:rFonts w:hint="eastAsia" w:ascii="宋体" w:hAnsi="宋体" w:cs="宋体"/>
          <w:szCs w:val="21"/>
        </w:rPr>
        <w:t>（3）具有履行合同所必需的设备和专业技术能力；</w:t>
      </w:r>
    </w:p>
    <w:p>
      <w:pPr>
        <w:spacing w:line="340" w:lineRule="exact"/>
        <w:ind w:firstLine="420" w:firstLineChars="200"/>
        <w:rPr>
          <w:rFonts w:ascii="宋体" w:hAnsi="宋体" w:cs="宋体"/>
          <w:szCs w:val="21"/>
        </w:rPr>
      </w:pPr>
      <w:r>
        <w:rPr>
          <w:rFonts w:hint="eastAsia" w:ascii="宋体" w:hAnsi="宋体" w:cs="宋体"/>
          <w:szCs w:val="21"/>
        </w:rPr>
        <w:t>（4）有依法缴纳税收和社会保障资金的良好记录；</w:t>
      </w:r>
    </w:p>
    <w:p>
      <w:pPr>
        <w:spacing w:line="340" w:lineRule="exact"/>
        <w:ind w:firstLine="420" w:firstLineChars="200"/>
        <w:rPr>
          <w:rFonts w:ascii="宋体" w:hAnsi="宋体" w:cs="宋体"/>
          <w:szCs w:val="21"/>
        </w:rPr>
      </w:pPr>
      <w:r>
        <w:rPr>
          <w:rFonts w:hint="eastAsia" w:ascii="宋体" w:hAnsi="宋体" w:cs="宋体"/>
          <w:szCs w:val="21"/>
        </w:rPr>
        <w:t>（5）参加本次政府采购活动前三年内，在经营活动中没有重大违法记录；</w:t>
      </w:r>
    </w:p>
    <w:p>
      <w:pPr>
        <w:spacing w:line="340" w:lineRule="exact"/>
        <w:ind w:firstLine="420" w:firstLineChars="200"/>
        <w:rPr>
          <w:rFonts w:ascii="宋体" w:hAnsi="宋体" w:cs="宋体"/>
          <w:szCs w:val="21"/>
        </w:rPr>
      </w:pPr>
      <w:r>
        <w:rPr>
          <w:rFonts w:hint="eastAsia" w:ascii="宋体" w:hAnsi="宋体" w:cs="宋体"/>
          <w:szCs w:val="21"/>
        </w:rPr>
        <w:t>（6）至本项目投标截止时间前，我方未列入失信被执行人、重大税收违法失信主体、政府采购严重违法失信行为记录名单；</w:t>
      </w:r>
    </w:p>
    <w:p>
      <w:pPr>
        <w:snapToGrid w:val="0"/>
        <w:spacing w:line="380" w:lineRule="exact"/>
        <w:ind w:firstLine="420" w:firstLineChars="200"/>
        <w:rPr>
          <w:rStyle w:val="87"/>
          <w:rFonts w:ascii="宋体" w:hAnsi="宋体"/>
          <w:szCs w:val="21"/>
        </w:rPr>
      </w:pPr>
      <w:r>
        <w:rPr>
          <w:rStyle w:val="87"/>
          <w:rFonts w:ascii="宋体" w:hAnsi="宋体"/>
          <w:szCs w:val="21"/>
        </w:rPr>
        <w:t xml:space="preserve">4、我方承诺：最近三年我方无行贿犯罪行为，若我方中标，愿意接受社会监督和检察院调查。                                                  </w:t>
      </w:r>
    </w:p>
    <w:p>
      <w:pPr>
        <w:snapToGrid w:val="0"/>
        <w:spacing w:line="380" w:lineRule="exact"/>
        <w:ind w:firstLine="420" w:firstLineChars="200"/>
        <w:rPr>
          <w:rStyle w:val="87"/>
          <w:rFonts w:ascii="宋体" w:hAnsi="宋体"/>
          <w:szCs w:val="21"/>
        </w:rPr>
      </w:pPr>
      <w:r>
        <w:rPr>
          <w:rStyle w:val="87"/>
          <w:rFonts w:ascii="宋体" w:hAnsi="宋体"/>
          <w:szCs w:val="21"/>
        </w:rPr>
        <w:t>5、以上事项如有虚假或隐瞒，我方愿意承担一切后果和责任。</w:t>
      </w:r>
    </w:p>
    <w:p>
      <w:pPr>
        <w:adjustRightInd w:val="0"/>
        <w:snapToGrid w:val="0"/>
        <w:spacing w:line="400" w:lineRule="exact"/>
        <w:ind w:firstLine="420" w:firstLineChars="200"/>
        <w:rPr>
          <w:rFonts w:ascii="宋体" w:hAnsi="宋体" w:cs="宋体"/>
          <w:szCs w:val="21"/>
          <w:u w:val="single"/>
        </w:rPr>
      </w:pPr>
    </w:p>
    <w:p>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法定代表人签字：</w:t>
      </w:r>
      <w:r>
        <w:rPr>
          <w:rFonts w:hint="eastAsia" w:ascii="宋体" w:hAnsi="宋体" w:cs="宋体"/>
          <w:szCs w:val="21"/>
          <w:u w:val="single"/>
        </w:rPr>
        <w:t xml:space="preserve">             </w:t>
      </w:r>
    </w:p>
    <w:p>
      <w:pPr>
        <w:adjustRightInd w:val="0"/>
        <w:snapToGrid w:val="0"/>
        <w:spacing w:line="400" w:lineRule="exact"/>
        <w:ind w:firstLine="420" w:firstLineChars="200"/>
        <w:rPr>
          <w:rFonts w:ascii="宋体" w:hAnsi="宋体" w:cs="宋体"/>
          <w:szCs w:val="21"/>
          <w:u w:val="single"/>
        </w:rPr>
      </w:pPr>
    </w:p>
    <w:p>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投标人全称（盖章）：</w:t>
      </w:r>
      <w:r>
        <w:rPr>
          <w:rFonts w:hint="eastAsia" w:ascii="宋体" w:hAnsi="宋体" w:cs="宋体"/>
          <w:szCs w:val="21"/>
          <w:u w:val="single"/>
        </w:rPr>
        <w:t xml:space="preserve">               </w:t>
      </w:r>
      <w:r>
        <w:rPr>
          <w:rFonts w:hint="eastAsia" w:ascii="宋体" w:hAnsi="宋体" w:cs="宋体"/>
          <w:szCs w:val="21"/>
        </w:rPr>
        <w:t xml:space="preserve">                      </w:t>
      </w:r>
    </w:p>
    <w:p>
      <w:pPr>
        <w:adjustRightInd w:val="0"/>
        <w:snapToGrid w:val="0"/>
        <w:spacing w:line="400" w:lineRule="exact"/>
        <w:ind w:firstLine="210" w:firstLineChars="100"/>
        <w:jc w:val="right"/>
        <w:rPr>
          <w:rFonts w:ascii="宋体" w:hAnsi="宋体" w:cs="宋体"/>
          <w:szCs w:val="21"/>
        </w:rPr>
      </w:pPr>
      <w:r>
        <w:rPr>
          <w:rFonts w:hint="eastAsia" w:ascii="宋体" w:hAnsi="宋体" w:cs="宋体"/>
          <w:szCs w:val="21"/>
        </w:rPr>
        <w:t>年    月    日</w:t>
      </w:r>
    </w:p>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说明：</w:t>
      </w:r>
      <w:r>
        <w:rPr>
          <w:rStyle w:val="87"/>
          <w:rFonts w:ascii="宋体" w:hAnsi="宋体"/>
          <w:szCs w:val="21"/>
        </w:rPr>
        <w:t>重大违法记录是指因违法经营受到刑事处罚或者责令停产停业、吊销许可证或者执照、较大数额罚款</w:t>
      </w:r>
      <w:r>
        <w:rPr>
          <w:rStyle w:val="87"/>
          <w:rFonts w:hint="eastAsia" w:ascii="宋体" w:hAnsi="宋体"/>
          <w:szCs w:val="21"/>
        </w:rPr>
        <w:t>（200万元及以上金额）</w:t>
      </w:r>
      <w:r>
        <w:rPr>
          <w:rStyle w:val="87"/>
          <w:rFonts w:ascii="宋体" w:hAnsi="宋体"/>
          <w:szCs w:val="21"/>
        </w:rPr>
        <w:t>等行政处罚。</w:t>
      </w:r>
    </w:p>
    <w:p>
      <w:pPr>
        <w:adjustRightInd w:val="0"/>
        <w:snapToGrid w:val="0"/>
        <w:ind w:firstLine="645"/>
        <w:jc w:val="left"/>
        <w:rPr>
          <w:rFonts w:ascii="宋体" w:hAnsi="宋体" w:cs="宋体"/>
          <w:sz w:val="24"/>
        </w:rPr>
      </w:pPr>
    </w:p>
    <w:p>
      <w:pPr>
        <w:adjustRightInd w:val="0"/>
        <w:snapToGrid w:val="0"/>
        <w:ind w:firstLine="645"/>
        <w:jc w:val="left"/>
        <w:rPr>
          <w:rFonts w:ascii="宋体" w:hAnsi="宋体" w:cs="宋体"/>
          <w:sz w:val="24"/>
        </w:rPr>
      </w:pPr>
    </w:p>
    <w:p>
      <w:pPr>
        <w:rPr>
          <w:rFonts w:ascii="宋体" w:hAnsi="宋体" w:cs="宋体"/>
          <w:sz w:val="24"/>
        </w:rPr>
      </w:pPr>
    </w:p>
    <w:p>
      <w:pPr>
        <w:spacing w:line="400" w:lineRule="exact"/>
        <w:rPr>
          <w:rFonts w:ascii="宋体" w:hAnsi="宋体" w:cs="宋体"/>
        </w:rPr>
      </w:pPr>
    </w:p>
    <w:p/>
    <w:p>
      <w:pPr>
        <w:spacing w:line="400" w:lineRule="exact"/>
        <w:rPr>
          <w:rFonts w:ascii="宋体" w:hAnsi="宋体" w:cs="宋体"/>
        </w:rPr>
      </w:pPr>
    </w:p>
    <w:p/>
    <w:p>
      <w:pPr>
        <w:spacing w:line="400" w:lineRule="exact"/>
        <w:rPr>
          <w:rFonts w:ascii="宋体" w:hAnsi="宋体" w:cs="宋体"/>
        </w:rPr>
      </w:pPr>
      <w:r>
        <w:rPr>
          <w:rFonts w:hint="eastAsia" w:ascii="宋体" w:hAnsi="宋体" w:cs="宋体"/>
        </w:rPr>
        <w:t>2、中小/小微企业声明函：</w:t>
      </w:r>
    </w:p>
    <w:p>
      <w:pPr>
        <w:spacing w:line="588" w:lineRule="exact"/>
        <w:jc w:val="center"/>
        <w:rPr>
          <w:rFonts w:ascii="宋体" w:hAnsi="宋体" w:cs="宋体"/>
          <w:b/>
          <w:spacing w:val="6"/>
          <w:sz w:val="32"/>
          <w:szCs w:val="32"/>
        </w:rPr>
      </w:pPr>
    </w:p>
    <w:p>
      <w:pPr>
        <w:snapToGrid w:val="0"/>
        <w:spacing w:before="50" w:after="50" w:line="500" w:lineRule="exact"/>
        <w:jc w:val="center"/>
        <w:rPr>
          <w:rFonts w:ascii="宋体" w:hAnsi="宋体" w:cs="宋体"/>
          <w:b/>
          <w:sz w:val="44"/>
          <w:szCs w:val="44"/>
        </w:rPr>
      </w:pPr>
      <w:r>
        <w:rPr>
          <w:rFonts w:hint="eastAsia" w:ascii="宋体" w:hAnsi="宋体" w:cs="宋体"/>
          <w:b/>
          <w:sz w:val="44"/>
          <w:szCs w:val="44"/>
        </w:rPr>
        <w:t>中小企业声明函</w:t>
      </w:r>
    </w:p>
    <w:p>
      <w:pPr>
        <w:rPr>
          <w:rFonts w:ascii="宋体" w:hAnsi="宋体" w:cs="宋体"/>
        </w:rPr>
      </w:pPr>
    </w:p>
    <w:p>
      <w:pPr>
        <w:widowControl/>
        <w:ind w:firstLine="620" w:firstLineChars="200"/>
        <w:jc w:val="left"/>
        <w:rPr>
          <w:rFonts w:ascii="宋体" w:hAnsi="宋体" w:cs="宋体"/>
        </w:rPr>
      </w:pPr>
      <w:r>
        <w:rPr>
          <w:rFonts w:hint="eastAsia" w:ascii="宋体" w:hAnsi="宋体" w:cs="宋体"/>
          <w:color w:val="000000"/>
          <w:kern w:val="0"/>
          <w:sz w:val="31"/>
          <w:szCs w:val="31"/>
          <w:lang w:bidi="ar"/>
        </w:rPr>
        <w:t>本公司（联合体）郑重声明，根据《政府采购促进中小企业发展管理办法》（财库﹝2020﹞46 号）的规定，本公司（联合体）参加</w:t>
      </w:r>
      <w:r>
        <w:rPr>
          <w:rFonts w:hint="eastAsia" w:ascii="宋体" w:hAnsi="宋体" w:cs="宋体"/>
          <w:i/>
          <w:color w:val="000000"/>
          <w:kern w:val="0"/>
          <w:sz w:val="32"/>
          <w:szCs w:val="32"/>
          <w:u w:val="single"/>
          <w:lang w:bidi="ar"/>
        </w:rPr>
        <w:t>（单位名称）</w:t>
      </w:r>
      <w:r>
        <w:rPr>
          <w:rFonts w:hint="eastAsia" w:ascii="宋体" w:hAnsi="宋体" w:cs="宋体"/>
          <w:color w:val="000000"/>
          <w:kern w:val="0"/>
          <w:sz w:val="31"/>
          <w:szCs w:val="31"/>
          <w:lang w:bidi="ar"/>
        </w:rPr>
        <w:t>的</w:t>
      </w:r>
      <w:r>
        <w:rPr>
          <w:rFonts w:hint="eastAsia" w:ascii="宋体" w:hAnsi="宋体" w:cs="宋体"/>
          <w:i/>
          <w:color w:val="000000"/>
          <w:kern w:val="0"/>
          <w:sz w:val="32"/>
          <w:szCs w:val="32"/>
          <w:u w:val="single"/>
          <w:lang w:bidi="ar"/>
        </w:rPr>
        <w:t>（项目名称）</w:t>
      </w:r>
      <w:r>
        <w:rPr>
          <w:rFonts w:hint="eastAsia" w:ascii="宋体" w:hAnsi="宋体" w:cs="宋体"/>
          <w:color w:val="000000"/>
          <w:kern w:val="0"/>
          <w:sz w:val="31"/>
          <w:szCs w:val="31"/>
          <w:lang w:bidi="ar"/>
        </w:rPr>
        <w:t>采购活动，服务全部由符合政策要求的中小企业承接）。相关企业（含联合体中的中小企业、签订分包意向协议的中小企业）的具体情况如下：</w:t>
      </w:r>
    </w:p>
    <w:p>
      <w:pPr>
        <w:widowControl/>
        <w:ind w:firstLine="620" w:firstLineChars="200"/>
        <w:jc w:val="left"/>
        <w:rPr>
          <w:rFonts w:ascii="宋体" w:hAnsi="宋体" w:cs="宋体"/>
        </w:rPr>
      </w:pPr>
      <w:r>
        <w:rPr>
          <w:rFonts w:hint="eastAsia" w:ascii="宋体" w:hAnsi="宋体" w:cs="宋体"/>
          <w:color w:val="000000"/>
          <w:kern w:val="0"/>
          <w:sz w:val="31"/>
          <w:szCs w:val="31"/>
          <w:lang w:bidi="ar"/>
        </w:rPr>
        <w:t>1.</w:t>
      </w:r>
      <w:r>
        <w:rPr>
          <w:rFonts w:hint="eastAsia" w:ascii="宋体" w:hAnsi="宋体" w:cs="宋体"/>
          <w:color w:val="000000"/>
          <w:kern w:val="0"/>
          <w:sz w:val="31"/>
          <w:szCs w:val="31"/>
          <w:u w:val="single"/>
          <w:lang w:bidi="ar"/>
        </w:rPr>
        <w:t xml:space="preserve"> </w:t>
      </w:r>
      <w:r>
        <w:rPr>
          <w:rFonts w:hint="eastAsia" w:ascii="宋体" w:hAnsi="宋体" w:cs="宋体"/>
          <w:i/>
          <w:color w:val="000000"/>
          <w:kern w:val="0"/>
          <w:sz w:val="32"/>
          <w:szCs w:val="32"/>
          <w:u w:val="single"/>
          <w:lang w:bidi="ar"/>
        </w:rPr>
        <w:t xml:space="preserve">（标的名称） </w:t>
      </w:r>
      <w:r>
        <w:rPr>
          <w:rFonts w:hint="eastAsia" w:ascii="宋体" w:hAnsi="宋体" w:cs="宋体"/>
          <w:color w:val="000000"/>
          <w:kern w:val="0"/>
          <w:sz w:val="31"/>
          <w:szCs w:val="31"/>
          <w:lang w:bidi="ar"/>
        </w:rPr>
        <w:t>，属于</w:t>
      </w:r>
      <w:r>
        <w:rPr>
          <w:rFonts w:hint="eastAsia" w:ascii="宋体" w:hAnsi="宋体" w:cs="宋体"/>
          <w:i/>
          <w:color w:val="000000"/>
          <w:kern w:val="0"/>
          <w:sz w:val="32"/>
          <w:szCs w:val="32"/>
          <w:u w:val="single"/>
          <w:lang w:bidi="ar"/>
        </w:rPr>
        <w:t>（采购文件中明确的所属行业）</w:t>
      </w:r>
      <w:r>
        <w:rPr>
          <w:rFonts w:hint="eastAsia" w:ascii="宋体" w:hAnsi="宋体" w:cs="宋体"/>
          <w:color w:val="000000"/>
          <w:kern w:val="0"/>
          <w:sz w:val="31"/>
          <w:szCs w:val="31"/>
          <w:lang w:bidi="ar"/>
        </w:rPr>
        <w:t xml:space="preserve">； </w:t>
      </w:r>
    </w:p>
    <w:p>
      <w:pPr>
        <w:widowControl/>
        <w:jc w:val="left"/>
        <w:rPr>
          <w:rFonts w:ascii="宋体" w:hAnsi="宋体" w:cs="宋体"/>
        </w:rPr>
      </w:pPr>
      <w:r>
        <w:rPr>
          <w:rFonts w:hint="eastAsia" w:ascii="宋体" w:hAnsi="宋体" w:cs="宋体"/>
          <w:color w:val="000000"/>
          <w:kern w:val="0"/>
          <w:sz w:val="31"/>
          <w:szCs w:val="31"/>
          <w:lang w:bidi="ar"/>
        </w:rPr>
        <w:t>承建（承接）企业为</w:t>
      </w:r>
      <w:r>
        <w:rPr>
          <w:rFonts w:hint="eastAsia" w:ascii="宋体" w:hAnsi="宋体" w:cs="宋体"/>
          <w:i/>
          <w:color w:val="000000"/>
          <w:kern w:val="0"/>
          <w:sz w:val="32"/>
          <w:szCs w:val="32"/>
          <w:u w:val="single"/>
          <w:lang w:bidi="ar"/>
        </w:rPr>
        <w:t>（企业名称）</w:t>
      </w:r>
      <w:r>
        <w:rPr>
          <w:rFonts w:hint="eastAsia" w:ascii="宋体" w:hAnsi="宋体" w:cs="宋体"/>
          <w:color w:val="000000"/>
          <w:kern w:val="0"/>
          <w:sz w:val="31"/>
          <w:szCs w:val="31"/>
          <w:lang w:bidi="ar"/>
        </w:rPr>
        <w:t>，从业人员</w:t>
      </w:r>
      <w:r>
        <w:rPr>
          <w:rFonts w:hint="eastAsia" w:ascii="宋体" w:hAnsi="宋体" w:cs="宋体"/>
          <w:color w:val="000000"/>
          <w:kern w:val="0"/>
          <w:sz w:val="31"/>
          <w:szCs w:val="31"/>
          <w:u w:val="single"/>
          <w:lang w:bidi="ar"/>
        </w:rPr>
        <w:t xml:space="preserve">  人</w:t>
      </w:r>
      <w:r>
        <w:rPr>
          <w:rFonts w:hint="eastAsia" w:ascii="宋体" w:hAnsi="宋体" w:cs="宋体"/>
          <w:color w:val="000000"/>
          <w:kern w:val="0"/>
          <w:sz w:val="31"/>
          <w:szCs w:val="31"/>
          <w:lang w:bidi="ar"/>
        </w:rPr>
        <w:t>，营业收入为</w:t>
      </w:r>
      <w:r>
        <w:rPr>
          <w:rFonts w:hint="eastAsia" w:ascii="宋体" w:hAnsi="宋体" w:cs="宋体"/>
          <w:color w:val="000000"/>
          <w:kern w:val="0"/>
          <w:sz w:val="31"/>
          <w:szCs w:val="31"/>
          <w:u w:val="single"/>
          <w:lang w:bidi="ar"/>
        </w:rPr>
        <w:t xml:space="preserve">  </w:t>
      </w:r>
      <w:r>
        <w:rPr>
          <w:rFonts w:hint="eastAsia" w:ascii="宋体" w:hAnsi="宋体" w:cs="宋体"/>
          <w:color w:val="000000"/>
          <w:kern w:val="0"/>
          <w:sz w:val="31"/>
          <w:szCs w:val="31"/>
          <w:lang w:bidi="ar"/>
        </w:rPr>
        <w:t>万元，资产总额为</w:t>
      </w:r>
      <w:r>
        <w:rPr>
          <w:rFonts w:hint="eastAsia" w:ascii="宋体" w:hAnsi="宋体" w:cs="宋体"/>
          <w:color w:val="000000"/>
          <w:kern w:val="0"/>
          <w:sz w:val="31"/>
          <w:szCs w:val="31"/>
          <w:u w:val="single"/>
          <w:lang w:bidi="ar"/>
        </w:rPr>
        <w:t xml:space="preserve">  </w:t>
      </w:r>
      <w:r>
        <w:rPr>
          <w:rFonts w:hint="eastAsia" w:ascii="宋体" w:hAnsi="宋体" w:cs="宋体"/>
          <w:color w:val="000000"/>
          <w:kern w:val="0"/>
          <w:sz w:val="31"/>
          <w:szCs w:val="31"/>
          <w:lang w:bidi="ar"/>
        </w:rPr>
        <w:t>万元，属于</w:t>
      </w:r>
      <w:r>
        <w:rPr>
          <w:rFonts w:hint="eastAsia" w:ascii="宋体" w:hAnsi="宋体" w:cs="宋体"/>
          <w:i/>
          <w:color w:val="000000"/>
          <w:kern w:val="0"/>
          <w:sz w:val="32"/>
          <w:szCs w:val="32"/>
          <w:u w:val="single"/>
          <w:lang w:bidi="ar"/>
        </w:rPr>
        <w:t>（中型企业、小型企业、微型企业）</w:t>
      </w:r>
      <w:r>
        <w:rPr>
          <w:rFonts w:hint="eastAsia" w:ascii="宋体" w:hAnsi="宋体" w:cs="宋体"/>
          <w:color w:val="000000"/>
          <w:kern w:val="0"/>
          <w:sz w:val="31"/>
          <w:szCs w:val="31"/>
          <w:lang w:bidi="ar"/>
        </w:rPr>
        <w:t xml:space="preserve">； </w:t>
      </w:r>
    </w:p>
    <w:p>
      <w:pPr>
        <w:widowControl/>
        <w:ind w:firstLine="620" w:firstLineChars="200"/>
        <w:jc w:val="left"/>
        <w:rPr>
          <w:rFonts w:ascii="宋体" w:hAnsi="宋体" w:cs="宋体"/>
        </w:rPr>
      </w:pPr>
      <w:r>
        <w:rPr>
          <w:rFonts w:hint="eastAsia" w:ascii="宋体" w:hAnsi="宋体" w:cs="宋体"/>
          <w:color w:val="000000"/>
          <w:kern w:val="0"/>
          <w:sz w:val="31"/>
          <w:szCs w:val="31"/>
          <w:lang w:bidi="ar"/>
        </w:rPr>
        <w:t xml:space="preserve">2. </w:t>
      </w:r>
      <w:r>
        <w:rPr>
          <w:rFonts w:hint="eastAsia" w:ascii="宋体" w:hAnsi="宋体" w:cs="宋体"/>
          <w:i/>
          <w:color w:val="000000"/>
          <w:kern w:val="0"/>
          <w:sz w:val="32"/>
          <w:szCs w:val="32"/>
          <w:u w:val="single"/>
          <w:lang w:bidi="ar"/>
        </w:rPr>
        <w:t>（标的名称）</w:t>
      </w:r>
      <w:r>
        <w:rPr>
          <w:rFonts w:hint="eastAsia" w:ascii="宋体" w:hAnsi="宋体" w:cs="宋体"/>
          <w:i/>
          <w:color w:val="000000"/>
          <w:kern w:val="0"/>
          <w:sz w:val="32"/>
          <w:szCs w:val="32"/>
          <w:lang w:bidi="ar"/>
        </w:rPr>
        <w:t xml:space="preserve"> </w:t>
      </w:r>
      <w:r>
        <w:rPr>
          <w:rFonts w:hint="eastAsia" w:ascii="宋体" w:hAnsi="宋体" w:cs="宋体"/>
          <w:color w:val="000000"/>
          <w:kern w:val="0"/>
          <w:sz w:val="31"/>
          <w:szCs w:val="31"/>
          <w:lang w:bidi="ar"/>
        </w:rPr>
        <w:t>，属于</w:t>
      </w:r>
      <w:r>
        <w:rPr>
          <w:rFonts w:hint="eastAsia" w:ascii="宋体" w:hAnsi="宋体" w:cs="宋体"/>
          <w:i/>
          <w:color w:val="000000"/>
          <w:kern w:val="0"/>
          <w:sz w:val="32"/>
          <w:szCs w:val="32"/>
          <w:u w:val="single"/>
          <w:lang w:bidi="ar"/>
        </w:rPr>
        <w:t>（采购文件中明确的所属行业）</w:t>
      </w:r>
      <w:r>
        <w:rPr>
          <w:rFonts w:hint="eastAsia" w:ascii="宋体" w:hAnsi="宋体" w:cs="宋体"/>
          <w:color w:val="000000"/>
          <w:kern w:val="0"/>
          <w:sz w:val="31"/>
          <w:szCs w:val="31"/>
          <w:lang w:bidi="ar"/>
        </w:rPr>
        <w:t xml:space="preserve">； </w:t>
      </w:r>
    </w:p>
    <w:p>
      <w:pPr>
        <w:widowControl/>
        <w:jc w:val="left"/>
        <w:rPr>
          <w:rFonts w:ascii="宋体" w:hAnsi="宋体" w:cs="宋体"/>
        </w:rPr>
      </w:pPr>
      <w:r>
        <w:rPr>
          <w:rFonts w:hint="eastAsia" w:ascii="宋体" w:hAnsi="宋体" w:cs="宋体"/>
          <w:color w:val="000000"/>
          <w:kern w:val="0"/>
          <w:sz w:val="31"/>
          <w:szCs w:val="31"/>
          <w:lang w:bidi="ar"/>
        </w:rPr>
        <w:t>承建（承接）企业为</w:t>
      </w:r>
      <w:r>
        <w:rPr>
          <w:rFonts w:hint="eastAsia" w:ascii="宋体" w:hAnsi="宋体" w:cs="宋体"/>
          <w:i/>
          <w:color w:val="000000"/>
          <w:kern w:val="0"/>
          <w:sz w:val="32"/>
          <w:szCs w:val="32"/>
          <w:u w:val="single"/>
          <w:lang w:bidi="ar"/>
        </w:rPr>
        <w:t>（企业名称）</w:t>
      </w:r>
      <w:r>
        <w:rPr>
          <w:rFonts w:hint="eastAsia" w:ascii="宋体" w:hAnsi="宋体" w:cs="宋体"/>
          <w:color w:val="000000"/>
          <w:kern w:val="0"/>
          <w:sz w:val="31"/>
          <w:szCs w:val="31"/>
          <w:lang w:bidi="ar"/>
        </w:rPr>
        <w:t>，从业人员</w:t>
      </w:r>
      <w:r>
        <w:rPr>
          <w:rFonts w:hint="eastAsia" w:ascii="宋体" w:hAnsi="宋体" w:cs="宋体"/>
          <w:color w:val="000000"/>
          <w:kern w:val="0"/>
          <w:sz w:val="31"/>
          <w:szCs w:val="31"/>
          <w:u w:val="single"/>
          <w:lang w:bidi="ar"/>
        </w:rPr>
        <w:t xml:space="preserve">   </w:t>
      </w:r>
      <w:r>
        <w:rPr>
          <w:rFonts w:hint="eastAsia" w:ascii="宋体" w:hAnsi="宋体" w:cs="宋体"/>
          <w:color w:val="000000"/>
          <w:kern w:val="0"/>
          <w:sz w:val="31"/>
          <w:szCs w:val="31"/>
          <w:lang w:bidi="ar"/>
        </w:rPr>
        <w:t>人，营业收入为  万元，资产总额为   万元，属于</w:t>
      </w:r>
      <w:r>
        <w:rPr>
          <w:rFonts w:hint="eastAsia" w:ascii="宋体" w:hAnsi="宋体" w:cs="宋体"/>
          <w:i/>
          <w:color w:val="000000"/>
          <w:kern w:val="0"/>
          <w:sz w:val="32"/>
          <w:szCs w:val="32"/>
          <w:lang w:bidi="ar"/>
        </w:rPr>
        <w:t>（中型企业、小型企业、微型企业）</w:t>
      </w:r>
      <w:r>
        <w:rPr>
          <w:rFonts w:hint="eastAsia" w:ascii="宋体" w:hAnsi="宋体" w:cs="宋体"/>
          <w:color w:val="000000"/>
          <w:kern w:val="0"/>
          <w:sz w:val="31"/>
          <w:szCs w:val="31"/>
          <w:lang w:bidi="ar"/>
        </w:rPr>
        <w:t xml:space="preserve">； </w:t>
      </w:r>
    </w:p>
    <w:p>
      <w:pPr>
        <w:widowControl/>
        <w:jc w:val="left"/>
        <w:rPr>
          <w:rFonts w:ascii="宋体" w:hAnsi="宋体" w:cs="宋体"/>
        </w:rPr>
      </w:pPr>
      <w:r>
        <w:rPr>
          <w:rFonts w:hint="eastAsia" w:ascii="宋体" w:hAnsi="宋体" w:cs="宋体"/>
          <w:color w:val="000000"/>
          <w:kern w:val="0"/>
          <w:sz w:val="31"/>
          <w:szCs w:val="31"/>
          <w:lang w:bidi="ar"/>
        </w:rPr>
        <w:t>……</w:t>
      </w:r>
    </w:p>
    <w:p>
      <w:pPr>
        <w:widowControl/>
        <w:ind w:firstLine="620" w:firstLineChars="200"/>
        <w:jc w:val="left"/>
        <w:rPr>
          <w:rFonts w:ascii="宋体" w:hAnsi="宋体" w:cs="宋体"/>
        </w:rPr>
      </w:pPr>
      <w:r>
        <w:rPr>
          <w:rFonts w:hint="eastAsia" w:ascii="宋体" w:hAnsi="宋体" w:cs="宋体"/>
          <w:color w:val="000000"/>
          <w:kern w:val="0"/>
          <w:sz w:val="31"/>
          <w:szCs w:val="31"/>
          <w:lang w:bidi="ar"/>
        </w:rPr>
        <w:t>以上企业，不属于大企业的分支机构，不存在控股股东为大企业的情形，也不存在与大企业的负责人为同一人的情形。</w:t>
      </w:r>
    </w:p>
    <w:p>
      <w:pPr>
        <w:widowControl/>
        <w:ind w:firstLine="620" w:firstLineChars="200"/>
        <w:jc w:val="left"/>
        <w:rPr>
          <w:rFonts w:ascii="宋体" w:hAnsi="宋体" w:cs="宋体"/>
        </w:rPr>
      </w:pPr>
      <w:r>
        <w:rPr>
          <w:rFonts w:hint="eastAsia" w:ascii="宋体" w:hAnsi="宋体" w:cs="宋体"/>
          <w:color w:val="000000"/>
          <w:kern w:val="0"/>
          <w:sz w:val="31"/>
          <w:szCs w:val="31"/>
          <w:lang w:bidi="ar"/>
        </w:rPr>
        <w:t xml:space="preserve">本企业对上述声明内容的真实性负责。如有虚假，将依法承担相应责任。 </w:t>
      </w:r>
    </w:p>
    <w:p>
      <w:pPr>
        <w:widowControl/>
        <w:jc w:val="right"/>
        <w:rPr>
          <w:rFonts w:ascii="宋体" w:hAnsi="宋体" w:cs="宋体"/>
        </w:rPr>
      </w:pPr>
      <w:r>
        <w:rPr>
          <w:rFonts w:hint="eastAsia" w:ascii="宋体" w:hAnsi="宋体" w:cs="宋体"/>
          <w:color w:val="000000"/>
          <w:kern w:val="0"/>
          <w:sz w:val="31"/>
          <w:szCs w:val="31"/>
          <w:lang w:bidi="ar"/>
        </w:rPr>
        <w:t xml:space="preserve">企业名称（盖章）： </w:t>
      </w:r>
    </w:p>
    <w:p>
      <w:pPr>
        <w:widowControl/>
        <w:spacing w:line="440" w:lineRule="exact"/>
        <w:ind w:firstLine="930" w:firstLineChars="300"/>
        <w:jc w:val="right"/>
        <w:rPr>
          <w:rFonts w:ascii="宋体" w:hAnsi="宋体" w:cs="宋体"/>
          <w:sz w:val="24"/>
        </w:rPr>
      </w:pPr>
      <w:r>
        <w:rPr>
          <w:rFonts w:hint="eastAsia" w:ascii="宋体" w:hAnsi="宋体" w:cs="宋体"/>
          <w:color w:val="000000"/>
          <w:kern w:val="0"/>
          <w:sz w:val="31"/>
          <w:szCs w:val="31"/>
          <w:lang w:bidi="ar"/>
        </w:rPr>
        <w:t>日 期：</w:t>
      </w:r>
    </w:p>
    <w:p>
      <w:pPr>
        <w:widowControl/>
        <w:spacing w:line="400" w:lineRule="exact"/>
        <w:ind w:firstLine="630" w:firstLineChars="300"/>
        <w:jc w:val="left"/>
        <w:rPr>
          <w:rFonts w:ascii="宋体" w:hAnsi="宋体" w:cs="宋体"/>
          <w:b/>
          <w:kern w:val="0"/>
          <w:sz w:val="24"/>
          <w:highlight w:val="yellow"/>
          <w:lang w:bidi="ar"/>
        </w:rPr>
      </w:pPr>
      <w:r>
        <w:rPr>
          <w:rFonts w:hint="eastAsia" w:ascii="宋体" w:hAnsi="宋体" w:cs="宋体"/>
          <w:kern w:val="0"/>
          <w:szCs w:val="21"/>
          <w:lang w:bidi="ar"/>
        </w:rPr>
        <w:t>说明：1、从业人员、营业收入、资产总额填报上一年度数据，无上一年度数据的新成立企业可不填报。为本项目提供服务的企业按照《关于印发中小企业划型标准规定的通知》（工信部联企业〔2011〕300号）的所属行业</w:t>
      </w:r>
      <w:r>
        <w:rPr>
          <w:rFonts w:hint="eastAsia" w:ascii="宋体" w:hAnsi="宋体" w:cs="宋体"/>
          <w:b/>
          <w:kern w:val="0"/>
          <w:szCs w:val="21"/>
          <w:lang w:bidi="ar"/>
        </w:rPr>
        <w:t>分类为</w:t>
      </w:r>
      <w:r>
        <w:rPr>
          <w:rFonts w:hint="eastAsia" w:ascii="宋体" w:hAnsi="宋体" w:cs="宋体"/>
          <w:b/>
          <w:kern w:val="0"/>
          <w:sz w:val="24"/>
          <w:highlight w:val="yellow"/>
          <w:lang w:bidi="ar"/>
        </w:rPr>
        <w:t>软件和信息技术服务业和其他未列明行业</w:t>
      </w:r>
    </w:p>
    <w:p>
      <w:pPr>
        <w:widowControl/>
        <w:spacing w:line="400" w:lineRule="exact"/>
        <w:ind w:firstLine="630" w:firstLineChars="300"/>
        <w:jc w:val="left"/>
        <w:rPr>
          <w:rFonts w:ascii="宋体" w:hAnsi="宋体" w:cs="宋体"/>
          <w:bCs/>
          <w:kern w:val="0"/>
          <w:szCs w:val="21"/>
          <w:lang w:bidi="ar"/>
        </w:rPr>
      </w:pPr>
      <w:r>
        <w:rPr>
          <w:rFonts w:hint="eastAsia" w:ascii="宋体" w:hAnsi="宋体" w:cs="宋体"/>
          <w:bCs/>
          <w:kern w:val="0"/>
          <w:szCs w:val="21"/>
          <w:lang w:bidi="ar"/>
        </w:rPr>
        <w:t>2、中小企业划分为中型、小型、微型三种类型，具体标准根据企业从业人员、营业收入、资产总额等指标，结合行业特点制定。各行业划型标准为：</w:t>
      </w:r>
    </w:p>
    <w:p/>
    <w:p>
      <w:pPr>
        <w:pStyle w:val="28"/>
        <w:spacing w:before="0" w:beforeAutospacing="0" w:after="0" w:afterAutospacing="0" w:line="260" w:lineRule="exact"/>
        <w:ind w:firstLine="632" w:firstLineChars="300"/>
        <w:jc w:val="both"/>
        <w:rPr>
          <w:rFonts w:hAnsi="宋体" w:cs="宋体"/>
          <w:sz w:val="21"/>
          <w:szCs w:val="21"/>
        </w:rPr>
      </w:pPr>
      <w:r>
        <w:rPr>
          <w:rStyle w:val="37"/>
          <w:rFonts w:hint="eastAsia" w:hAnsi="宋体" w:cs="宋体"/>
          <w:sz w:val="21"/>
          <w:szCs w:val="21"/>
          <w:shd w:val="clear" w:color="auto" w:fill="FFFFFF"/>
        </w:rPr>
        <w:t>（一）农、林、牧、渔业</w:t>
      </w:r>
    </w:p>
    <w:p>
      <w:pPr>
        <w:pStyle w:val="28"/>
        <w:spacing w:before="0" w:beforeAutospacing="0" w:after="0" w:afterAutospacing="0" w:line="260" w:lineRule="exact"/>
        <w:ind w:firstLine="630" w:firstLineChars="300"/>
        <w:jc w:val="both"/>
        <w:rPr>
          <w:rFonts w:hAnsi="宋体" w:cs="宋体"/>
          <w:sz w:val="21"/>
          <w:szCs w:val="21"/>
        </w:rPr>
      </w:pPr>
      <w:r>
        <w:rPr>
          <w:rFonts w:hint="eastAsia" w:hAnsi="宋体" w:cs="宋体"/>
          <w:sz w:val="21"/>
          <w:szCs w:val="21"/>
          <w:shd w:val="clear" w:color="auto" w:fill="FFFFFF"/>
        </w:rPr>
        <w:t>营业收入20000万元以下的为中小微型企业。其中，营业收入500万元及以上的为中型企业，营业收入50万元及以上的为小型企业，营业收入50万元以下的为微型企业。</w:t>
      </w:r>
    </w:p>
    <w:p>
      <w:pPr>
        <w:pStyle w:val="28"/>
        <w:spacing w:before="0" w:beforeAutospacing="0" w:after="0" w:afterAutospacing="0" w:line="260" w:lineRule="exact"/>
        <w:ind w:firstLine="632" w:firstLineChars="300"/>
        <w:rPr>
          <w:rFonts w:hAnsi="宋体" w:cs="宋体"/>
          <w:sz w:val="21"/>
          <w:szCs w:val="21"/>
        </w:rPr>
      </w:pPr>
      <w:r>
        <w:rPr>
          <w:rStyle w:val="37"/>
          <w:rFonts w:hint="eastAsia" w:hAnsi="宋体" w:cs="宋体"/>
          <w:sz w:val="21"/>
          <w:szCs w:val="21"/>
          <w:shd w:val="clear" w:color="auto" w:fill="FFFFFF"/>
        </w:rPr>
        <w:t>（二）工业</w:t>
      </w:r>
    </w:p>
    <w:p>
      <w:pPr>
        <w:pStyle w:val="28"/>
        <w:spacing w:before="0" w:beforeAutospacing="0" w:after="0" w:afterAutospacing="0" w:line="260" w:lineRule="exact"/>
        <w:ind w:firstLine="630" w:firstLineChars="300"/>
        <w:jc w:val="both"/>
        <w:rPr>
          <w:rFonts w:hAnsi="宋体" w:cs="宋体"/>
          <w:sz w:val="21"/>
          <w:szCs w:val="21"/>
        </w:rPr>
      </w:pPr>
      <w:r>
        <w:rPr>
          <w:rFonts w:hint="eastAsia" w:hAnsi="宋体" w:cs="宋体"/>
          <w:sz w:val="21"/>
          <w:szCs w:val="21"/>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8"/>
        <w:spacing w:before="0" w:beforeAutospacing="0" w:after="0" w:afterAutospacing="0" w:line="260" w:lineRule="exact"/>
        <w:ind w:firstLine="632" w:firstLineChars="300"/>
        <w:rPr>
          <w:rFonts w:hAnsi="宋体" w:cs="宋体"/>
          <w:sz w:val="21"/>
          <w:szCs w:val="21"/>
        </w:rPr>
      </w:pPr>
      <w:r>
        <w:rPr>
          <w:rStyle w:val="37"/>
          <w:rFonts w:hint="eastAsia" w:hAnsi="宋体" w:cs="宋体"/>
          <w:sz w:val="21"/>
          <w:szCs w:val="21"/>
          <w:shd w:val="clear" w:color="auto" w:fill="FFFFFF"/>
        </w:rPr>
        <w:t>（三）建筑业</w:t>
      </w:r>
    </w:p>
    <w:p>
      <w:pPr>
        <w:pStyle w:val="28"/>
        <w:spacing w:before="0" w:beforeAutospacing="0" w:after="0" w:afterAutospacing="0" w:line="260" w:lineRule="exact"/>
        <w:ind w:firstLine="630" w:firstLineChars="300"/>
        <w:jc w:val="both"/>
        <w:rPr>
          <w:rFonts w:hAnsi="宋体" w:cs="宋体"/>
          <w:sz w:val="21"/>
          <w:szCs w:val="21"/>
        </w:rPr>
      </w:pPr>
      <w:r>
        <w:rPr>
          <w:rFonts w:hint="eastAsia" w:hAnsi="宋体" w:cs="宋体"/>
          <w:sz w:val="21"/>
          <w:szCs w:val="21"/>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8"/>
        <w:spacing w:before="0" w:beforeAutospacing="0" w:after="0" w:afterAutospacing="0" w:line="260" w:lineRule="exact"/>
        <w:ind w:firstLine="422" w:firstLineChars="200"/>
        <w:rPr>
          <w:rFonts w:hAnsi="宋体" w:cs="宋体"/>
          <w:sz w:val="21"/>
          <w:szCs w:val="21"/>
        </w:rPr>
      </w:pPr>
      <w:r>
        <w:rPr>
          <w:rStyle w:val="37"/>
          <w:rFonts w:hint="eastAsia" w:hAnsi="宋体" w:cs="宋体"/>
          <w:sz w:val="21"/>
          <w:szCs w:val="21"/>
          <w:shd w:val="clear" w:color="auto" w:fill="FFFFFF"/>
        </w:rPr>
        <w:t>（四）批发业</w:t>
      </w:r>
    </w:p>
    <w:p>
      <w:pPr>
        <w:pStyle w:val="28"/>
        <w:spacing w:before="0" w:beforeAutospacing="0" w:after="0" w:afterAutospacing="0" w:line="260" w:lineRule="exact"/>
        <w:ind w:firstLine="630" w:firstLineChars="300"/>
        <w:jc w:val="both"/>
        <w:rPr>
          <w:rFonts w:hAnsi="宋体" w:cs="宋体"/>
          <w:sz w:val="21"/>
          <w:szCs w:val="21"/>
        </w:rPr>
      </w:pPr>
      <w:r>
        <w:rPr>
          <w:rFonts w:hint="eastAsia" w:hAnsi="宋体" w:cs="宋体"/>
          <w:sz w:val="21"/>
          <w:szCs w:val="21"/>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8"/>
        <w:spacing w:before="0" w:beforeAutospacing="0" w:after="0" w:afterAutospacing="0" w:line="260" w:lineRule="exact"/>
        <w:ind w:firstLine="422" w:firstLineChars="200"/>
        <w:rPr>
          <w:rFonts w:hAnsi="宋体" w:cs="宋体"/>
          <w:sz w:val="21"/>
          <w:szCs w:val="21"/>
        </w:rPr>
      </w:pPr>
      <w:r>
        <w:rPr>
          <w:rStyle w:val="37"/>
          <w:rFonts w:hint="eastAsia" w:hAnsi="宋体" w:cs="宋体"/>
          <w:sz w:val="21"/>
          <w:szCs w:val="21"/>
          <w:shd w:val="clear" w:color="auto" w:fill="FFFFFF"/>
        </w:rPr>
        <w:t>（五）零售业</w:t>
      </w:r>
    </w:p>
    <w:p>
      <w:pPr>
        <w:pStyle w:val="28"/>
        <w:spacing w:before="0" w:beforeAutospacing="0" w:after="0" w:afterAutospacing="0" w:line="260" w:lineRule="exact"/>
        <w:ind w:firstLine="630" w:firstLineChars="300"/>
        <w:jc w:val="both"/>
        <w:rPr>
          <w:rFonts w:hAnsi="宋体" w:cs="宋体"/>
          <w:sz w:val="21"/>
          <w:szCs w:val="21"/>
        </w:rPr>
      </w:pPr>
      <w:r>
        <w:rPr>
          <w:rFonts w:hint="eastAsia" w:hAnsi="宋体" w:cs="宋体"/>
          <w:sz w:val="21"/>
          <w:szCs w:val="21"/>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8"/>
        <w:spacing w:before="0" w:beforeAutospacing="0" w:after="0" w:afterAutospacing="0" w:line="260" w:lineRule="exact"/>
        <w:ind w:firstLine="422" w:firstLineChars="200"/>
        <w:rPr>
          <w:rFonts w:hAnsi="宋体" w:cs="宋体"/>
          <w:sz w:val="21"/>
          <w:szCs w:val="21"/>
        </w:rPr>
      </w:pPr>
      <w:r>
        <w:rPr>
          <w:rStyle w:val="37"/>
          <w:rFonts w:hint="eastAsia" w:hAnsi="宋体" w:cs="宋体"/>
          <w:sz w:val="21"/>
          <w:szCs w:val="21"/>
          <w:shd w:val="clear" w:color="auto" w:fill="FFFFFF"/>
        </w:rPr>
        <w:t>（六）交通运输业</w:t>
      </w:r>
    </w:p>
    <w:p>
      <w:pPr>
        <w:pStyle w:val="28"/>
        <w:spacing w:before="0" w:beforeAutospacing="0" w:after="0" w:afterAutospacing="0" w:line="260" w:lineRule="exact"/>
        <w:jc w:val="both"/>
        <w:rPr>
          <w:rFonts w:hAnsi="宋体" w:cs="宋体"/>
          <w:sz w:val="21"/>
          <w:szCs w:val="21"/>
        </w:rPr>
      </w:pPr>
      <w:r>
        <w:rPr>
          <w:rFonts w:hint="eastAsia" w:hAnsi="宋体" w:cs="宋体"/>
          <w:sz w:val="21"/>
          <w:szCs w:val="21"/>
          <w:shd w:val="clear" w:color="auto" w:fill="FFFFFF"/>
        </w:rPr>
        <w:t>从业人员1000人以下或营业收入30000万元以下的为中小微型企业。</w:t>
      </w:r>
    </w:p>
    <w:p>
      <w:pPr>
        <w:pStyle w:val="28"/>
        <w:spacing w:before="0" w:beforeAutospacing="0" w:after="0" w:afterAutospacing="0" w:line="260" w:lineRule="exact"/>
        <w:ind w:firstLine="422" w:firstLineChars="200"/>
        <w:rPr>
          <w:rFonts w:hAnsi="宋体" w:cs="宋体"/>
          <w:sz w:val="21"/>
          <w:szCs w:val="21"/>
        </w:rPr>
      </w:pPr>
      <w:r>
        <w:rPr>
          <w:rStyle w:val="37"/>
          <w:rFonts w:hint="eastAsia" w:hAnsi="宋体" w:cs="宋体"/>
          <w:sz w:val="21"/>
          <w:szCs w:val="21"/>
          <w:shd w:val="clear" w:color="auto" w:fill="FFFFFF"/>
        </w:rPr>
        <w:t>（七）仓储业</w:t>
      </w:r>
    </w:p>
    <w:p>
      <w:pPr>
        <w:pStyle w:val="28"/>
        <w:spacing w:before="0" w:beforeAutospacing="0" w:after="0" w:afterAutospacing="0" w:line="260" w:lineRule="exact"/>
        <w:ind w:firstLine="420" w:firstLineChars="200"/>
        <w:jc w:val="both"/>
        <w:rPr>
          <w:rFonts w:hAnsi="宋体" w:cs="宋体"/>
          <w:sz w:val="21"/>
          <w:szCs w:val="21"/>
        </w:rPr>
      </w:pPr>
      <w:r>
        <w:rPr>
          <w:rFonts w:hint="eastAsia" w:hAnsi="宋体" w:cs="宋体"/>
          <w:sz w:val="21"/>
          <w:szCs w:val="21"/>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8"/>
        <w:spacing w:before="0" w:beforeAutospacing="0" w:after="0" w:afterAutospacing="0" w:line="260" w:lineRule="exact"/>
        <w:ind w:firstLine="211" w:firstLineChars="100"/>
        <w:rPr>
          <w:rFonts w:hAnsi="宋体" w:cs="宋体"/>
          <w:sz w:val="21"/>
          <w:szCs w:val="21"/>
        </w:rPr>
      </w:pPr>
      <w:r>
        <w:rPr>
          <w:rStyle w:val="37"/>
          <w:rFonts w:hint="eastAsia" w:hAnsi="宋体" w:cs="宋体"/>
          <w:sz w:val="21"/>
          <w:szCs w:val="21"/>
          <w:shd w:val="clear" w:color="auto" w:fill="FFFFFF"/>
        </w:rPr>
        <w:t>（八）邮政业</w:t>
      </w:r>
    </w:p>
    <w:p>
      <w:pPr>
        <w:pStyle w:val="28"/>
        <w:spacing w:before="0" w:beforeAutospacing="0" w:after="0" w:afterAutospacing="0" w:line="260" w:lineRule="exact"/>
        <w:ind w:firstLine="420" w:firstLineChars="200"/>
        <w:jc w:val="both"/>
        <w:rPr>
          <w:rFonts w:hAnsi="宋体" w:cs="宋体"/>
          <w:sz w:val="21"/>
          <w:szCs w:val="21"/>
        </w:rPr>
      </w:pPr>
      <w:r>
        <w:rPr>
          <w:rFonts w:hint="eastAsia" w:hAnsi="宋体" w:cs="宋体"/>
          <w:sz w:val="21"/>
          <w:szCs w:val="21"/>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8"/>
        <w:spacing w:before="0" w:beforeAutospacing="0" w:after="0" w:afterAutospacing="0" w:line="260" w:lineRule="exact"/>
        <w:ind w:firstLine="211" w:firstLineChars="100"/>
        <w:rPr>
          <w:rFonts w:hAnsi="宋体" w:cs="宋体"/>
          <w:sz w:val="21"/>
          <w:szCs w:val="21"/>
        </w:rPr>
      </w:pPr>
      <w:r>
        <w:rPr>
          <w:rStyle w:val="37"/>
          <w:rFonts w:hint="eastAsia" w:hAnsi="宋体" w:cs="宋体"/>
          <w:sz w:val="21"/>
          <w:szCs w:val="21"/>
          <w:shd w:val="clear" w:color="auto" w:fill="FFFFFF"/>
        </w:rPr>
        <w:t>（九）住宿业</w:t>
      </w:r>
    </w:p>
    <w:p>
      <w:pPr>
        <w:pStyle w:val="28"/>
        <w:spacing w:before="0" w:beforeAutospacing="0" w:after="0" w:afterAutospacing="0" w:line="260" w:lineRule="exact"/>
        <w:ind w:firstLine="420" w:firstLineChars="200"/>
        <w:jc w:val="both"/>
        <w:rPr>
          <w:rFonts w:hAnsi="宋体" w:cs="宋体"/>
          <w:sz w:val="21"/>
          <w:szCs w:val="21"/>
        </w:rPr>
      </w:pPr>
      <w:r>
        <w:rPr>
          <w:rFonts w:hint="eastAsia" w:hAnsi="宋体" w:cs="宋体"/>
          <w:sz w:val="21"/>
          <w:szCs w:val="21"/>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8"/>
        <w:spacing w:before="0" w:beforeAutospacing="0" w:after="0" w:afterAutospacing="0" w:line="260" w:lineRule="exact"/>
        <w:ind w:firstLine="211" w:firstLineChars="100"/>
        <w:rPr>
          <w:rFonts w:hAnsi="宋体" w:cs="宋体"/>
          <w:sz w:val="21"/>
          <w:szCs w:val="21"/>
        </w:rPr>
      </w:pPr>
      <w:r>
        <w:rPr>
          <w:rStyle w:val="37"/>
          <w:rFonts w:hint="eastAsia" w:hAnsi="宋体" w:cs="宋体"/>
          <w:sz w:val="21"/>
          <w:szCs w:val="21"/>
          <w:shd w:val="clear" w:color="auto" w:fill="FFFFFF"/>
        </w:rPr>
        <w:t>（十）餐饮业</w:t>
      </w:r>
    </w:p>
    <w:p>
      <w:pPr>
        <w:pStyle w:val="28"/>
        <w:spacing w:before="0" w:beforeAutospacing="0" w:after="0" w:afterAutospacing="0" w:line="260" w:lineRule="exact"/>
        <w:jc w:val="both"/>
        <w:rPr>
          <w:rFonts w:hAnsi="宋体" w:cs="宋体"/>
          <w:sz w:val="21"/>
          <w:szCs w:val="21"/>
        </w:rPr>
      </w:pPr>
      <w:r>
        <w:rPr>
          <w:rFonts w:hint="eastAsia" w:hAnsi="宋体" w:cs="宋体"/>
          <w:sz w:val="21"/>
          <w:szCs w:val="21"/>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8"/>
        <w:spacing w:before="0" w:beforeAutospacing="0" w:after="0" w:afterAutospacing="0" w:line="260" w:lineRule="exact"/>
        <w:ind w:firstLine="211" w:firstLineChars="100"/>
        <w:rPr>
          <w:rFonts w:hAnsi="宋体" w:cs="宋体"/>
          <w:sz w:val="21"/>
          <w:szCs w:val="21"/>
        </w:rPr>
      </w:pPr>
      <w:r>
        <w:rPr>
          <w:rStyle w:val="37"/>
          <w:rFonts w:hint="eastAsia" w:hAnsi="宋体" w:cs="宋体"/>
          <w:sz w:val="21"/>
          <w:szCs w:val="21"/>
          <w:shd w:val="clear" w:color="auto" w:fill="FFFFFF"/>
        </w:rPr>
        <w:t>（十一）信息传输业</w:t>
      </w:r>
    </w:p>
    <w:p>
      <w:pPr>
        <w:pStyle w:val="28"/>
        <w:spacing w:before="0" w:beforeAutospacing="0" w:after="0" w:afterAutospacing="0" w:line="260" w:lineRule="exact"/>
        <w:ind w:firstLine="420" w:firstLineChars="200"/>
        <w:jc w:val="both"/>
        <w:rPr>
          <w:rFonts w:hAnsi="宋体" w:cs="宋体"/>
          <w:sz w:val="21"/>
          <w:szCs w:val="21"/>
        </w:rPr>
      </w:pPr>
      <w:r>
        <w:rPr>
          <w:rFonts w:hint="eastAsia" w:hAnsi="宋体" w:cs="宋体"/>
          <w:sz w:val="21"/>
          <w:szCs w:val="21"/>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8"/>
        <w:spacing w:before="0" w:beforeAutospacing="0" w:after="0" w:afterAutospacing="0" w:line="260" w:lineRule="exact"/>
        <w:ind w:firstLine="211" w:firstLineChars="100"/>
        <w:rPr>
          <w:rFonts w:hAnsi="宋体" w:cs="宋体"/>
          <w:sz w:val="21"/>
          <w:szCs w:val="21"/>
        </w:rPr>
      </w:pPr>
      <w:r>
        <w:rPr>
          <w:rStyle w:val="37"/>
          <w:rFonts w:hint="eastAsia" w:hAnsi="宋体" w:cs="宋体"/>
          <w:sz w:val="21"/>
          <w:szCs w:val="21"/>
          <w:shd w:val="clear" w:color="auto" w:fill="FFFFFF"/>
        </w:rPr>
        <w:t>（十二）软件和信息技术服务业</w:t>
      </w:r>
    </w:p>
    <w:p>
      <w:pPr>
        <w:pStyle w:val="28"/>
        <w:spacing w:before="0" w:beforeAutospacing="0" w:after="0" w:afterAutospacing="0" w:line="260" w:lineRule="exact"/>
        <w:ind w:firstLine="420" w:firstLineChars="200"/>
        <w:jc w:val="both"/>
        <w:rPr>
          <w:rFonts w:hAnsi="宋体" w:cs="宋体"/>
          <w:sz w:val="21"/>
          <w:szCs w:val="21"/>
        </w:rPr>
      </w:pPr>
      <w:r>
        <w:rPr>
          <w:rFonts w:hint="eastAsia" w:hAnsi="宋体" w:cs="宋体"/>
          <w:sz w:val="21"/>
          <w:szCs w:val="21"/>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8"/>
        <w:spacing w:before="0" w:beforeAutospacing="0" w:after="0" w:afterAutospacing="0" w:line="260" w:lineRule="exact"/>
        <w:ind w:firstLine="211" w:firstLineChars="100"/>
        <w:rPr>
          <w:rFonts w:hAnsi="宋体" w:cs="宋体"/>
          <w:sz w:val="21"/>
          <w:szCs w:val="21"/>
        </w:rPr>
      </w:pPr>
      <w:r>
        <w:rPr>
          <w:rStyle w:val="37"/>
          <w:rFonts w:hint="eastAsia" w:hAnsi="宋体" w:cs="宋体"/>
          <w:sz w:val="21"/>
          <w:szCs w:val="21"/>
          <w:shd w:val="clear" w:color="auto" w:fill="FFFFFF"/>
        </w:rPr>
        <w:t>（十三）房地产开发经营</w:t>
      </w:r>
    </w:p>
    <w:p>
      <w:pPr>
        <w:pStyle w:val="28"/>
        <w:spacing w:before="0" w:beforeAutospacing="0" w:after="0" w:afterAutospacing="0" w:line="260" w:lineRule="exact"/>
        <w:ind w:firstLine="420" w:firstLineChars="200"/>
        <w:jc w:val="both"/>
        <w:rPr>
          <w:rFonts w:hAnsi="宋体" w:cs="宋体"/>
          <w:sz w:val="21"/>
          <w:szCs w:val="21"/>
        </w:rPr>
      </w:pPr>
      <w:r>
        <w:rPr>
          <w:rFonts w:hint="eastAsia" w:hAnsi="宋体" w:cs="宋体"/>
          <w:sz w:val="21"/>
          <w:szCs w:val="21"/>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8"/>
        <w:spacing w:before="0" w:beforeAutospacing="0" w:after="0" w:afterAutospacing="0" w:line="260" w:lineRule="exact"/>
        <w:ind w:firstLine="211" w:firstLineChars="100"/>
        <w:rPr>
          <w:rFonts w:hAnsi="宋体" w:cs="宋体"/>
          <w:sz w:val="21"/>
          <w:szCs w:val="21"/>
        </w:rPr>
      </w:pPr>
      <w:r>
        <w:rPr>
          <w:rStyle w:val="37"/>
          <w:rFonts w:hint="eastAsia" w:hAnsi="宋体" w:cs="宋体"/>
          <w:sz w:val="21"/>
          <w:szCs w:val="21"/>
          <w:shd w:val="clear" w:color="auto" w:fill="FFFFFF"/>
        </w:rPr>
        <w:t>（十四）物业管理</w:t>
      </w:r>
    </w:p>
    <w:p>
      <w:pPr>
        <w:pStyle w:val="28"/>
        <w:spacing w:before="0" w:beforeAutospacing="0" w:after="0" w:afterAutospacing="0" w:line="260" w:lineRule="exact"/>
        <w:ind w:firstLine="420" w:firstLineChars="200"/>
        <w:jc w:val="both"/>
        <w:rPr>
          <w:rFonts w:hAnsi="宋体" w:cs="宋体"/>
          <w:sz w:val="21"/>
          <w:szCs w:val="21"/>
        </w:rPr>
      </w:pPr>
      <w:r>
        <w:rPr>
          <w:rFonts w:hint="eastAsia" w:hAnsi="宋体" w:cs="宋体"/>
          <w:sz w:val="21"/>
          <w:szCs w:val="21"/>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8"/>
        <w:spacing w:before="0" w:beforeAutospacing="0" w:after="0" w:afterAutospacing="0" w:line="260" w:lineRule="exact"/>
        <w:ind w:firstLine="211" w:firstLineChars="100"/>
        <w:rPr>
          <w:rFonts w:hAnsi="宋体" w:cs="宋体"/>
          <w:sz w:val="21"/>
          <w:szCs w:val="21"/>
        </w:rPr>
      </w:pPr>
      <w:r>
        <w:rPr>
          <w:rStyle w:val="37"/>
          <w:rFonts w:hint="eastAsia" w:hAnsi="宋体" w:cs="宋体"/>
          <w:sz w:val="21"/>
          <w:szCs w:val="21"/>
          <w:shd w:val="clear" w:color="auto" w:fill="FFFFFF"/>
        </w:rPr>
        <w:t>（十五）租赁和商务服务业</w:t>
      </w:r>
    </w:p>
    <w:p>
      <w:pPr>
        <w:pStyle w:val="28"/>
        <w:spacing w:before="0" w:beforeAutospacing="0" w:after="0" w:afterAutospacing="0" w:line="260" w:lineRule="exact"/>
        <w:ind w:firstLine="420" w:firstLineChars="200"/>
        <w:jc w:val="both"/>
        <w:rPr>
          <w:rFonts w:hAnsi="宋体" w:cs="宋体"/>
          <w:sz w:val="21"/>
          <w:szCs w:val="21"/>
        </w:rPr>
      </w:pPr>
      <w:r>
        <w:rPr>
          <w:rFonts w:hint="eastAsia" w:hAnsi="宋体" w:cs="宋体"/>
          <w:sz w:val="21"/>
          <w:szCs w:val="21"/>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8"/>
        <w:spacing w:before="0" w:beforeAutospacing="0" w:after="0" w:afterAutospacing="0" w:line="260" w:lineRule="exact"/>
        <w:ind w:firstLine="211" w:firstLineChars="100"/>
        <w:rPr>
          <w:rFonts w:hAnsi="宋体" w:cs="宋体"/>
          <w:sz w:val="21"/>
          <w:szCs w:val="21"/>
        </w:rPr>
      </w:pPr>
      <w:r>
        <w:rPr>
          <w:rStyle w:val="37"/>
          <w:rFonts w:hint="eastAsia" w:hAnsi="宋体" w:cs="宋体"/>
          <w:sz w:val="21"/>
          <w:szCs w:val="21"/>
          <w:shd w:val="clear" w:color="auto" w:fill="FFFFFF"/>
        </w:rPr>
        <w:t>（十六）其他未列明行业</w:t>
      </w:r>
    </w:p>
    <w:p>
      <w:pPr>
        <w:pStyle w:val="28"/>
        <w:spacing w:before="0" w:beforeAutospacing="0" w:after="0" w:afterAutospacing="0" w:line="260" w:lineRule="exact"/>
        <w:ind w:firstLine="210" w:firstLineChars="100"/>
        <w:jc w:val="both"/>
        <w:rPr>
          <w:rFonts w:hAnsi="宋体" w:cs="宋体"/>
          <w:sz w:val="21"/>
          <w:szCs w:val="21"/>
          <w:shd w:val="clear" w:color="auto" w:fill="FFFFFF"/>
        </w:rPr>
      </w:pPr>
      <w:r>
        <w:rPr>
          <w:rFonts w:hint="eastAsia" w:hAnsi="宋体" w:cs="宋体"/>
          <w:sz w:val="21"/>
          <w:szCs w:val="21"/>
          <w:shd w:val="clear" w:color="auto" w:fill="FFFFFF"/>
        </w:rPr>
        <w:t>从业人员300人以下的为中小微型企业。其中，从业人员100人及以上的为中型企业；从业人员10人及以上的为小型企业；从业人员10人以下的为微型企业。</w:t>
      </w:r>
    </w:p>
    <w:p>
      <w:pPr>
        <w:adjustRightInd w:val="0"/>
        <w:snapToGrid w:val="0"/>
        <w:rPr>
          <w:rFonts w:ascii="宋体" w:hAnsi="宋体" w:cs="宋体"/>
          <w:sz w:val="24"/>
        </w:rPr>
      </w:pPr>
    </w:p>
    <w:p>
      <w:pPr>
        <w:adjustRightInd w:val="0"/>
        <w:snapToGrid w:val="0"/>
        <w:rPr>
          <w:rFonts w:ascii="宋体" w:hAnsi="宋体" w:cs="宋体"/>
          <w:sz w:val="24"/>
        </w:rPr>
      </w:pPr>
    </w:p>
    <w:p>
      <w:pPr>
        <w:pStyle w:val="2"/>
      </w:pPr>
    </w:p>
    <w:p>
      <w:pPr>
        <w:adjustRightInd w:val="0"/>
        <w:snapToGrid w:val="0"/>
        <w:rPr>
          <w:rFonts w:ascii="宋体" w:hAnsi="宋体" w:cs="宋体"/>
          <w:sz w:val="24"/>
        </w:rPr>
      </w:pPr>
    </w:p>
    <w:p>
      <w:pPr>
        <w:adjustRightInd w:val="0"/>
        <w:snapToGrid w:val="0"/>
        <w:rPr>
          <w:rFonts w:ascii="宋体" w:hAnsi="宋体" w:cs="宋体"/>
          <w:sz w:val="24"/>
        </w:rPr>
      </w:pPr>
      <w:r>
        <w:rPr>
          <w:rFonts w:hint="eastAsia" w:ascii="宋体" w:hAnsi="宋体" w:cs="宋体"/>
          <w:sz w:val="24"/>
        </w:rPr>
        <w:t>3、法定代表人身份证明书格式</w:t>
      </w:r>
    </w:p>
    <w:p>
      <w:pPr>
        <w:adjustRightInd w:val="0"/>
        <w:snapToGrid w:val="0"/>
        <w:jc w:val="center"/>
        <w:rPr>
          <w:rFonts w:ascii="宋体" w:hAnsi="宋体" w:cs="宋体"/>
          <w:b/>
          <w:sz w:val="36"/>
          <w:szCs w:val="36"/>
        </w:rPr>
      </w:pPr>
    </w:p>
    <w:p>
      <w:pPr>
        <w:adjustRightInd w:val="0"/>
        <w:snapToGrid w:val="0"/>
        <w:jc w:val="center"/>
        <w:rPr>
          <w:rFonts w:ascii="宋体" w:hAnsi="宋体" w:cs="宋体"/>
          <w:b/>
          <w:sz w:val="36"/>
          <w:szCs w:val="36"/>
        </w:rPr>
      </w:pPr>
      <w:r>
        <w:rPr>
          <w:rFonts w:hint="eastAsia" w:ascii="宋体" w:hAnsi="宋体" w:cs="宋体"/>
          <w:b/>
          <w:sz w:val="36"/>
          <w:szCs w:val="36"/>
        </w:rPr>
        <w:t>法定代表人身份证明书</w:t>
      </w:r>
    </w:p>
    <w:p>
      <w:pPr>
        <w:spacing w:line="480" w:lineRule="auto"/>
        <w:ind w:firstLine="403" w:firstLineChars="192"/>
        <w:rPr>
          <w:rFonts w:ascii="宋体" w:hAnsi="宋体" w:cs="宋体"/>
          <w:szCs w:val="21"/>
        </w:rPr>
      </w:pPr>
    </w:p>
    <w:p>
      <w:pPr>
        <w:adjustRightInd w:val="0"/>
        <w:snapToGrid w:val="0"/>
        <w:jc w:val="left"/>
        <w:rPr>
          <w:rFonts w:ascii="宋体" w:hAnsi="宋体" w:cs="宋体"/>
          <w:sz w:val="24"/>
        </w:rPr>
      </w:pPr>
      <w:r>
        <w:rPr>
          <w:rFonts w:hint="eastAsia" w:ascii="宋体" w:hAnsi="宋体" w:cs="宋体"/>
          <w:sz w:val="24"/>
        </w:rPr>
        <w:t>致安吉技师学院 ：</w:t>
      </w:r>
    </w:p>
    <w:p>
      <w:pPr>
        <w:adjustRightInd w:val="0"/>
        <w:snapToGrid w:val="0"/>
        <w:jc w:val="left"/>
        <w:rPr>
          <w:rFonts w:ascii="宋体" w:hAnsi="宋体" w:cs="宋体"/>
          <w:sz w:val="24"/>
        </w:rPr>
      </w:pPr>
      <w:r>
        <w:rPr>
          <w:rFonts w:hint="eastAsia" w:ascii="宋体" w:hAnsi="宋体" w:cs="宋体"/>
          <w:sz w:val="24"/>
        </w:rPr>
        <w:t>湖州江南工程管理有限公司：</w:t>
      </w:r>
    </w:p>
    <w:p>
      <w:pPr>
        <w:adjustRightInd w:val="0"/>
        <w:snapToGrid w:val="0"/>
        <w:jc w:val="left"/>
        <w:rPr>
          <w:rFonts w:ascii="宋体" w:hAnsi="宋体" w:cs="宋体"/>
          <w:sz w:val="24"/>
        </w:rPr>
      </w:pPr>
      <w:r>
        <w:rPr>
          <w:rFonts w:hint="eastAsia" w:ascii="宋体" w:hAnsi="宋体" w:cs="宋体"/>
          <w:sz w:val="24"/>
        </w:rPr>
        <w:t xml:space="preserve">    </w:t>
      </w:r>
    </w:p>
    <w:p>
      <w:pPr>
        <w:adjustRightInd w:val="0"/>
        <w:snapToGrid w:val="0"/>
        <w:ind w:firstLine="600" w:firstLineChars="250"/>
        <w:jc w:val="left"/>
        <w:rPr>
          <w:rFonts w:ascii="宋体" w:hAnsi="宋体" w:cs="宋体"/>
          <w:sz w:val="24"/>
          <w:u w:val="single"/>
        </w:rPr>
      </w:pPr>
      <w:r>
        <w:rPr>
          <w:rFonts w:hint="eastAsia" w:ascii="宋体" w:hAnsi="宋体" w:cs="宋体"/>
          <w:sz w:val="24"/>
        </w:rPr>
        <w:t xml:space="preserve"> 姓名</w:t>
      </w:r>
      <w:r>
        <w:rPr>
          <w:rFonts w:hint="eastAsia" w:ascii="宋体" w:hAnsi="宋体" w:cs="宋体"/>
          <w:sz w:val="24"/>
          <w:u w:val="single"/>
        </w:rPr>
        <w:t xml:space="preserve">                     </w:t>
      </w:r>
      <w:r>
        <w:rPr>
          <w:rFonts w:hint="eastAsia" w:ascii="宋体" w:hAnsi="宋体" w:cs="宋体"/>
          <w:sz w:val="24"/>
        </w:rPr>
        <w:t xml:space="preserve">，性别 </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，是  </w:t>
      </w:r>
      <w:r>
        <w:rPr>
          <w:rFonts w:hint="eastAsia" w:ascii="宋体" w:hAnsi="宋体" w:cs="宋体"/>
          <w:sz w:val="24"/>
          <w:u w:val="single"/>
        </w:rPr>
        <w:t xml:space="preserve">              </w:t>
      </w:r>
      <w:r>
        <w:rPr>
          <w:rFonts w:hint="eastAsia" w:ascii="宋体" w:hAnsi="宋体" w:cs="宋体"/>
          <w:sz w:val="24"/>
        </w:rPr>
        <w:t xml:space="preserve">的法定代表人。联系电话 </w:t>
      </w:r>
      <w:r>
        <w:rPr>
          <w:rFonts w:hint="eastAsia" w:ascii="宋体" w:hAnsi="宋体" w:cs="宋体"/>
          <w:sz w:val="24"/>
          <w:u w:val="single"/>
        </w:rPr>
        <w:t xml:space="preserve">        </w:t>
      </w:r>
      <w:r>
        <w:rPr>
          <w:rFonts w:hint="eastAsia" w:ascii="宋体" w:hAnsi="宋体" w:cs="宋体"/>
          <w:sz w:val="24"/>
        </w:rPr>
        <w:t xml:space="preserve">传真  </w:t>
      </w:r>
      <w:r>
        <w:rPr>
          <w:rFonts w:hint="eastAsia" w:ascii="宋体" w:hAnsi="宋体" w:cs="宋体"/>
          <w:sz w:val="24"/>
          <w:u w:val="single"/>
        </w:rPr>
        <w:t xml:space="preserve">         </w:t>
      </w:r>
      <w:r>
        <w:rPr>
          <w:rFonts w:hint="eastAsia" w:ascii="宋体" w:hAnsi="宋体" w:cs="宋体"/>
          <w:sz w:val="24"/>
        </w:rPr>
        <w:t xml:space="preserve"> 通讯地址：</w:t>
      </w:r>
      <w:r>
        <w:rPr>
          <w:rFonts w:hint="eastAsia" w:ascii="宋体" w:hAnsi="宋体" w:cs="宋体"/>
          <w:sz w:val="24"/>
          <w:u w:val="single"/>
        </w:rPr>
        <w:t xml:space="preserve">              </w:t>
      </w:r>
      <w:r>
        <w:rPr>
          <w:rFonts w:hint="eastAsia" w:ascii="宋体" w:hAnsi="宋体" w:cs="宋体"/>
          <w:sz w:val="24"/>
        </w:rPr>
        <w:t>。</w:t>
      </w:r>
    </w:p>
    <w:p>
      <w:pPr>
        <w:adjustRightInd w:val="0"/>
        <w:snapToGrid w:val="0"/>
        <w:jc w:val="center"/>
        <w:rPr>
          <w:rFonts w:ascii="宋体" w:hAnsi="宋体" w:cs="宋体"/>
          <w:sz w:val="24"/>
        </w:rPr>
      </w:pPr>
    </w:p>
    <w:p>
      <w:pPr>
        <w:adjustRightInd w:val="0"/>
        <w:snapToGrid w:val="0"/>
        <w:jc w:val="center"/>
        <w:rPr>
          <w:rFonts w:ascii="宋体" w:hAnsi="宋体" w:cs="宋体"/>
          <w:sz w:val="24"/>
        </w:rPr>
      </w:pPr>
      <w:r>
        <w:rPr>
          <w:rFonts w:hint="eastAsia" w:ascii="宋体" w:hAnsi="宋体" w:cs="宋体"/>
          <w:sz w:val="24"/>
        </w:rPr>
        <w:t>特此证明</w:t>
      </w:r>
    </w:p>
    <w:p>
      <w:pPr>
        <w:adjustRightInd w:val="0"/>
        <w:snapToGrid w:val="0"/>
        <w:jc w:val="center"/>
        <w:rPr>
          <w:rFonts w:ascii="宋体" w:hAnsi="宋体" w:cs="宋体"/>
          <w:sz w:val="24"/>
        </w:rPr>
      </w:pPr>
    </w:p>
    <w:p>
      <w:pPr>
        <w:adjustRightInd w:val="0"/>
        <w:snapToGrid w:val="0"/>
        <w:jc w:val="center"/>
        <w:rPr>
          <w:rFonts w:ascii="宋体" w:hAnsi="宋体" w:cs="宋体"/>
          <w:sz w:val="24"/>
        </w:rPr>
      </w:pPr>
      <w:r>
        <w:rPr>
          <w:rFonts w:hint="eastAsia" w:ascii="宋体" w:hAnsi="宋体" w:cs="宋体"/>
          <w:sz w:val="24"/>
        </w:rPr>
        <w:t xml:space="preserve">                      投标人全称：（公章）</w:t>
      </w:r>
      <w:r>
        <w:rPr>
          <w:rFonts w:hint="eastAsia" w:ascii="宋体" w:hAnsi="宋体" w:cs="宋体"/>
          <w:sz w:val="24"/>
          <w:u w:val="single"/>
        </w:rPr>
        <w:t xml:space="preserve">              </w:t>
      </w:r>
    </w:p>
    <w:p>
      <w:pPr>
        <w:wordWrap w:val="0"/>
        <w:adjustRightInd w:val="0"/>
        <w:snapToGrid w:val="0"/>
        <w:jc w:val="right"/>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 xml:space="preserve"> 年</w:t>
      </w:r>
      <w:r>
        <w:rPr>
          <w:rFonts w:hint="eastAsia" w:ascii="宋体" w:hAnsi="宋体" w:cs="宋体"/>
          <w:sz w:val="24"/>
          <w:u w:val="single"/>
        </w:rPr>
        <w:t xml:space="preserve">     </w:t>
      </w:r>
      <w:r>
        <w:rPr>
          <w:rFonts w:hint="eastAsia" w:ascii="宋体" w:hAnsi="宋体" w:cs="宋体"/>
          <w:sz w:val="24"/>
        </w:rPr>
        <w:t xml:space="preserve"> 月</w:t>
      </w:r>
      <w:r>
        <w:rPr>
          <w:rFonts w:hint="eastAsia" w:ascii="宋体" w:hAnsi="宋体" w:cs="宋体"/>
          <w:sz w:val="24"/>
          <w:u w:val="single"/>
        </w:rPr>
        <w:t xml:space="preserve">      日</w:t>
      </w:r>
    </w:p>
    <w:p>
      <w:pPr>
        <w:adjustRightInd w:val="0"/>
        <w:snapToGrid w:val="0"/>
        <w:jc w:val="right"/>
        <w:rPr>
          <w:rFonts w:ascii="宋体" w:hAnsi="宋体" w:cs="宋体"/>
          <w:sz w:val="24"/>
          <w:u w:val="single"/>
        </w:rPr>
      </w:pPr>
    </w:p>
    <w:p>
      <w:pPr>
        <w:adjustRightInd w:val="0"/>
        <w:snapToGrid w:val="0"/>
        <w:jc w:val="right"/>
        <w:rPr>
          <w:rFonts w:ascii="宋体" w:hAnsi="宋体" w:cs="宋体"/>
          <w:sz w:val="24"/>
          <w:u w:val="single"/>
        </w:rPr>
      </w:pPr>
    </w:p>
    <w:p>
      <w:pPr>
        <w:adjustRightInd w:val="0"/>
        <w:snapToGrid w:val="0"/>
        <w:jc w:val="right"/>
        <w:rPr>
          <w:rFonts w:ascii="宋体" w:hAnsi="宋体" w:cs="宋体"/>
          <w:sz w:val="24"/>
        </w:rPr>
      </w:pPr>
      <w:r>
        <w:rPr>
          <w:rFonts w:hint="eastAsia" w:ascii="宋体" w:hAnsi="宋体" w:cs="宋体"/>
          <w:sz w:val="24"/>
        </w:rPr>
        <w:t>---------------------------------------------------------------------------------</w:t>
      </w:r>
    </w:p>
    <w:p>
      <w:pPr>
        <w:adjustRightInd w:val="0"/>
        <w:snapToGrid w:val="0"/>
        <w:jc w:val="center"/>
        <w:rPr>
          <w:rFonts w:ascii="宋体" w:hAnsi="宋体" w:cs="宋体"/>
          <w:sz w:val="24"/>
        </w:rPr>
      </w:pPr>
    </w:p>
    <w:p>
      <w:pPr>
        <w:adjustRightInd w:val="0"/>
        <w:snapToGrid w:val="0"/>
        <w:jc w:val="center"/>
        <w:rPr>
          <w:rFonts w:ascii="宋体" w:hAnsi="宋体" w:cs="宋体"/>
          <w:sz w:val="24"/>
        </w:rPr>
      </w:pPr>
      <w:r>
        <w:rPr>
          <w:rFonts w:hint="eastAsia" w:ascii="宋体" w:hAnsi="宋体" w:cs="宋体"/>
          <w:sz w:val="24"/>
        </w:rPr>
        <w:t>法定代表人身份证复印件黏贴处</w:t>
      </w:r>
    </w:p>
    <w:p>
      <w:pPr>
        <w:adjustRightInd w:val="0"/>
        <w:snapToGrid w:val="0"/>
        <w:rPr>
          <w:rFonts w:ascii="宋体" w:hAnsi="宋体" w:cs="宋体"/>
          <w:sz w:val="24"/>
          <w:u w:val="single"/>
        </w:rPr>
      </w:pPr>
      <w:r>
        <w:rPr>
          <w:rFonts w:hint="eastAsia" w:ascii="宋体" w:hAnsi="宋体" w:cs="宋体"/>
          <w:bCs/>
          <w:sz w:val="24"/>
        </w:rPr>
        <w:br w:type="page"/>
      </w:r>
      <w:r>
        <w:rPr>
          <w:rFonts w:hint="eastAsia" w:ascii="宋体" w:hAnsi="宋体" w:cs="宋体"/>
          <w:bCs/>
          <w:sz w:val="24"/>
        </w:rPr>
        <w:t>4</w:t>
      </w:r>
      <w:r>
        <w:rPr>
          <w:rFonts w:hint="eastAsia" w:ascii="宋体" w:hAnsi="宋体" w:cs="宋体"/>
          <w:sz w:val="24"/>
        </w:rPr>
        <w:t>、法定代表人授权委托书格式：</w:t>
      </w:r>
    </w:p>
    <w:p>
      <w:pPr>
        <w:spacing w:line="360" w:lineRule="auto"/>
        <w:jc w:val="center"/>
        <w:rPr>
          <w:rFonts w:ascii="宋体" w:hAnsi="宋体" w:cs="宋体"/>
          <w:b/>
          <w:sz w:val="28"/>
          <w:szCs w:val="28"/>
        </w:rPr>
      </w:pPr>
    </w:p>
    <w:p>
      <w:pPr>
        <w:adjustRightInd w:val="0"/>
        <w:snapToGrid w:val="0"/>
        <w:jc w:val="center"/>
        <w:rPr>
          <w:rFonts w:ascii="宋体" w:hAnsi="宋体" w:cs="宋体"/>
          <w:b/>
          <w:sz w:val="36"/>
          <w:szCs w:val="36"/>
        </w:rPr>
      </w:pPr>
      <w:r>
        <w:rPr>
          <w:rFonts w:hint="eastAsia" w:ascii="宋体" w:hAnsi="宋体" w:cs="宋体"/>
          <w:b/>
          <w:sz w:val="36"/>
          <w:szCs w:val="36"/>
        </w:rPr>
        <w:t>法定代表人授权委托书</w:t>
      </w:r>
    </w:p>
    <w:p>
      <w:pPr>
        <w:spacing w:line="360" w:lineRule="auto"/>
        <w:jc w:val="center"/>
        <w:rPr>
          <w:rFonts w:ascii="宋体" w:hAnsi="宋体" w:cs="宋体"/>
          <w:b/>
          <w:sz w:val="28"/>
          <w:szCs w:val="28"/>
        </w:rPr>
      </w:pPr>
    </w:p>
    <w:p>
      <w:pPr>
        <w:spacing w:line="480" w:lineRule="exact"/>
        <w:ind w:firstLine="420" w:firstLineChars="200"/>
        <w:rPr>
          <w:rFonts w:ascii="宋体" w:hAnsi="宋体" w:cs="宋体"/>
          <w:szCs w:val="21"/>
        </w:rPr>
      </w:pPr>
      <w:r>
        <w:rPr>
          <w:rFonts w:hint="eastAsia" w:ascii="宋体" w:hAnsi="宋体" w:cs="宋体"/>
          <w:szCs w:val="21"/>
        </w:rPr>
        <w:t xml:space="preserve">本授权委托书声明: 我 </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（投标人名称）</w:t>
      </w:r>
      <w:r>
        <w:rPr>
          <w:rFonts w:hint="eastAsia" w:ascii="宋体" w:hAnsi="宋体" w:cs="宋体"/>
          <w:szCs w:val="21"/>
        </w:rPr>
        <w:t>的法定代表人，现授权委托</w:t>
      </w:r>
      <w:r>
        <w:rPr>
          <w:rFonts w:hint="eastAsia" w:ascii="宋体" w:hAnsi="宋体" w:cs="宋体"/>
          <w:szCs w:val="21"/>
          <w:u w:val="single"/>
        </w:rPr>
        <w:t xml:space="preserve">                    （姓名）</w:t>
      </w: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为我公司授权代表，以本公司的名义参加</w:t>
      </w:r>
      <w:r>
        <w:rPr>
          <w:rFonts w:hint="eastAsia" w:ascii="宋体" w:hAnsi="宋体" w:cs="宋体"/>
          <w:szCs w:val="21"/>
          <w:u w:val="single"/>
        </w:rPr>
        <w:t xml:space="preserve">  安吉技师学院 </w:t>
      </w:r>
      <w:r>
        <w:rPr>
          <w:rFonts w:hint="eastAsia" w:ascii="宋体" w:hAnsi="宋体" w:cs="宋体"/>
          <w:szCs w:val="21"/>
        </w:rPr>
        <w:t>的</w:t>
      </w:r>
      <w:r>
        <w:rPr>
          <w:rFonts w:hint="eastAsia" w:ascii="宋体" w:hAnsi="宋体" w:cs="宋体"/>
          <w:szCs w:val="21"/>
          <w:u w:val="single"/>
        </w:rPr>
        <w:t xml:space="preserve"> 安吉技师学院单片机实训室建设项目</w:t>
      </w:r>
      <w:r>
        <w:rPr>
          <w:rFonts w:hint="eastAsia" w:ascii="宋体" w:hAnsi="宋体" w:cs="宋体"/>
          <w:szCs w:val="21"/>
        </w:rPr>
        <w:t>的投标活动。授权代表在开标、询标、合同招标过程中所签署的一切文件和处理与之有关的一切事务，我均予以承认。</w:t>
      </w:r>
    </w:p>
    <w:p>
      <w:pPr>
        <w:spacing w:line="480" w:lineRule="exact"/>
        <w:ind w:firstLine="420" w:firstLineChars="200"/>
        <w:rPr>
          <w:rFonts w:ascii="宋体" w:hAnsi="宋体" w:cs="宋体"/>
          <w:szCs w:val="21"/>
        </w:rPr>
      </w:pPr>
      <w:r>
        <w:rPr>
          <w:rFonts w:hint="eastAsia" w:ascii="宋体" w:hAnsi="宋体" w:cs="宋体"/>
          <w:szCs w:val="21"/>
        </w:rPr>
        <w:t xml:space="preserve">     授权代表无转委托权。特此委托。</w:t>
      </w:r>
    </w:p>
    <w:p>
      <w:pPr>
        <w:pStyle w:val="16"/>
        <w:spacing w:line="480" w:lineRule="auto"/>
        <w:ind w:left="5250"/>
        <w:rPr>
          <w:rFonts w:ascii="宋体" w:eastAsia="宋体" w:cs="宋体"/>
          <w:sz w:val="21"/>
          <w:szCs w:val="21"/>
        </w:rPr>
      </w:pPr>
    </w:p>
    <w:p>
      <w:pPr>
        <w:spacing w:line="480" w:lineRule="exact"/>
        <w:ind w:firstLine="420" w:firstLineChars="200"/>
        <w:rPr>
          <w:rFonts w:ascii="宋体" w:hAnsi="宋体" w:cs="宋体"/>
          <w:szCs w:val="21"/>
        </w:rPr>
      </w:pPr>
      <w:r>
        <w:rPr>
          <w:rFonts w:hint="eastAsia" w:ascii="宋体" w:hAnsi="宋体" w:cs="宋体"/>
          <w:szCs w:val="21"/>
        </w:rPr>
        <w:t xml:space="preserve">授权代表（签字）： </w:t>
      </w:r>
      <w:r>
        <w:rPr>
          <w:rFonts w:hint="eastAsia" w:ascii="宋体" w:hAnsi="宋体" w:cs="宋体"/>
          <w:szCs w:val="21"/>
          <w:u w:val="single"/>
        </w:rPr>
        <w:t xml:space="preserve">      　　　     </w:t>
      </w:r>
      <w:r>
        <w:rPr>
          <w:rFonts w:hint="eastAsia" w:ascii="宋体" w:hAnsi="宋体" w:cs="宋体"/>
          <w:szCs w:val="21"/>
        </w:rPr>
        <w:t xml:space="preserve">性  别： </w:t>
      </w:r>
      <w:r>
        <w:rPr>
          <w:rFonts w:hint="eastAsia" w:ascii="宋体" w:hAnsi="宋体" w:cs="宋体"/>
          <w:szCs w:val="21"/>
          <w:u w:val="single"/>
        </w:rPr>
        <w:t xml:space="preserve">   　　　  </w:t>
      </w:r>
      <w:r>
        <w:rPr>
          <w:rFonts w:hint="eastAsia" w:ascii="宋体" w:hAnsi="宋体" w:cs="宋体"/>
          <w:szCs w:val="21"/>
        </w:rPr>
        <w:t>年  龄：</w:t>
      </w:r>
      <w:r>
        <w:rPr>
          <w:rFonts w:hint="eastAsia" w:ascii="宋体" w:hAnsi="宋体" w:cs="宋体"/>
          <w:szCs w:val="21"/>
          <w:u w:val="single"/>
        </w:rPr>
        <w:t xml:space="preserve">            </w:t>
      </w:r>
    </w:p>
    <w:p>
      <w:pPr>
        <w:spacing w:line="480" w:lineRule="exact"/>
        <w:ind w:firstLine="42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w:t>
      </w:r>
    </w:p>
    <w:p>
      <w:pPr>
        <w:spacing w:line="480" w:lineRule="exact"/>
        <w:ind w:firstLine="420" w:firstLineChars="200"/>
        <w:rPr>
          <w:rFonts w:ascii="宋体" w:hAnsi="宋体" w:cs="宋体"/>
          <w:szCs w:val="21"/>
          <w:u w:val="single"/>
        </w:rPr>
      </w:pPr>
      <w:r>
        <w:rPr>
          <w:rFonts w:hint="eastAsia" w:ascii="宋体" w:hAnsi="宋体" w:cs="宋体"/>
          <w:szCs w:val="21"/>
        </w:rPr>
        <w:t>部    门：</w:t>
      </w:r>
      <w:r>
        <w:rPr>
          <w:rFonts w:hint="eastAsia" w:ascii="宋体" w:hAnsi="宋体" w:cs="宋体"/>
          <w:szCs w:val="21"/>
          <w:u w:val="single"/>
        </w:rPr>
        <w:t xml:space="preserve">       　　　　　   </w:t>
      </w:r>
      <w:r>
        <w:rPr>
          <w:rFonts w:hint="eastAsia" w:ascii="宋体" w:hAnsi="宋体" w:cs="宋体"/>
          <w:szCs w:val="21"/>
        </w:rPr>
        <w:t xml:space="preserve"> 职   务： </w:t>
      </w:r>
      <w:r>
        <w:rPr>
          <w:rFonts w:hint="eastAsia" w:ascii="宋体" w:hAnsi="宋体" w:cs="宋体"/>
          <w:szCs w:val="21"/>
          <w:u w:val="single"/>
        </w:rPr>
        <w:t xml:space="preserve">  　　　　　　　　　　</w:t>
      </w:r>
    </w:p>
    <w:p>
      <w:pPr>
        <w:spacing w:line="480" w:lineRule="exact"/>
        <w:ind w:firstLine="420" w:firstLineChars="200"/>
        <w:rPr>
          <w:rFonts w:ascii="宋体" w:hAnsi="宋体" w:cs="宋体"/>
          <w:szCs w:val="21"/>
          <w:u w:val="single"/>
        </w:rPr>
      </w:pPr>
      <w:r>
        <w:rPr>
          <w:rFonts w:hint="eastAsia" w:ascii="宋体" w:hAnsi="宋体" w:cs="宋体"/>
          <w:szCs w:val="21"/>
        </w:rPr>
        <w:t>投标人 (盖章)：</w:t>
      </w:r>
      <w:r>
        <w:rPr>
          <w:rFonts w:hint="eastAsia" w:ascii="宋体" w:hAnsi="宋体" w:cs="宋体"/>
          <w:szCs w:val="21"/>
          <w:u w:val="single"/>
        </w:rPr>
        <w:t xml:space="preserve">                                   </w:t>
      </w:r>
    </w:p>
    <w:p>
      <w:pPr>
        <w:spacing w:line="480" w:lineRule="exact"/>
        <w:ind w:firstLine="420" w:firstLineChars="200"/>
        <w:rPr>
          <w:rFonts w:ascii="宋体" w:hAnsi="宋体" w:cs="宋体"/>
          <w:szCs w:val="21"/>
        </w:rPr>
      </w:pPr>
      <w:r>
        <w:rPr>
          <w:rFonts w:hint="eastAsia" w:ascii="宋体" w:hAnsi="宋体" w:cs="宋体"/>
          <w:szCs w:val="21"/>
        </w:rPr>
        <w:t xml:space="preserve">法定代表人(签字)： </w:t>
      </w:r>
      <w:r>
        <w:rPr>
          <w:rFonts w:hint="eastAsia" w:ascii="宋体" w:hAnsi="宋体" w:cs="宋体"/>
          <w:szCs w:val="21"/>
          <w:u w:val="single"/>
        </w:rPr>
        <w:t xml:space="preserve">                         </w:t>
      </w:r>
    </w:p>
    <w:p>
      <w:pPr>
        <w:pStyle w:val="16"/>
        <w:spacing w:line="480" w:lineRule="auto"/>
        <w:ind w:left="5250"/>
        <w:rPr>
          <w:rFonts w:ascii="宋体" w:eastAsia="宋体" w:cs="宋体"/>
          <w:sz w:val="21"/>
          <w:szCs w:val="21"/>
        </w:rPr>
      </w:pPr>
    </w:p>
    <w:p>
      <w:pPr>
        <w:spacing w:line="480" w:lineRule="exact"/>
        <w:ind w:firstLine="420" w:firstLineChars="200"/>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napToGrid w:val="0"/>
        <w:spacing w:line="360" w:lineRule="auto"/>
        <w:rPr>
          <w:rFonts w:ascii="宋体" w:hAnsi="宋体" w:cs="宋体"/>
          <w:b/>
          <w:sz w:val="24"/>
          <w:u w:val="dash"/>
        </w:rPr>
      </w:pPr>
      <w:r>
        <w:rPr>
          <w:rFonts w:hint="eastAsia" w:ascii="宋体" w:hAnsi="宋体" w:cs="宋体"/>
          <w:b/>
          <w:sz w:val="24"/>
          <w:u w:val="dash"/>
        </w:rPr>
        <w:t xml:space="preserve">                                                                              </w:t>
      </w:r>
    </w:p>
    <w:p>
      <w:pPr>
        <w:spacing w:line="360" w:lineRule="auto"/>
        <w:jc w:val="center"/>
        <w:rPr>
          <w:rFonts w:ascii="宋体" w:hAnsi="宋体" w:cs="宋体"/>
          <w:bCs/>
          <w:sz w:val="24"/>
        </w:rPr>
      </w:pPr>
    </w:p>
    <w:p>
      <w:pPr>
        <w:spacing w:line="360" w:lineRule="auto"/>
        <w:jc w:val="center"/>
        <w:rPr>
          <w:rFonts w:ascii="宋体" w:hAnsi="宋体" w:cs="宋体"/>
          <w:bCs/>
          <w:sz w:val="24"/>
        </w:rPr>
      </w:pPr>
      <w:r>
        <w:rPr>
          <w:rFonts w:hint="eastAsia" w:ascii="宋体" w:hAnsi="宋体" w:cs="宋体"/>
          <w:bCs/>
          <w:sz w:val="24"/>
        </w:rPr>
        <w:t>被授权人身份证复印件黏贴处</w:t>
      </w:r>
    </w:p>
    <w:p>
      <w:pPr>
        <w:sectPr>
          <w:headerReference r:id="rId3" w:type="default"/>
          <w:footerReference r:id="rId4" w:type="default"/>
          <w:pgSz w:w="11906" w:h="16838"/>
          <w:pgMar w:top="1247" w:right="1247" w:bottom="1247" w:left="1247" w:header="851" w:footer="992" w:gutter="0"/>
          <w:cols w:space="720" w:num="1"/>
          <w:docGrid w:linePitch="312" w:charSpace="0"/>
        </w:sectPr>
      </w:pPr>
    </w:p>
    <w:p>
      <w:pPr>
        <w:pStyle w:val="4"/>
        <w:jc w:val="center"/>
        <w:rPr>
          <w:rFonts w:ascii="宋体" w:hAnsi="宋体" w:eastAsia="宋体" w:cs="宋体"/>
          <w:sz w:val="28"/>
          <w:szCs w:val="28"/>
        </w:rPr>
      </w:pPr>
      <w:bookmarkStart w:id="169" w:name="_Toc19603"/>
      <w:bookmarkStart w:id="170" w:name="_Toc8549"/>
      <w:bookmarkStart w:id="171" w:name="_Toc24255"/>
      <w:bookmarkStart w:id="172" w:name="_Toc5664"/>
      <w:bookmarkStart w:id="173" w:name="_Toc17582"/>
      <w:bookmarkStart w:id="174" w:name="_Toc95211198"/>
      <w:r>
        <w:rPr>
          <w:rFonts w:hint="eastAsia" w:ascii="宋体" w:hAnsi="宋体" w:eastAsia="宋体" w:cs="宋体"/>
          <w:sz w:val="28"/>
          <w:szCs w:val="28"/>
        </w:rPr>
        <w:t>二、技术资信文件格式</w:t>
      </w:r>
      <w:bookmarkEnd w:id="169"/>
      <w:bookmarkEnd w:id="170"/>
      <w:bookmarkEnd w:id="171"/>
      <w:bookmarkEnd w:id="172"/>
      <w:bookmarkEnd w:id="173"/>
      <w:bookmarkEnd w:id="174"/>
    </w:p>
    <w:p>
      <w:pPr>
        <w:adjustRightInd w:val="0"/>
        <w:snapToGrid w:val="0"/>
        <w:rPr>
          <w:rFonts w:ascii="宋体" w:hAnsi="宋体" w:cs="宋体"/>
          <w:sz w:val="24"/>
        </w:rPr>
      </w:pPr>
    </w:p>
    <w:p>
      <w:pPr>
        <w:adjustRightInd w:val="0"/>
        <w:snapToGrid w:val="0"/>
        <w:rPr>
          <w:rFonts w:ascii="宋体" w:hAnsi="宋体" w:cs="宋体"/>
          <w:sz w:val="24"/>
        </w:rPr>
      </w:pPr>
      <w:r>
        <w:rPr>
          <w:rFonts w:hint="eastAsia" w:ascii="宋体" w:hAnsi="宋体" w:cs="宋体"/>
          <w:sz w:val="24"/>
        </w:rPr>
        <w:t xml:space="preserve">1、技术资信文件封面格式： </w:t>
      </w:r>
    </w:p>
    <w:p>
      <w:pPr>
        <w:adjustRightInd w:val="0"/>
        <w:snapToGrid w:val="0"/>
        <w:rPr>
          <w:rFonts w:ascii="宋体" w:hAnsi="宋体" w:cs="宋体"/>
          <w:sz w:val="24"/>
        </w:rPr>
      </w:pPr>
    </w:p>
    <w:p>
      <w:pPr>
        <w:adjustRightInd w:val="0"/>
        <w:snapToGrid w:val="0"/>
        <w:rPr>
          <w:rFonts w:ascii="宋体" w:hAnsi="宋体" w:cs="宋体"/>
          <w:b/>
          <w:bCs/>
          <w:sz w:val="24"/>
        </w:rPr>
      </w:pPr>
      <w:r>
        <w:rPr>
          <w:rFonts w:hint="eastAsia" w:ascii="宋体" w:hAnsi="宋体" w:cs="宋体"/>
          <w:sz w:val="24"/>
        </w:rPr>
        <w:t xml:space="preserve">                                                         </w:t>
      </w:r>
    </w:p>
    <w:p>
      <w:pPr>
        <w:adjustRightInd w:val="0"/>
        <w:snapToGrid w:val="0"/>
        <w:jc w:val="center"/>
        <w:rPr>
          <w:rFonts w:ascii="宋体" w:hAnsi="宋体" w:cs="宋体"/>
          <w:bCs/>
          <w:sz w:val="30"/>
          <w:szCs w:val="30"/>
        </w:rPr>
      </w:pPr>
      <w:r>
        <w:rPr>
          <w:rFonts w:hint="eastAsia" w:ascii="宋体" w:hAnsi="宋体" w:cs="宋体"/>
          <w:bCs/>
          <w:sz w:val="30"/>
          <w:szCs w:val="30"/>
        </w:rPr>
        <w:t>×××（投标人名称）</w:t>
      </w:r>
    </w:p>
    <w:p>
      <w:pPr>
        <w:adjustRightInd w:val="0"/>
        <w:snapToGrid w:val="0"/>
        <w:jc w:val="center"/>
        <w:rPr>
          <w:rFonts w:ascii="宋体" w:hAnsi="宋体" w:cs="宋体"/>
          <w:bCs/>
          <w:sz w:val="30"/>
          <w:szCs w:val="30"/>
        </w:rPr>
      </w:pPr>
    </w:p>
    <w:p>
      <w:pPr>
        <w:adjustRightInd w:val="0"/>
        <w:snapToGrid w:val="0"/>
        <w:jc w:val="center"/>
        <w:rPr>
          <w:rFonts w:ascii="宋体" w:hAnsi="宋体" w:cs="宋体"/>
          <w:b/>
          <w:bCs/>
          <w:sz w:val="48"/>
          <w:szCs w:val="48"/>
        </w:rPr>
      </w:pPr>
      <w:r>
        <w:rPr>
          <w:rFonts w:hint="eastAsia" w:ascii="宋体" w:hAnsi="宋体" w:cs="宋体"/>
          <w:b/>
          <w:bCs/>
          <w:sz w:val="48"/>
          <w:szCs w:val="48"/>
        </w:rPr>
        <w:t>技术资信文件</w:t>
      </w:r>
    </w:p>
    <w:p>
      <w:pPr>
        <w:adjustRightInd w:val="0"/>
        <w:snapToGrid w:val="0"/>
        <w:jc w:val="center"/>
        <w:rPr>
          <w:rFonts w:ascii="宋体" w:hAnsi="宋体" w:cs="宋体"/>
          <w:b/>
          <w:bCs/>
          <w:sz w:val="44"/>
          <w:szCs w:val="44"/>
        </w:rPr>
      </w:pPr>
    </w:p>
    <w:p>
      <w:pPr>
        <w:adjustRightInd w:val="0"/>
        <w:snapToGrid w:val="0"/>
        <w:ind w:left="2250" w:leftChars="500" w:hanging="1200" w:hangingChars="500"/>
        <w:rPr>
          <w:rFonts w:ascii="宋体" w:hAnsi="宋体" w:cs="宋体"/>
          <w:bCs/>
          <w:sz w:val="24"/>
        </w:rPr>
      </w:pPr>
      <w:r>
        <w:rPr>
          <w:rFonts w:hint="eastAsia" w:ascii="宋体" w:hAnsi="宋体" w:cs="宋体"/>
          <w:bCs/>
          <w:sz w:val="24"/>
        </w:rPr>
        <w:t xml:space="preserve">项目名称： </w:t>
      </w:r>
    </w:p>
    <w:p>
      <w:pPr>
        <w:adjustRightInd w:val="0"/>
        <w:snapToGrid w:val="0"/>
        <w:ind w:firstLine="480" w:firstLineChars="200"/>
        <w:rPr>
          <w:rFonts w:ascii="宋体" w:hAnsi="宋体" w:cs="宋体"/>
          <w:bCs/>
          <w:sz w:val="24"/>
        </w:rPr>
      </w:pPr>
      <w:r>
        <w:rPr>
          <w:rFonts w:hint="eastAsia" w:ascii="宋体" w:hAnsi="宋体" w:cs="宋体"/>
          <w:bCs/>
          <w:sz w:val="24"/>
        </w:rPr>
        <w:t xml:space="preserve">     项目编号：</w:t>
      </w:r>
    </w:p>
    <w:p>
      <w:pPr>
        <w:adjustRightInd w:val="0"/>
        <w:snapToGrid w:val="0"/>
        <w:ind w:firstLine="480" w:firstLineChars="200"/>
        <w:rPr>
          <w:rFonts w:ascii="宋体" w:hAnsi="宋体" w:cs="宋体"/>
          <w:sz w:val="24"/>
        </w:rPr>
      </w:pPr>
      <w:r>
        <w:rPr>
          <w:rFonts w:hint="eastAsia" w:ascii="宋体" w:hAnsi="宋体" w:cs="宋体"/>
          <w:sz w:val="24"/>
        </w:rPr>
        <w:t xml:space="preserve">     投标人名称（盖章）：</w:t>
      </w:r>
    </w:p>
    <w:p>
      <w:pPr>
        <w:adjustRightInd w:val="0"/>
        <w:snapToGrid w:val="0"/>
        <w:ind w:firstLine="1080" w:firstLineChars="450"/>
        <w:rPr>
          <w:rFonts w:ascii="宋体" w:hAnsi="宋体" w:cs="宋体"/>
          <w:sz w:val="24"/>
        </w:rPr>
      </w:pPr>
      <w:r>
        <w:rPr>
          <w:rFonts w:hint="eastAsia" w:ascii="宋体" w:hAnsi="宋体" w:cs="宋体"/>
          <w:sz w:val="24"/>
        </w:rPr>
        <w:t>投标人地址：</w:t>
      </w:r>
    </w:p>
    <w:p>
      <w:pPr>
        <w:adjustRightInd w:val="0"/>
        <w:snapToGrid w:val="0"/>
        <w:ind w:firstLine="4080" w:firstLineChars="1700"/>
        <w:rPr>
          <w:rFonts w:ascii="宋体" w:hAnsi="宋体" w:cs="宋体"/>
          <w:sz w:val="24"/>
        </w:rPr>
      </w:pPr>
      <w:r>
        <w:rPr>
          <w:rFonts w:hint="eastAsia" w:ascii="宋体" w:hAnsi="宋体" w:cs="宋体"/>
          <w:sz w:val="24"/>
        </w:rPr>
        <w:t>授权代表签名或盖章：</w:t>
      </w:r>
    </w:p>
    <w:p>
      <w:pPr>
        <w:adjustRightInd w:val="0"/>
        <w:snapToGrid w:val="0"/>
        <w:ind w:firstLine="645"/>
        <w:jc w:val="right"/>
        <w:rPr>
          <w:rFonts w:ascii="宋体" w:hAnsi="宋体" w:cs="宋体"/>
          <w:sz w:val="24"/>
        </w:rPr>
      </w:pPr>
      <w:r>
        <w:rPr>
          <w:rFonts w:hint="eastAsia" w:ascii="宋体" w:hAnsi="宋体" w:cs="宋体"/>
          <w:sz w:val="24"/>
        </w:rPr>
        <w:t xml:space="preserve">                        年  月  日</w:t>
      </w: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pStyle w:val="31"/>
        <w:ind w:firstLine="210"/>
      </w:pPr>
    </w:p>
    <w:p>
      <w:pPr>
        <w:tabs>
          <w:tab w:val="left" w:pos="8280"/>
        </w:tabs>
        <w:adjustRightInd w:val="0"/>
        <w:snapToGrid w:val="0"/>
        <w:rPr>
          <w:rFonts w:ascii="宋体" w:hAnsi="宋体" w:cs="宋体"/>
          <w:sz w:val="32"/>
        </w:rPr>
      </w:pPr>
      <w:r>
        <w:rPr>
          <w:rFonts w:hint="eastAsia" w:ascii="宋体" w:hAnsi="宋体" w:cs="宋体"/>
          <w:sz w:val="28"/>
          <w:szCs w:val="21"/>
        </w:rPr>
        <w:t>3</w:t>
      </w:r>
      <w:r>
        <w:rPr>
          <w:rFonts w:hint="eastAsia" w:ascii="宋体" w:hAnsi="宋体" w:cs="宋体"/>
          <w:sz w:val="36"/>
        </w:rPr>
        <w:t>、</w:t>
      </w:r>
      <w:r>
        <w:rPr>
          <w:rFonts w:hint="eastAsia" w:ascii="宋体" w:hAnsi="宋体" w:cs="宋体"/>
          <w:sz w:val="32"/>
        </w:rPr>
        <w:t>目录</w:t>
      </w:r>
    </w:p>
    <w:p>
      <w:pPr>
        <w:numPr>
          <w:ilvl w:val="0"/>
          <w:numId w:val="12"/>
        </w:numPr>
        <w:tabs>
          <w:tab w:val="clear" w:pos="533"/>
        </w:tabs>
        <w:adjustRightInd w:val="0"/>
        <w:snapToGrid w:val="0"/>
        <w:spacing w:line="360" w:lineRule="exact"/>
        <w:jc w:val="left"/>
        <w:rPr>
          <w:rFonts w:ascii="宋体" w:hAnsi="宋体" w:cs="宋体"/>
          <w:szCs w:val="21"/>
        </w:rPr>
      </w:pPr>
      <w:r>
        <w:rPr>
          <w:rFonts w:hint="eastAsia" w:ascii="宋体" w:hAnsi="宋体" w:cs="宋体"/>
          <w:szCs w:val="21"/>
        </w:rPr>
        <w:t>投标单位情况表（格式见第六章）；</w:t>
      </w:r>
    </w:p>
    <w:p>
      <w:pPr>
        <w:numPr>
          <w:ilvl w:val="0"/>
          <w:numId w:val="12"/>
        </w:numPr>
        <w:tabs>
          <w:tab w:val="clear" w:pos="533"/>
        </w:tabs>
        <w:adjustRightInd w:val="0"/>
        <w:snapToGrid w:val="0"/>
        <w:spacing w:line="360" w:lineRule="exact"/>
        <w:jc w:val="left"/>
        <w:rPr>
          <w:rFonts w:ascii="宋体" w:hAnsi="宋体" w:cs="宋体"/>
          <w:szCs w:val="21"/>
        </w:rPr>
      </w:pPr>
      <w:r>
        <w:rPr>
          <w:rFonts w:hint="eastAsia" w:ascii="宋体" w:hAnsi="宋体" w:cs="宋体"/>
          <w:szCs w:val="21"/>
        </w:rPr>
        <w:t>技术响应表（格式见第六章）；</w:t>
      </w:r>
    </w:p>
    <w:p>
      <w:pPr>
        <w:numPr>
          <w:ilvl w:val="0"/>
          <w:numId w:val="12"/>
        </w:numPr>
        <w:tabs>
          <w:tab w:val="clear" w:pos="533"/>
        </w:tabs>
        <w:adjustRightInd w:val="0"/>
        <w:snapToGrid w:val="0"/>
        <w:spacing w:line="360" w:lineRule="exact"/>
        <w:jc w:val="left"/>
        <w:rPr>
          <w:rFonts w:ascii="宋体" w:hAnsi="宋体" w:cs="宋体"/>
          <w:szCs w:val="21"/>
        </w:rPr>
      </w:pPr>
      <w:r>
        <w:rPr>
          <w:rFonts w:hint="eastAsia" w:ascii="宋体" w:hAnsi="宋体" w:cs="宋体"/>
          <w:szCs w:val="21"/>
        </w:rPr>
        <w:t>技术指标响应程度；</w:t>
      </w:r>
    </w:p>
    <w:p>
      <w:pPr>
        <w:numPr>
          <w:ilvl w:val="0"/>
          <w:numId w:val="12"/>
        </w:numPr>
        <w:tabs>
          <w:tab w:val="clear" w:pos="533"/>
        </w:tabs>
        <w:adjustRightInd w:val="0"/>
        <w:snapToGrid w:val="0"/>
        <w:spacing w:line="360" w:lineRule="exact"/>
        <w:jc w:val="left"/>
        <w:rPr>
          <w:rFonts w:ascii="宋体" w:hAnsi="宋体" w:cs="宋体"/>
          <w:szCs w:val="21"/>
        </w:rPr>
      </w:pPr>
      <w:r>
        <w:rPr>
          <w:rFonts w:hint="eastAsia" w:ascii="宋体" w:hAnsi="宋体" w:cs="宋体"/>
          <w:szCs w:val="21"/>
        </w:rPr>
        <w:t>总体建设方案；</w:t>
      </w:r>
    </w:p>
    <w:p>
      <w:pPr>
        <w:numPr>
          <w:ilvl w:val="0"/>
          <w:numId w:val="12"/>
        </w:numPr>
        <w:tabs>
          <w:tab w:val="clear" w:pos="533"/>
        </w:tabs>
        <w:adjustRightInd w:val="0"/>
        <w:snapToGrid w:val="0"/>
        <w:spacing w:line="360" w:lineRule="exact"/>
        <w:jc w:val="left"/>
        <w:rPr>
          <w:rFonts w:ascii="宋体" w:hAnsi="宋体" w:cs="宋体"/>
          <w:szCs w:val="21"/>
        </w:rPr>
      </w:pPr>
      <w:r>
        <w:rPr>
          <w:rFonts w:hint="eastAsia" w:ascii="宋体" w:hAnsi="宋体" w:cs="宋体"/>
          <w:szCs w:val="21"/>
        </w:rPr>
        <w:t>确保供应货物质量的设施及措施；</w:t>
      </w:r>
    </w:p>
    <w:p>
      <w:pPr>
        <w:numPr>
          <w:ilvl w:val="0"/>
          <w:numId w:val="12"/>
        </w:numPr>
        <w:tabs>
          <w:tab w:val="clear" w:pos="533"/>
        </w:tabs>
        <w:adjustRightInd w:val="0"/>
        <w:snapToGrid w:val="0"/>
        <w:spacing w:line="360" w:lineRule="exact"/>
        <w:jc w:val="left"/>
        <w:rPr>
          <w:rFonts w:ascii="宋体" w:hAnsi="宋体" w:cs="宋体"/>
          <w:szCs w:val="21"/>
        </w:rPr>
      </w:pPr>
      <w:r>
        <w:rPr>
          <w:rFonts w:hint="eastAsia" w:ascii="宋体" w:hAnsi="宋体" w:cs="宋体"/>
          <w:szCs w:val="21"/>
        </w:rPr>
        <w:t>确保工期和进度的方案和措施</w:t>
      </w:r>
    </w:p>
    <w:p>
      <w:pPr>
        <w:numPr>
          <w:ilvl w:val="0"/>
          <w:numId w:val="12"/>
        </w:numPr>
        <w:tabs>
          <w:tab w:val="clear" w:pos="533"/>
        </w:tabs>
        <w:adjustRightInd w:val="0"/>
        <w:snapToGrid w:val="0"/>
        <w:spacing w:line="360" w:lineRule="exact"/>
        <w:jc w:val="left"/>
        <w:rPr>
          <w:rFonts w:ascii="宋体" w:hAnsi="宋体" w:cs="宋体"/>
          <w:szCs w:val="21"/>
        </w:rPr>
      </w:pPr>
      <w:r>
        <w:rPr>
          <w:rFonts w:hint="eastAsia" w:ascii="宋体" w:hAnsi="宋体" w:cs="宋体"/>
          <w:szCs w:val="21"/>
        </w:rPr>
        <w:t>安装、调试、验收的方案和措施</w:t>
      </w:r>
    </w:p>
    <w:p>
      <w:pPr>
        <w:numPr>
          <w:ilvl w:val="0"/>
          <w:numId w:val="12"/>
        </w:numPr>
        <w:tabs>
          <w:tab w:val="clear" w:pos="533"/>
        </w:tabs>
        <w:adjustRightInd w:val="0"/>
        <w:snapToGrid w:val="0"/>
        <w:spacing w:line="360" w:lineRule="exact"/>
        <w:jc w:val="left"/>
        <w:rPr>
          <w:rFonts w:ascii="宋体" w:hAnsi="宋体" w:cs="宋体"/>
          <w:szCs w:val="21"/>
        </w:rPr>
      </w:pPr>
      <w:r>
        <w:rPr>
          <w:rFonts w:hint="eastAsia" w:ascii="宋体" w:hAnsi="宋体" w:cs="宋体"/>
          <w:szCs w:val="21"/>
        </w:rPr>
        <w:t>拟投入实施的团队人员配置（格式见第六章）；</w:t>
      </w:r>
    </w:p>
    <w:p>
      <w:pPr>
        <w:numPr>
          <w:ilvl w:val="0"/>
          <w:numId w:val="12"/>
        </w:numPr>
        <w:tabs>
          <w:tab w:val="clear" w:pos="533"/>
        </w:tabs>
        <w:adjustRightInd w:val="0"/>
        <w:snapToGrid w:val="0"/>
        <w:spacing w:line="360" w:lineRule="exact"/>
        <w:jc w:val="left"/>
        <w:rPr>
          <w:rFonts w:ascii="宋体" w:hAnsi="宋体" w:cs="宋体"/>
          <w:szCs w:val="21"/>
        </w:rPr>
      </w:pPr>
      <w:r>
        <w:rPr>
          <w:rFonts w:hint="eastAsia" w:ascii="宋体" w:hAnsi="宋体" w:cs="宋体"/>
          <w:szCs w:val="21"/>
        </w:rPr>
        <w:t>售后服务及承诺；</w:t>
      </w:r>
    </w:p>
    <w:p>
      <w:pPr>
        <w:adjustRightInd w:val="0"/>
        <w:snapToGrid w:val="0"/>
        <w:spacing w:line="360" w:lineRule="exact"/>
        <w:ind w:left="113"/>
        <w:jc w:val="left"/>
        <w:rPr>
          <w:rFonts w:ascii="宋体" w:hAnsi="宋体" w:cs="宋体"/>
          <w:szCs w:val="21"/>
        </w:rPr>
      </w:pPr>
      <w:r>
        <w:rPr>
          <w:rFonts w:hint="eastAsia" w:ascii="宋体" w:hAnsi="宋体" w:cs="宋体"/>
          <w:szCs w:val="21"/>
        </w:rPr>
        <w:t>(10)体系认证证书；</w:t>
      </w:r>
    </w:p>
    <w:p>
      <w:pPr>
        <w:adjustRightInd w:val="0"/>
        <w:snapToGrid w:val="0"/>
        <w:spacing w:line="360" w:lineRule="exact"/>
        <w:ind w:left="113"/>
        <w:jc w:val="left"/>
        <w:rPr>
          <w:rFonts w:ascii="宋体" w:hAnsi="宋体" w:cs="宋体"/>
          <w:szCs w:val="21"/>
        </w:rPr>
      </w:pPr>
      <w:r>
        <w:rPr>
          <w:rFonts w:hint="eastAsia" w:ascii="宋体" w:hAnsi="宋体" w:cs="宋体"/>
          <w:szCs w:val="21"/>
        </w:rPr>
        <w:t>(11)商务响应表（格式见第六章）；</w:t>
      </w:r>
    </w:p>
    <w:p>
      <w:pPr>
        <w:adjustRightInd w:val="0"/>
        <w:snapToGrid w:val="0"/>
        <w:spacing w:line="360" w:lineRule="exact"/>
        <w:ind w:left="113"/>
        <w:jc w:val="left"/>
        <w:rPr>
          <w:rFonts w:ascii="宋体" w:hAnsi="宋体" w:cs="宋体"/>
          <w:szCs w:val="21"/>
        </w:rPr>
      </w:pPr>
      <w:r>
        <w:rPr>
          <w:rFonts w:hint="eastAsia" w:ascii="宋体" w:hAnsi="宋体" w:cs="宋体"/>
          <w:szCs w:val="21"/>
        </w:rPr>
        <w:t>(12)同类项目实施情况一览表（格式见第六章）；</w:t>
      </w:r>
    </w:p>
    <w:p>
      <w:pPr>
        <w:adjustRightInd w:val="0"/>
        <w:snapToGrid w:val="0"/>
        <w:spacing w:line="360" w:lineRule="exact"/>
        <w:ind w:left="113"/>
        <w:jc w:val="left"/>
        <w:rPr>
          <w:rFonts w:ascii="宋体" w:hAnsi="宋体" w:cs="宋体"/>
          <w:szCs w:val="21"/>
        </w:rPr>
      </w:pPr>
      <w:r>
        <w:rPr>
          <w:rFonts w:hint="eastAsia" w:ascii="宋体" w:hAnsi="宋体" w:cs="宋体"/>
          <w:szCs w:val="21"/>
        </w:rPr>
        <w:t>(13)根据评分表及项目需求情况，自行添加相关表格及资料。。</w:t>
      </w:r>
    </w:p>
    <w:p>
      <w:pPr>
        <w:tabs>
          <w:tab w:val="left" w:pos="533"/>
        </w:tabs>
        <w:adjustRightInd w:val="0"/>
        <w:snapToGrid w:val="0"/>
        <w:spacing w:line="360" w:lineRule="exact"/>
        <w:ind w:left="113"/>
        <w:jc w:val="left"/>
        <w:rPr>
          <w:rFonts w:ascii="宋体" w:hAnsi="宋体" w:cs="宋体"/>
          <w:sz w:val="24"/>
        </w:rPr>
      </w:pPr>
    </w:p>
    <w:p>
      <w:pPr>
        <w:tabs>
          <w:tab w:val="left" w:pos="533"/>
        </w:tabs>
        <w:adjustRightInd w:val="0"/>
        <w:snapToGrid w:val="0"/>
        <w:spacing w:line="360" w:lineRule="exact"/>
        <w:ind w:left="113"/>
        <w:jc w:val="left"/>
        <w:rPr>
          <w:rFonts w:ascii="宋体" w:hAnsi="宋体" w:cs="宋体"/>
        </w:rPr>
      </w:pPr>
    </w:p>
    <w:p>
      <w:pPr>
        <w:tabs>
          <w:tab w:val="left" w:pos="533"/>
        </w:tabs>
        <w:adjustRightInd w:val="0"/>
        <w:snapToGrid w:val="0"/>
        <w:spacing w:line="360" w:lineRule="exact"/>
        <w:ind w:left="113"/>
        <w:jc w:val="left"/>
        <w:rPr>
          <w:rFonts w:ascii="宋体" w:hAnsi="宋体" w:cs="宋体"/>
          <w:sz w:val="24"/>
        </w:rPr>
      </w:pPr>
    </w:p>
    <w:p>
      <w:pPr>
        <w:tabs>
          <w:tab w:val="left" w:pos="533"/>
        </w:tabs>
        <w:adjustRightInd w:val="0"/>
        <w:snapToGrid w:val="0"/>
        <w:spacing w:line="360" w:lineRule="exact"/>
        <w:ind w:left="113"/>
        <w:jc w:val="left"/>
        <w:rPr>
          <w:rFonts w:ascii="宋体" w:hAnsi="宋体" w:cs="宋体"/>
          <w:sz w:val="24"/>
        </w:rPr>
      </w:pPr>
    </w:p>
    <w:p>
      <w:pPr>
        <w:tabs>
          <w:tab w:val="left" w:pos="533"/>
        </w:tabs>
        <w:adjustRightInd w:val="0"/>
        <w:snapToGrid w:val="0"/>
        <w:spacing w:line="360" w:lineRule="exact"/>
        <w:ind w:left="113"/>
        <w:jc w:val="left"/>
        <w:rPr>
          <w:rFonts w:ascii="宋体" w:hAnsi="宋体" w:cs="宋体"/>
          <w:sz w:val="24"/>
        </w:rPr>
      </w:pPr>
    </w:p>
    <w:p>
      <w:pPr>
        <w:tabs>
          <w:tab w:val="left" w:pos="533"/>
        </w:tabs>
        <w:adjustRightInd w:val="0"/>
        <w:snapToGrid w:val="0"/>
        <w:spacing w:line="360" w:lineRule="exact"/>
        <w:ind w:left="113"/>
        <w:jc w:val="left"/>
        <w:rPr>
          <w:rFonts w:ascii="宋体" w:hAnsi="宋体" w:cs="宋体"/>
          <w:sz w:val="24"/>
        </w:rPr>
      </w:pPr>
    </w:p>
    <w:p>
      <w:pPr>
        <w:tabs>
          <w:tab w:val="left" w:pos="533"/>
        </w:tabs>
        <w:adjustRightInd w:val="0"/>
        <w:snapToGrid w:val="0"/>
        <w:spacing w:line="360" w:lineRule="exact"/>
        <w:ind w:left="113"/>
        <w:jc w:val="left"/>
        <w:rPr>
          <w:rFonts w:ascii="宋体" w:hAnsi="宋体" w:cs="宋体"/>
          <w:sz w:val="24"/>
        </w:rPr>
      </w:pPr>
    </w:p>
    <w:p>
      <w:pPr>
        <w:tabs>
          <w:tab w:val="left" w:pos="533"/>
        </w:tabs>
        <w:adjustRightInd w:val="0"/>
        <w:snapToGrid w:val="0"/>
        <w:spacing w:line="360" w:lineRule="exact"/>
        <w:ind w:left="113"/>
        <w:jc w:val="left"/>
        <w:rPr>
          <w:rFonts w:ascii="宋体" w:hAnsi="宋体" w:cs="宋体"/>
          <w:sz w:val="24"/>
        </w:rPr>
      </w:pPr>
    </w:p>
    <w:p>
      <w:pPr>
        <w:tabs>
          <w:tab w:val="left" w:pos="533"/>
        </w:tabs>
        <w:adjustRightInd w:val="0"/>
        <w:snapToGrid w:val="0"/>
        <w:spacing w:line="360" w:lineRule="exact"/>
        <w:ind w:left="113"/>
        <w:jc w:val="left"/>
        <w:rPr>
          <w:rFonts w:ascii="宋体" w:hAnsi="宋体" w:cs="宋体"/>
          <w:sz w:val="24"/>
        </w:rPr>
      </w:pPr>
    </w:p>
    <w:p>
      <w:pPr>
        <w:tabs>
          <w:tab w:val="left" w:pos="533"/>
        </w:tabs>
        <w:adjustRightInd w:val="0"/>
        <w:snapToGrid w:val="0"/>
        <w:spacing w:line="360" w:lineRule="exact"/>
        <w:ind w:left="113"/>
        <w:jc w:val="left"/>
        <w:rPr>
          <w:rFonts w:ascii="宋体" w:hAnsi="宋体" w:cs="宋体"/>
          <w:sz w:val="24"/>
        </w:rPr>
      </w:pPr>
    </w:p>
    <w:p>
      <w:pPr>
        <w:tabs>
          <w:tab w:val="left" w:pos="533"/>
        </w:tabs>
        <w:adjustRightInd w:val="0"/>
        <w:snapToGrid w:val="0"/>
        <w:spacing w:line="360" w:lineRule="exact"/>
        <w:ind w:left="113"/>
        <w:jc w:val="left"/>
        <w:rPr>
          <w:rFonts w:ascii="宋体" w:hAnsi="宋体" w:cs="宋体"/>
          <w:sz w:val="24"/>
        </w:rPr>
      </w:pPr>
    </w:p>
    <w:p>
      <w:pPr>
        <w:tabs>
          <w:tab w:val="left" w:pos="533"/>
        </w:tabs>
        <w:adjustRightInd w:val="0"/>
        <w:snapToGrid w:val="0"/>
        <w:spacing w:line="360" w:lineRule="exact"/>
        <w:ind w:left="113"/>
        <w:jc w:val="left"/>
        <w:rPr>
          <w:rFonts w:ascii="宋体" w:hAnsi="宋体" w:cs="宋体"/>
          <w:sz w:val="24"/>
        </w:rPr>
      </w:pPr>
    </w:p>
    <w:p>
      <w:pPr>
        <w:tabs>
          <w:tab w:val="left" w:pos="533"/>
        </w:tabs>
        <w:adjustRightInd w:val="0"/>
        <w:snapToGrid w:val="0"/>
        <w:spacing w:line="360" w:lineRule="exact"/>
        <w:ind w:left="113"/>
        <w:jc w:val="left"/>
        <w:rPr>
          <w:rFonts w:ascii="宋体" w:hAnsi="宋体" w:cs="宋体"/>
          <w:sz w:val="24"/>
        </w:rPr>
      </w:pPr>
    </w:p>
    <w:p>
      <w:pPr>
        <w:tabs>
          <w:tab w:val="left" w:pos="533"/>
        </w:tabs>
        <w:adjustRightInd w:val="0"/>
        <w:snapToGrid w:val="0"/>
        <w:spacing w:line="360" w:lineRule="exact"/>
        <w:ind w:left="113"/>
        <w:jc w:val="left"/>
        <w:rPr>
          <w:rFonts w:ascii="宋体" w:hAnsi="宋体" w:cs="宋体"/>
          <w:sz w:val="24"/>
        </w:rPr>
      </w:pPr>
    </w:p>
    <w:p>
      <w:pPr>
        <w:tabs>
          <w:tab w:val="left" w:pos="533"/>
        </w:tabs>
        <w:adjustRightInd w:val="0"/>
        <w:snapToGrid w:val="0"/>
        <w:spacing w:line="360" w:lineRule="exact"/>
        <w:ind w:left="113"/>
        <w:jc w:val="left"/>
        <w:rPr>
          <w:rFonts w:ascii="宋体" w:hAnsi="宋体" w:cs="宋体"/>
          <w:sz w:val="24"/>
        </w:rPr>
      </w:pPr>
    </w:p>
    <w:p>
      <w:pPr>
        <w:tabs>
          <w:tab w:val="left" w:pos="533"/>
        </w:tabs>
        <w:adjustRightInd w:val="0"/>
        <w:snapToGrid w:val="0"/>
        <w:spacing w:line="360" w:lineRule="exact"/>
        <w:ind w:left="113"/>
        <w:jc w:val="left"/>
        <w:rPr>
          <w:rFonts w:ascii="宋体" w:hAnsi="宋体" w:cs="宋体"/>
          <w:sz w:val="24"/>
        </w:rPr>
      </w:pPr>
    </w:p>
    <w:p>
      <w:pPr>
        <w:tabs>
          <w:tab w:val="left" w:pos="533"/>
        </w:tabs>
        <w:adjustRightInd w:val="0"/>
        <w:snapToGrid w:val="0"/>
        <w:spacing w:line="360" w:lineRule="exact"/>
        <w:ind w:left="113"/>
        <w:jc w:val="left"/>
        <w:rPr>
          <w:rFonts w:ascii="宋体" w:hAnsi="宋体" w:cs="宋体"/>
          <w:sz w:val="24"/>
        </w:rPr>
      </w:pPr>
    </w:p>
    <w:p>
      <w:pPr>
        <w:tabs>
          <w:tab w:val="left" w:pos="533"/>
        </w:tabs>
        <w:adjustRightInd w:val="0"/>
        <w:snapToGrid w:val="0"/>
        <w:spacing w:line="360" w:lineRule="exact"/>
        <w:ind w:left="113"/>
        <w:jc w:val="left"/>
        <w:rPr>
          <w:rFonts w:ascii="宋体" w:hAnsi="宋体" w:cs="宋体"/>
          <w:sz w:val="24"/>
        </w:rPr>
      </w:pPr>
    </w:p>
    <w:p>
      <w:pPr>
        <w:tabs>
          <w:tab w:val="left" w:pos="533"/>
        </w:tabs>
        <w:adjustRightInd w:val="0"/>
        <w:snapToGrid w:val="0"/>
        <w:spacing w:line="360" w:lineRule="exact"/>
        <w:ind w:left="113"/>
        <w:jc w:val="left"/>
        <w:rPr>
          <w:rFonts w:ascii="宋体" w:hAnsi="宋体" w:cs="宋体"/>
          <w:sz w:val="24"/>
        </w:rPr>
      </w:pPr>
    </w:p>
    <w:p>
      <w:pPr>
        <w:pStyle w:val="11"/>
      </w:pPr>
    </w:p>
    <w:p>
      <w:pPr>
        <w:tabs>
          <w:tab w:val="left" w:pos="533"/>
        </w:tabs>
        <w:adjustRightInd w:val="0"/>
        <w:snapToGrid w:val="0"/>
        <w:spacing w:line="360" w:lineRule="exact"/>
        <w:ind w:left="113"/>
        <w:jc w:val="left"/>
        <w:rPr>
          <w:rFonts w:ascii="宋体" w:hAnsi="宋体" w:cs="宋体"/>
          <w:sz w:val="24"/>
        </w:rPr>
      </w:pPr>
    </w:p>
    <w:p>
      <w:pPr>
        <w:tabs>
          <w:tab w:val="left" w:pos="533"/>
        </w:tabs>
        <w:adjustRightInd w:val="0"/>
        <w:snapToGrid w:val="0"/>
        <w:spacing w:line="360" w:lineRule="exact"/>
        <w:ind w:left="113"/>
        <w:jc w:val="left"/>
        <w:rPr>
          <w:rFonts w:ascii="宋体" w:hAnsi="宋体" w:cs="宋体"/>
          <w:sz w:val="24"/>
        </w:rPr>
      </w:pPr>
    </w:p>
    <w:p>
      <w:pPr>
        <w:pStyle w:val="2"/>
      </w:pPr>
    </w:p>
    <w:p>
      <w:pPr>
        <w:pStyle w:val="31"/>
        <w:ind w:firstLine="210"/>
      </w:pPr>
    </w:p>
    <w:p>
      <w:pPr>
        <w:adjustRightInd w:val="0"/>
        <w:snapToGrid w:val="0"/>
        <w:rPr>
          <w:rFonts w:ascii="宋体" w:hAnsi="宋体" w:cs="宋体"/>
          <w:sz w:val="24"/>
        </w:rPr>
      </w:pPr>
    </w:p>
    <w:p>
      <w:pPr>
        <w:adjustRightInd w:val="0"/>
        <w:snapToGrid w:val="0"/>
        <w:jc w:val="left"/>
        <w:rPr>
          <w:rFonts w:ascii="宋体" w:hAnsi="宋体" w:cs="宋体"/>
          <w:sz w:val="24"/>
        </w:rPr>
      </w:pPr>
      <w:r>
        <w:rPr>
          <w:rFonts w:hint="eastAsia" w:ascii="宋体" w:hAnsi="宋体" w:cs="宋体"/>
          <w:sz w:val="24"/>
        </w:rPr>
        <w:t>5、投标单位情况表格式：</w:t>
      </w:r>
    </w:p>
    <w:p>
      <w:pPr>
        <w:spacing w:line="360" w:lineRule="exact"/>
        <w:ind w:firstLine="281" w:firstLineChars="100"/>
        <w:jc w:val="center"/>
        <w:rPr>
          <w:rFonts w:ascii="宋体" w:hAnsi="宋体" w:cs="宋体"/>
          <w:b/>
          <w:sz w:val="28"/>
          <w:szCs w:val="28"/>
        </w:rPr>
      </w:pPr>
    </w:p>
    <w:p>
      <w:pPr>
        <w:adjustRightInd w:val="0"/>
        <w:snapToGrid w:val="0"/>
        <w:jc w:val="center"/>
        <w:rPr>
          <w:rFonts w:ascii="宋体" w:hAnsi="宋体" w:cs="宋体"/>
          <w:b/>
          <w:sz w:val="36"/>
          <w:szCs w:val="36"/>
        </w:rPr>
      </w:pPr>
      <w:r>
        <w:rPr>
          <w:rFonts w:hint="eastAsia" w:ascii="宋体" w:hAnsi="宋体" w:cs="宋体"/>
          <w:b/>
          <w:sz w:val="36"/>
          <w:szCs w:val="36"/>
        </w:rPr>
        <w:t>投标单位情况表</w:t>
      </w:r>
    </w:p>
    <w:p>
      <w:pPr>
        <w:spacing w:line="360" w:lineRule="exact"/>
        <w:ind w:firstLine="210" w:firstLineChars="100"/>
        <w:rPr>
          <w:rFonts w:ascii="宋体" w:hAnsi="宋体" w:cs="宋体"/>
          <w:szCs w:val="21"/>
        </w:rPr>
      </w:pPr>
      <w:r>
        <w:rPr>
          <w:rFonts w:hint="eastAsia" w:ascii="宋体" w:hAnsi="宋体" w:cs="宋体"/>
          <w:szCs w:val="21"/>
        </w:rPr>
        <w:t>项目名称：                                                         项目编号：</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108"/>
        <w:gridCol w:w="1054"/>
        <w:gridCol w:w="1722"/>
        <w:gridCol w:w="880"/>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64" w:type="dxa"/>
            <w:vAlign w:val="center"/>
          </w:tcPr>
          <w:p>
            <w:pPr>
              <w:pStyle w:val="7"/>
              <w:ind w:firstLine="0"/>
              <w:jc w:val="center"/>
              <w:rPr>
                <w:rFonts w:ascii="宋体" w:hAnsi="宋体" w:cs="宋体"/>
                <w:szCs w:val="21"/>
              </w:rPr>
            </w:pPr>
            <w:r>
              <w:rPr>
                <w:rFonts w:hint="eastAsia" w:ascii="宋体" w:hAnsi="宋体" w:cs="宋体"/>
                <w:szCs w:val="21"/>
              </w:rPr>
              <w:t>投标单位（盖章）</w:t>
            </w:r>
          </w:p>
        </w:tc>
        <w:tc>
          <w:tcPr>
            <w:tcW w:w="2162" w:type="dxa"/>
            <w:gridSpan w:val="2"/>
            <w:vAlign w:val="center"/>
          </w:tcPr>
          <w:p>
            <w:pPr>
              <w:pStyle w:val="7"/>
              <w:ind w:firstLine="0"/>
              <w:jc w:val="center"/>
              <w:rPr>
                <w:rFonts w:ascii="宋体" w:hAnsi="宋体" w:cs="宋体"/>
                <w:szCs w:val="21"/>
              </w:rPr>
            </w:pPr>
          </w:p>
        </w:tc>
        <w:tc>
          <w:tcPr>
            <w:tcW w:w="1722" w:type="dxa"/>
            <w:vAlign w:val="center"/>
          </w:tcPr>
          <w:p>
            <w:pPr>
              <w:pStyle w:val="7"/>
              <w:ind w:firstLine="0"/>
              <w:jc w:val="center"/>
              <w:rPr>
                <w:rFonts w:ascii="宋体" w:hAnsi="宋体" w:cs="宋体"/>
                <w:szCs w:val="21"/>
              </w:rPr>
            </w:pPr>
            <w:r>
              <w:rPr>
                <w:rFonts w:hint="eastAsia" w:ascii="宋体" w:hAnsi="宋体" w:cs="宋体"/>
                <w:szCs w:val="21"/>
              </w:rPr>
              <w:t>注册时间</w:t>
            </w:r>
          </w:p>
        </w:tc>
        <w:tc>
          <w:tcPr>
            <w:tcW w:w="2747" w:type="dxa"/>
            <w:gridSpan w:val="2"/>
            <w:vAlign w:val="center"/>
          </w:tcPr>
          <w:p>
            <w:pPr>
              <w:pStyle w:val="7"/>
              <w:ind w:firstLine="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64" w:type="dxa"/>
            <w:vAlign w:val="center"/>
          </w:tcPr>
          <w:p>
            <w:pPr>
              <w:pStyle w:val="7"/>
              <w:ind w:firstLine="0"/>
              <w:jc w:val="center"/>
              <w:rPr>
                <w:rFonts w:ascii="宋体" w:hAnsi="宋体" w:cs="宋体"/>
                <w:szCs w:val="21"/>
              </w:rPr>
            </w:pPr>
            <w:r>
              <w:rPr>
                <w:rFonts w:hint="eastAsia" w:ascii="宋体" w:hAnsi="宋体" w:cs="宋体"/>
                <w:szCs w:val="21"/>
              </w:rPr>
              <w:t>注册地址</w:t>
            </w:r>
          </w:p>
        </w:tc>
        <w:tc>
          <w:tcPr>
            <w:tcW w:w="2162" w:type="dxa"/>
            <w:gridSpan w:val="2"/>
            <w:vAlign w:val="center"/>
          </w:tcPr>
          <w:p>
            <w:pPr>
              <w:pStyle w:val="7"/>
              <w:ind w:firstLine="0"/>
              <w:jc w:val="center"/>
              <w:rPr>
                <w:rFonts w:ascii="宋体" w:hAnsi="宋体" w:cs="宋体"/>
                <w:szCs w:val="21"/>
              </w:rPr>
            </w:pPr>
          </w:p>
        </w:tc>
        <w:tc>
          <w:tcPr>
            <w:tcW w:w="1722" w:type="dxa"/>
            <w:vAlign w:val="center"/>
          </w:tcPr>
          <w:p>
            <w:pPr>
              <w:pStyle w:val="7"/>
              <w:ind w:firstLine="0"/>
              <w:jc w:val="center"/>
              <w:rPr>
                <w:rFonts w:ascii="宋体" w:hAnsi="宋体" w:cs="宋体"/>
                <w:szCs w:val="21"/>
              </w:rPr>
            </w:pPr>
            <w:r>
              <w:rPr>
                <w:rFonts w:hint="eastAsia" w:ascii="宋体" w:hAnsi="宋体" w:cs="宋体"/>
                <w:szCs w:val="21"/>
              </w:rPr>
              <w:t>邮政编码</w:t>
            </w:r>
          </w:p>
        </w:tc>
        <w:tc>
          <w:tcPr>
            <w:tcW w:w="2747" w:type="dxa"/>
            <w:gridSpan w:val="2"/>
            <w:vAlign w:val="center"/>
          </w:tcPr>
          <w:p>
            <w:pPr>
              <w:pStyle w:val="7"/>
              <w:ind w:firstLine="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64" w:type="dxa"/>
            <w:vAlign w:val="center"/>
          </w:tcPr>
          <w:p>
            <w:pPr>
              <w:pStyle w:val="7"/>
              <w:ind w:firstLine="0"/>
              <w:jc w:val="center"/>
              <w:rPr>
                <w:rFonts w:ascii="宋体" w:hAnsi="宋体" w:cs="宋体"/>
                <w:szCs w:val="21"/>
              </w:rPr>
            </w:pPr>
            <w:r>
              <w:rPr>
                <w:rFonts w:hint="eastAsia" w:ascii="宋体" w:hAnsi="宋体" w:cs="宋体"/>
                <w:szCs w:val="21"/>
              </w:rPr>
              <w:t>资质</w:t>
            </w:r>
          </w:p>
        </w:tc>
        <w:tc>
          <w:tcPr>
            <w:tcW w:w="2162" w:type="dxa"/>
            <w:gridSpan w:val="2"/>
            <w:vAlign w:val="center"/>
          </w:tcPr>
          <w:p>
            <w:pPr>
              <w:pStyle w:val="7"/>
              <w:ind w:firstLine="0"/>
              <w:jc w:val="center"/>
              <w:rPr>
                <w:rFonts w:ascii="宋体" w:hAnsi="宋体" w:cs="宋体"/>
                <w:szCs w:val="21"/>
              </w:rPr>
            </w:pPr>
          </w:p>
        </w:tc>
        <w:tc>
          <w:tcPr>
            <w:tcW w:w="1722" w:type="dxa"/>
            <w:vAlign w:val="center"/>
          </w:tcPr>
          <w:p>
            <w:pPr>
              <w:pStyle w:val="7"/>
              <w:ind w:firstLine="0"/>
              <w:jc w:val="center"/>
              <w:rPr>
                <w:rFonts w:ascii="宋体" w:hAnsi="宋体" w:cs="宋体"/>
                <w:szCs w:val="21"/>
              </w:rPr>
            </w:pPr>
            <w:r>
              <w:rPr>
                <w:rFonts w:hint="eastAsia" w:ascii="宋体" w:hAnsi="宋体" w:cs="宋体"/>
                <w:szCs w:val="21"/>
              </w:rPr>
              <w:t>注册资金</w:t>
            </w:r>
          </w:p>
        </w:tc>
        <w:tc>
          <w:tcPr>
            <w:tcW w:w="2747" w:type="dxa"/>
            <w:gridSpan w:val="2"/>
            <w:vAlign w:val="center"/>
          </w:tcPr>
          <w:p>
            <w:pPr>
              <w:pStyle w:val="7"/>
              <w:ind w:firstLine="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64" w:type="dxa"/>
            <w:vAlign w:val="center"/>
          </w:tcPr>
          <w:p>
            <w:pPr>
              <w:pStyle w:val="7"/>
              <w:ind w:firstLine="0"/>
              <w:jc w:val="center"/>
              <w:rPr>
                <w:rFonts w:ascii="宋体" w:hAnsi="宋体" w:cs="宋体"/>
                <w:szCs w:val="21"/>
              </w:rPr>
            </w:pPr>
            <w:r>
              <w:rPr>
                <w:rFonts w:hint="eastAsia" w:ascii="宋体" w:hAnsi="宋体" w:cs="宋体"/>
                <w:szCs w:val="21"/>
              </w:rPr>
              <w:t>法定代表人</w:t>
            </w:r>
          </w:p>
        </w:tc>
        <w:tc>
          <w:tcPr>
            <w:tcW w:w="1108" w:type="dxa"/>
            <w:vAlign w:val="center"/>
          </w:tcPr>
          <w:p>
            <w:pPr>
              <w:pStyle w:val="7"/>
              <w:ind w:firstLine="0"/>
              <w:jc w:val="center"/>
              <w:rPr>
                <w:rFonts w:ascii="宋体" w:hAnsi="宋体" w:cs="宋体"/>
                <w:szCs w:val="21"/>
              </w:rPr>
            </w:pPr>
          </w:p>
        </w:tc>
        <w:tc>
          <w:tcPr>
            <w:tcW w:w="1054" w:type="dxa"/>
            <w:vAlign w:val="center"/>
          </w:tcPr>
          <w:p>
            <w:pPr>
              <w:pStyle w:val="7"/>
              <w:ind w:firstLine="0"/>
              <w:jc w:val="center"/>
              <w:rPr>
                <w:rFonts w:ascii="宋体" w:hAnsi="宋体" w:cs="宋体"/>
                <w:szCs w:val="21"/>
              </w:rPr>
            </w:pPr>
            <w:r>
              <w:rPr>
                <w:rFonts w:hint="eastAsia" w:ascii="宋体" w:hAnsi="宋体" w:cs="宋体"/>
                <w:szCs w:val="21"/>
              </w:rPr>
              <w:t>电话</w:t>
            </w:r>
          </w:p>
        </w:tc>
        <w:tc>
          <w:tcPr>
            <w:tcW w:w="1722" w:type="dxa"/>
            <w:vAlign w:val="center"/>
          </w:tcPr>
          <w:p>
            <w:pPr>
              <w:pStyle w:val="7"/>
              <w:ind w:firstLine="0"/>
              <w:jc w:val="center"/>
              <w:rPr>
                <w:rFonts w:ascii="宋体" w:hAnsi="宋体" w:cs="宋体"/>
                <w:szCs w:val="21"/>
              </w:rPr>
            </w:pPr>
          </w:p>
        </w:tc>
        <w:tc>
          <w:tcPr>
            <w:tcW w:w="880" w:type="dxa"/>
            <w:vAlign w:val="center"/>
          </w:tcPr>
          <w:p>
            <w:pPr>
              <w:pStyle w:val="7"/>
              <w:ind w:firstLine="0"/>
              <w:jc w:val="center"/>
              <w:rPr>
                <w:rFonts w:ascii="宋体" w:hAnsi="宋体" w:cs="宋体"/>
                <w:szCs w:val="21"/>
              </w:rPr>
            </w:pPr>
            <w:r>
              <w:rPr>
                <w:rFonts w:hint="eastAsia" w:ascii="宋体" w:hAnsi="宋体" w:cs="宋体"/>
                <w:szCs w:val="21"/>
              </w:rPr>
              <w:t>传真</w:t>
            </w:r>
          </w:p>
        </w:tc>
        <w:tc>
          <w:tcPr>
            <w:tcW w:w="1867" w:type="dxa"/>
            <w:vAlign w:val="center"/>
          </w:tcPr>
          <w:p>
            <w:pPr>
              <w:pStyle w:val="7"/>
              <w:ind w:firstLine="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64" w:type="dxa"/>
            <w:vAlign w:val="center"/>
          </w:tcPr>
          <w:p>
            <w:pPr>
              <w:pStyle w:val="7"/>
              <w:ind w:firstLine="0"/>
              <w:jc w:val="center"/>
              <w:rPr>
                <w:rFonts w:ascii="宋体" w:hAnsi="宋体" w:cs="宋体"/>
                <w:szCs w:val="21"/>
              </w:rPr>
            </w:pPr>
            <w:r>
              <w:rPr>
                <w:rFonts w:hint="eastAsia" w:ascii="宋体" w:hAnsi="宋体" w:cs="宋体"/>
                <w:szCs w:val="21"/>
              </w:rPr>
              <w:t>项目经理</w:t>
            </w:r>
          </w:p>
        </w:tc>
        <w:tc>
          <w:tcPr>
            <w:tcW w:w="2162" w:type="dxa"/>
            <w:gridSpan w:val="2"/>
            <w:vAlign w:val="center"/>
          </w:tcPr>
          <w:p>
            <w:pPr>
              <w:pStyle w:val="7"/>
              <w:ind w:firstLine="0"/>
              <w:jc w:val="center"/>
              <w:rPr>
                <w:rFonts w:ascii="宋体" w:hAnsi="宋体" w:cs="宋体"/>
                <w:szCs w:val="21"/>
              </w:rPr>
            </w:pPr>
          </w:p>
        </w:tc>
        <w:tc>
          <w:tcPr>
            <w:tcW w:w="1722" w:type="dxa"/>
            <w:vAlign w:val="center"/>
          </w:tcPr>
          <w:p>
            <w:pPr>
              <w:pStyle w:val="7"/>
              <w:ind w:firstLine="0"/>
              <w:jc w:val="center"/>
              <w:rPr>
                <w:rFonts w:ascii="宋体" w:hAnsi="宋体" w:cs="宋体"/>
                <w:szCs w:val="21"/>
              </w:rPr>
            </w:pPr>
            <w:r>
              <w:rPr>
                <w:rFonts w:hint="eastAsia" w:ascii="宋体" w:hAnsi="宋体" w:cs="宋体"/>
                <w:szCs w:val="21"/>
              </w:rPr>
              <w:t>电话</w:t>
            </w:r>
          </w:p>
        </w:tc>
        <w:tc>
          <w:tcPr>
            <w:tcW w:w="2747" w:type="dxa"/>
            <w:gridSpan w:val="2"/>
            <w:vAlign w:val="center"/>
          </w:tcPr>
          <w:p>
            <w:pPr>
              <w:pStyle w:val="7"/>
              <w:ind w:firstLine="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64" w:type="dxa"/>
            <w:vAlign w:val="center"/>
          </w:tcPr>
          <w:p>
            <w:pPr>
              <w:pStyle w:val="7"/>
              <w:ind w:firstLine="0"/>
              <w:jc w:val="center"/>
              <w:rPr>
                <w:rFonts w:ascii="宋体" w:hAnsi="宋体" w:cs="宋体"/>
                <w:szCs w:val="21"/>
              </w:rPr>
            </w:pPr>
            <w:r>
              <w:rPr>
                <w:rFonts w:hint="eastAsia" w:ascii="宋体" w:hAnsi="宋体" w:cs="宋体"/>
                <w:szCs w:val="21"/>
              </w:rPr>
              <w:t>职工人数</w:t>
            </w:r>
          </w:p>
        </w:tc>
        <w:tc>
          <w:tcPr>
            <w:tcW w:w="6631" w:type="dxa"/>
            <w:gridSpan w:val="5"/>
            <w:vAlign w:val="center"/>
          </w:tcPr>
          <w:p>
            <w:pPr>
              <w:pStyle w:val="7"/>
              <w:ind w:firstLine="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64" w:type="dxa"/>
            <w:vAlign w:val="center"/>
          </w:tcPr>
          <w:p>
            <w:pPr>
              <w:pStyle w:val="7"/>
              <w:ind w:firstLine="0"/>
              <w:rPr>
                <w:rFonts w:ascii="宋体" w:hAnsi="宋体" w:cs="宋体"/>
                <w:szCs w:val="21"/>
              </w:rPr>
            </w:pPr>
            <w:r>
              <w:rPr>
                <w:rFonts w:hint="eastAsia" w:ascii="宋体" w:hAnsi="宋体" w:cs="宋体"/>
                <w:szCs w:val="21"/>
              </w:rPr>
              <w:t>可从事业务范围</w:t>
            </w:r>
          </w:p>
        </w:tc>
        <w:tc>
          <w:tcPr>
            <w:tcW w:w="6631" w:type="dxa"/>
            <w:gridSpan w:val="5"/>
            <w:vAlign w:val="center"/>
          </w:tcPr>
          <w:p>
            <w:pPr>
              <w:pStyle w:val="7"/>
              <w:ind w:firstLine="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964" w:type="dxa"/>
            <w:vAlign w:val="center"/>
          </w:tcPr>
          <w:p>
            <w:pPr>
              <w:pStyle w:val="7"/>
              <w:ind w:firstLine="0"/>
              <w:jc w:val="center"/>
              <w:rPr>
                <w:rFonts w:ascii="宋体" w:hAnsi="宋体" w:cs="宋体"/>
                <w:szCs w:val="21"/>
              </w:rPr>
            </w:pPr>
            <w:r>
              <w:rPr>
                <w:rFonts w:hint="eastAsia" w:ascii="宋体" w:hAnsi="宋体" w:cs="宋体"/>
                <w:szCs w:val="21"/>
              </w:rPr>
              <w:t>公司简介</w:t>
            </w:r>
          </w:p>
        </w:tc>
        <w:tc>
          <w:tcPr>
            <w:tcW w:w="6631" w:type="dxa"/>
            <w:gridSpan w:val="5"/>
            <w:vAlign w:val="center"/>
          </w:tcPr>
          <w:p>
            <w:pPr>
              <w:pStyle w:val="7"/>
              <w:ind w:firstLine="0"/>
              <w:jc w:val="center"/>
              <w:rPr>
                <w:rFonts w:ascii="宋体" w:hAnsi="宋体" w:cs="宋体"/>
                <w:szCs w:val="21"/>
              </w:rPr>
            </w:pPr>
          </w:p>
        </w:tc>
      </w:tr>
    </w:tbl>
    <w:p>
      <w:pPr>
        <w:spacing w:line="360" w:lineRule="exact"/>
        <w:rPr>
          <w:rFonts w:ascii="宋体" w:hAnsi="宋体" w:cs="宋体"/>
          <w:szCs w:val="21"/>
        </w:rPr>
      </w:pPr>
    </w:p>
    <w:p>
      <w:pPr>
        <w:spacing w:line="480" w:lineRule="exact"/>
        <w:ind w:firstLine="420" w:firstLineChars="200"/>
        <w:rPr>
          <w:rFonts w:ascii="宋体" w:hAnsi="宋体" w:cs="宋体"/>
          <w:szCs w:val="21"/>
        </w:rPr>
      </w:pPr>
      <w:r>
        <w:rPr>
          <w:rFonts w:hint="eastAsia" w:ascii="宋体" w:hAnsi="宋体" w:cs="宋体"/>
          <w:szCs w:val="21"/>
        </w:rPr>
        <w:t>注：除此表外，可另附文字和资料加以说明。</w:t>
      </w:r>
    </w:p>
    <w:p>
      <w:pPr>
        <w:tabs>
          <w:tab w:val="left" w:pos="450"/>
          <w:tab w:val="left" w:pos="8280"/>
        </w:tabs>
        <w:spacing w:line="400" w:lineRule="exact"/>
        <w:jc w:val="right"/>
        <w:rPr>
          <w:rFonts w:ascii="宋体" w:hAnsi="宋体" w:cs="宋体"/>
          <w:sz w:val="24"/>
        </w:rPr>
      </w:pPr>
      <w:r>
        <w:rPr>
          <w:rFonts w:hint="eastAsia" w:ascii="宋体" w:hAnsi="宋体" w:cs="宋体"/>
          <w:sz w:val="24"/>
        </w:rPr>
        <w:t>投标人全称：（盖章）</w:t>
      </w:r>
    </w:p>
    <w:p>
      <w:pPr>
        <w:tabs>
          <w:tab w:val="left" w:pos="450"/>
          <w:tab w:val="left" w:pos="8280"/>
        </w:tabs>
        <w:spacing w:line="400" w:lineRule="exact"/>
        <w:jc w:val="right"/>
        <w:rPr>
          <w:rFonts w:ascii="宋体" w:hAnsi="宋体" w:cs="宋体"/>
          <w:sz w:val="24"/>
        </w:rPr>
      </w:pPr>
      <w:r>
        <w:rPr>
          <w:rFonts w:hint="eastAsia" w:ascii="宋体" w:hAnsi="宋体" w:cs="宋体"/>
          <w:sz w:val="24"/>
        </w:rPr>
        <w:t>授权代表或法定代表人签名：</w:t>
      </w:r>
    </w:p>
    <w:p>
      <w:pPr>
        <w:tabs>
          <w:tab w:val="left" w:pos="450"/>
          <w:tab w:val="left" w:pos="8280"/>
        </w:tabs>
        <w:spacing w:line="400" w:lineRule="exact"/>
        <w:jc w:val="right"/>
        <w:rPr>
          <w:rFonts w:ascii="宋体" w:hAnsi="宋体" w:cs="宋体"/>
          <w:sz w:val="24"/>
        </w:rPr>
      </w:pPr>
      <w:r>
        <w:rPr>
          <w:rFonts w:hint="eastAsia" w:ascii="宋体" w:hAnsi="宋体" w:cs="宋体"/>
          <w:sz w:val="24"/>
        </w:rPr>
        <w:t>年     月    日</w:t>
      </w:r>
    </w:p>
    <w:p>
      <w:pPr>
        <w:spacing w:line="480" w:lineRule="exact"/>
        <w:ind w:firstLine="420" w:firstLineChars="200"/>
        <w:rPr>
          <w:rFonts w:ascii="宋体" w:hAnsi="宋体" w:cs="宋体"/>
          <w:szCs w:val="21"/>
        </w:rPr>
      </w:pPr>
    </w:p>
    <w:p>
      <w:pPr>
        <w:spacing w:line="480" w:lineRule="exact"/>
        <w:ind w:firstLine="420" w:firstLineChars="200"/>
        <w:rPr>
          <w:rFonts w:ascii="宋体" w:hAnsi="宋体" w:cs="宋体"/>
          <w:szCs w:val="21"/>
        </w:rPr>
      </w:pPr>
    </w:p>
    <w:p>
      <w:pPr>
        <w:spacing w:line="480" w:lineRule="exact"/>
        <w:ind w:firstLine="420" w:firstLineChars="200"/>
        <w:rPr>
          <w:rFonts w:ascii="宋体" w:hAnsi="宋体" w:cs="宋体"/>
          <w:szCs w:val="21"/>
        </w:rPr>
      </w:pPr>
    </w:p>
    <w:p>
      <w:pPr>
        <w:spacing w:line="480" w:lineRule="exact"/>
        <w:ind w:firstLine="420" w:firstLineChars="200"/>
        <w:rPr>
          <w:rFonts w:ascii="宋体" w:hAnsi="宋体" w:cs="宋体"/>
          <w:szCs w:val="21"/>
        </w:rPr>
      </w:pPr>
    </w:p>
    <w:p>
      <w:pPr>
        <w:tabs>
          <w:tab w:val="left" w:pos="450"/>
          <w:tab w:val="left" w:pos="8280"/>
        </w:tabs>
        <w:rPr>
          <w:rFonts w:ascii="宋体" w:hAnsi="宋体" w:cs="宋体"/>
          <w:sz w:val="24"/>
        </w:rPr>
        <w:sectPr>
          <w:headerReference r:id="rId5" w:type="default"/>
          <w:footerReference r:id="rId6" w:type="default"/>
          <w:footerReference r:id="rId7" w:type="even"/>
          <w:pgSz w:w="11906" w:h="16838"/>
          <w:pgMar w:top="1247" w:right="1247" w:bottom="1247" w:left="1247" w:header="851" w:footer="992" w:gutter="0"/>
          <w:cols w:space="720" w:num="1"/>
          <w:docGrid w:linePitch="312" w:charSpace="0"/>
        </w:sectPr>
      </w:pPr>
    </w:p>
    <w:p>
      <w:pPr>
        <w:tabs>
          <w:tab w:val="left" w:pos="450"/>
          <w:tab w:val="left" w:pos="8280"/>
        </w:tabs>
        <w:rPr>
          <w:rFonts w:ascii="宋体" w:hAnsi="宋体" w:cs="宋体"/>
          <w:sz w:val="24"/>
        </w:rPr>
      </w:pPr>
      <w:r>
        <w:rPr>
          <w:rFonts w:hint="eastAsia" w:ascii="宋体" w:hAnsi="宋体" w:cs="宋体"/>
          <w:sz w:val="24"/>
        </w:rPr>
        <w:t>6、同类项目实施情况一览表格式</w:t>
      </w:r>
    </w:p>
    <w:p/>
    <w:p/>
    <w:p>
      <w:pPr>
        <w:adjustRightInd w:val="0"/>
        <w:snapToGrid w:val="0"/>
        <w:spacing w:line="440" w:lineRule="exact"/>
        <w:jc w:val="center"/>
        <w:rPr>
          <w:rFonts w:ascii="宋体" w:hAnsi="宋体" w:cs="宋体"/>
          <w:b/>
          <w:sz w:val="28"/>
          <w:szCs w:val="28"/>
        </w:rPr>
      </w:pPr>
      <w:r>
        <w:rPr>
          <w:rFonts w:hint="eastAsia" w:ascii="宋体" w:hAnsi="宋体" w:cs="宋体"/>
          <w:b/>
          <w:sz w:val="28"/>
          <w:szCs w:val="28"/>
        </w:rPr>
        <w:t>投标人同类项目实施情况一览表</w:t>
      </w:r>
    </w:p>
    <w:p>
      <w:pPr>
        <w:spacing w:line="380" w:lineRule="exact"/>
        <w:rPr>
          <w:rFonts w:ascii="宋体" w:hAnsi="宋体" w:cs="宋体"/>
          <w:szCs w:val="21"/>
        </w:rPr>
      </w:pPr>
      <w:r>
        <w:rPr>
          <w:rFonts w:hint="eastAsia" w:ascii="宋体" w:hAnsi="宋体" w:cs="宋体"/>
          <w:szCs w:val="21"/>
        </w:rPr>
        <w:t xml:space="preserve">项目名称：  </w:t>
      </w:r>
    </w:p>
    <w:p>
      <w:pPr>
        <w:spacing w:line="380" w:lineRule="exact"/>
        <w:rPr>
          <w:rFonts w:ascii="宋体" w:hAnsi="宋体" w:cs="宋体"/>
          <w:szCs w:val="21"/>
        </w:rPr>
      </w:pPr>
      <w:r>
        <w:rPr>
          <w:rFonts w:hint="eastAsia" w:ascii="宋体" w:hAnsi="宋体" w:cs="宋体"/>
          <w:szCs w:val="21"/>
        </w:rPr>
        <w:t xml:space="preserve">项目编号： </w:t>
      </w:r>
    </w:p>
    <w:p>
      <w:pPr>
        <w:autoSpaceDE w:val="0"/>
        <w:autoSpaceDN w:val="0"/>
        <w:adjustRightInd w:val="0"/>
        <w:snapToGrid w:val="0"/>
        <w:spacing w:line="440" w:lineRule="exact"/>
        <w:jc w:val="center"/>
        <w:rPr>
          <w:rFonts w:ascii="宋体" w:hAnsi="宋体" w:cs="宋体"/>
          <w:b/>
          <w:szCs w:val="21"/>
        </w:rPr>
      </w:pPr>
    </w:p>
    <w:tbl>
      <w:tblPr>
        <w:tblStyle w:val="34"/>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153"/>
        <w:gridCol w:w="1551"/>
        <w:gridCol w:w="1832"/>
        <w:gridCol w:w="1936"/>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62" w:type="dxa"/>
            <w:vAlign w:val="center"/>
          </w:tcPr>
          <w:p>
            <w:pPr>
              <w:spacing w:line="360" w:lineRule="exact"/>
              <w:jc w:val="center"/>
              <w:rPr>
                <w:rFonts w:ascii="宋体" w:hAnsi="宋体" w:cs="宋体"/>
                <w:szCs w:val="21"/>
              </w:rPr>
            </w:pPr>
            <w:r>
              <w:rPr>
                <w:rFonts w:hint="eastAsia" w:ascii="宋体" w:hAnsi="宋体" w:cs="宋体"/>
                <w:szCs w:val="21"/>
              </w:rPr>
              <w:t>序号</w:t>
            </w:r>
          </w:p>
        </w:tc>
        <w:tc>
          <w:tcPr>
            <w:tcW w:w="1153" w:type="dxa"/>
            <w:vAlign w:val="center"/>
          </w:tcPr>
          <w:p>
            <w:pPr>
              <w:spacing w:line="360" w:lineRule="exact"/>
              <w:jc w:val="center"/>
              <w:rPr>
                <w:rFonts w:ascii="宋体" w:hAnsi="宋体" w:cs="宋体"/>
                <w:szCs w:val="21"/>
              </w:rPr>
            </w:pPr>
            <w:r>
              <w:rPr>
                <w:rFonts w:hint="eastAsia" w:ascii="宋体" w:hAnsi="宋体" w:cs="宋体"/>
                <w:szCs w:val="21"/>
              </w:rPr>
              <w:t>项目名称</w:t>
            </w:r>
          </w:p>
        </w:tc>
        <w:tc>
          <w:tcPr>
            <w:tcW w:w="1551" w:type="dxa"/>
            <w:vAlign w:val="center"/>
          </w:tcPr>
          <w:p>
            <w:pPr>
              <w:spacing w:line="360" w:lineRule="exact"/>
              <w:jc w:val="center"/>
              <w:rPr>
                <w:rFonts w:ascii="宋体" w:hAnsi="宋体" w:cs="宋体"/>
                <w:szCs w:val="21"/>
              </w:rPr>
            </w:pPr>
            <w:r>
              <w:rPr>
                <w:rFonts w:hint="eastAsia" w:ascii="宋体" w:hAnsi="宋体" w:cs="宋体"/>
                <w:szCs w:val="21"/>
              </w:rPr>
              <w:t>项目服务时间</w:t>
            </w:r>
          </w:p>
        </w:tc>
        <w:tc>
          <w:tcPr>
            <w:tcW w:w="1832" w:type="dxa"/>
            <w:vAlign w:val="center"/>
          </w:tcPr>
          <w:p>
            <w:pPr>
              <w:spacing w:line="360" w:lineRule="exact"/>
              <w:jc w:val="center"/>
              <w:rPr>
                <w:rFonts w:ascii="宋体" w:hAnsi="宋体" w:cs="宋体"/>
                <w:szCs w:val="21"/>
              </w:rPr>
            </w:pPr>
            <w:r>
              <w:rPr>
                <w:rFonts w:hint="eastAsia" w:ascii="宋体" w:hAnsi="宋体" w:cs="宋体"/>
                <w:szCs w:val="21"/>
              </w:rPr>
              <w:t>采购人名称</w:t>
            </w:r>
          </w:p>
        </w:tc>
        <w:tc>
          <w:tcPr>
            <w:tcW w:w="1936" w:type="dxa"/>
            <w:vAlign w:val="center"/>
          </w:tcPr>
          <w:p>
            <w:pPr>
              <w:spacing w:line="360" w:lineRule="exact"/>
              <w:jc w:val="center"/>
              <w:rPr>
                <w:rFonts w:ascii="宋体" w:hAnsi="宋体" w:cs="宋体"/>
                <w:szCs w:val="21"/>
              </w:rPr>
            </w:pPr>
            <w:r>
              <w:rPr>
                <w:rFonts w:hint="eastAsia" w:ascii="宋体" w:hAnsi="宋体" w:cs="宋体"/>
                <w:szCs w:val="21"/>
              </w:rPr>
              <w:t>联系人</w:t>
            </w:r>
          </w:p>
        </w:tc>
        <w:tc>
          <w:tcPr>
            <w:tcW w:w="1182" w:type="dxa"/>
            <w:vAlign w:val="center"/>
          </w:tcPr>
          <w:p>
            <w:pPr>
              <w:spacing w:line="360" w:lineRule="exact"/>
              <w:jc w:val="center"/>
              <w:rPr>
                <w:rFonts w:ascii="宋体" w:hAnsi="宋体" w:cs="宋体"/>
                <w:szCs w:val="21"/>
              </w:rPr>
            </w:pPr>
            <w:r>
              <w:rPr>
                <w:rFonts w:hint="eastAsia" w:ascii="宋体" w:hAnsi="宋体" w:cs="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pPr>
              <w:spacing w:line="360" w:lineRule="exact"/>
              <w:jc w:val="center"/>
              <w:rPr>
                <w:rFonts w:ascii="宋体" w:hAnsi="宋体" w:cs="宋体"/>
                <w:szCs w:val="21"/>
              </w:rPr>
            </w:pPr>
          </w:p>
        </w:tc>
        <w:tc>
          <w:tcPr>
            <w:tcW w:w="1153" w:type="dxa"/>
            <w:vAlign w:val="center"/>
          </w:tcPr>
          <w:p>
            <w:pPr>
              <w:spacing w:line="360" w:lineRule="exact"/>
              <w:jc w:val="center"/>
              <w:rPr>
                <w:rFonts w:ascii="宋体" w:hAnsi="宋体" w:cs="宋体"/>
                <w:szCs w:val="21"/>
              </w:rPr>
            </w:pPr>
          </w:p>
        </w:tc>
        <w:tc>
          <w:tcPr>
            <w:tcW w:w="1551" w:type="dxa"/>
            <w:vAlign w:val="center"/>
          </w:tcPr>
          <w:p>
            <w:pPr>
              <w:spacing w:line="360" w:lineRule="exact"/>
              <w:jc w:val="center"/>
              <w:rPr>
                <w:rFonts w:ascii="宋体" w:hAnsi="宋体" w:cs="宋体"/>
                <w:szCs w:val="21"/>
              </w:rPr>
            </w:pPr>
          </w:p>
        </w:tc>
        <w:tc>
          <w:tcPr>
            <w:tcW w:w="1832" w:type="dxa"/>
            <w:vAlign w:val="center"/>
          </w:tcPr>
          <w:p>
            <w:pPr>
              <w:spacing w:line="360" w:lineRule="exact"/>
              <w:jc w:val="center"/>
              <w:rPr>
                <w:rFonts w:ascii="宋体" w:hAnsi="宋体" w:cs="宋体"/>
                <w:szCs w:val="21"/>
              </w:rPr>
            </w:pPr>
          </w:p>
        </w:tc>
        <w:tc>
          <w:tcPr>
            <w:tcW w:w="1936" w:type="dxa"/>
            <w:vAlign w:val="center"/>
          </w:tcPr>
          <w:p>
            <w:pPr>
              <w:spacing w:line="360" w:lineRule="exact"/>
              <w:jc w:val="center"/>
              <w:rPr>
                <w:rFonts w:ascii="宋体" w:hAnsi="宋体" w:cs="宋体"/>
                <w:szCs w:val="21"/>
              </w:rPr>
            </w:pPr>
          </w:p>
        </w:tc>
        <w:tc>
          <w:tcPr>
            <w:tcW w:w="1182" w:type="dxa"/>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pPr>
              <w:spacing w:line="360" w:lineRule="exact"/>
              <w:jc w:val="center"/>
              <w:rPr>
                <w:rFonts w:ascii="宋体" w:hAnsi="宋体" w:cs="宋体"/>
                <w:szCs w:val="21"/>
              </w:rPr>
            </w:pPr>
          </w:p>
        </w:tc>
        <w:tc>
          <w:tcPr>
            <w:tcW w:w="1153" w:type="dxa"/>
            <w:vAlign w:val="center"/>
          </w:tcPr>
          <w:p>
            <w:pPr>
              <w:spacing w:line="360" w:lineRule="exact"/>
              <w:jc w:val="center"/>
              <w:rPr>
                <w:rFonts w:ascii="宋体" w:hAnsi="宋体" w:cs="宋体"/>
                <w:szCs w:val="21"/>
              </w:rPr>
            </w:pPr>
          </w:p>
        </w:tc>
        <w:tc>
          <w:tcPr>
            <w:tcW w:w="1551" w:type="dxa"/>
            <w:vAlign w:val="center"/>
          </w:tcPr>
          <w:p>
            <w:pPr>
              <w:spacing w:line="360" w:lineRule="exact"/>
              <w:jc w:val="center"/>
              <w:rPr>
                <w:rFonts w:ascii="宋体" w:hAnsi="宋体" w:cs="宋体"/>
                <w:szCs w:val="21"/>
              </w:rPr>
            </w:pPr>
          </w:p>
        </w:tc>
        <w:tc>
          <w:tcPr>
            <w:tcW w:w="1832" w:type="dxa"/>
            <w:vAlign w:val="center"/>
          </w:tcPr>
          <w:p>
            <w:pPr>
              <w:spacing w:line="360" w:lineRule="exact"/>
              <w:jc w:val="center"/>
              <w:rPr>
                <w:rFonts w:ascii="宋体" w:hAnsi="宋体" w:cs="宋体"/>
                <w:szCs w:val="21"/>
              </w:rPr>
            </w:pPr>
          </w:p>
        </w:tc>
        <w:tc>
          <w:tcPr>
            <w:tcW w:w="1936" w:type="dxa"/>
            <w:vAlign w:val="center"/>
          </w:tcPr>
          <w:p>
            <w:pPr>
              <w:spacing w:line="360" w:lineRule="exact"/>
              <w:jc w:val="center"/>
              <w:rPr>
                <w:rFonts w:ascii="宋体" w:hAnsi="宋体" w:cs="宋体"/>
                <w:szCs w:val="21"/>
              </w:rPr>
            </w:pPr>
          </w:p>
        </w:tc>
        <w:tc>
          <w:tcPr>
            <w:tcW w:w="1182" w:type="dxa"/>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pPr>
              <w:spacing w:line="360" w:lineRule="exact"/>
              <w:jc w:val="center"/>
              <w:rPr>
                <w:rFonts w:ascii="宋体" w:hAnsi="宋体" w:cs="宋体"/>
                <w:szCs w:val="21"/>
              </w:rPr>
            </w:pPr>
          </w:p>
        </w:tc>
        <w:tc>
          <w:tcPr>
            <w:tcW w:w="1153" w:type="dxa"/>
            <w:vAlign w:val="center"/>
          </w:tcPr>
          <w:p>
            <w:pPr>
              <w:spacing w:line="360" w:lineRule="exact"/>
              <w:jc w:val="center"/>
              <w:rPr>
                <w:rFonts w:ascii="宋体" w:hAnsi="宋体" w:cs="宋体"/>
                <w:szCs w:val="21"/>
              </w:rPr>
            </w:pPr>
          </w:p>
        </w:tc>
        <w:tc>
          <w:tcPr>
            <w:tcW w:w="1551" w:type="dxa"/>
            <w:vAlign w:val="center"/>
          </w:tcPr>
          <w:p>
            <w:pPr>
              <w:spacing w:line="360" w:lineRule="exact"/>
              <w:jc w:val="center"/>
              <w:rPr>
                <w:rFonts w:ascii="宋体" w:hAnsi="宋体" w:cs="宋体"/>
                <w:szCs w:val="21"/>
              </w:rPr>
            </w:pPr>
          </w:p>
        </w:tc>
        <w:tc>
          <w:tcPr>
            <w:tcW w:w="1832" w:type="dxa"/>
            <w:vAlign w:val="center"/>
          </w:tcPr>
          <w:p>
            <w:pPr>
              <w:spacing w:line="360" w:lineRule="exact"/>
              <w:jc w:val="center"/>
              <w:rPr>
                <w:rFonts w:ascii="宋体" w:hAnsi="宋体" w:cs="宋体"/>
                <w:szCs w:val="21"/>
              </w:rPr>
            </w:pPr>
          </w:p>
        </w:tc>
        <w:tc>
          <w:tcPr>
            <w:tcW w:w="1936" w:type="dxa"/>
            <w:vAlign w:val="center"/>
          </w:tcPr>
          <w:p>
            <w:pPr>
              <w:spacing w:line="360" w:lineRule="exact"/>
              <w:jc w:val="center"/>
              <w:rPr>
                <w:rFonts w:ascii="宋体" w:hAnsi="宋体" w:cs="宋体"/>
                <w:szCs w:val="21"/>
              </w:rPr>
            </w:pPr>
          </w:p>
        </w:tc>
        <w:tc>
          <w:tcPr>
            <w:tcW w:w="1182" w:type="dxa"/>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pPr>
              <w:spacing w:line="360" w:lineRule="exact"/>
              <w:jc w:val="center"/>
              <w:rPr>
                <w:rFonts w:ascii="宋体" w:hAnsi="宋体" w:cs="宋体"/>
                <w:szCs w:val="21"/>
              </w:rPr>
            </w:pPr>
          </w:p>
        </w:tc>
        <w:tc>
          <w:tcPr>
            <w:tcW w:w="1153" w:type="dxa"/>
            <w:vAlign w:val="center"/>
          </w:tcPr>
          <w:p>
            <w:pPr>
              <w:spacing w:line="360" w:lineRule="exact"/>
              <w:jc w:val="center"/>
              <w:rPr>
                <w:rFonts w:ascii="宋体" w:hAnsi="宋体" w:cs="宋体"/>
                <w:szCs w:val="21"/>
              </w:rPr>
            </w:pPr>
          </w:p>
        </w:tc>
        <w:tc>
          <w:tcPr>
            <w:tcW w:w="1551" w:type="dxa"/>
            <w:vAlign w:val="center"/>
          </w:tcPr>
          <w:p>
            <w:pPr>
              <w:spacing w:line="360" w:lineRule="exact"/>
              <w:jc w:val="center"/>
              <w:rPr>
                <w:rFonts w:ascii="宋体" w:hAnsi="宋体" w:cs="宋体"/>
                <w:szCs w:val="21"/>
              </w:rPr>
            </w:pPr>
          </w:p>
        </w:tc>
        <w:tc>
          <w:tcPr>
            <w:tcW w:w="1832" w:type="dxa"/>
            <w:vAlign w:val="center"/>
          </w:tcPr>
          <w:p>
            <w:pPr>
              <w:spacing w:line="360" w:lineRule="exact"/>
              <w:jc w:val="center"/>
              <w:rPr>
                <w:rFonts w:ascii="宋体" w:hAnsi="宋体" w:cs="宋体"/>
                <w:szCs w:val="21"/>
              </w:rPr>
            </w:pPr>
          </w:p>
        </w:tc>
        <w:tc>
          <w:tcPr>
            <w:tcW w:w="1936" w:type="dxa"/>
            <w:vAlign w:val="center"/>
          </w:tcPr>
          <w:p>
            <w:pPr>
              <w:spacing w:line="360" w:lineRule="exact"/>
              <w:jc w:val="center"/>
              <w:rPr>
                <w:rFonts w:ascii="宋体" w:hAnsi="宋体" w:cs="宋体"/>
                <w:szCs w:val="21"/>
              </w:rPr>
            </w:pPr>
          </w:p>
        </w:tc>
        <w:tc>
          <w:tcPr>
            <w:tcW w:w="1182" w:type="dxa"/>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pPr>
              <w:spacing w:line="360" w:lineRule="exact"/>
              <w:jc w:val="center"/>
              <w:rPr>
                <w:rFonts w:ascii="宋体" w:hAnsi="宋体" w:cs="宋体"/>
                <w:szCs w:val="21"/>
              </w:rPr>
            </w:pPr>
          </w:p>
        </w:tc>
        <w:tc>
          <w:tcPr>
            <w:tcW w:w="1153" w:type="dxa"/>
            <w:vAlign w:val="center"/>
          </w:tcPr>
          <w:p>
            <w:pPr>
              <w:spacing w:line="360" w:lineRule="exact"/>
              <w:jc w:val="center"/>
              <w:rPr>
                <w:rFonts w:ascii="宋体" w:hAnsi="宋体" w:cs="宋体"/>
                <w:szCs w:val="21"/>
              </w:rPr>
            </w:pPr>
          </w:p>
        </w:tc>
        <w:tc>
          <w:tcPr>
            <w:tcW w:w="1551" w:type="dxa"/>
            <w:vAlign w:val="center"/>
          </w:tcPr>
          <w:p>
            <w:pPr>
              <w:spacing w:line="360" w:lineRule="exact"/>
              <w:jc w:val="center"/>
              <w:rPr>
                <w:rFonts w:ascii="宋体" w:hAnsi="宋体" w:cs="宋体"/>
                <w:szCs w:val="21"/>
              </w:rPr>
            </w:pPr>
          </w:p>
        </w:tc>
        <w:tc>
          <w:tcPr>
            <w:tcW w:w="1832" w:type="dxa"/>
            <w:vAlign w:val="center"/>
          </w:tcPr>
          <w:p>
            <w:pPr>
              <w:spacing w:line="360" w:lineRule="exact"/>
              <w:jc w:val="center"/>
              <w:rPr>
                <w:rFonts w:ascii="宋体" w:hAnsi="宋体" w:cs="宋体"/>
                <w:szCs w:val="21"/>
              </w:rPr>
            </w:pPr>
          </w:p>
        </w:tc>
        <w:tc>
          <w:tcPr>
            <w:tcW w:w="1936" w:type="dxa"/>
            <w:vAlign w:val="center"/>
          </w:tcPr>
          <w:p>
            <w:pPr>
              <w:spacing w:line="360" w:lineRule="exact"/>
              <w:jc w:val="center"/>
              <w:rPr>
                <w:rFonts w:ascii="宋体" w:hAnsi="宋体" w:cs="宋体"/>
                <w:szCs w:val="21"/>
              </w:rPr>
            </w:pPr>
          </w:p>
        </w:tc>
        <w:tc>
          <w:tcPr>
            <w:tcW w:w="1182" w:type="dxa"/>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pPr>
              <w:spacing w:line="360" w:lineRule="exact"/>
              <w:jc w:val="center"/>
              <w:rPr>
                <w:rFonts w:ascii="宋体" w:hAnsi="宋体" w:cs="宋体"/>
                <w:szCs w:val="21"/>
              </w:rPr>
            </w:pPr>
          </w:p>
        </w:tc>
        <w:tc>
          <w:tcPr>
            <w:tcW w:w="1153" w:type="dxa"/>
            <w:vAlign w:val="center"/>
          </w:tcPr>
          <w:p>
            <w:pPr>
              <w:spacing w:line="360" w:lineRule="exact"/>
              <w:jc w:val="center"/>
              <w:rPr>
                <w:rFonts w:ascii="宋体" w:hAnsi="宋体" w:cs="宋体"/>
                <w:szCs w:val="21"/>
              </w:rPr>
            </w:pPr>
          </w:p>
        </w:tc>
        <w:tc>
          <w:tcPr>
            <w:tcW w:w="1551" w:type="dxa"/>
            <w:vAlign w:val="center"/>
          </w:tcPr>
          <w:p>
            <w:pPr>
              <w:spacing w:line="360" w:lineRule="exact"/>
              <w:jc w:val="center"/>
              <w:rPr>
                <w:rFonts w:ascii="宋体" w:hAnsi="宋体" w:cs="宋体"/>
                <w:szCs w:val="21"/>
              </w:rPr>
            </w:pPr>
          </w:p>
        </w:tc>
        <w:tc>
          <w:tcPr>
            <w:tcW w:w="1832" w:type="dxa"/>
            <w:vAlign w:val="center"/>
          </w:tcPr>
          <w:p>
            <w:pPr>
              <w:spacing w:line="360" w:lineRule="exact"/>
              <w:jc w:val="center"/>
              <w:rPr>
                <w:rFonts w:ascii="宋体" w:hAnsi="宋体" w:cs="宋体"/>
                <w:szCs w:val="21"/>
              </w:rPr>
            </w:pPr>
          </w:p>
        </w:tc>
        <w:tc>
          <w:tcPr>
            <w:tcW w:w="1936" w:type="dxa"/>
            <w:vAlign w:val="center"/>
          </w:tcPr>
          <w:p>
            <w:pPr>
              <w:spacing w:line="360" w:lineRule="exact"/>
              <w:jc w:val="center"/>
              <w:rPr>
                <w:rFonts w:ascii="宋体" w:hAnsi="宋体" w:cs="宋体"/>
                <w:szCs w:val="21"/>
              </w:rPr>
            </w:pPr>
          </w:p>
        </w:tc>
        <w:tc>
          <w:tcPr>
            <w:tcW w:w="1182" w:type="dxa"/>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pPr>
              <w:spacing w:line="360" w:lineRule="exact"/>
              <w:jc w:val="center"/>
              <w:rPr>
                <w:rFonts w:ascii="宋体" w:hAnsi="宋体" w:cs="宋体"/>
                <w:szCs w:val="21"/>
              </w:rPr>
            </w:pPr>
          </w:p>
        </w:tc>
        <w:tc>
          <w:tcPr>
            <w:tcW w:w="1153" w:type="dxa"/>
            <w:vAlign w:val="center"/>
          </w:tcPr>
          <w:p>
            <w:pPr>
              <w:spacing w:line="360" w:lineRule="exact"/>
              <w:jc w:val="center"/>
              <w:rPr>
                <w:rFonts w:ascii="宋体" w:hAnsi="宋体" w:cs="宋体"/>
                <w:szCs w:val="21"/>
              </w:rPr>
            </w:pPr>
          </w:p>
        </w:tc>
        <w:tc>
          <w:tcPr>
            <w:tcW w:w="1551" w:type="dxa"/>
            <w:vAlign w:val="center"/>
          </w:tcPr>
          <w:p>
            <w:pPr>
              <w:spacing w:line="360" w:lineRule="exact"/>
              <w:jc w:val="center"/>
              <w:rPr>
                <w:rFonts w:ascii="宋体" w:hAnsi="宋体" w:cs="宋体"/>
                <w:szCs w:val="21"/>
              </w:rPr>
            </w:pPr>
          </w:p>
        </w:tc>
        <w:tc>
          <w:tcPr>
            <w:tcW w:w="1832" w:type="dxa"/>
            <w:vAlign w:val="center"/>
          </w:tcPr>
          <w:p>
            <w:pPr>
              <w:spacing w:line="360" w:lineRule="exact"/>
              <w:jc w:val="center"/>
              <w:rPr>
                <w:rFonts w:ascii="宋体" w:hAnsi="宋体" w:cs="宋体"/>
                <w:szCs w:val="21"/>
              </w:rPr>
            </w:pPr>
          </w:p>
        </w:tc>
        <w:tc>
          <w:tcPr>
            <w:tcW w:w="1936" w:type="dxa"/>
            <w:vAlign w:val="center"/>
          </w:tcPr>
          <w:p>
            <w:pPr>
              <w:spacing w:line="360" w:lineRule="exact"/>
              <w:jc w:val="center"/>
              <w:rPr>
                <w:rFonts w:ascii="宋体" w:hAnsi="宋体" w:cs="宋体"/>
                <w:szCs w:val="21"/>
              </w:rPr>
            </w:pPr>
          </w:p>
        </w:tc>
        <w:tc>
          <w:tcPr>
            <w:tcW w:w="1182" w:type="dxa"/>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pPr>
              <w:spacing w:line="360" w:lineRule="exact"/>
              <w:jc w:val="center"/>
              <w:rPr>
                <w:rFonts w:ascii="宋体" w:hAnsi="宋体" w:cs="宋体"/>
                <w:szCs w:val="21"/>
              </w:rPr>
            </w:pPr>
          </w:p>
        </w:tc>
        <w:tc>
          <w:tcPr>
            <w:tcW w:w="1153" w:type="dxa"/>
            <w:vAlign w:val="center"/>
          </w:tcPr>
          <w:p>
            <w:pPr>
              <w:spacing w:line="360" w:lineRule="exact"/>
              <w:jc w:val="center"/>
              <w:rPr>
                <w:rFonts w:ascii="宋体" w:hAnsi="宋体" w:cs="宋体"/>
                <w:szCs w:val="21"/>
              </w:rPr>
            </w:pPr>
          </w:p>
        </w:tc>
        <w:tc>
          <w:tcPr>
            <w:tcW w:w="1551" w:type="dxa"/>
            <w:vAlign w:val="center"/>
          </w:tcPr>
          <w:p>
            <w:pPr>
              <w:spacing w:line="360" w:lineRule="exact"/>
              <w:jc w:val="center"/>
              <w:rPr>
                <w:rFonts w:ascii="宋体" w:hAnsi="宋体" w:cs="宋体"/>
                <w:szCs w:val="21"/>
              </w:rPr>
            </w:pPr>
          </w:p>
        </w:tc>
        <w:tc>
          <w:tcPr>
            <w:tcW w:w="1832" w:type="dxa"/>
            <w:vAlign w:val="center"/>
          </w:tcPr>
          <w:p>
            <w:pPr>
              <w:spacing w:line="360" w:lineRule="exact"/>
              <w:jc w:val="center"/>
              <w:rPr>
                <w:rFonts w:ascii="宋体" w:hAnsi="宋体" w:cs="宋体"/>
                <w:szCs w:val="21"/>
              </w:rPr>
            </w:pPr>
          </w:p>
        </w:tc>
        <w:tc>
          <w:tcPr>
            <w:tcW w:w="1936" w:type="dxa"/>
            <w:vAlign w:val="center"/>
          </w:tcPr>
          <w:p>
            <w:pPr>
              <w:spacing w:line="360" w:lineRule="exact"/>
              <w:jc w:val="center"/>
              <w:rPr>
                <w:rFonts w:ascii="宋体" w:hAnsi="宋体" w:cs="宋体"/>
                <w:szCs w:val="21"/>
              </w:rPr>
            </w:pPr>
          </w:p>
        </w:tc>
        <w:tc>
          <w:tcPr>
            <w:tcW w:w="1182" w:type="dxa"/>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pPr>
              <w:spacing w:line="360" w:lineRule="exact"/>
              <w:jc w:val="center"/>
              <w:rPr>
                <w:rFonts w:ascii="宋体" w:hAnsi="宋体" w:cs="宋体"/>
                <w:szCs w:val="21"/>
              </w:rPr>
            </w:pPr>
          </w:p>
        </w:tc>
        <w:tc>
          <w:tcPr>
            <w:tcW w:w="1153" w:type="dxa"/>
            <w:vAlign w:val="center"/>
          </w:tcPr>
          <w:p>
            <w:pPr>
              <w:spacing w:line="360" w:lineRule="exact"/>
              <w:jc w:val="center"/>
              <w:rPr>
                <w:rFonts w:ascii="宋体" w:hAnsi="宋体" w:cs="宋体"/>
                <w:szCs w:val="21"/>
              </w:rPr>
            </w:pPr>
          </w:p>
        </w:tc>
        <w:tc>
          <w:tcPr>
            <w:tcW w:w="1551" w:type="dxa"/>
            <w:vAlign w:val="center"/>
          </w:tcPr>
          <w:p>
            <w:pPr>
              <w:spacing w:line="360" w:lineRule="exact"/>
              <w:jc w:val="center"/>
              <w:rPr>
                <w:rFonts w:ascii="宋体" w:hAnsi="宋体" w:cs="宋体"/>
                <w:szCs w:val="21"/>
              </w:rPr>
            </w:pPr>
          </w:p>
        </w:tc>
        <w:tc>
          <w:tcPr>
            <w:tcW w:w="1832" w:type="dxa"/>
            <w:vAlign w:val="center"/>
          </w:tcPr>
          <w:p>
            <w:pPr>
              <w:spacing w:line="360" w:lineRule="exact"/>
              <w:jc w:val="center"/>
              <w:rPr>
                <w:rFonts w:ascii="宋体" w:hAnsi="宋体" w:cs="宋体"/>
                <w:szCs w:val="21"/>
              </w:rPr>
            </w:pPr>
          </w:p>
        </w:tc>
        <w:tc>
          <w:tcPr>
            <w:tcW w:w="1936" w:type="dxa"/>
            <w:vAlign w:val="center"/>
          </w:tcPr>
          <w:p>
            <w:pPr>
              <w:spacing w:line="360" w:lineRule="exact"/>
              <w:jc w:val="center"/>
              <w:rPr>
                <w:rFonts w:ascii="宋体" w:hAnsi="宋体" w:cs="宋体"/>
                <w:szCs w:val="21"/>
              </w:rPr>
            </w:pPr>
          </w:p>
        </w:tc>
        <w:tc>
          <w:tcPr>
            <w:tcW w:w="1182" w:type="dxa"/>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pPr>
              <w:spacing w:line="360" w:lineRule="exact"/>
              <w:jc w:val="center"/>
              <w:rPr>
                <w:rFonts w:ascii="宋体" w:hAnsi="宋体" w:cs="宋体"/>
                <w:szCs w:val="21"/>
              </w:rPr>
            </w:pPr>
          </w:p>
        </w:tc>
        <w:tc>
          <w:tcPr>
            <w:tcW w:w="1153" w:type="dxa"/>
            <w:vAlign w:val="center"/>
          </w:tcPr>
          <w:p>
            <w:pPr>
              <w:spacing w:line="360" w:lineRule="exact"/>
              <w:jc w:val="center"/>
              <w:rPr>
                <w:rFonts w:ascii="宋体" w:hAnsi="宋体" w:cs="宋体"/>
                <w:szCs w:val="21"/>
              </w:rPr>
            </w:pPr>
          </w:p>
        </w:tc>
        <w:tc>
          <w:tcPr>
            <w:tcW w:w="1551" w:type="dxa"/>
            <w:vAlign w:val="center"/>
          </w:tcPr>
          <w:p>
            <w:pPr>
              <w:spacing w:line="360" w:lineRule="exact"/>
              <w:jc w:val="center"/>
              <w:rPr>
                <w:rFonts w:ascii="宋体" w:hAnsi="宋体" w:cs="宋体"/>
                <w:szCs w:val="21"/>
              </w:rPr>
            </w:pPr>
          </w:p>
        </w:tc>
        <w:tc>
          <w:tcPr>
            <w:tcW w:w="1832" w:type="dxa"/>
            <w:vAlign w:val="center"/>
          </w:tcPr>
          <w:p>
            <w:pPr>
              <w:spacing w:line="360" w:lineRule="exact"/>
              <w:jc w:val="center"/>
              <w:rPr>
                <w:rFonts w:ascii="宋体" w:hAnsi="宋体" w:cs="宋体"/>
                <w:szCs w:val="21"/>
              </w:rPr>
            </w:pPr>
          </w:p>
        </w:tc>
        <w:tc>
          <w:tcPr>
            <w:tcW w:w="1936" w:type="dxa"/>
            <w:vAlign w:val="center"/>
          </w:tcPr>
          <w:p>
            <w:pPr>
              <w:spacing w:line="360" w:lineRule="exact"/>
              <w:jc w:val="center"/>
              <w:rPr>
                <w:rFonts w:ascii="宋体" w:hAnsi="宋体" w:cs="宋体"/>
                <w:szCs w:val="21"/>
              </w:rPr>
            </w:pPr>
          </w:p>
        </w:tc>
        <w:tc>
          <w:tcPr>
            <w:tcW w:w="1182" w:type="dxa"/>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pPr>
              <w:spacing w:line="360" w:lineRule="exact"/>
              <w:jc w:val="center"/>
              <w:rPr>
                <w:rFonts w:ascii="宋体" w:hAnsi="宋体" w:cs="宋体"/>
                <w:szCs w:val="21"/>
              </w:rPr>
            </w:pPr>
          </w:p>
        </w:tc>
        <w:tc>
          <w:tcPr>
            <w:tcW w:w="1153" w:type="dxa"/>
            <w:vAlign w:val="center"/>
          </w:tcPr>
          <w:p>
            <w:pPr>
              <w:spacing w:line="360" w:lineRule="exact"/>
              <w:jc w:val="center"/>
              <w:rPr>
                <w:rFonts w:ascii="宋体" w:hAnsi="宋体" w:cs="宋体"/>
                <w:szCs w:val="21"/>
              </w:rPr>
            </w:pPr>
          </w:p>
        </w:tc>
        <w:tc>
          <w:tcPr>
            <w:tcW w:w="1551" w:type="dxa"/>
            <w:vAlign w:val="center"/>
          </w:tcPr>
          <w:p>
            <w:pPr>
              <w:spacing w:line="360" w:lineRule="exact"/>
              <w:jc w:val="center"/>
              <w:rPr>
                <w:rFonts w:ascii="宋体" w:hAnsi="宋体" w:cs="宋体"/>
                <w:szCs w:val="21"/>
              </w:rPr>
            </w:pPr>
          </w:p>
        </w:tc>
        <w:tc>
          <w:tcPr>
            <w:tcW w:w="1832" w:type="dxa"/>
            <w:vAlign w:val="center"/>
          </w:tcPr>
          <w:p>
            <w:pPr>
              <w:spacing w:line="360" w:lineRule="exact"/>
              <w:jc w:val="center"/>
              <w:rPr>
                <w:rFonts w:ascii="宋体" w:hAnsi="宋体" w:cs="宋体"/>
                <w:szCs w:val="21"/>
              </w:rPr>
            </w:pPr>
          </w:p>
        </w:tc>
        <w:tc>
          <w:tcPr>
            <w:tcW w:w="1936" w:type="dxa"/>
            <w:vAlign w:val="center"/>
          </w:tcPr>
          <w:p>
            <w:pPr>
              <w:spacing w:line="360" w:lineRule="exact"/>
              <w:jc w:val="center"/>
              <w:rPr>
                <w:rFonts w:ascii="宋体" w:hAnsi="宋体" w:cs="宋体"/>
                <w:szCs w:val="21"/>
              </w:rPr>
            </w:pPr>
          </w:p>
        </w:tc>
        <w:tc>
          <w:tcPr>
            <w:tcW w:w="1182" w:type="dxa"/>
            <w:vAlign w:val="center"/>
          </w:tcPr>
          <w:p>
            <w:pPr>
              <w:spacing w:line="360" w:lineRule="exact"/>
              <w:jc w:val="center"/>
              <w:rPr>
                <w:rFonts w:ascii="宋体" w:hAnsi="宋体" w:cs="宋体"/>
                <w:szCs w:val="21"/>
              </w:rPr>
            </w:pPr>
          </w:p>
        </w:tc>
      </w:tr>
    </w:tbl>
    <w:p>
      <w:pPr>
        <w:snapToGrid w:val="0"/>
        <w:spacing w:line="440" w:lineRule="exact"/>
        <w:rPr>
          <w:rFonts w:ascii="宋体" w:hAnsi="宋体" w:cs="宋体"/>
          <w:szCs w:val="21"/>
        </w:rPr>
      </w:pPr>
    </w:p>
    <w:p>
      <w:pPr>
        <w:snapToGrid w:val="0"/>
        <w:spacing w:line="440" w:lineRule="exact"/>
        <w:rPr>
          <w:rFonts w:ascii="宋体" w:hAnsi="宋体" w:cs="宋体"/>
          <w:szCs w:val="21"/>
          <w:u w:val="single"/>
        </w:rPr>
      </w:pPr>
      <w:r>
        <w:rPr>
          <w:rFonts w:hint="eastAsia" w:ascii="宋体" w:hAnsi="宋体" w:cs="宋体"/>
          <w:szCs w:val="21"/>
        </w:rPr>
        <w:t>授权代表签名：</w:t>
      </w:r>
      <w:r>
        <w:rPr>
          <w:rFonts w:hint="eastAsia" w:ascii="宋体" w:hAnsi="宋体" w:cs="宋体"/>
          <w:szCs w:val="21"/>
          <w:u w:val="single"/>
        </w:rPr>
        <w:t xml:space="preserve">              </w:t>
      </w:r>
    </w:p>
    <w:p>
      <w:pPr>
        <w:pStyle w:val="2"/>
        <w:adjustRightInd w:val="0"/>
        <w:snapToGrid w:val="0"/>
        <w:spacing w:after="0" w:line="440" w:lineRule="exact"/>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adjustRightInd w:val="0"/>
        <w:snapToGrid w:val="0"/>
        <w:spacing w:line="440" w:lineRule="exact"/>
        <w:rPr>
          <w:rFonts w:ascii="宋体" w:hAnsi="宋体" w:cs="宋体"/>
          <w:bCs/>
          <w:szCs w:val="21"/>
        </w:rPr>
      </w:pP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pPr>
        <w:adjustRightInd w:val="0"/>
        <w:snapToGrid w:val="0"/>
        <w:jc w:val="left"/>
        <w:rPr>
          <w:rFonts w:ascii="宋体" w:hAnsi="宋体" w:cs="宋体"/>
          <w:sz w:val="24"/>
        </w:rPr>
      </w:pPr>
    </w:p>
    <w:p>
      <w:pPr>
        <w:adjustRightInd w:val="0"/>
        <w:snapToGrid w:val="0"/>
        <w:jc w:val="left"/>
        <w:rPr>
          <w:rFonts w:ascii="宋体" w:hAnsi="宋体" w:cs="宋体"/>
          <w:sz w:val="24"/>
        </w:rPr>
      </w:pPr>
    </w:p>
    <w:p>
      <w:pPr>
        <w:autoSpaceDE w:val="0"/>
        <w:autoSpaceDN w:val="0"/>
        <w:adjustRightInd w:val="0"/>
        <w:snapToGrid w:val="0"/>
        <w:spacing w:line="440" w:lineRule="exact"/>
        <w:ind w:firstLine="420" w:firstLineChars="200"/>
        <w:rPr>
          <w:rFonts w:ascii="宋体" w:hAnsi="宋体" w:cs="宋体"/>
          <w:szCs w:val="21"/>
        </w:rPr>
      </w:pPr>
      <w:r>
        <w:rPr>
          <w:rFonts w:hint="eastAsia" w:ascii="宋体" w:hAnsi="宋体" w:cs="宋体"/>
          <w:szCs w:val="21"/>
        </w:rPr>
        <w:t>注：1、附件资料按评分标准提供。</w:t>
      </w:r>
    </w:p>
    <w:p>
      <w:pPr>
        <w:adjustRightInd w:val="0"/>
        <w:snapToGrid w:val="0"/>
        <w:jc w:val="left"/>
        <w:rPr>
          <w:rFonts w:ascii="宋体" w:hAnsi="宋体" w:cs="宋体"/>
          <w:sz w:val="24"/>
        </w:rPr>
      </w:pPr>
    </w:p>
    <w:p>
      <w:pPr>
        <w:adjustRightInd w:val="0"/>
        <w:snapToGrid w:val="0"/>
        <w:jc w:val="left"/>
        <w:rPr>
          <w:rFonts w:ascii="宋体" w:hAnsi="宋体" w:cs="宋体"/>
          <w:sz w:val="24"/>
        </w:rPr>
      </w:pPr>
    </w:p>
    <w:p>
      <w:pPr>
        <w:adjustRightInd w:val="0"/>
        <w:snapToGrid w:val="0"/>
        <w:jc w:val="left"/>
        <w:rPr>
          <w:rFonts w:ascii="宋体" w:hAnsi="宋体" w:cs="宋体"/>
          <w:sz w:val="24"/>
        </w:rPr>
      </w:pPr>
    </w:p>
    <w:p>
      <w:pPr>
        <w:adjustRightInd w:val="0"/>
        <w:snapToGrid w:val="0"/>
        <w:jc w:val="left"/>
        <w:rPr>
          <w:rFonts w:ascii="宋体" w:hAnsi="宋体" w:cs="宋体"/>
          <w:sz w:val="24"/>
        </w:rPr>
      </w:pPr>
    </w:p>
    <w:p>
      <w:pPr>
        <w:adjustRightInd w:val="0"/>
        <w:snapToGrid w:val="0"/>
        <w:jc w:val="left"/>
        <w:rPr>
          <w:rFonts w:ascii="宋体" w:hAnsi="宋体" w:cs="宋体"/>
          <w:sz w:val="24"/>
        </w:rPr>
      </w:pPr>
    </w:p>
    <w:p>
      <w:pPr>
        <w:adjustRightInd w:val="0"/>
        <w:snapToGrid w:val="0"/>
        <w:jc w:val="left"/>
        <w:rPr>
          <w:rFonts w:ascii="宋体" w:hAnsi="宋体" w:cs="宋体"/>
          <w:sz w:val="24"/>
        </w:rPr>
      </w:pPr>
    </w:p>
    <w:p>
      <w:pPr>
        <w:adjustRightInd w:val="0"/>
        <w:snapToGrid w:val="0"/>
        <w:jc w:val="left"/>
        <w:rPr>
          <w:rFonts w:ascii="宋体" w:hAnsi="宋体" w:cs="宋体"/>
          <w:sz w:val="24"/>
        </w:rPr>
      </w:pPr>
    </w:p>
    <w:p>
      <w:pPr>
        <w:adjustRightInd w:val="0"/>
        <w:snapToGrid w:val="0"/>
        <w:jc w:val="left"/>
        <w:rPr>
          <w:rFonts w:ascii="宋体" w:hAnsi="宋体" w:cs="宋体"/>
          <w:sz w:val="24"/>
        </w:rPr>
      </w:pPr>
    </w:p>
    <w:p>
      <w:pPr>
        <w:adjustRightInd w:val="0"/>
        <w:snapToGrid w:val="0"/>
        <w:jc w:val="left"/>
        <w:rPr>
          <w:rFonts w:ascii="宋体" w:hAnsi="宋体" w:cs="宋体"/>
          <w:sz w:val="24"/>
        </w:rPr>
      </w:pPr>
    </w:p>
    <w:p>
      <w:pPr>
        <w:adjustRightInd w:val="0"/>
        <w:snapToGrid w:val="0"/>
        <w:jc w:val="left"/>
        <w:rPr>
          <w:rFonts w:ascii="宋体" w:hAnsi="宋体" w:cs="宋体"/>
          <w:sz w:val="24"/>
        </w:rPr>
      </w:pPr>
    </w:p>
    <w:p>
      <w:pPr>
        <w:adjustRightInd w:val="0"/>
        <w:snapToGrid w:val="0"/>
        <w:jc w:val="left"/>
        <w:rPr>
          <w:rFonts w:ascii="宋体" w:hAnsi="宋体" w:cs="宋体"/>
          <w:b/>
          <w:sz w:val="24"/>
        </w:rPr>
      </w:pPr>
      <w:r>
        <w:rPr>
          <w:rFonts w:hint="eastAsia" w:ascii="宋体" w:hAnsi="宋体" w:cs="宋体"/>
          <w:b/>
          <w:sz w:val="24"/>
        </w:rPr>
        <w:t>7、商务响应表格式:</w:t>
      </w:r>
    </w:p>
    <w:p>
      <w:pPr>
        <w:adjustRightInd w:val="0"/>
        <w:snapToGrid w:val="0"/>
        <w:rPr>
          <w:rFonts w:ascii="宋体" w:hAnsi="宋体" w:cs="宋体"/>
          <w:b/>
          <w:sz w:val="44"/>
          <w:szCs w:val="44"/>
        </w:rPr>
      </w:pPr>
    </w:p>
    <w:p>
      <w:pPr>
        <w:adjustRightInd w:val="0"/>
        <w:snapToGrid w:val="0"/>
        <w:jc w:val="center"/>
        <w:rPr>
          <w:rFonts w:ascii="宋体" w:hAnsi="宋体" w:cs="宋体"/>
          <w:b/>
          <w:sz w:val="44"/>
          <w:szCs w:val="44"/>
        </w:rPr>
      </w:pPr>
      <w:r>
        <w:rPr>
          <w:rFonts w:hint="eastAsia" w:ascii="宋体" w:hAnsi="宋体" w:cs="宋体"/>
          <w:b/>
          <w:sz w:val="44"/>
          <w:szCs w:val="44"/>
        </w:rPr>
        <w:t>商务响应表</w:t>
      </w:r>
    </w:p>
    <w:p>
      <w:pPr>
        <w:spacing w:line="380" w:lineRule="exact"/>
        <w:rPr>
          <w:rFonts w:ascii="宋体" w:hAnsi="宋体" w:cs="宋体"/>
          <w:szCs w:val="21"/>
        </w:rPr>
      </w:pPr>
      <w:r>
        <w:rPr>
          <w:rFonts w:hint="eastAsia" w:ascii="宋体" w:hAnsi="宋体" w:cs="宋体"/>
          <w:szCs w:val="21"/>
        </w:rPr>
        <w:t xml:space="preserve">项目名称：  </w:t>
      </w:r>
    </w:p>
    <w:p>
      <w:pPr>
        <w:spacing w:line="380" w:lineRule="exact"/>
        <w:rPr>
          <w:rFonts w:ascii="宋体" w:hAnsi="宋体" w:cs="宋体"/>
          <w:szCs w:val="21"/>
        </w:rPr>
      </w:pPr>
      <w:r>
        <w:rPr>
          <w:rFonts w:hint="eastAsia" w:ascii="宋体" w:hAnsi="宋体" w:cs="宋体"/>
          <w:szCs w:val="21"/>
        </w:rPr>
        <w:t xml:space="preserve">项目编号： </w:t>
      </w:r>
    </w:p>
    <w:tbl>
      <w:tblPr>
        <w:tblStyle w:val="34"/>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vAlign w:val="center"/>
          </w:tcPr>
          <w:p>
            <w:pPr>
              <w:adjustRightInd w:val="0"/>
              <w:snapToGrid w:val="0"/>
              <w:spacing w:line="300" w:lineRule="exact"/>
              <w:jc w:val="center"/>
              <w:rPr>
                <w:rFonts w:ascii="宋体" w:hAnsi="宋体" w:cs="宋体"/>
                <w:b/>
                <w:szCs w:val="21"/>
              </w:rPr>
            </w:pPr>
            <w:r>
              <w:rPr>
                <w:rFonts w:hint="eastAsia" w:ascii="宋体" w:hAnsi="宋体" w:cs="宋体"/>
                <w:b/>
                <w:szCs w:val="21"/>
              </w:rPr>
              <w:t>项目</w:t>
            </w:r>
          </w:p>
        </w:tc>
        <w:tc>
          <w:tcPr>
            <w:tcW w:w="4043" w:type="dxa"/>
            <w:vAlign w:val="center"/>
          </w:tcPr>
          <w:p>
            <w:pPr>
              <w:adjustRightInd w:val="0"/>
              <w:snapToGrid w:val="0"/>
              <w:spacing w:line="300" w:lineRule="exact"/>
              <w:jc w:val="center"/>
              <w:rPr>
                <w:rFonts w:ascii="宋体" w:hAnsi="宋体" w:cs="宋体"/>
                <w:b/>
                <w:szCs w:val="21"/>
              </w:rPr>
            </w:pPr>
            <w:r>
              <w:rPr>
                <w:rFonts w:hint="eastAsia" w:ascii="宋体" w:hAnsi="宋体" w:cs="宋体"/>
                <w:b/>
                <w:szCs w:val="21"/>
              </w:rPr>
              <w:t>招标文件要求</w:t>
            </w:r>
          </w:p>
        </w:tc>
        <w:tc>
          <w:tcPr>
            <w:tcW w:w="1265" w:type="dxa"/>
            <w:vAlign w:val="center"/>
          </w:tcPr>
          <w:p>
            <w:pPr>
              <w:adjustRightInd w:val="0"/>
              <w:snapToGrid w:val="0"/>
              <w:spacing w:line="300" w:lineRule="exact"/>
              <w:jc w:val="center"/>
              <w:rPr>
                <w:rFonts w:ascii="宋体" w:hAnsi="宋体" w:cs="宋体"/>
                <w:b/>
                <w:szCs w:val="21"/>
              </w:rPr>
            </w:pPr>
            <w:r>
              <w:rPr>
                <w:rFonts w:hint="eastAsia" w:ascii="宋体" w:hAnsi="宋体" w:cs="宋体"/>
                <w:b/>
                <w:szCs w:val="21"/>
              </w:rPr>
              <w:t>是否响应</w:t>
            </w:r>
          </w:p>
        </w:tc>
        <w:tc>
          <w:tcPr>
            <w:tcW w:w="1596" w:type="dxa"/>
            <w:vAlign w:val="center"/>
          </w:tcPr>
          <w:p>
            <w:pPr>
              <w:adjustRightInd w:val="0"/>
              <w:snapToGrid w:val="0"/>
              <w:spacing w:line="300" w:lineRule="exact"/>
              <w:jc w:val="center"/>
              <w:rPr>
                <w:rFonts w:ascii="宋体" w:hAnsi="宋体" w:cs="宋体"/>
                <w:b/>
                <w:szCs w:val="21"/>
              </w:rPr>
            </w:pPr>
            <w:r>
              <w:rPr>
                <w:rFonts w:hint="eastAsia" w:ascii="宋体" w:hAnsi="宋体" w:cs="宋体"/>
                <w:b/>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pPr>
              <w:adjustRightInd w:val="0"/>
              <w:snapToGrid w:val="0"/>
              <w:rPr>
                <w:rFonts w:ascii="宋体" w:hAnsi="宋体" w:cs="宋体"/>
                <w:b/>
                <w:sz w:val="18"/>
                <w:szCs w:val="18"/>
              </w:rPr>
            </w:pPr>
          </w:p>
        </w:tc>
        <w:tc>
          <w:tcPr>
            <w:tcW w:w="4043" w:type="dxa"/>
            <w:vAlign w:val="center"/>
          </w:tcPr>
          <w:p>
            <w:pPr>
              <w:adjustRightInd w:val="0"/>
              <w:snapToGrid w:val="0"/>
              <w:rPr>
                <w:rFonts w:ascii="宋体" w:hAnsi="宋体" w:cs="宋体"/>
                <w:sz w:val="18"/>
                <w:szCs w:val="18"/>
              </w:rPr>
            </w:pPr>
          </w:p>
        </w:tc>
        <w:tc>
          <w:tcPr>
            <w:tcW w:w="1265" w:type="dxa"/>
            <w:vAlign w:val="center"/>
          </w:tcPr>
          <w:p>
            <w:pPr>
              <w:adjustRightInd w:val="0"/>
              <w:snapToGrid w:val="0"/>
              <w:spacing w:line="240" w:lineRule="exact"/>
              <w:jc w:val="center"/>
              <w:rPr>
                <w:rFonts w:ascii="宋体" w:hAnsi="宋体" w:cs="宋体"/>
                <w:b/>
                <w:sz w:val="18"/>
                <w:szCs w:val="18"/>
              </w:rPr>
            </w:pPr>
          </w:p>
        </w:tc>
        <w:tc>
          <w:tcPr>
            <w:tcW w:w="1596" w:type="dxa"/>
            <w:vAlign w:val="center"/>
          </w:tcPr>
          <w:p>
            <w:pPr>
              <w:adjustRightInd w:val="0"/>
              <w:snapToGrid w:val="0"/>
              <w:spacing w:line="240" w:lineRule="exact"/>
              <w:jc w:val="cente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pPr>
              <w:adjustRightInd w:val="0"/>
              <w:snapToGrid w:val="0"/>
              <w:rPr>
                <w:rFonts w:ascii="宋体" w:hAnsi="宋体" w:cs="宋体"/>
                <w:b/>
                <w:sz w:val="18"/>
                <w:szCs w:val="18"/>
              </w:rPr>
            </w:pPr>
          </w:p>
        </w:tc>
        <w:tc>
          <w:tcPr>
            <w:tcW w:w="4043" w:type="dxa"/>
          </w:tcPr>
          <w:p>
            <w:pPr>
              <w:adjustRightInd w:val="0"/>
              <w:snapToGrid w:val="0"/>
              <w:ind w:firstLine="360" w:firstLineChars="200"/>
              <w:rPr>
                <w:rFonts w:ascii="宋体" w:hAnsi="宋体" w:cs="宋体"/>
                <w:sz w:val="18"/>
                <w:szCs w:val="18"/>
              </w:rPr>
            </w:pPr>
          </w:p>
        </w:tc>
        <w:tc>
          <w:tcPr>
            <w:tcW w:w="1265" w:type="dxa"/>
            <w:vAlign w:val="center"/>
          </w:tcPr>
          <w:p>
            <w:pPr>
              <w:adjustRightInd w:val="0"/>
              <w:snapToGrid w:val="0"/>
              <w:spacing w:line="240" w:lineRule="exact"/>
              <w:rPr>
                <w:rFonts w:ascii="宋体" w:hAnsi="宋体" w:cs="宋体"/>
                <w:sz w:val="18"/>
                <w:szCs w:val="18"/>
              </w:rPr>
            </w:pPr>
          </w:p>
        </w:tc>
        <w:tc>
          <w:tcPr>
            <w:tcW w:w="1596" w:type="dxa"/>
            <w:vAlign w:val="center"/>
          </w:tcPr>
          <w:p>
            <w:pPr>
              <w:adjustRightInd w:val="0"/>
              <w:snapToGrid w:val="0"/>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pPr>
              <w:adjustRightInd w:val="0"/>
              <w:snapToGrid w:val="0"/>
              <w:rPr>
                <w:rFonts w:ascii="宋体" w:hAnsi="宋体" w:cs="宋体"/>
                <w:b/>
                <w:sz w:val="18"/>
                <w:szCs w:val="18"/>
              </w:rPr>
            </w:pPr>
          </w:p>
        </w:tc>
        <w:tc>
          <w:tcPr>
            <w:tcW w:w="4043" w:type="dxa"/>
          </w:tcPr>
          <w:p>
            <w:pPr>
              <w:adjustRightInd w:val="0"/>
              <w:snapToGrid w:val="0"/>
              <w:rPr>
                <w:rFonts w:ascii="宋体" w:hAnsi="宋体" w:cs="宋体"/>
                <w:b/>
                <w:sz w:val="18"/>
                <w:szCs w:val="18"/>
              </w:rPr>
            </w:pPr>
          </w:p>
        </w:tc>
        <w:tc>
          <w:tcPr>
            <w:tcW w:w="1265" w:type="dxa"/>
          </w:tcPr>
          <w:p>
            <w:pPr>
              <w:adjustRightInd w:val="0"/>
              <w:snapToGrid w:val="0"/>
              <w:spacing w:line="240" w:lineRule="exact"/>
              <w:rPr>
                <w:rFonts w:ascii="宋体" w:hAnsi="宋体" w:cs="宋体"/>
                <w:sz w:val="18"/>
                <w:szCs w:val="18"/>
              </w:rPr>
            </w:pPr>
          </w:p>
        </w:tc>
        <w:tc>
          <w:tcPr>
            <w:tcW w:w="1596" w:type="dxa"/>
          </w:tcPr>
          <w:p>
            <w:pPr>
              <w:adjustRightInd w:val="0"/>
              <w:snapToGrid w:val="0"/>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pPr>
              <w:adjustRightInd w:val="0"/>
              <w:snapToGrid w:val="0"/>
              <w:jc w:val="center"/>
              <w:rPr>
                <w:rFonts w:ascii="宋体" w:hAnsi="宋体" w:cs="宋体"/>
                <w:b/>
                <w:sz w:val="18"/>
                <w:szCs w:val="18"/>
              </w:rPr>
            </w:pPr>
          </w:p>
        </w:tc>
        <w:tc>
          <w:tcPr>
            <w:tcW w:w="4043" w:type="dxa"/>
          </w:tcPr>
          <w:p>
            <w:pPr>
              <w:adjustRightInd w:val="0"/>
              <w:snapToGrid w:val="0"/>
              <w:rPr>
                <w:rFonts w:ascii="宋体" w:hAnsi="宋体" w:cs="宋体"/>
                <w:sz w:val="18"/>
                <w:szCs w:val="18"/>
              </w:rPr>
            </w:pPr>
          </w:p>
        </w:tc>
        <w:tc>
          <w:tcPr>
            <w:tcW w:w="1265" w:type="dxa"/>
          </w:tcPr>
          <w:p>
            <w:pPr>
              <w:adjustRightInd w:val="0"/>
              <w:snapToGrid w:val="0"/>
              <w:spacing w:line="240" w:lineRule="exact"/>
              <w:rPr>
                <w:rFonts w:ascii="宋体" w:hAnsi="宋体" w:cs="宋体"/>
                <w:sz w:val="18"/>
                <w:szCs w:val="18"/>
              </w:rPr>
            </w:pPr>
          </w:p>
        </w:tc>
        <w:tc>
          <w:tcPr>
            <w:tcW w:w="1596" w:type="dxa"/>
          </w:tcPr>
          <w:p>
            <w:pPr>
              <w:adjustRightInd w:val="0"/>
              <w:snapToGrid w:val="0"/>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pPr>
              <w:adjustRightInd w:val="0"/>
              <w:snapToGrid w:val="0"/>
              <w:jc w:val="center"/>
              <w:rPr>
                <w:rFonts w:ascii="宋体" w:hAnsi="宋体" w:cs="宋体"/>
                <w:b/>
                <w:sz w:val="18"/>
                <w:szCs w:val="18"/>
              </w:rPr>
            </w:pPr>
          </w:p>
        </w:tc>
        <w:tc>
          <w:tcPr>
            <w:tcW w:w="4043" w:type="dxa"/>
          </w:tcPr>
          <w:p>
            <w:pPr>
              <w:autoSpaceDE w:val="0"/>
              <w:autoSpaceDN w:val="0"/>
              <w:adjustRightInd w:val="0"/>
              <w:ind w:right="-100"/>
              <w:jc w:val="left"/>
              <w:rPr>
                <w:rFonts w:ascii="宋体" w:hAnsi="宋体" w:cs="宋体"/>
                <w:kern w:val="0"/>
                <w:sz w:val="18"/>
                <w:szCs w:val="18"/>
              </w:rPr>
            </w:pPr>
          </w:p>
        </w:tc>
        <w:tc>
          <w:tcPr>
            <w:tcW w:w="1265" w:type="dxa"/>
          </w:tcPr>
          <w:p>
            <w:pPr>
              <w:adjustRightInd w:val="0"/>
              <w:snapToGrid w:val="0"/>
              <w:spacing w:line="240" w:lineRule="exact"/>
              <w:rPr>
                <w:rFonts w:ascii="宋体" w:hAnsi="宋体" w:cs="宋体"/>
                <w:sz w:val="18"/>
                <w:szCs w:val="18"/>
              </w:rPr>
            </w:pPr>
          </w:p>
        </w:tc>
        <w:tc>
          <w:tcPr>
            <w:tcW w:w="1596" w:type="dxa"/>
          </w:tcPr>
          <w:p>
            <w:pPr>
              <w:adjustRightInd w:val="0"/>
              <w:snapToGrid w:val="0"/>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pPr>
              <w:adjustRightInd w:val="0"/>
              <w:snapToGrid w:val="0"/>
              <w:jc w:val="center"/>
              <w:rPr>
                <w:rFonts w:ascii="宋体" w:hAnsi="宋体" w:cs="宋体"/>
                <w:b/>
                <w:sz w:val="18"/>
                <w:szCs w:val="18"/>
              </w:rPr>
            </w:pPr>
          </w:p>
        </w:tc>
        <w:tc>
          <w:tcPr>
            <w:tcW w:w="4043" w:type="dxa"/>
            <w:vAlign w:val="center"/>
          </w:tcPr>
          <w:p>
            <w:pPr>
              <w:adjustRightInd w:val="0"/>
              <w:snapToGrid w:val="0"/>
              <w:rPr>
                <w:rFonts w:ascii="宋体" w:hAnsi="宋体" w:cs="宋体"/>
                <w:sz w:val="18"/>
                <w:szCs w:val="18"/>
              </w:rPr>
            </w:pPr>
          </w:p>
        </w:tc>
        <w:tc>
          <w:tcPr>
            <w:tcW w:w="1265" w:type="dxa"/>
          </w:tcPr>
          <w:p>
            <w:pPr>
              <w:adjustRightInd w:val="0"/>
              <w:snapToGrid w:val="0"/>
              <w:spacing w:line="240" w:lineRule="exact"/>
              <w:rPr>
                <w:rFonts w:ascii="宋体" w:hAnsi="宋体" w:cs="宋体"/>
                <w:sz w:val="18"/>
                <w:szCs w:val="18"/>
              </w:rPr>
            </w:pPr>
          </w:p>
        </w:tc>
        <w:tc>
          <w:tcPr>
            <w:tcW w:w="1596" w:type="dxa"/>
          </w:tcPr>
          <w:p>
            <w:pPr>
              <w:adjustRightInd w:val="0"/>
              <w:snapToGrid w:val="0"/>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pPr>
              <w:adjustRightInd w:val="0"/>
              <w:snapToGrid w:val="0"/>
              <w:jc w:val="center"/>
              <w:rPr>
                <w:rFonts w:ascii="宋体" w:hAnsi="宋体" w:cs="宋体"/>
                <w:b/>
                <w:sz w:val="18"/>
                <w:szCs w:val="18"/>
              </w:rPr>
            </w:pPr>
          </w:p>
        </w:tc>
        <w:tc>
          <w:tcPr>
            <w:tcW w:w="4043" w:type="dxa"/>
            <w:vAlign w:val="center"/>
          </w:tcPr>
          <w:p>
            <w:pPr>
              <w:rPr>
                <w:rFonts w:ascii="宋体" w:hAnsi="宋体" w:cs="宋体"/>
                <w:sz w:val="18"/>
                <w:szCs w:val="18"/>
              </w:rPr>
            </w:pPr>
          </w:p>
        </w:tc>
        <w:tc>
          <w:tcPr>
            <w:tcW w:w="1265" w:type="dxa"/>
          </w:tcPr>
          <w:p>
            <w:pPr>
              <w:adjustRightInd w:val="0"/>
              <w:snapToGrid w:val="0"/>
              <w:spacing w:line="240" w:lineRule="exact"/>
              <w:rPr>
                <w:rFonts w:ascii="宋体" w:hAnsi="宋体" w:cs="宋体"/>
                <w:sz w:val="18"/>
                <w:szCs w:val="18"/>
              </w:rPr>
            </w:pPr>
          </w:p>
        </w:tc>
        <w:tc>
          <w:tcPr>
            <w:tcW w:w="1596" w:type="dxa"/>
          </w:tcPr>
          <w:p>
            <w:pPr>
              <w:adjustRightInd w:val="0"/>
              <w:snapToGrid w:val="0"/>
              <w:spacing w:line="240" w:lineRule="exact"/>
              <w:rPr>
                <w:rFonts w:ascii="宋体" w:hAnsi="宋体" w:cs="宋体"/>
                <w:sz w:val="18"/>
                <w:szCs w:val="18"/>
              </w:rPr>
            </w:pPr>
          </w:p>
        </w:tc>
      </w:tr>
    </w:tbl>
    <w:p>
      <w:pPr>
        <w:snapToGrid w:val="0"/>
        <w:spacing w:before="50" w:after="50"/>
        <w:rPr>
          <w:rFonts w:ascii="宋体" w:hAnsi="宋体" w:cs="宋体"/>
          <w:sz w:val="24"/>
          <w:u w:val="single"/>
        </w:rPr>
      </w:pPr>
      <w:r>
        <w:rPr>
          <w:rFonts w:hint="eastAsia" w:ascii="宋体" w:hAnsi="宋体" w:cs="宋体"/>
          <w:sz w:val="24"/>
        </w:rPr>
        <w:t>授权代表签名：</w:t>
      </w:r>
      <w:r>
        <w:rPr>
          <w:rFonts w:hint="eastAsia" w:ascii="宋体" w:hAnsi="宋体" w:cs="宋体"/>
          <w:sz w:val="24"/>
          <w:u w:val="single"/>
        </w:rPr>
        <w:t xml:space="preserve">        </w:t>
      </w:r>
    </w:p>
    <w:p>
      <w:pPr>
        <w:pStyle w:val="2"/>
        <w:snapToGrid w:val="0"/>
        <w:ind w:right="280"/>
        <w:rPr>
          <w:rFonts w:cs="宋体"/>
          <w:sz w:val="24"/>
        </w:rPr>
      </w:pPr>
      <w:r>
        <w:rPr>
          <w:rFonts w:cs="宋体"/>
          <w:sz w:val="24"/>
        </w:rPr>
        <w:t>投标人全称（盖章）：</w:t>
      </w:r>
      <w:r>
        <w:rPr>
          <w:rFonts w:cs="宋体"/>
          <w:sz w:val="24"/>
          <w:u w:val="single"/>
        </w:rPr>
        <w:t xml:space="preserve">               </w:t>
      </w:r>
      <w:r>
        <w:rPr>
          <w:rFonts w:cs="宋体"/>
          <w:sz w:val="24"/>
        </w:rPr>
        <w:t xml:space="preserve">              年    月　 日</w:t>
      </w:r>
    </w:p>
    <w:p>
      <w:pPr>
        <w:adjustRightInd w:val="0"/>
        <w:snapToGrid w:val="0"/>
        <w:jc w:val="left"/>
        <w:rPr>
          <w:rFonts w:ascii="宋体" w:hAnsi="宋体" w:cs="宋体"/>
          <w:sz w:val="24"/>
        </w:rPr>
      </w:pPr>
    </w:p>
    <w:p>
      <w:pPr>
        <w:adjustRightInd w:val="0"/>
        <w:snapToGrid w:val="0"/>
        <w:jc w:val="left"/>
        <w:rPr>
          <w:rFonts w:ascii="宋体" w:hAnsi="宋体" w:cs="宋体"/>
          <w:sz w:val="24"/>
        </w:rPr>
      </w:pPr>
    </w:p>
    <w:p>
      <w:pPr>
        <w:pStyle w:val="10"/>
        <w:adjustRightInd w:val="0"/>
        <w:snapToGrid w:val="0"/>
        <w:spacing w:after="0"/>
        <w:rPr>
          <w:rFonts w:ascii="宋体" w:hAnsi="宋体" w:cs="宋体"/>
          <w:sz w:val="21"/>
          <w:szCs w:val="21"/>
        </w:rPr>
      </w:pPr>
      <w:r>
        <w:rPr>
          <w:rFonts w:hint="eastAsia" w:ascii="宋体" w:hAnsi="宋体" w:cs="宋体"/>
          <w:sz w:val="21"/>
          <w:szCs w:val="21"/>
        </w:rPr>
        <w:t>注：按招标文件第二章商务要求列表，对照招标文件要求在“偏离情况”栏注明“正偏离”、“负偏离”或“无偏离”。不填写视同无偏离。</w:t>
      </w:r>
    </w:p>
    <w:p>
      <w:pPr>
        <w:pStyle w:val="10"/>
        <w:adjustRightInd w:val="0"/>
        <w:snapToGrid w:val="0"/>
        <w:spacing w:after="0"/>
        <w:rPr>
          <w:rFonts w:ascii="宋体" w:hAnsi="宋体" w:cs="宋体"/>
          <w:sz w:val="21"/>
          <w:szCs w:val="21"/>
        </w:rPr>
      </w:pPr>
    </w:p>
    <w:p>
      <w:pPr>
        <w:pStyle w:val="10"/>
        <w:adjustRightInd w:val="0"/>
        <w:snapToGrid w:val="0"/>
        <w:spacing w:after="0"/>
        <w:rPr>
          <w:rFonts w:ascii="宋体" w:hAnsi="宋体" w:cs="宋体"/>
          <w:sz w:val="21"/>
          <w:szCs w:val="21"/>
        </w:rPr>
      </w:pPr>
    </w:p>
    <w:p>
      <w:pPr>
        <w:pStyle w:val="10"/>
        <w:adjustRightInd w:val="0"/>
        <w:snapToGrid w:val="0"/>
        <w:spacing w:after="0"/>
        <w:rPr>
          <w:rFonts w:ascii="宋体" w:hAnsi="宋体" w:cs="宋体"/>
          <w:sz w:val="21"/>
          <w:szCs w:val="21"/>
        </w:rPr>
      </w:pPr>
    </w:p>
    <w:p>
      <w:pPr>
        <w:pStyle w:val="10"/>
        <w:adjustRightInd w:val="0"/>
        <w:snapToGrid w:val="0"/>
        <w:spacing w:after="0"/>
        <w:rPr>
          <w:rFonts w:ascii="宋体" w:hAnsi="宋体" w:cs="宋体"/>
          <w:sz w:val="21"/>
          <w:szCs w:val="21"/>
        </w:rPr>
      </w:pPr>
    </w:p>
    <w:p>
      <w:pPr>
        <w:pStyle w:val="10"/>
        <w:adjustRightInd w:val="0"/>
        <w:snapToGrid w:val="0"/>
        <w:spacing w:after="0"/>
        <w:rPr>
          <w:rFonts w:ascii="宋体" w:hAnsi="宋体" w:cs="宋体"/>
          <w:sz w:val="21"/>
          <w:szCs w:val="21"/>
        </w:rPr>
      </w:pPr>
    </w:p>
    <w:p>
      <w:pPr>
        <w:pStyle w:val="10"/>
        <w:adjustRightInd w:val="0"/>
        <w:snapToGrid w:val="0"/>
        <w:spacing w:after="0"/>
        <w:rPr>
          <w:rFonts w:ascii="宋体" w:hAnsi="宋体" w:cs="宋体"/>
          <w:sz w:val="21"/>
          <w:szCs w:val="21"/>
        </w:rPr>
      </w:pPr>
    </w:p>
    <w:p>
      <w:pPr>
        <w:pStyle w:val="10"/>
        <w:adjustRightInd w:val="0"/>
        <w:snapToGrid w:val="0"/>
        <w:spacing w:after="0"/>
        <w:rPr>
          <w:rFonts w:ascii="宋体" w:hAnsi="宋体" w:cs="宋体"/>
          <w:sz w:val="21"/>
          <w:szCs w:val="21"/>
        </w:rPr>
      </w:pPr>
    </w:p>
    <w:p>
      <w:pPr>
        <w:pStyle w:val="10"/>
        <w:adjustRightInd w:val="0"/>
        <w:snapToGrid w:val="0"/>
        <w:spacing w:after="0"/>
        <w:rPr>
          <w:rFonts w:ascii="宋体" w:hAnsi="宋体" w:cs="宋体"/>
          <w:sz w:val="21"/>
          <w:szCs w:val="21"/>
        </w:rPr>
      </w:pPr>
    </w:p>
    <w:p>
      <w:pPr>
        <w:pStyle w:val="10"/>
        <w:adjustRightInd w:val="0"/>
        <w:snapToGrid w:val="0"/>
        <w:spacing w:after="0"/>
        <w:rPr>
          <w:rFonts w:ascii="宋体" w:hAnsi="宋体" w:cs="宋体"/>
          <w:sz w:val="21"/>
          <w:szCs w:val="21"/>
        </w:rPr>
      </w:pPr>
    </w:p>
    <w:p>
      <w:pPr>
        <w:pStyle w:val="10"/>
        <w:adjustRightInd w:val="0"/>
        <w:snapToGrid w:val="0"/>
        <w:spacing w:after="0"/>
        <w:rPr>
          <w:rFonts w:ascii="宋体" w:hAnsi="宋体" w:cs="宋体"/>
          <w:sz w:val="21"/>
          <w:szCs w:val="21"/>
        </w:rPr>
      </w:pPr>
    </w:p>
    <w:p>
      <w:pPr>
        <w:pStyle w:val="10"/>
        <w:adjustRightInd w:val="0"/>
        <w:snapToGrid w:val="0"/>
        <w:spacing w:after="0"/>
        <w:rPr>
          <w:rFonts w:ascii="宋体" w:hAnsi="宋体" w:cs="宋体"/>
          <w:sz w:val="21"/>
          <w:szCs w:val="21"/>
        </w:rPr>
      </w:pPr>
    </w:p>
    <w:p>
      <w:pPr>
        <w:pStyle w:val="10"/>
        <w:adjustRightInd w:val="0"/>
        <w:snapToGrid w:val="0"/>
        <w:spacing w:after="0"/>
        <w:rPr>
          <w:rFonts w:ascii="宋体" w:hAnsi="宋体" w:cs="宋体"/>
          <w:sz w:val="21"/>
          <w:szCs w:val="21"/>
        </w:rPr>
      </w:pPr>
    </w:p>
    <w:p>
      <w:pPr>
        <w:pStyle w:val="10"/>
        <w:adjustRightInd w:val="0"/>
        <w:snapToGrid w:val="0"/>
        <w:spacing w:after="0"/>
        <w:rPr>
          <w:rFonts w:ascii="宋体" w:hAnsi="宋体" w:cs="宋体"/>
          <w:sz w:val="21"/>
          <w:szCs w:val="21"/>
        </w:rPr>
      </w:pPr>
    </w:p>
    <w:p>
      <w:pPr>
        <w:pStyle w:val="10"/>
        <w:adjustRightInd w:val="0"/>
        <w:snapToGrid w:val="0"/>
        <w:spacing w:after="0"/>
        <w:rPr>
          <w:rFonts w:ascii="宋体" w:hAnsi="宋体" w:cs="宋体"/>
          <w:sz w:val="21"/>
          <w:szCs w:val="21"/>
        </w:rPr>
      </w:pPr>
    </w:p>
    <w:p>
      <w:pPr>
        <w:pStyle w:val="10"/>
        <w:adjustRightInd w:val="0"/>
        <w:snapToGrid w:val="0"/>
        <w:spacing w:after="0"/>
        <w:rPr>
          <w:rFonts w:ascii="宋体" w:hAnsi="宋体" w:cs="宋体"/>
          <w:sz w:val="21"/>
          <w:szCs w:val="21"/>
        </w:rPr>
      </w:pPr>
    </w:p>
    <w:p>
      <w:pPr>
        <w:pStyle w:val="10"/>
        <w:adjustRightInd w:val="0"/>
        <w:snapToGrid w:val="0"/>
        <w:spacing w:after="0"/>
        <w:rPr>
          <w:rFonts w:ascii="宋体" w:hAnsi="宋体" w:cs="宋体"/>
          <w:sz w:val="21"/>
          <w:szCs w:val="21"/>
        </w:rPr>
      </w:pPr>
    </w:p>
    <w:p>
      <w:pPr>
        <w:pStyle w:val="10"/>
        <w:adjustRightInd w:val="0"/>
        <w:snapToGrid w:val="0"/>
        <w:spacing w:after="0"/>
        <w:rPr>
          <w:rFonts w:ascii="宋体" w:hAnsi="宋体" w:cs="宋体"/>
          <w:sz w:val="21"/>
          <w:szCs w:val="21"/>
        </w:rPr>
      </w:pPr>
    </w:p>
    <w:p>
      <w:pPr>
        <w:pStyle w:val="10"/>
        <w:adjustRightInd w:val="0"/>
        <w:snapToGrid w:val="0"/>
        <w:spacing w:after="0"/>
        <w:rPr>
          <w:rFonts w:ascii="宋体" w:hAnsi="宋体" w:cs="宋体"/>
          <w:sz w:val="21"/>
          <w:szCs w:val="21"/>
        </w:rPr>
      </w:pPr>
    </w:p>
    <w:p>
      <w:pPr>
        <w:pStyle w:val="10"/>
        <w:adjustRightInd w:val="0"/>
        <w:snapToGrid w:val="0"/>
        <w:spacing w:after="0"/>
        <w:rPr>
          <w:rFonts w:ascii="宋体" w:hAnsi="宋体" w:cs="宋体"/>
          <w:sz w:val="21"/>
          <w:szCs w:val="21"/>
        </w:rPr>
      </w:pPr>
    </w:p>
    <w:p>
      <w:pPr>
        <w:adjustRightInd w:val="0"/>
        <w:snapToGrid w:val="0"/>
        <w:jc w:val="left"/>
        <w:rPr>
          <w:rFonts w:ascii="宋体" w:hAnsi="宋体" w:cs="宋体"/>
          <w:b/>
          <w:sz w:val="24"/>
        </w:rPr>
      </w:pPr>
      <w:r>
        <w:rPr>
          <w:rFonts w:hint="eastAsia" w:ascii="宋体" w:hAnsi="宋体" w:cs="宋体"/>
          <w:b/>
          <w:sz w:val="24"/>
        </w:rPr>
        <w:t>8.技术响应表格式:</w:t>
      </w:r>
    </w:p>
    <w:p>
      <w:pPr>
        <w:adjustRightInd w:val="0"/>
        <w:snapToGrid w:val="0"/>
        <w:rPr>
          <w:rFonts w:ascii="宋体" w:hAnsi="宋体" w:cs="宋体"/>
          <w:b/>
          <w:sz w:val="44"/>
          <w:szCs w:val="44"/>
        </w:rPr>
      </w:pPr>
    </w:p>
    <w:p>
      <w:pPr>
        <w:adjustRightInd w:val="0"/>
        <w:snapToGrid w:val="0"/>
        <w:jc w:val="center"/>
        <w:rPr>
          <w:rFonts w:ascii="宋体" w:hAnsi="宋体" w:cs="宋体"/>
          <w:b/>
          <w:sz w:val="44"/>
          <w:szCs w:val="44"/>
        </w:rPr>
      </w:pPr>
      <w:r>
        <w:rPr>
          <w:rFonts w:hint="eastAsia" w:ascii="宋体" w:hAnsi="宋体" w:cs="宋体"/>
          <w:b/>
          <w:sz w:val="44"/>
          <w:szCs w:val="44"/>
        </w:rPr>
        <w:t>技术响应表</w:t>
      </w:r>
    </w:p>
    <w:p>
      <w:pPr>
        <w:spacing w:line="380" w:lineRule="exact"/>
        <w:rPr>
          <w:rFonts w:ascii="宋体" w:hAnsi="宋体" w:cs="宋体"/>
          <w:szCs w:val="21"/>
        </w:rPr>
      </w:pPr>
      <w:r>
        <w:rPr>
          <w:rFonts w:hint="eastAsia" w:ascii="宋体" w:hAnsi="宋体" w:cs="宋体"/>
          <w:szCs w:val="21"/>
        </w:rPr>
        <w:t xml:space="preserve">项目名称：  </w:t>
      </w:r>
    </w:p>
    <w:p>
      <w:pPr>
        <w:spacing w:line="380" w:lineRule="exact"/>
        <w:rPr>
          <w:rFonts w:ascii="宋体" w:hAnsi="宋体" w:cs="宋体"/>
          <w:szCs w:val="21"/>
        </w:rPr>
      </w:pPr>
      <w:r>
        <w:rPr>
          <w:rFonts w:hint="eastAsia" w:ascii="宋体" w:hAnsi="宋体" w:cs="宋体"/>
          <w:szCs w:val="21"/>
        </w:rPr>
        <w:t xml:space="preserve">项目编号： </w:t>
      </w:r>
    </w:p>
    <w:tbl>
      <w:tblPr>
        <w:tblStyle w:val="34"/>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vAlign w:val="center"/>
          </w:tcPr>
          <w:p>
            <w:pPr>
              <w:adjustRightInd w:val="0"/>
              <w:snapToGrid w:val="0"/>
              <w:spacing w:line="300" w:lineRule="exact"/>
              <w:jc w:val="center"/>
              <w:rPr>
                <w:rFonts w:ascii="宋体" w:hAnsi="宋体" w:cs="宋体"/>
                <w:b/>
                <w:szCs w:val="21"/>
              </w:rPr>
            </w:pPr>
            <w:r>
              <w:rPr>
                <w:rFonts w:hint="eastAsia" w:ascii="宋体" w:hAnsi="宋体" w:cs="宋体"/>
                <w:b/>
                <w:szCs w:val="21"/>
              </w:rPr>
              <w:t>项目</w:t>
            </w:r>
          </w:p>
        </w:tc>
        <w:tc>
          <w:tcPr>
            <w:tcW w:w="4043" w:type="dxa"/>
            <w:vAlign w:val="center"/>
          </w:tcPr>
          <w:p>
            <w:pPr>
              <w:adjustRightInd w:val="0"/>
              <w:snapToGrid w:val="0"/>
              <w:spacing w:line="300" w:lineRule="exact"/>
              <w:jc w:val="center"/>
              <w:rPr>
                <w:rFonts w:ascii="宋体" w:hAnsi="宋体" w:cs="宋体"/>
                <w:b/>
                <w:szCs w:val="21"/>
              </w:rPr>
            </w:pPr>
            <w:r>
              <w:rPr>
                <w:rFonts w:hint="eastAsia" w:ascii="宋体" w:hAnsi="宋体" w:cs="宋体"/>
                <w:b/>
                <w:szCs w:val="21"/>
              </w:rPr>
              <w:t>招标文件要求</w:t>
            </w:r>
          </w:p>
        </w:tc>
        <w:tc>
          <w:tcPr>
            <w:tcW w:w="1265" w:type="dxa"/>
            <w:vAlign w:val="center"/>
          </w:tcPr>
          <w:p>
            <w:pPr>
              <w:adjustRightInd w:val="0"/>
              <w:snapToGrid w:val="0"/>
              <w:spacing w:line="300" w:lineRule="exact"/>
              <w:jc w:val="center"/>
              <w:rPr>
                <w:rFonts w:ascii="宋体" w:hAnsi="宋体" w:cs="宋体"/>
                <w:b/>
                <w:szCs w:val="21"/>
              </w:rPr>
            </w:pPr>
            <w:r>
              <w:rPr>
                <w:rFonts w:hint="eastAsia" w:ascii="宋体" w:hAnsi="宋体" w:cs="宋体"/>
                <w:b/>
                <w:szCs w:val="21"/>
              </w:rPr>
              <w:t>是否响应</w:t>
            </w:r>
          </w:p>
        </w:tc>
        <w:tc>
          <w:tcPr>
            <w:tcW w:w="2204" w:type="dxa"/>
            <w:vAlign w:val="center"/>
          </w:tcPr>
          <w:p>
            <w:pPr>
              <w:adjustRightInd w:val="0"/>
              <w:snapToGrid w:val="0"/>
              <w:spacing w:line="300" w:lineRule="exact"/>
              <w:jc w:val="center"/>
              <w:rPr>
                <w:rFonts w:ascii="宋体" w:hAnsi="宋体" w:cs="宋体"/>
                <w:b/>
                <w:szCs w:val="21"/>
              </w:rPr>
            </w:pPr>
            <w:r>
              <w:rPr>
                <w:rFonts w:hint="eastAsia" w:ascii="宋体" w:hAnsi="宋体" w:cs="宋体"/>
                <w:b/>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pPr>
              <w:adjustRightInd w:val="0"/>
              <w:snapToGrid w:val="0"/>
              <w:rPr>
                <w:rFonts w:ascii="宋体" w:hAnsi="宋体" w:cs="宋体"/>
                <w:b/>
                <w:sz w:val="18"/>
                <w:szCs w:val="18"/>
              </w:rPr>
            </w:pPr>
          </w:p>
        </w:tc>
        <w:tc>
          <w:tcPr>
            <w:tcW w:w="4043" w:type="dxa"/>
            <w:vAlign w:val="center"/>
          </w:tcPr>
          <w:p>
            <w:pPr>
              <w:adjustRightInd w:val="0"/>
              <w:snapToGrid w:val="0"/>
              <w:rPr>
                <w:rFonts w:ascii="宋体" w:hAnsi="宋体" w:cs="宋体"/>
                <w:sz w:val="18"/>
                <w:szCs w:val="18"/>
              </w:rPr>
            </w:pPr>
          </w:p>
        </w:tc>
        <w:tc>
          <w:tcPr>
            <w:tcW w:w="1265" w:type="dxa"/>
            <w:vAlign w:val="center"/>
          </w:tcPr>
          <w:p>
            <w:pPr>
              <w:adjustRightInd w:val="0"/>
              <w:snapToGrid w:val="0"/>
              <w:spacing w:line="240" w:lineRule="exact"/>
              <w:jc w:val="center"/>
              <w:rPr>
                <w:rFonts w:ascii="宋体" w:hAnsi="宋体" w:cs="宋体"/>
                <w:b/>
                <w:sz w:val="18"/>
                <w:szCs w:val="18"/>
              </w:rPr>
            </w:pPr>
          </w:p>
        </w:tc>
        <w:tc>
          <w:tcPr>
            <w:tcW w:w="2204" w:type="dxa"/>
            <w:vAlign w:val="center"/>
          </w:tcPr>
          <w:p>
            <w:pPr>
              <w:adjustRightInd w:val="0"/>
              <w:snapToGrid w:val="0"/>
              <w:spacing w:line="240" w:lineRule="exact"/>
              <w:jc w:val="cente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pPr>
              <w:adjustRightInd w:val="0"/>
              <w:snapToGrid w:val="0"/>
              <w:rPr>
                <w:rFonts w:ascii="宋体" w:hAnsi="宋体" w:cs="宋体"/>
                <w:b/>
                <w:sz w:val="18"/>
                <w:szCs w:val="18"/>
              </w:rPr>
            </w:pPr>
          </w:p>
        </w:tc>
        <w:tc>
          <w:tcPr>
            <w:tcW w:w="4043" w:type="dxa"/>
          </w:tcPr>
          <w:p>
            <w:pPr>
              <w:adjustRightInd w:val="0"/>
              <w:snapToGrid w:val="0"/>
              <w:ind w:firstLine="360" w:firstLineChars="200"/>
              <w:rPr>
                <w:rFonts w:ascii="宋体" w:hAnsi="宋体" w:cs="宋体"/>
                <w:sz w:val="18"/>
                <w:szCs w:val="18"/>
              </w:rPr>
            </w:pPr>
          </w:p>
        </w:tc>
        <w:tc>
          <w:tcPr>
            <w:tcW w:w="1265" w:type="dxa"/>
            <w:vAlign w:val="center"/>
          </w:tcPr>
          <w:p>
            <w:pPr>
              <w:adjustRightInd w:val="0"/>
              <w:snapToGrid w:val="0"/>
              <w:spacing w:line="240" w:lineRule="exact"/>
              <w:rPr>
                <w:rFonts w:ascii="宋体" w:hAnsi="宋体" w:cs="宋体"/>
                <w:sz w:val="18"/>
                <w:szCs w:val="18"/>
              </w:rPr>
            </w:pPr>
          </w:p>
        </w:tc>
        <w:tc>
          <w:tcPr>
            <w:tcW w:w="2204" w:type="dxa"/>
            <w:vAlign w:val="center"/>
          </w:tcPr>
          <w:p>
            <w:pPr>
              <w:adjustRightInd w:val="0"/>
              <w:snapToGrid w:val="0"/>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pPr>
              <w:adjustRightInd w:val="0"/>
              <w:snapToGrid w:val="0"/>
              <w:rPr>
                <w:rFonts w:ascii="宋体" w:hAnsi="宋体" w:cs="宋体"/>
                <w:b/>
                <w:sz w:val="18"/>
                <w:szCs w:val="18"/>
              </w:rPr>
            </w:pPr>
          </w:p>
        </w:tc>
        <w:tc>
          <w:tcPr>
            <w:tcW w:w="4043" w:type="dxa"/>
          </w:tcPr>
          <w:p>
            <w:pPr>
              <w:adjustRightInd w:val="0"/>
              <w:snapToGrid w:val="0"/>
              <w:rPr>
                <w:rFonts w:ascii="宋体" w:hAnsi="宋体" w:cs="宋体"/>
                <w:b/>
                <w:sz w:val="18"/>
                <w:szCs w:val="18"/>
              </w:rPr>
            </w:pPr>
          </w:p>
        </w:tc>
        <w:tc>
          <w:tcPr>
            <w:tcW w:w="1265" w:type="dxa"/>
          </w:tcPr>
          <w:p>
            <w:pPr>
              <w:adjustRightInd w:val="0"/>
              <w:snapToGrid w:val="0"/>
              <w:spacing w:line="240" w:lineRule="exact"/>
              <w:rPr>
                <w:rFonts w:ascii="宋体" w:hAnsi="宋体" w:cs="宋体"/>
                <w:sz w:val="18"/>
                <w:szCs w:val="18"/>
              </w:rPr>
            </w:pPr>
          </w:p>
        </w:tc>
        <w:tc>
          <w:tcPr>
            <w:tcW w:w="2204" w:type="dxa"/>
          </w:tcPr>
          <w:p>
            <w:pPr>
              <w:adjustRightInd w:val="0"/>
              <w:snapToGrid w:val="0"/>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pPr>
              <w:adjustRightInd w:val="0"/>
              <w:snapToGrid w:val="0"/>
              <w:jc w:val="center"/>
              <w:rPr>
                <w:rFonts w:ascii="宋体" w:hAnsi="宋体" w:cs="宋体"/>
                <w:b/>
                <w:sz w:val="18"/>
                <w:szCs w:val="18"/>
              </w:rPr>
            </w:pPr>
          </w:p>
        </w:tc>
        <w:tc>
          <w:tcPr>
            <w:tcW w:w="4043" w:type="dxa"/>
          </w:tcPr>
          <w:p>
            <w:pPr>
              <w:adjustRightInd w:val="0"/>
              <w:snapToGrid w:val="0"/>
              <w:rPr>
                <w:rFonts w:ascii="宋体" w:hAnsi="宋体" w:cs="宋体"/>
                <w:sz w:val="18"/>
                <w:szCs w:val="18"/>
              </w:rPr>
            </w:pPr>
          </w:p>
        </w:tc>
        <w:tc>
          <w:tcPr>
            <w:tcW w:w="1265" w:type="dxa"/>
          </w:tcPr>
          <w:p>
            <w:pPr>
              <w:adjustRightInd w:val="0"/>
              <w:snapToGrid w:val="0"/>
              <w:spacing w:line="240" w:lineRule="exact"/>
              <w:rPr>
                <w:rFonts w:ascii="宋体" w:hAnsi="宋体" w:cs="宋体"/>
                <w:sz w:val="18"/>
                <w:szCs w:val="18"/>
              </w:rPr>
            </w:pPr>
          </w:p>
        </w:tc>
        <w:tc>
          <w:tcPr>
            <w:tcW w:w="2204" w:type="dxa"/>
          </w:tcPr>
          <w:p>
            <w:pPr>
              <w:adjustRightInd w:val="0"/>
              <w:snapToGrid w:val="0"/>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pPr>
              <w:adjustRightInd w:val="0"/>
              <w:snapToGrid w:val="0"/>
              <w:jc w:val="center"/>
              <w:rPr>
                <w:rFonts w:ascii="宋体" w:hAnsi="宋体" w:cs="宋体"/>
                <w:b/>
                <w:sz w:val="18"/>
                <w:szCs w:val="18"/>
              </w:rPr>
            </w:pPr>
          </w:p>
        </w:tc>
        <w:tc>
          <w:tcPr>
            <w:tcW w:w="4043" w:type="dxa"/>
          </w:tcPr>
          <w:p>
            <w:pPr>
              <w:autoSpaceDE w:val="0"/>
              <w:autoSpaceDN w:val="0"/>
              <w:adjustRightInd w:val="0"/>
              <w:ind w:right="-100"/>
              <w:jc w:val="left"/>
              <w:rPr>
                <w:rFonts w:ascii="宋体" w:hAnsi="宋体" w:cs="宋体"/>
                <w:kern w:val="0"/>
                <w:sz w:val="18"/>
                <w:szCs w:val="18"/>
              </w:rPr>
            </w:pPr>
          </w:p>
        </w:tc>
        <w:tc>
          <w:tcPr>
            <w:tcW w:w="1265" w:type="dxa"/>
          </w:tcPr>
          <w:p>
            <w:pPr>
              <w:adjustRightInd w:val="0"/>
              <w:snapToGrid w:val="0"/>
              <w:spacing w:line="240" w:lineRule="exact"/>
              <w:rPr>
                <w:rFonts w:ascii="宋体" w:hAnsi="宋体" w:cs="宋体"/>
                <w:sz w:val="18"/>
                <w:szCs w:val="18"/>
              </w:rPr>
            </w:pPr>
          </w:p>
        </w:tc>
        <w:tc>
          <w:tcPr>
            <w:tcW w:w="2204" w:type="dxa"/>
          </w:tcPr>
          <w:p>
            <w:pPr>
              <w:adjustRightInd w:val="0"/>
              <w:snapToGrid w:val="0"/>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pPr>
              <w:adjustRightInd w:val="0"/>
              <w:snapToGrid w:val="0"/>
              <w:jc w:val="center"/>
              <w:rPr>
                <w:rFonts w:ascii="宋体" w:hAnsi="宋体" w:cs="宋体"/>
                <w:b/>
                <w:sz w:val="18"/>
                <w:szCs w:val="18"/>
              </w:rPr>
            </w:pPr>
          </w:p>
        </w:tc>
        <w:tc>
          <w:tcPr>
            <w:tcW w:w="4043" w:type="dxa"/>
            <w:vAlign w:val="center"/>
          </w:tcPr>
          <w:p>
            <w:pPr>
              <w:adjustRightInd w:val="0"/>
              <w:snapToGrid w:val="0"/>
              <w:rPr>
                <w:rFonts w:ascii="宋体" w:hAnsi="宋体" w:cs="宋体"/>
                <w:sz w:val="18"/>
                <w:szCs w:val="18"/>
              </w:rPr>
            </w:pPr>
          </w:p>
        </w:tc>
        <w:tc>
          <w:tcPr>
            <w:tcW w:w="1265" w:type="dxa"/>
          </w:tcPr>
          <w:p>
            <w:pPr>
              <w:adjustRightInd w:val="0"/>
              <w:snapToGrid w:val="0"/>
              <w:spacing w:line="240" w:lineRule="exact"/>
              <w:rPr>
                <w:rFonts w:ascii="宋体" w:hAnsi="宋体" w:cs="宋体"/>
                <w:sz w:val="18"/>
                <w:szCs w:val="18"/>
              </w:rPr>
            </w:pPr>
          </w:p>
        </w:tc>
        <w:tc>
          <w:tcPr>
            <w:tcW w:w="2204" w:type="dxa"/>
          </w:tcPr>
          <w:p>
            <w:pPr>
              <w:adjustRightInd w:val="0"/>
              <w:snapToGrid w:val="0"/>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pPr>
              <w:adjustRightInd w:val="0"/>
              <w:snapToGrid w:val="0"/>
              <w:jc w:val="center"/>
              <w:rPr>
                <w:rFonts w:ascii="宋体" w:hAnsi="宋体" w:cs="宋体"/>
                <w:b/>
                <w:sz w:val="18"/>
                <w:szCs w:val="18"/>
              </w:rPr>
            </w:pPr>
          </w:p>
        </w:tc>
        <w:tc>
          <w:tcPr>
            <w:tcW w:w="4043" w:type="dxa"/>
            <w:vAlign w:val="center"/>
          </w:tcPr>
          <w:p>
            <w:pPr>
              <w:rPr>
                <w:rFonts w:ascii="宋体" w:hAnsi="宋体" w:cs="宋体"/>
                <w:sz w:val="18"/>
                <w:szCs w:val="18"/>
              </w:rPr>
            </w:pPr>
          </w:p>
        </w:tc>
        <w:tc>
          <w:tcPr>
            <w:tcW w:w="1265" w:type="dxa"/>
          </w:tcPr>
          <w:p>
            <w:pPr>
              <w:adjustRightInd w:val="0"/>
              <w:snapToGrid w:val="0"/>
              <w:spacing w:line="240" w:lineRule="exact"/>
              <w:rPr>
                <w:rFonts w:ascii="宋体" w:hAnsi="宋体" w:cs="宋体"/>
                <w:sz w:val="18"/>
                <w:szCs w:val="18"/>
              </w:rPr>
            </w:pPr>
          </w:p>
        </w:tc>
        <w:tc>
          <w:tcPr>
            <w:tcW w:w="2204" w:type="dxa"/>
          </w:tcPr>
          <w:p>
            <w:pPr>
              <w:adjustRightInd w:val="0"/>
              <w:snapToGrid w:val="0"/>
              <w:spacing w:line="240" w:lineRule="exact"/>
              <w:rPr>
                <w:rFonts w:ascii="宋体" w:hAnsi="宋体" w:cs="宋体"/>
                <w:sz w:val="18"/>
                <w:szCs w:val="18"/>
              </w:rPr>
            </w:pPr>
          </w:p>
        </w:tc>
      </w:tr>
    </w:tbl>
    <w:p>
      <w:pPr>
        <w:snapToGrid w:val="0"/>
        <w:spacing w:before="50" w:after="50"/>
        <w:rPr>
          <w:rFonts w:ascii="宋体" w:hAnsi="宋体" w:cs="宋体"/>
          <w:sz w:val="24"/>
          <w:u w:val="single"/>
        </w:rPr>
      </w:pPr>
      <w:r>
        <w:rPr>
          <w:rFonts w:hint="eastAsia" w:ascii="宋体" w:hAnsi="宋体" w:cs="宋体"/>
          <w:sz w:val="24"/>
        </w:rPr>
        <w:t>授权代表签名：</w:t>
      </w:r>
      <w:r>
        <w:rPr>
          <w:rFonts w:hint="eastAsia" w:ascii="宋体" w:hAnsi="宋体" w:cs="宋体"/>
          <w:sz w:val="24"/>
          <w:u w:val="single"/>
        </w:rPr>
        <w:t xml:space="preserve">        </w:t>
      </w:r>
    </w:p>
    <w:p>
      <w:pPr>
        <w:pStyle w:val="2"/>
        <w:snapToGrid w:val="0"/>
        <w:ind w:right="280"/>
        <w:rPr>
          <w:rFonts w:cs="宋体"/>
          <w:sz w:val="24"/>
        </w:rPr>
      </w:pPr>
      <w:r>
        <w:rPr>
          <w:rFonts w:cs="宋体"/>
          <w:sz w:val="24"/>
        </w:rPr>
        <w:t>投标人全称（盖章）：</w:t>
      </w:r>
      <w:r>
        <w:rPr>
          <w:rFonts w:cs="宋体"/>
          <w:sz w:val="24"/>
          <w:u w:val="single"/>
        </w:rPr>
        <w:t xml:space="preserve">               </w:t>
      </w:r>
      <w:r>
        <w:rPr>
          <w:rFonts w:cs="宋体"/>
          <w:sz w:val="24"/>
        </w:rPr>
        <w:t xml:space="preserve">              年    月　 日</w:t>
      </w:r>
    </w:p>
    <w:p>
      <w:pPr>
        <w:adjustRightInd w:val="0"/>
        <w:snapToGrid w:val="0"/>
        <w:jc w:val="left"/>
        <w:rPr>
          <w:rFonts w:ascii="宋体" w:hAnsi="宋体" w:cs="宋体"/>
          <w:sz w:val="24"/>
        </w:rPr>
      </w:pPr>
    </w:p>
    <w:p>
      <w:pPr>
        <w:adjustRightInd w:val="0"/>
        <w:snapToGrid w:val="0"/>
        <w:jc w:val="left"/>
        <w:rPr>
          <w:rFonts w:ascii="宋体" w:hAnsi="宋体" w:cs="宋体"/>
          <w:sz w:val="24"/>
        </w:rPr>
      </w:pPr>
    </w:p>
    <w:p>
      <w:pPr>
        <w:pStyle w:val="10"/>
        <w:adjustRightInd w:val="0"/>
        <w:snapToGrid w:val="0"/>
        <w:spacing w:after="0"/>
        <w:rPr>
          <w:rFonts w:ascii="宋体" w:hAnsi="宋体" w:cs="宋体"/>
          <w:sz w:val="21"/>
          <w:szCs w:val="21"/>
        </w:rPr>
        <w:sectPr>
          <w:pgSz w:w="11906" w:h="16838"/>
          <w:pgMar w:top="1247" w:right="1247" w:bottom="1247" w:left="1247" w:header="851" w:footer="992" w:gutter="0"/>
          <w:cols w:space="720" w:num="1"/>
          <w:docGrid w:linePitch="313" w:charSpace="0"/>
        </w:sectPr>
      </w:pPr>
      <w:r>
        <w:rPr>
          <w:rFonts w:hint="eastAsia" w:ascii="宋体" w:hAnsi="宋体" w:cs="宋体"/>
          <w:sz w:val="21"/>
          <w:szCs w:val="21"/>
        </w:rPr>
        <w:t>注：按招标文件要求列表，对照招标文件要求在“偏离情况”栏注明“正偏离”、“负偏离”或“无偏离”。不填写视同无偏离。</w:t>
      </w:r>
    </w:p>
    <w:p>
      <w:pPr>
        <w:adjustRightInd w:val="0"/>
        <w:snapToGrid w:val="0"/>
        <w:jc w:val="left"/>
        <w:rPr>
          <w:rFonts w:ascii="宋体" w:hAnsi="宋体" w:cs="宋体"/>
          <w:sz w:val="24"/>
        </w:rPr>
      </w:pPr>
      <w:r>
        <w:rPr>
          <w:rFonts w:hint="eastAsia" w:ascii="宋体" w:hAnsi="宋体" w:cs="宋体"/>
          <w:sz w:val="24"/>
        </w:rPr>
        <w:t>9、拟投入实施的团队人员配置表格式</w:t>
      </w:r>
    </w:p>
    <w:p>
      <w:pPr>
        <w:adjustRightInd w:val="0"/>
        <w:snapToGrid w:val="0"/>
        <w:jc w:val="left"/>
        <w:rPr>
          <w:rFonts w:ascii="宋体" w:hAnsi="宋体" w:cs="宋体"/>
          <w:sz w:val="24"/>
        </w:rPr>
      </w:pPr>
    </w:p>
    <w:p>
      <w:pPr>
        <w:adjustRightInd w:val="0"/>
        <w:snapToGrid w:val="0"/>
        <w:spacing w:line="440" w:lineRule="exact"/>
        <w:jc w:val="center"/>
        <w:rPr>
          <w:rFonts w:ascii="宋体" w:hAnsi="宋体" w:cs="宋体"/>
          <w:b/>
          <w:sz w:val="28"/>
          <w:szCs w:val="28"/>
        </w:rPr>
      </w:pPr>
      <w:r>
        <w:rPr>
          <w:rFonts w:hint="eastAsia" w:ascii="宋体" w:hAnsi="宋体" w:cs="宋体"/>
          <w:b/>
          <w:sz w:val="28"/>
          <w:szCs w:val="28"/>
        </w:rPr>
        <w:t>拟投入实施的团队人员配置表</w:t>
      </w:r>
    </w:p>
    <w:p>
      <w:pPr>
        <w:adjustRightInd w:val="0"/>
        <w:snapToGrid w:val="0"/>
        <w:spacing w:line="440" w:lineRule="exact"/>
        <w:jc w:val="center"/>
        <w:rPr>
          <w:rFonts w:ascii="宋体" w:hAnsi="宋体" w:cs="宋体"/>
          <w:b/>
          <w:sz w:val="28"/>
          <w:szCs w:val="28"/>
        </w:rPr>
      </w:pPr>
    </w:p>
    <w:p>
      <w:pPr>
        <w:adjustRightInd w:val="0"/>
        <w:snapToGrid w:val="0"/>
        <w:spacing w:line="440" w:lineRule="exact"/>
        <w:rPr>
          <w:rFonts w:ascii="宋体" w:hAnsi="宋体" w:cs="宋体"/>
          <w:sz w:val="24"/>
        </w:rPr>
      </w:pPr>
      <w:r>
        <w:rPr>
          <w:rFonts w:hint="eastAsia" w:ascii="宋体" w:hAnsi="宋体" w:cs="宋体"/>
          <w:sz w:val="24"/>
        </w:rPr>
        <w:t xml:space="preserve">项目名称：                </w:t>
      </w:r>
    </w:p>
    <w:p>
      <w:pPr>
        <w:adjustRightInd w:val="0"/>
        <w:snapToGrid w:val="0"/>
        <w:spacing w:line="440" w:lineRule="exact"/>
        <w:rPr>
          <w:rFonts w:ascii="宋体" w:hAnsi="宋体" w:cs="宋体"/>
          <w:b/>
          <w:sz w:val="28"/>
          <w:szCs w:val="28"/>
        </w:rPr>
      </w:pPr>
      <w:r>
        <w:rPr>
          <w:rFonts w:hint="eastAsia" w:ascii="宋体" w:hAnsi="宋体" w:cs="宋体"/>
          <w:sz w:val="24"/>
        </w:rPr>
        <w:t>项目编号：</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039"/>
        <w:gridCol w:w="595"/>
        <w:gridCol w:w="564"/>
        <w:gridCol w:w="941"/>
        <w:gridCol w:w="1163"/>
        <w:gridCol w:w="1317"/>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3" w:type="dxa"/>
            <w:tcBorders>
              <w:top w:val="single" w:color="auto" w:sz="12" w:space="0"/>
              <w:left w:val="single" w:color="auto" w:sz="12" w:space="0"/>
              <w:bottom w:val="single" w:color="auto" w:sz="12" w:space="0"/>
            </w:tcBorders>
            <w:vAlign w:val="center"/>
          </w:tcPr>
          <w:p>
            <w:pPr>
              <w:spacing w:line="480" w:lineRule="exact"/>
              <w:rPr>
                <w:rFonts w:ascii="宋体" w:hAnsi="宋体" w:cs="宋体"/>
                <w:szCs w:val="21"/>
              </w:rPr>
            </w:pPr>
            <w:r>
              <w:rPr>
                <w:rFonts w:hint="eastAsia" w:ascii="宋体" w:hAnsi="宋体" w:cs="宋体"/>
                <w:szCs w:val="21"/>
              </w:rPr>
              <w:t>姓 名</w:t>
            </w:r>
          </w:p>
        </w:tc>
        <w:tc>
          <w:tcPr>
            <w:tcW w:w="2039" w:type="dxa"/>
            <w:tcBorders>
              <w:top w:val="single" w:color="auto" w:sz="12" w:space="0"/>
              <w:bottom w:val="single" w:color="auto" w:sz="12" w:space="0"/>
            </w:tcBorders>
            <w:vAlign w:val="center"/>
          </w:tcPr>
          <w:p>
            <w:pPr>
              <w:spacing w:line="480" w:lineRule="exact"/>
              <w:ind w:firstLine="420" w:firstLineChars="200"/>
              <w:rPr>
                <w:rFonts w:ascii="宋体" w:hAnsi="宋体" w:cs="宋体"/>
                <w:szCs w:val="21"/>
              </w:rPr>
            </w:pPr>
            <w:r>
              <w:rPr>
                <w:rFonts w:hint="eastAsia" w:ascii="宋体" w:hAnsi="宋体" w:cs="宋体"/>
                <w:szCs w:val="21"/>
              </w:rPr>
              <w:t>本项目拟任</w:t>
            </w:r>
          </w:p>
          <w:p>
            <w:pPr>
              <w:spacing w:line="480" w:lineRule="exact"/>
              <w:ind w:firstLine="420" w:firstLineChars="200"/>
              <w:rPr>
                <w:rFonts w:ascii="宋体" w:hAnsi="宋体" w:cs="宋体"/>
                <w:szCs w:val="21"/>
              </w:rPr>
            </w:pPr>
            <w:r>
              <w:rPr>
                <w:rFonts w:hint="eastAsia" w:ascii="宋体" w:hAnsi="宋体" w:cs="宋体"/>
                <w:szCs w:val="21"/>
              </w:rPr>
              <w:t>岗    位</w:t>
            </w:r>
          </w:p>
        </w:tc>
        <w:tc>
          <w:tcPr>
            <w:tcW w:w="595" w:type="dxa"/>
            <w:tcBorders>
              <w:top w:val="single" w:color="auto" w:sz="12" w:space="0"/>
              <w:bottom w:val="single" w:color="auto" w:sz="12" w:space="0"/>
            </w:tcBorders>
            <w:vAlign w:val="center"/>
          </w:tcPr>
          <w:p>
            <w:pPr>
              <w:spacing w:line="480" w:lineRule="exact"/>
              <w:rPr>
                <w:rFonts w:ascii="宋体" w:hAnsi="宋体" w:cs="宋体"/>
                <w:szCs w:val="21"/>
              </w:rPr>
            </w:pPr>
            <w:r>
              <w:rPr>
                <w:rFonts w:hint="eastAsia" w:ascii="宋体" w:hAnsi="宋体" w:cs="宋体"/>
                <w:szCs w:val="21"/>
              </w:rPr>
              <w:t>年龄</w:t>
            </w:r>
          </w:p>
        </w:tc>
        <w:tc>
          <w:tcPr>
            <w:tcW w:w="564" w:type="dxa"/>
            <w:tcBorders>
              <w:top w:val="single" w:color="auto" w:sz="12" w:space="0"/>
              <w:bottom w:val="single" w:color="auto" w:sz="12" w:space="0"/>
            </w:tcBorders>
            <w:vAlign w:val="center"/>
          </w:tcPr>
          <w:p>
            <w:pPr>
              <w:spacing w:line="480" w:lineRule="exact"/>
              <w:rPr>
                <w:rFonts w:ascii="宋体" w:hAnsi="宋体" w:cs="宋体"/>
                <w:szCs w:val="21"/>
              </w:rPr>
            </w:pPr>
            <w:r>
              <w:rPr>
                <w:rFonts w:hint="eastAsia" w:ascii="宋体" w:hAnsi="宋体" w:cs="宋体"/>
                <w:szCs w:val="21"/>
              </w:rPr>
              <w:t>性别</w:t>
            </w:r>
          </w:p>
        </w:tc>
        <w:tc>
          <w:tcPr>
            <w:tcW w:w="941" w:type="dxa"/>
            <w:tcBorders>
              <w:top w:val="single" w:color="auto" w:sz="12" w:space="0"/>
              <w:bottom w:val="single" w:color="auto" w:sz="12" w:space="0"/>
            </w:tcBorders>
            <w:vAlign w:val="center"/>
          </w:tcPr>
          <w:p>
            <w:pPr>
              <w:spacing w:line="480" w:lineRule="exact"/>
              <w:rPr>
                <w:rFonts w:ascii="宋体" w:hAnsi="宋体" w:cs="宋体"/>
                <w:szCs w:val="21"/>
              </w:rPr>
            </w:pPr>
            <w:r>
              <w:rPr>
                <w:rFonts w:hint="eastAsia" w:ascii="宋体" w:hAnsi="宋体" w:cs="宋体"/>
                <w:szCs w:val="21"/>
              </w:rPr>
              <w:t>专 业</w:t>
            </w:r>
          </w:p>
        </w:tc>
        <w:tc>
          <w:tcPr>
            <w:tcW w:w="1163" w:type="dxa"/>
            <w:tcBorders>
              <w:top w:val="single" w:color="auto" w:sz="12" w:space="0"/>
              <w:bottom w:val="single" w:color="auto" w:sz="12" w:space="0"/>
            </w:tcBorders>
            <w:vAlign w:val="center"/>
          </w:tcPr>
          <w:p>
            <w:pPr>
              <w:spacing w:line="480" w:lineRule="exact"/>
              <w:rPr>
                <w:rFonts w:ascii="宋体" w:hAnsi="宋体" w:cs="宋体"/>
                <w:szCs w:val="21"/>
              </w:rPr>
            </w:pPr>
            <w:r>
              <w:rPr>
                <w:rFonts w:hint="eastAsia" w:ascii="宋体" w:hAnsi="宋体" w:cs="宋体"/>
                <w:szCs w:val="21"/>
              </w:rPr>
              <w:t>职 称与证书</w:t>
            </w:r>
          </w:p>
        </w:tc>
        <w:tc>
          <w:tcPr>
            <w:tcW w:w="1317" w:type="dxa"/>
            <w:tcBorders>
              <w:top w:val="single" w:color="auto" w:sz="12" w:space="0"/>
              <w:bottom w:val="single" w:color="auto" w:sz="12" w:space="0"/>
            </w:tcBorders>
            <w:vAlign w:val="center"/>
          </w:tcPr>
          <w:p>
            <w:pPr>
              <w:spacing w:line="480" w:lineRule="exact"/>
              <w:rPr>
                <w:rFonts w:ascii="宋体" w:hAnsi="宋体" w:cs="宋体"/>
                <w:szCs w:val="21"/>
              </w:rPr>
            </w:pPr>
            <w:r>
              <w:rPr>
                <w:rFonts w:hint="eastAsia" w:ascii="宋体" w:hAnsi="宋体" w:cs="宋体"/>
                <w:szCs w:val="21"/>
              </w:rPr>
              <w:t>安排上岗起止时间</w:t>
            </w:r>
          </w:p>
        </w:tc>
        <w:tc>
          <w:tcPr>
            <w:tcW w:w="1232" w:type="dxa"/>
            <w:tcBorders>
              <w:top w:val="single" w:color="auto" w:sz="12" w:space="0"/>
              <w:bottom w:val="single" w:color="auto" w:sz="12" w:space="0"/>
              <w:right w:val="single" w:color="auto" w:sz="12" w:space="0"/>
            </w:tcBorders>
            <w:vAlign w:val="center"/>
          </w:tcPr>
          <w:p>
            <w:pPr>
              <w:spacing w:line="480" w:lineRule="exact"/>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top w:val="single" w:color="auto" w:sz="12" w:space="0"/>
              <w:left w:val="single" w:color="auto" w:sz="12" w:space="0"/>
            </w:tcBorders>
            <w:vAlign w:val="center"/>
          </w:tcPr>
          <w:p>
            <w:pPr>
              <w:spacing w:line="360" w:lineRule="auto"/>
              <w:rPr>
                <w:rFonts w:ascii="宋体" w:hAnsi="宋体" w:cs="宋体"/>
                <w:szCs w:val="21"/>
              </w:rPr>
            </w:pPr>
          </w:p>
        </w:tc>
        <w:tc>
          <w:tcPr>
            <w:tcW w:w="2039" w:type="dxa"/>
            <w:tcBorders>
              <w:top w:val="single" w:color="auto" w:sz="12" w:space="0"/>
            </w:tcBorders>
            <w:vAlign w:val="center"/>
          </w:tcPr>
          <w:p>
            <w:pPr>
              <w:spacing w:line="360" w:lineRule="auto"/>
              <w:rPr>
                <w:rFonts w:ascii="宋体" w:hAnsi="宋体" w:cs="宋体"/>
                <w:szCs w:val="21"/>
              </w:rPr>
            </w:pPr>
          </w:p>
        </w:tc>
        <w:tc>
          <w:tcPr>
            <w:tcW w:w="595" w:type="dxa"/>
            <w:tcBorders>
              <w:top w:val="single" w:color="auto" w:sz="12" w:space="0"/>
            </w:tcBorders>
            <w:vAlign w:val="center"/>
          </w:tcPr>
          <w:p>
            <w:pPr>
              <w:spacing w:line="360" w:lineRule="auto"/>
              <w:rPr>
                <w:rFonts w:ascii="宋体" w:hAnsi="宋体" w:cs="宋体"/>
                <w:szCs w:val="21"/>
              </w:rPr>
            </w:pPr>
          </w:p>
        </w:tc>
        <w:tc>
          <w:tcPr>
            <w:tcW w:w="564" w:type="dxa"/>
            <w:tcBorders>
              <w:top w:val="single" w:color="auto" w:sz="12" w:space="0"/>
            </w:tcBorders>
            <w:vAlign w:val="center"/>
          </w:tcPr>
          <w:p>
            <w:pPr>
              <w:spacing w:line="360" w:lineRule="auto"/>
              <w:rPr>
                <w:rFonts w:ascii="宋体" w:hAnsi="宋体" w:cs="宋体"/>
                <w:szCs w:val="21"/>
              </w:rPr>
            </w:pPr>
          </w:p>
        </w:tc>
        <w:tc>
          <w:tcPr>
            <w:tcW w:w="941" w:type="dxa"/>
            <w:tcBorders>
              <w:top w:val="single" w:color="auto" w:sz="12" w:space="0"/>
            </w:tcBorders>
            <w:vAlign w:val="center"/>
          </w:tcPr>
          <w:p>
            <w:pPr>
              <w:spacing w:line="360" w:lineRule="auto"/>
              <w:rPr>
                <w:rFonts w:ascii="宋体" w:hAnsi="宋体" w:cs="宋体"/>
                <w:szCs w:val="21"/>
              </w:rPr>
            </w:pPr>
          </w:p>
        </w:tc>
        <w:tc>
          <w:tcPr>
            <w:tcW w:w="1163" w:type="dxa"/>
            <w:tcBorders>
              <w:top w:val="single" w:color="auto" w:sz="12" w:space="0"/>
            </w:tcBorders>
            <w:vAlign w:val="center"/>
          </w:tcPr>
          <w:p>
            <w:pPr>
              <w:spacing w:line="360" w:lineRule="auto"/>
              <w:rPr>
                <w:rFonts w:ascii="宋体" w:hAnsi="宋体" w:cs="宋体"/>
                <w:szCs w:val="21"/>
              </w:rPr>
            </w:pPr>
          </w:p>
        </w:tc>
        <w:tc>
          <w:tcPr>
            <w:tcW w:w="1317" w:type="dxa"/>
            <w:tcBorders>
              <w:top w:val="single" w:color="auto" w:sz="12" w:space="0"/>
            </w:tcBorders>
            <w:vAlign w:val="center"/>
          </w:tcPr>
          <w:p>
            <w:pPr>
              <w:pStyle w:val="16"/>
              <w:spacing w:line="360" w:lineRule="auto"/>
              <w:ind w:left="5250"/>
              <w:rPr>
                <w:rFonts w:ascii="宋体" w:eastAsia="宋体" w:cs="宋体"/>
                <w:sz w:val="21"/>
                <w:szCs w:val="21"/>
              </w:rPr>
            </w:pPr>
          </w:p>
        </w:tc>
        <w:tc>
          <w:tcPr>
            <w:tcW w:w="1232" w:type="dxa"/>
            <w:tcBorders>
              <w:top w:val="single" w:color="auto" w:sz="12" w:space="0"/>
              <w:right w:val="single" w:color="auto" w:sz="12"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pPr>
              <w:spacing w:line="360" w:lineRule="auto"/>
              <w:rPr>
                <w:rFonts w:ascii="宋体" w:hAnsi="宋体" w:cs="宋体"/>
                <w:szCs w:val="21"/>
              </w:rPr>
            </w:pPr>
          </w:p>
        </w:tc>
        <w:tc>
          <w:tcPr>
            <w:tcW w:w="2039" w:type="dxa"/>
            <w:vAlign w:val="center"/>
          </w:tcPr>
          <w:p>
            <w:pPr>
              <w:spacing w:line="360" w:lineRule="auto"/>
              <w:rPr>
                <w:rFonts w:ascii="宋体" w:hAnsi="宋体" w:cs="宋体"/>
                <w:szCs w:val="21"/>
              </w:rPr>
            </w:pPr>
          </w:p>
        </w:tc>
        <w:tc>
          <w:tcPr>
            <w:tcW w:w="595" w:type="dxa"/>
            <w:vAlign w:val="center"/>
          </w:tcPr>
          <w:p>
            <w:pPr>
              <w:spacing w:line="360" w:lineRule="auto"/>
              <w:rPr>
                <w:rFonts w:ascii="宋体" w:hAnsi="宋体" w:cs="宋体"/>
                <w:szCs w:val="21"/>
              </w:rPr>
            </w:pPr>
          </w:p>
        </w:tc>
        <w:tc>
          <w:tcPr>
            <w:tcW w:w="564" w:type="dxa"/>
            <w:vAlign w:val="center"/>
          </w:tcPr>
          <w:p>
            <w:pPr>
              <w:spacing w:line="360" w:lineRule="auto"/>
              <w:rPr>
                <w:rFonts w:ascii="宋体" w:hAnsi="宋体" w:cs="宋体"/>
                <w:szCs w:val="21"/>
              </w:rPr>
            </w:pPr>
          </w:p>
        </w:tc>
        <w:tc>
          <w:tcPr>
            <w:tcW w:w="941" w:type="dxa"/>
            <w:vAlign w:val="center"/>
          </w:tcPr>
          <w:p>
            <w:pPr>
              <w:spacing w:line="360" w:lineRule="auto"/>
              <w:rPr>
                <w:rFonts w:ascii="宋体" w:hAnsi="宋体" w:cs="宋体"/>
                <w:szCs w:val="21"/>
              </w:rPr>
            </w:pPr>
          </w:p>
        </w:tc>
        <w:tc>
          <w:tcPr>
            <w:tcW w:w="1163" w:type="dxa"/>
            <w:vAlign w:val="center"/>
          </w:tcPr>
          <w:p>
            <w:pPr>
              <w:spacing w:line="360" w:lineRule="auto"/>
              <w:rPr>
                <w:rFonts w:ascii="宋体" w:hAnsi="宋体" w:cs="宋体"/>
                <w:szCs w:val="21"/>
              </w:rPr>
            </w:pPr>
          </w:p>
        </w:tc>
        <w:tc>
          <w:tcPr>
            <w:tcW w:w="1317" w:type="dxa"/>
            <w:vAlign w:val="center"/>
          </w:tcPr>
          <w:p>
            <w:pPr>
              <w:spacing w:line="360" w:lineRule="auto"/>
              <w:rPr>
                <w:rFonts w:ascii="宋体" w:hAnsi="宋体" w:cs="宋体"/>
                <w:szCs w:val="21"/>
              </w:rPr>
            </w:pPr>
          </w:p>
        </w:tc>
        <w:tc>
          <w:tcPr>
            <w:tcW w:w="1232" w:type="dxa"/>
            <w:tcBorders>
              <w:right w:val="single" w:color="auto" w:sz="12"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pPr>
              <w:spacing w:line="360" w:lineRule="auto"/>
              <w:rPr>
                <w:rFonts w:ascii="宋体" w:hAnsi="宋体" w:cs="宋体"/>
                <w:szCs w:val="21"/>
              </w:rPr>
            </w:pPr>
          </w:p>
        </w:tc>
        <w:tc>
          <w:tcPr>
            <w:tcW w:w="2039" w:type="dxa"/>
            <w:vAlign w:val="center"/>
          </w:tcPr>
          <w:p>
            <w:pPr>
              <w:spacing w:line="360" w:lineRule="auto"/>
              <w:rPr>
                <w:rFonts w:ascii="宋体" w:hAnsi="宋体" w:cs="宋体"/>
                <w:szCs w:val="21"/>
              </w:rPr>
            </w:pPr>
          </w:p>
        </w:tc>
        <w:tc>
          <w:tcPr>
            <w:tcW w:w="595" w:type="dxa"/>
            <w:vAlign w:val="center"/>
          </w:tcPr>
          <w:p>
            <w:pPr>
              <w:spacing w:line="360" w:lineRule="auto"/>
              <w:rPr>
                <w:rFonts w:ascii="宋体" w:hAnsi="宋体" w:cs="宋体"/>
                <w:szCs w:val="21"/>
              </w:rPr>
            </w:pPr>
          </w:p>
        </w:tc>
        <w:tc>
          <w:tcPr>
            <w:tcW w:w="564" w:type="dxa"/>
            <w:vAlign w:val="center"/>
          </w:tcPr>
          <w:p>
            <w:pPr>
              <w:spacing w:line="360" w:lineRule="auto"/>
              <w:rPr>
                <w:rFonts w:ascii="宋体" w:hAnsi="宋体" w:cs="宋体"/>
                <w:szCs w:val="21"/>
              </w:rPr>
            </w:pPr>
          </w:p>
        </w:tc>
        <w:tc>
          <w:tcPr>
            <w:tcW w:w="941" w:type="dxa"/>
            <w:vAlign w:val="center"/>
          </w:tcPr>
          <w:p>
            <w:pPr>
              <w:spacing w:line="360" w:lineRule="auto"/>
              <w:rPr>
                <w:rFonts w:ascii="宋体" w:hAnsi="宋体" w:cs="宋体"/>
                <w:szCs w:val="21"/>
              </w:rPr>
            </w:pPr>
          </w:p>
        </w:tc>
        <w:tc>
          <w:tcPr>
            <w:tcW w:w="1163" w:type="dxa"/>
            <w:vAlign w:val="center"/>
          </w:tcPr>
          <w:p>
            <w:pPr>
              <w:spacing w:line="360" w:lineRule="auto"/>
              <w:rPr>
                <w:rFonts w:ascii="宋体" w:hAnsi="宋体" w:cs="宋体"/>
                <w:szCs w:val="21"/>
              </w:rPr>
            </w:pPr>
          </w:p>
        </w:tc>
        <w:tc>
          <w:tcPr>
            <w:tcW w:w="1317" w:type="dxa"/>
            <w:vAlign w:val="center"/>
          </w:tcPr>
          <w:p>
            <w:pPr>
              <w:spacing w:line="360" w:lineRule="auto"/>
              <w:rPr>
                <w:rFonts w:ascii="宋体" w:hAnsi="宋体" w:cs="宋体"/>
                <w:szCs w:val="21"/>
              </w:rPr>
            </w:pPr>
          </w:p>
        </w:tc>
        <w:tc>
          <w:tcPr>
            <w:tcW w:w="1232" w:type="dxa"/>
            <w:tcBorders>
              <w:right w:val="single" w:color="auto" w:sz="12"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pPr>
              <w:spacing w:line="360" w:lineRule="auto"/>
              <w:rPr>
                <w:rFonts w:ascii="宋体" w:hAnsi="宋体" w:cs="宋体"/>
                <w:szCs w:val="21"/>
              </w:rPr>
            </w:pPr>
          </w:p>
        </w:tc>
        <w:tc>
          <w:tcPr>
            <w:tcW w:w="2039" w:type="dxa"/>
            <w:vAlign w:val="center"/>
          </w:tcPr>
          <w:p>
            <w:pPr>
              <w:spacing w:line="360" w:lineRule="auto"/>
              <w:rPr>
                <w:rFonts w:ascii="宋体" w:hAnsi="宋体" w:cs="宋体"/>
                <w:szCs w:val="21"/>
              </w:rPr>
            </w:pPr>
          </w:p>
        </w:tc>
        <w:tc>
          <w:tcPr>
            <w:tcW w:w="595" w:type="dxa"/>
            <w:vAlign w:val="center"/>
          </w:tcPr>
          <w:p>
            <w:pPr>
              <w:spacing w:line="360" w:lineRule="auto"/>
              <w:rPr>
                <w:rFonts w:ascii="宋体" w:hAnsi="宋体" w:cs="宋体"/>
                <w:szCs w:val="21"/>
              </w:rPr>
            </w:pPr>
          </w:p>
        </w:tc>
        <w:tc>
          <w:tcPr>
            <w:tcW w:w="564" w:type="dxa"/>
            <w:vAlign w:val="center"/>
          </w:tcPr>
          <w:p>
            <w:pPr>
              <w:spacing w:line="360" w:lineRule="auto"/>
              <w:rPr>
                <w:rFonts w:ascii="宋体" w:hAnsi="宋体" w:cs="宋体"/>
                <w:szCs w:val="21"/>
              </w:rPr>
            </w:pPr>
          </w:p>
        </w:tc>
        <w:tc>
          <w:tcPr>
            <w:tcW w:w="941" w:type="dxa"/>
            <w:vAlign w:val="center"/>
          </w:tcPr>
          <w:p>
            <w:pPr>
              <w:spacing w:line="360" w:lineRule="auto"/>
              <w:rPr>
                <w:rFonts w:ascii="宋体" w:hAnsi="宋体" w:cs="宋体"/>
                <w:szCs w:val="21"/>
              </w:rPr>
            </w:pPr>
          </w:p>
        </w:tc>
        <w:tc>
          <w:tcPr>
            <w:tcW w:w="1163" w:type="dxa"/>
            <w:vAlign w:val="center"/>
          </w:tcPr>
          <w:p>
            <w:pPr>
              <w:spacing w:line="360" w:lineRule="auto"/>
              <w:rPr>
                <w:rFonts w:ascii="宋体" w:hAnsi="宋体" w:cs="宋体"/>
                <w:szCs w:val="21"/>
              </w:rPr>
            </w:pPr>
          </w:p>
        </w:tc>
        <w:tc>
          <w:tcPr>
            <w:tcW w:w="1317" w:type="dxa"/>
            <w:vAlign w:val="center"/>
          </w:tcPr>
          <w:p>
            <w:pPr>
              <w:spacing w:line="360" w:lineRule="auto"/>
              <w:rPr>
                <w:rFonts w:ascii="宋体" w:hAnsi="宋体" w:cs="宋体"/>
                <w:szCs w:val="21"/>
              </w:rPr>
            </w:pPr>
          </w:p>
        </w:tc>
        <w:tc>
          <w:tcPr>
            <w:tcW w:w="1232" w:type="dxa"/>
            <w:tcBorders>
              <w:right w:val="single" w:color="auto" w:sz="12"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pPr>
              <w:spacing w:line="360" w:lineRule="auto"/>
              <w:rPr>
                <w:rFonts w:ascii="宋体" w:hAnsi="宋体" w:cs="宋体"/>
                <w:szCs w:val="21"/>
              </w:rPr>
            </w:pPr>
          </w:p>
        </w:tc>
        <w:tc>
          <w:tcPr>
            <w:tcW w:w="2039" w:type="dxa"/>
            <w:vAlign w:val="center"/>
          </w:tcPr>
          <w:p>
            <w:pPr>
              <w:spacing w:line="360" w:lineRule="auto"/>
              <w:rPr>
                <w:rFonts w:ascii="宋体" w:hAnsi="宋体" w:cs="宋体"/>
                <w:szCs w:val="21"/>
              </w:rPr>
            </w:pPr>
          </w:p>
        </w:tc>
        <w:tc>
          <w:tcPr>
            <w:tcW w:w="595" w:type="dxa"/>
            <w:vAlign w:val="center"/>
          </w:tcPr>
          <w:p>
            <w:pPr>
              <w:spacing w:line="360" w:lineRule="auto"/>
              <w:rPr>
                <w:rFonts w:ascii="宋体" w:hAnsi="宋体" w:cs="宋体"/>
                <w:szCs w:val="21"/>
              </w:rPr>
            </w:pPr>
          </w:p>
        </w:tc>
        <w:tc>
          <w:tcPr>
            <w:tcW w:w="564" w:type="dxa"/>
            <w:vAlign w:val="center"/>
          </w:tcPr>
          <w:p>
            <w:pPr>
              <w:spacing w:line="360" w:lineRule="auto"/>
              <w:rPr>
                <w:rFonts w:ascii="宋体" w:hAnsi="宋体" w:cs="宋体"/>
                <w:szCs w:val="21"/>
              </w:rPr>
            </w:pPr>
          </w:p>
        </w:tc>
        <w:tc>
          <w:tcPr>
            <w:tcW w:w="941" w:type="dxa"/>
            <w:vAlign w:val="center"/>
          </w:tcPr>
          <w:p>
            <w:pPr>
              <w:spacing w:line="360" w:lineRule="auto"/>
              <w:rPr>
                <w:rFonts w:ascii="宋体" w:hAnsi="宋体" w:cs="宋体"/>
                <w:szCs w:val="21"/>
              </w:rPr>
            </w:pPr>
          </w:p>
        </w:tc>
        <w:tc>
          <w:tcPr>
            <w:tcW w:w="1163" w:type="dxa"/>
            <w:vAlign w:val="center"/>
          </w:tcPr>
          <w:p>
            <w:pPr>
              <w:spacing w:line="360" w:lineRule="auto"/>
              <w:rPr>
                <w:rFonts w:ascii="宋体" w:hAnsi="宋体" w:cs="宋体"/>
                <w:szCs w:val="21"/>
              </w:rPr>
            </w:pPr>
          </w:p>
        </w:tc>
        <w:tc>
          <w:tcPr>
            <w:tcW w:w="1317" w:type="dxa"/>
            <w:vAlign w:val="center"/>
          </w:tcPr>
          <w:p>
            <w:pPr>
              <w:spacing w:line="360" w:lineRule="auto"/>
              <w:rPr>
                <w:rFonts w:ascii="宋体" w:hAnsi="宋体" w:cs="宋体"/>
                <w:szCs w:val="21"/>
              </w:rPr>
            </w:pPr>
          </w:p>
        </w:tc>
        <w:tc>
          <w:tcPr>
            <w:tcW w:w="1232" w:type="dxa"/>
            <w:tcBorders>
              <w:right w:val="single" w:color="auto" w:sz="12"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pPr>
              <w:spacing w:line="360" w:lineRule="auto"/>
              <w:rPr>
                <w:rFonts w:ascii="宋体" w:hAnsi="宋体" w:cs="宋体"/>
                <w:szCs w:val="21"/>
              </w:rPr>
            </w:pPr>
          </w:p>
        </w:tc>
        <w:tc>
          <w:tcPr>
            <w:tcW w:w="2039" w:type="dxa"/>
            <w:vAlign w:val="center"/>
          </w:tcPr>
          <w:p>
            <w:pPr>
              <w:spacing w:line="360" w:lineRule="auto"/>
              <w:rPr>
                <w:rFonts w:ascii="宋体" w:hAnsi="宋体" w:cs="宋体"/>
                <w:szCs w:val="21"/>
              </w:rPr>
            </w:pPr>
          </w:p>
        </w:tc>
        <w:tc>
          <w:tcPr>
            <w:tcW w:w="595" w:type="dxa"/>
            <w:vAlign w:val="center"/>
          </w:tcPr>
          <w:p>
            <w:pPr>
              <w:spacing w:line="360" w:lineRule="auto"/>
              <w:rPr>
                <w:rFonts w:ascii="宋体" w:hAnsi="宋体" w:cs="宋体"/>
                <w:szCs w:val="21"/>
              </w:rPr>
            </w:pPr>
          </w:p>
        </w:tc>
        <w:tc>
          <w:tcPr>
            <w:tcW w:w="564" w:type="dxa"/>
            <w:vAlign w:val="center"/>
          </w:tcPr>
          <w:p>
            <w:pPr>
              <w:spacing w:line="360" w:lineRule="auto"/>
              <w:rPr>
                <w:rFonts w:ascii="宋体" w:hAnsi="宋体" w:cs="宋体"/>
                <w:szCs w:val="21"/>
              </w:rPr>
            </w:pPr>
          </w:p>
        </w:tc>
        <w:tc>
          <w:tcPr>
            <w:tcW w:w="941" w:type="dxa"/>
            <w:vAlign w:val="center"/>
          </w:tcPr>
          <w:p>
            <w:pPr>
              <w:spacing w:line="360" w:lineRule="auto"/>
              <w:rPr>
                <w:rFonts w:ascii="宋体" w:hAnsi="宋体" w:cs="宋体"/>
                <w:szCs w:val="21"/>
              </w:rPr>
            </w:pPr>
          </w:p>
        </w:tc>
        <w:tc>
          <w:tcPr>
            <w:tcW w:w="1163" w:type="dxa"/>
            <w:vAlign w:val="center"/>
          </w:tcPr>
          <w:p>
            <w:pPr>
              <w:spacing w:line="360" w:lineRule="auto"/>
              <w:rPr>
                <w:rFonts w:ascii="宋体" w:hAnsi="宋体" w:cs="宋体"/>
                <w:szCs w:val="21"/>
              </w:rPr>
            </w:pPr>
          </w:p>
        </w:tc>
        <w:tc>
          <w:tcPr>
            <w:tcW w:w="1317" w:type="dxa"/>
            <w:vAlign w:val="center"/>
          </w:tcPr>
          <w:p>
            <w:pPr>
              <w:spacing w:line="360" w:lineRule="auto"/>
              <w:rPr>
                <w:rFonts w:ascii="宋体" w:hAnsi="宋体" w:cs="宋体"/>
                <w:szCs w:val="21"/>
              </w:rPr>
            </w:pPr>
          </w:p>
        </w:tc>
        <w:tc>
          <w:tcPr>
            <w:tcW w:w="1232" w:type="dxa"/>
            <w:tcBorders>
              <w:right w:val="single" w:color="auto" w:sz="12"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pPr>
              <w:spacing w:line="360" w:lineRule="auto"/>
              <w:rPr>
                <w:rFonts w:ascii="宋体" w:hAnsi="宋体" w:cs="宋体"/>
                <w:szCs w:val="21"/>
              </w:rPr>
            </w:pPr>
          </w:p>
        </w:tc>
        <w:tc>
          <w:tcPr>
            <w:tcW w:w="2039" w:type="dxa"/>
            <w:vAlign w:val="center"/>
          </w:tcPr>
          <w:p>
            <w:pPr>
              <w:spacing w:line="360" w:lineRule="auto"/>
              <w:rPr>
                <w:rFonts w:ascii="宋体" w:hAnsi="宋体" w:cs="宋体"/>
                <w:szCs w:val="21"/>
              </w:rPr>
            </w:pPr>
          </w:p>
        </w:tc>
        <w:tc>
          <w:tcPr>
            <w:tcW w:w="595" w:type="dxa"/>
            <w:vAlign w:val="center"/>
          </w:tcPr>
          <w:p>
            <w:pPr>
              <w:spacing w:line="360" w:lineRule="auto"/>
              <w:rPr>
                <w:rFonts w:ascii="宋体" w:hAnsi="宋体" w:cs="宋体"/>
                <w:szCs w:val="21"/>
              </w:rPr>
            </w:pPr>
          </w:p>
        </w:tc>
        <w:tc>
          <w:tcPr>
            <w:tcW w:w="564" w:type="dxa"/>
            <w:vAlign w:val="center"/>
          </w:tcPr>
          <w:p>
            <w:pPr>
              <w:spacing w:line="360" w:lineRule="auto"/>
              <w:rPr>
                <w:rFonts w:ascii="宋体" w:hAnsi="宋体" w:cs="宋体"/>
                <w:szCs w:val="21"/>
              </w:rPr>
            </w:pPr>
          </w:p>
        </w:tc>
        <w:tc>
          <w:tcPr>
            <w:tcW w:w="941" w:type="dxa"/>
            <w:vAlign w:val="center"/>
          </w:tcPr>
          <w:p>
            <w:pPr>
              <w:spacing w:line="360" w:lineRule="auto"/>
              <w:rPr>
                <w:rFonts w:ascii="宋体" w:hAnsi="宋体" w:cs="宋体"/>
                <w:szCs w:val="21"/>
              </w:rPr>
            </w:pPr>
          </w:p>
        </w:tc>
        <w:tc>
          <w:tcPr>
            <w:tcW w:w="1163" w:type="dxa"/>
            <w:vAlign w:val="center"/>
          </w:tcPr>
          <w:p>
            <w:pPr>
              <w:spacing w:line="360" w:lineRule="auto"/>
              <w:rPr>
                <w:rFonts w:ascii="宋体" w:hAnsi="宋体" w:cs="宋体"/>
                <w:szCs w:val="21"/>
              </w:rPr>
            </w:pPr>
          </w:p>
        </w:tc>
        <w:tc>
          <w:tcPr>
            <w:tcW w:w="1317" w:type="dxa"/>
            <w:vAlign w:val="center"/>
          </w:tcPr>
          <w:p>
            <w:pPr>
              <w:spacing w:line="360" w:lineRule="auto"/>
              <w:rPr>
                <w:rFonts w:ascii="宋体" w:hAnsi="宋体" w:cs="宋体"/>
                <w:szCs w:val="21"/>
              </w:rPr>
            </w:pPr>
          </w:p>
        </w:tc>
        <w:tc>
          <w:tcPr>
            <w:tcW w:w="1232" w:type="dxa"/>
            <w:tcBorders>
              <w:right w:val="single" w:color="auto" w:sz="12"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pPr>
              <w:spacing w:line="360" w:lineRule="auto"/>
              <w:rPr>
                <w:rFonts w:ascii="宋体" w:hAnsi="宋体" w:cs="宋体"/>
                <w:szCs w:val="21"/>
              </w:rPr>
            </w:pPr>
          </w:p>
        </w:tc>
        <w:tc>
          <w:tcPr>
            <w:tcW w:w="2039" w:type="dxa"/>
            <w:vAlign w:val="center"/>
          </w:tcPr>
          <w:p>
            <w:pPr>
              <w:spacing w:line="360" w:lineRule="auto"/>
              <w:rPr>
                <w:rFonts w:ascii="宋体" w:hAnsi="宋体" w:cs="宋体"/>
                <w:szCs w:val="21"/>
              </w:rPr>
            </w:pPr>
          </w:p>
        </w:tc>
        <w:tc>
          <w:tcPr>
            <w:tcW w:w="595" w:type="dxa"/>
            <w:vAlign w:val="center"/>
          </w:tcPr>
          <w:p>
            <w:pPr>
              <w:spacing w:line="360" w:lineRule="auto"/>
              <w:rPr>
                <w:rFonts w:ascii="宋体" w:hAnsi="宋体" w:cs="宋体"/>
                <w:szCs w:val="21"/>
              </w:rPr>
            </w:pPr>
          </w:p>
        </w:tc>
        <w:tc>
          <w:tcPr>
            <w:tcW w:w="564" w:type="dxa"/>
            <w:vAlign w:val="center"/>
          </w:tcPr>
          <w:p>
            <w:pPr>
              <w:spacing w:line="360" w:lineRule="auto"/>
              <w:rPr>
                <w:rFonts w:ascii="宋体" w:hAnsi="宋体" w:cs="宋体"/>
                <w:szCs w:val="21"/>
              </w:rPr>
            </w:pPr>
          </w:p>
        </w:tc>
        <w:tc>
          <w:tcPr>
            <w:tcW w:w="941" w:type="dxa"/>
            <w:vAlign w:val="center"/>
          </w:tcPr>
          <w:p>
            <w:pPr>
              <w:spacing w:line="360" w:lineRule="auto"/>
              <w:rPr>
                <w:rFonts w:ascii="宋体" w:hAnsi="宋体" w:cs="宋体"/>
                <w:szCs w:val="21"/>
              </w:rPr>
            </w:pPr>
          </w:p>
        </w:tc>
        <w:tc>
          <w:tcPr>
            <w:tcW w:w="1163" w:type="dxa"/>
            <w:vAlign w:val="center"/>
          </w:tcPr>
          <w:p>
            <w:pPr>
              <w:spacing w:line="360" w:lineRule="auto"/>
              <w:rPr>
                <w:rFonts w:ascii="宋体" w:hAnsi="宋体" w:cs="宋体"/>
                <w:szCs w:val="21"/>
              </w:rPr>
            </w:pPr>
          </w:p>
        </w:tc>
        <w:tc>
          <w:tcPr>
            <w:tcW w:w="1317" w:type="dxa"/>
            <w:vAlign w:val="center"/>
          </w:tcPr>
          <w:p>
            <w:pPr>
              <w:spacing w:line="360" w:lineRule="auto"/>
              <w:rPr>
                <w:rFonts w:ascii="宋体" w:hAnsi="宋体" w:cs="宋体"/>
                <w:szCs w:val="21"/>
              </w:rPr>
            </w:pPr>
          </w:p>
        </w:tc>
        <w:tc>
          <w:tcPr>
            <w:tcW w:w="1232" w:type="dxa"/>
            <w:tcBorders>
              <w:right w:val="single" w:color="auto" w:sz="12"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pPr>
              <w:spacing w:line="360" w:lineRule="auto"/>
              <w:rPr>
                <w:rFonts w:ascii="宋体" w:hAnsi="宋体" w:cs="宋体"/>
                <w:szCs w:val="21"/>
              </w:rPr>
            </w:pPr>
          </w:p>
        </w:tc>
        <w:tc>
          <w:tcPr>
            <w:tcW w:w="2039" w:type="dxa"/>
            <w:vAlign w:val="center"/>
          </w:tcPr>
          <w:p>
            <w:pPr>
              <w:spacing w:line="360" w:lineRule="auto"/>
              <w:rPr>
                <w:rFonts w:ascii="宋体" w:hAnsi="宋体" w:cs="宋体"/>
                <w:szCs w:val="21"/>
              </w:rPr>
            </w:pPr>
          </w:p>
        </w:tc>
        <w:tc>
          <w:tcPr>
            <w:tcW w:w="595" w:type="dxa"/>
            <w:vAlign w:val="center"/>
          </w:tcPr>
          <w:p>
            <w:pPr>
              <w:spacing w:line="360" w:lineRule="auto"/>
              <w:rPr>
                <w:rFonts w:ascii="宋体" w:hAnsi="宋体" w:cs="宋体"/>
                <w:szCs w:val="21"/>
              </w:rPr>
            </w:pPr>
          </w:p>
        </w:tc>
        <w:tc>
          <w:tcPr>
            <w:tcW w:w="564" w:type="dxa"/>
            <w:vAlign w:val="center"/>
          </w:tcPr>
          <w:p>
            <w:pPr>
              <w:spacing w:line="360" w:lineRule="auto"/>
              <w:rPr>
                <w:rFonts w:ascii="宋体" w:hAnsi="宋体" w:cs="宋体"/>
                <w:szCs w:val="21"/>
              </w:rPr>
            </w:pPr>
          </w:p>
        </w:tc>
        <w:tc>
          <w:tcPr>
            <w:tcW w:w="941" w:type="dxa"/>
            <w:vAlign w:val="center"/>
          </w:tcPr>
          <w:p>
            <w:pPr>
              <w:spacing w:line="360" w:lineRule="auto"/>
              <w:rPr>
                <w:rFonts w:ascii="宋体" w:hAnsi="宋体" w:cs="宋体"/>
                <w:szCs w:val="21"/>
              </w:rPr>
            </w:pPr>
          </w:p>
        </w:tc>
        <w:tc>
          <w:tcPr>
            <w:tcW w:w="1163" w:type="dxa"/>
            <w:vAlign w:val="center"/>
          </w:tcPr>
          <w:p>
            <w:pPr>
              <w:spacing w:line="360" w:lineRule="auto"/>
              <w:rPr>
                <w:rFonts w:ascii="宋体" w:hAnsi="宋体" w:cs="宋体"/>
                <w:szCs w:val="21"/>
              </w:rPr>
            </w:pPr>
          </w:p>
        </w:tc>
        <w:tc>
          <w:tcPr>
            <w:tcW w:w="1317" w:type="dxa"/>
            <w:vAlign w:val="center"/>
          </w:tcPr>
          <w:p>
            <w:pPr>
              <w:spacing w:line="360" w:lineRule="auto"/>
              <w:rPr>
                <w:rFonts w:ascii="宋体" w:hAnsi="宋体" w:cs="宋体"/>
                <w:szCs w:val="21"/>
              </w:rPr>
            </w:pPr>
          </w:p>
        </w:tc>
        <w:tc>
          <w:tcPr>
            <w:tcW w:w="1232" w:type="dxa"/>
            <w:tcBorders>
              <w:right w:val="single" w:color="auto" w:sz="12"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8904" w:type="dxa"/>
            <w:gridSpan w:val="8"/>
            <w:tcBorders>
              <w:left w:val="single" w:color="auto" w:sz="12" w:space="0"/>
              <w:bottom w:val="single" w:color="auto" w:sz="12" w:space="0"/>
              <w:right w:val="single" w:color="auto" w:sz="12" w:space="0"/>
            </w:tcBorders>
            <w:vAlign w:val="center"/>
          </w:tcPr>
          <w:p>
            <w:pPr>
              <w:spacing w:line="480" w:lineRule="exact"/>
              <w:ind w:firstLine="420" w:firstLineChars="200"/>
              <w:rPr>
                <w:rFonts w:ascii="宋体" w:hAnsi="宋体" w:cs="宋体"/>
                <w:szCs w:val="21"/>
              </w:rPr>
            </w:pPr>
            <w:r>
              <w:rPr>
                <w:rFonts w:hint="eastAsia" w:ascii="宋体" w:hAnsi="宋体" w:cs="宋体"/>
                <w:szCs w:val="21"/>
              </w:rPr>
              <w:t>说明：</w:t>
            </w:r>
          </w:p>
        </w:tc>
      </w:tr>
    </w:tbl>
    <w:p>
      <w:pPr>
        <w:snapToGrid w:val="0"/>
        <w:spacing w:line="440" w:lineRule="exact"/>
        <w:rPr>
          <w:rFonts w:ascii="宋体" w:hAnsi="宋体" w:cs="宋体"/>
          <w:szCs w:val="21"/>
          <w:u w:val="single"/>
        </w:rPr>
      </w:pPr>
      <w:r>
        <w:rPr>
          <w:rFonts w:hint="eastAsia" w:ascii="宋体" w:hAnsi="宋体" w:cs="宋体"/>
          <w:szCs w:val="21"/>
        </w:rPr>
        <w:t>授权代表签名：</w:t>
      </w:r>
      <w:r>
        <w:rPr>
          <w:rFonts w:hint="eastAsia" w:ascii="宋体" w:hAnsi="宋体" w:cs="宋体"/>
          <w:szCs w:val="21"/>
          <w:u w:val="single"/>
        </w:rPr>
        <w:t xml:space="preserve">             </w:t>
      </w:r>
    </w:p>
    <w:p>
      <w:pPr>
        <w:pStyle w:val="2"/>
        <w:adjustRightInd w:val="0"/>
        <w:snapToGrid w:val="0"/>
        <w:spacing w:after="0" w:line="440" w:lineRule="exact"/>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r>
        <w:rPr>
          <w:rFonts w:hint="eastAsia" w:ascii="宋体" w:hAnsi="宋体" w:cs="宋体"/>
          <w:szCs w:val="21"/>
        </w:rPr>
        <w:t xml:space="preserve"> </w:t>
      </w:r>
    </w:p>
    <w:p>
      <w:pPr>
        <w:adjustRightInd w:val="0"/>
        <w:snapToGrid w:val="0"/>
        <w:spacing w:line="440" w:lineRule="exact"/>
        <w:rPr>
          <w:rFonts w:ascii="宋体" w:hAnsi="宋体" w:cs="宋体"/>
          <w:bCs/>
          <w:szCs w:val="21"/>
        </w:rPr>
      </w:pP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pPr>
        <w:adjustRightInd w:val="0"/>
        <w:snapToGrid w:val="0"/>
        <w:spacing w:line="440" w:lineRule="exact"/>
        <w:rPr>
          <w:rFonts w:ascii="宋体" w:hAnsi="宋体" w:cs="宋体"/>
          <w:bCs/>
          <w:szCs w:val="21"/>
        </w:rPr>
      </w:pPr>
    </w:p>
    <w:p>
      <w:pPr>
        <w:snapToGrid w:val="0"/>
        <w:spacing w:line="440" w:lineRule="exact"/>
        <w:rPr>
          <w:rFonts w:ascii="宋体" w:hAnsi="宋体" w:cs="宋体"/>
          <w:szCs w:val="21"/>
        </w:rPr>
      </w:pPr>
      <w:r>
        <w:rPr>
          <w:rFonts w:hint="eastAsia" w:ascii="宋体" w:hAnsi="宋体" w:cs="宋体"/>
          <w:szCs w:val="21"/>
        </w:rPr>
        <w:t>注：1、按评分标准细则提供。</w:t>
      </w:r>
    </w:p>
    <w:p>
      <w:pPr>
        <w:ind w:firstLine="482" w:firstLineChars="200"/>
        <w:rPr>
          <w:rFonts w:ascii="宋体" w:hAnsi="宋体" w:cs="宋体"/>
          <w:b/>
          <w:sz w:val="24"/>
          <w:shd w:val="clear" w:color="auto" w:fill="FFFF00"/>
        </w:rPr>
      </w:pPr>
    </w:p>
    <w:p>
      <w:pPr>
        <w:ind w:firstLine="482" w:firstLineChars="200"/>
        <w:rPr>
          <w:rFonts w:ascii="宋体" w:hAnsi="宋体" w:cs="宋体"/>
          <w:b/>
          <w:sz w:val="24"/>
          <w:shd w:val="clear" w:color="auto" w:fill="FFFF00"/>
        </w:rPr>
      </w:pPr>
    </w:p>
    <w:p>
      <w:pPr>
        <w:ind w:firstLine="482" w:firstLineChars="200"/>
        <w:rPr>
          <w:rFonts w:ascii="宋体" w:hAnsi="宋体" w:cs="宋体"/>
          <w:b/>
          <w:sz w:val="24"/>
          <w:shd w:val="clear" w:color="auto" w:fill="FFFF00"/>
        </w:rPr>
      </w:pPr>
    </w:p>
    <w:p>
      <w:pPr>
        <w:ind w:firstLine="482" w:firstLineChars="200"/>
        <w:rPr>
          <w:rFonts w:ascii="宋体" w:hAnsi="宋体" w:cs="宋体"/>
          <w:b/>
          <w:sz w:val="24"/>
          <w:shd w:val="clear" w:color="auto" w:fill="FFFF00"/>
        </w:rPr>
      </w:pPr>
    </w:p>
    <w:p>
      <w:pPr>
        <w:adjustRightInd w:val="0"/>
        <w:snapToGrid w:val="0"/>
        <w:jc w:val="left"/>
        <w:rPr>
          <w:rFonts w:ascii="宋体" w:hAnsi="宋体" w:cs="宋体"/>
          <w:sz w:val="24"/>
        </w:rPr>
      </w:pPr>
    </w:p>
    <w:p>
      <w:pPr>
        <w:adjustRightInd w:val="0"/>
        <w:snapToGrid w:val="0"/>
        <w:jc w:val="left"/>
        <w:rPr>
          <w:rFonts w:ascii="宋体" w:hAnsi="宋体" w:cs="宋体"/>
          <w:sz w:val="24"/>
        </w:rPr>
      </w:pPr>
      <w:r>
        <w:rPr>
          <w:rFonts w:hint="eastAsia" w:ascii="宋体" w:hAnsi="宋体" w:cs="宋体"/>
          <w:sz w:val="24"/>
        </w:rPr>
        <w:t>10、项目负责人一览表</w:t>
      </w:r>
    </w:p>
    <w:p>
      <w:pPr>
        <w:adjustRightInd w:val="0"/>
        <w:snapToGrid w:val="0"/>
        <w:spacing w:line="440" w:lineRule="exact"/>
        <w:jc w:val="center"/>
        <w:rPr>
          <w:rFonts w:ascii="宋体" w:hAnsi="宋体" w:cs="宋体"/>
          <w:b/>
          <w:sz w:val="28"/>
          <w:szCs w:val="28"/>
        </w:rPr>
      </w:pPr>
      <w:r>
        <w:rPr>
          <w:rFonts w:hint="eastAsia" w:ascii="宋体" w:hAnsi="宋体" w:cs="宋体"/>
          <w:b/>
          <w:sz w:val="28"/>
          <w:szCs w:val="28"/>
        </w:rPr>
        <w:t>项目负责人一览表</w:t>
      </w:r>
    </w:p>
    <w:p>
      <w:pPr>
        <w:spacing w:line="360" w:lineRule="auto"/>
        <w:ind w:right="658"/>
        <w:rPr>
          <w:rFonts w:ascii="宋体" w:hAnsi="宋体" w:cs="宋体"/>
          <w:sz w:val="24"/>
        </w:rPr>
      </w:pPr>
    </w:p>
    <w:p>
      <w:pPr>
        <w:spacing w:line="360" w:lineRule="auto"/>
        <w:ind w:right="658"/>
        <w:rPr>
          <w:rFonts w:ascii="宋体" w:hAnsi="宋体" w:cs="宋体"/>
          <w:sz w:val="24"/>
          <w:u w:val="single"/>
        </w:rPr>
      </w:pPr>
      <w:r>
        <w:rPr>
          <w:rFonts w:hint="eastAsia" w:ascii="宋体" w:hAnsi="宋体" w:cs="宋体"/>
          <w:sz w:val="24"/>
        </w:rPr>
        <w:t>项目名称：                项目编号：</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800"/>
        <w:gridCol w:w="1457"/>
        <w:gridCol w:w="349"/>
        <w:gridCol w:w="200"/>
        <w:gridCol w:w="903"/>
        <w:gridCol w:w="356"/>
        <w:gridCol w:w="1209"/>
        <w:gridCol w:w="897"/>
        <w:gridCol w:w="264"/>
        <w:gridCol w:w="451"/>
        <w:gridCol w:w="1483"/>
        <w:gridCol w:w="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姓名</w:t>
            </w:r>
          </w:p>
        </w:tc>
        <w:tc>
          <w:tcPr>
            <w:tcW w:w="280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性别</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年龄</w:t>
            </w:r>
          </w:p>
        </w:tc>
        <w:tc>
          <w:tcPr>
            <w:tcW w:w="19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3"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职务</w:t>
            </w:r>
          </w:p>
        </w:tc>
        <w:tc>
          <w:tcPr>
            <w:tcW w:w="280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职称</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学历</w:t>
            </w:r>
          </w:p>
        </w:tc>
        <w:tc>
          <w:tcPr>
            <w:tcW w:w="19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4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参加工作时间</w:t>
            </w:r>
          </w:p>
        </w:tc>
        <w:tc>
          <w:tcPr>
            <w:tcW w:w="180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282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担任项目负责人年限</w:t>
            </w:r>
          </w:p>
        </w:tc>
        <w:tc>
          <w:tcPr>
            <w:tcW w:w="14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68" w:hRule="atLeast"/>
          <w:jc w:val="center"/>
        </w:trPr>
        <w:tc>
          <w:tcPr>
            <w:tcW w:w="304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 xml:space="preserve"> 资格证书名称、编号</w:t>
            </w:r>
          </w:p>
        </w:tc>
        <w:tc>
          <w:tcPr>
            <w:tcW w:w="6112"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0" w:hRule="atLeast"/>
          <w:jc w:val="center"/>
        </w:trPr>
        <w:tc>
          <w:tcPr>
            <w:tcW w:w="916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同类项目业绩情况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业主单位</w:t>
            </w:r>
          </w:p>
        </w:tc>
        <w:tc>
          <w:tcPr>
            <w:tcW w:w="18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项目名称</w:t>
            </w:r>
          </w:p>
        </w:tc>
        <w:tc>
          <w:tcPr>
            <w:tcW w:w="14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项目地点</w:t>
            </w:r>
          </w:p>
        </w:tc>
        <w:tc>
          <w:tcPr>
            <w:tcW w:w="21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建设日期</w:t>
            </w: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bl>
    <w:p>
      <w:pPr>
        <w:snapToGrid w:val="0"/>
        <w:spacing w:line="440" w:lineRule="exact"/>
        <w:rPr>
          <w:rFonts w:ascii="宋体" w:hAnsi="宋体" w:cs="宋体"/>
          <w:szCs w:val="21"/>
        </w:rPr>
      </w:pPr>
    </w:p>
    <w:p>
      <w:pPr>
        <w:snapToGrid w:val="0"/>
        <w:spacing w:line="440" w:lineRule="exact"/>
        <w:rPr>
          <w:rFonts w:ascii="宋体" w:hAnsi="宋体" w:cs="宋体"/>
          <w:szCs w:val="21"/>
          <w:u w:val="single"/>
        </w:rPr>
      </w:pPr>
      <w:r>
        <w:rPr>
          <w:rFonts w:hint="eastAsia" w:ascii="宋体" w:hAnsi="宋体" w:cs="宋体"/>
          <w:szCs w:val="21"/>
        </w:rPr>
        <w:t>授权代表签名：</w:t>
      </w:r>
      <w:r>
        <w:rPr>
          <w:rFonts w:hint="eastAsia" w:ascii="宋体" w:hAnsi="宋体" w:cs="宋体"/>
          <w:szCs w:val="21"/>
          <w:u w:val="single"/>
        </w:rPr>
        <w:t xml:space="preserve">             </w:t>
      </w:r>
    </w:p>
    <w:p>
      <w:pPr>
        <w:pStyle w:val="2"/>
        <w:adjustRightInd w:val="0"/>
        <w:snapToGrid w:val="0"/>
        <w:spacing w:after="0" w:line="440" w:lineRule="exact"/>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r>
        <w:rPr>
          <w:rFonts w:hint="eastAsia" w:ascii="宋体" w:hAnsi="宋体" w:cs="宋体"/>
          <w:szCs w:val="21"/>
        </w:rPr>
        <w:t xml:space="preserve"> </w:t>
      </w:r>
    </w:p>
    <w:p>
      <w:pPr>
        <w:adjustRightInd w:val="0"/>
        <w:snapToGrid w:val="0"/>
        <w:spacing w:line="440" w:lineRule="exact"/>
        <w:rPr>
          <w:rFonts w:ascii="宋体" w:hAnsi="宋体" w:cs="宋体"/>
          <w:bCs/>
          <w:szCs w:val="21"/>
        </w:rPr>
      </w:pP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pPr>
        <w:adjustRightInd w:val="0"/>
        <w:snapToGrid w:val="0"/>
        <w:spacing w:line="440" w:lineRule="exact"/>
        <w:rPr>
          <w:rFonts w:ascii="宋体" w:hAnsi="宋体" w:cs="宋体"/>
          <w:bCs/>
          <w:szCs w:val="21"/>
        </w:rPr>
      </w:pPr>
    </w:p>
    <w:p>
      <w:pPr>
        <w:spacing w:line="360" w:lineRule="auto"/>
        <w:ind w:right="658"/>
        <w:rPr>
          <w:rFonts w:ascii="宋体" w:hAnsi="宋体" w:cs="宋体"/>
          <w:sz w:val="24"/>
        </w:rPr>
      </w:pPr>
      <w:r>
        <w:rPr>
          <w:rFonts w:hint="eastAsia" w:ascii="宋体" w:hAnsi="宋体" w:cs="宋体"/>
          <w:sz w:val="24"/>
        </w:rPr>
        <w:t>注：后附符合招标文件要求的项目负责人有效的资质证书或业绩证明材料，社保缴纳证明材料（按评分要求提供）。</w:t>
      </w:r>
    </w:p>
    <w:p>
      <w:pPr>
        <w:pStyle w:val="69"/>
        <w:rPr>
          <w:rFonts w:ascii="宋体" w:hAnsi="宋体" w:cs="宋体"/>
          <w:sz w:val="24"/>
        </w:rPr>
      </w:pPr>
    </w:p>
    <w:p>
      <w:pPr>
        <w:pStyle w:val="69"/>
        <w:rPr>
          <w:rFonts w:ascii="宋体" w:hAnsi="宋体" w:cs="宋体"/>
          <w:sz w:val="24"/>
        </w:rPr>
      </w:pPr>
    </w:p>
    <w:p>
      <w:pPr>
        <w:pStyle w:val="69"/>
        <w:rPr>
          <w:rFonts w:ascii="宋体" w:hAnsi="宋体" w:cs="宋体"/>
          <w:sz w:val="24"/>
        </w:rPr>
      </w:pPr>
    </w:p>
    <w:p>
      <w:pPr>
        <w:pStyle w:val="69"/>
        <w:rPr>
          <w:rFonts w:ascii="宋体" w:hAnsi="宋体" w:cs="宋体"/>
          <w:sz w:val="24"/>
        </w:rPr>
      </w:pPr>
    </w:p>
    <w:p>
      <w:pPr>
        <w:pStyle w:val="69"/>
        <w:rPr>
          <w:rFonts w:ascii="宋体" w:hAnsi="宋体" w:cs="宋体"/>
          <w:sz w:val="24"/>
        </w:rPr>
      </w:pPr>
    </w:p>
    <w:p>
      <w:pPr>
        <w:adjustRightInd w:val="0"/>
        <w:snapToGrid w:val="0"/>
        <w:jc w:val="left"/>
        <w:rPr>
          <w:rFonts w:ascii="宋体" w:hAnsi="宋体" w:cs="宋体"/>
          <w:sz w:val="24"/>
        </w:rPr>
      </w:pPr>
    </w:p>
    <w:p>
      <w:pPr>
        <w:adjustRightInd w:val="0"/>
        <w:snapToGrid w:val="0"/>
        <w:jc w:val="left"/>
        <w:rPr>
          <w:rFonts w:ascii="宋体" w:hAnsi="宋体" w:cs="宋体"/>
          <w:sz w:val="24"/>
        </w:rPr>
      </w:pPr>
    </w:p>
    <w:p>
      <w:pPr>
        <w:pStyle w:val="4"/>
        <w:jc w:val="center"/>
        <w:rPr>
          <w:rFonts w:ascii="宋体" w:hAnsi="宋体" w:eastAsia="宋体" w:cs="宋体"/>
          <w:sz w:val="28"/>
          <w:szCs w:val="28"/>
        </w:rPr>
      </w:pPr>
      <w:bookmarkStart w:id="175" w:name="_Toc13626"/>
      <w:bookmarkStart w:id="176" w:name="_Toc5232"/>
      <w:bookmarkStart w:id="177" w:name="_Toc14504"/>
      <w:bookmarkStart w:id="178" w:name="_Toc15923"/>
      <w:bookmarkStart w:id="179" w:name="_Toc30195"/>
      <w:bookmarkStart w:id="180" w:name="_Toc4910"/>
      <w:bookmarkStart w:id="181" w:name="_Toc95211199"/>
      <w:r>
        <w:rPr>
          <w:rFonts w:hint="eastAsia" w:ascii="宋体" w:hAnsi="宋体" w:eastAsia="宋体" w:cs="宋体"/>
          <w:sz w:val="28"/>
          <w:szCs w:val="28"/>
        </w:rPr>
        <w:t>三、报价文件格式</w:t>
      </w:r>
      <w:bookmarkEnd w:id="175"/>
      <w:bookmarkEnd w:id="176"/>
      <w:bookmarkEnd w:id="177"/>
      <w:bookmarkEnd w:id="178"/>
      <w:bookmarkEnd w:id="179"/>
      <w:bookmarkEnd w:id="180"/>
      <w:bookmarkEnd w:id="181"/>
    </w:p>
    <w:p>
      <w:pPr>
        <w:adjustRightInd w:val="0"/>
        <w:snapToGrid w:val="0"/>
        <w:rPr>
          <w:rFonts w:ascii="宋体" w:hAnsi="宋体" w:cs="宋体"/>
          <w:bCs/>
          <w:sz w:val="24"/>
        </w:rPr>
      </w:pPr>
    </w:p>
    <w:p>
      <w:pPr>
        <w:adjustRightInd w:val="0"/>
        <w:snapToGrid w:val="0"/>
        <w:rPr>
          <w:rFonts w:ascii="宋体" w:hAnsi="宋体" w:cs="宋体"/>
          <w:sz w:val="24"/>
        </w:rPr>
      </w:pPr>
      <w:r>
        <w:rPr>
          <w:rFonts w:hint="eastAsia" w:ascii="宋体" w:hAnsi="宋体" w:cs="宋体"/>
          <w:bCs/>
          <w:sz w:val="24"/>
        </w:rPr>
        <w:t>1、</w:t>
      </w:r>
      <w:r>
        <w:rPr>
          <w:rFonts w:hint="eastAsia" w:ascii="宋体" w:hAnsi="宋体" w:cs="宋体"/>
          <w:sz w:val="24"/>
        </w:rPr>
        <w:t xml:space="preserve">报价文件封面格式： </w:t>
      </w:r>
    </w:p>
    <w:p>
      <w:pPr>
        <w:adjustRightInd w:val="0"/>
        <w:snapToGrid w:val="0"/>
        <w:rPr>
          <w:rFonts w:ascii="宋体" w:hAnsi="宋体" w:cs="宋体"/>
          <w:b/>
          <w:bCs/>
          <w:sz w:val="24"/>
        </w:rPr>
      </w:pPr>
      <w:r>
        <w:rPr>
          <w:rFonts w:hint="eastAsia" w:ascii="宋体" w:hAnsi="宋体" w:cs="宋体"/>
          <w:sz w:val="24"/>
        </w:rPr>
        <w:t xml:space="preserve">                                                         </w:t>
      </w:r>
    </w:p>
    <w:p>
      <w:pPr>
        <w:adjustRightInd w:val="0"/>
        <w:snapToGrid w:val="0"/>
        <w:jc w:val="center"/>
        <w:rPr>
          <w:rFonts w:ascii="宋体" w:hAnsi="宋体" w:cs="宋体"/>
          <w:bCs/>
          <w:sz w:val="24"/>
        </w:rPr>
      </w:pPr>
      <w:r>
        <w:rPr>
          <w:rFonts w:hint="eastAsia" w:ascii="宋体" w:hAnsi="宋体" w:cs="宋体"/>
          <w:bCs/>
          <w:sz w:val="24"/>
        </w:rPr>
        <w:t>×××（投标人名称）</w:t>
      </w:r>
    </w:p>
    <w:p>
      <w:pPr>
        <w:adjustRightInd w:val="0"/>
        <w:snapToGrid w:val="0"/>
        <w:jc w:val="center"/>
        <w:rPr>
          <w:rFonts w:ascii="宋体" w:hAnsi="宋体" w:cs="宋体"/>
          <w:b/>
          <w:bCs/>
          <w:sz w:val="44"/>
          <w:szCs w:val="44"/>
        </w:rPr>
      </w:pPr>
      <w:r>
        <w:rPr>
          <w:rFonts w:hint="eastAsia" w:ascii="宋体" w:hAnsi="宋体" w:cs="宋体"/>
          <w:b/>
          <w:bCs/>
          <w:sz w:val="44"/>
          <w:szCs w:val="44"/>
        </w:rPr>
        <w:t>报价文件</w:t>
      </w:r>
    </w:p>
    <w:p>
      <w:pPr>
        <w:adjustRightInd w:val="0"/>
        <w:snapToGrid w:val="0"/>
        <w:ind w:left="2245" w:leftChars="513" w:hanging="1168" w:hangingChars="487"/>
        <w:rPr>
          <w:rFonts w:ascii="宋体" w:hAnsi="宋体" w:cs="宋体"/>
          <w:bCs/>
          <w:sz w:val="24"/>
        </w:rPr>
      </w:pPr>
      <w:r>
        <w:rPr>
          <w:rFonts w:hint="eastAsia" w:ascii="宋体" w:hAnsi="宋体" w:cs="宋体"/>
          <w:bCs/>
          <w:sz w:val="24"/>
        </w:rPr>
        <w:t xml:space="preserve">项目名称： </w:t>
      </w:r>
    </w:p>
    <w:p>
      <w:pPr>
        <w:adjustRightInd w:val="0"/>
        <w:snapToGrid w:val="0"/>
        <w:ind w:firstLine="480" w:firstLineChars="200"/>
        <w:rPr>
          <w:rFonts w:ascii="宋体" w:hAnsi="宋体" w:cs="宋体"/>
          <w:bCs/>
          <w:sz w:val="24"/>
        </w:rPr>
      </w:pPr>
      <w:r>
        <w:rPr>
          <w:rFonts w:hint="eastAsia" w:ascii="宋体" w:hAnsi="宋体" w:cs="宋体"/>
          <w:bCs/>
          <w:sz w:val="24"/>
        </w:rPr>
        <w:t xml:space="preserve">     项目编号： </w:t>
      </w:r>
    </w:p>
    <w:p>
      <w:pPr>
        <w:adjustRightInd w:val="0"/>
        <w:snapToGrid w:val="0"/>
        <w:ind w:firstLine="1080" w:firstLineChars="450"/>
        <w:rPr>
          <w:rFonts w:ascii="宋体" w:hAnsi="宋体" w:cs="宋体"/>
          <w:sz w:val="24"/>
        </w:rPr>
      </w:pPr>
      <w:r>
        <w:rPr>
          <w:rFonts w:hint="eastAsia" w:ascii="宋体" w:hAnsi="宋体" w:cs="宋体"/>
          <w:sz w:val="24"/>
        </w:rPr>
        <w:t>投标人名称（盖章）：</w:t>
      </w:r>
    </w:p>
    <w:p>
      <w:pPr>
        <w:adjustRightInd w:val="0"/>
        <w:snapToGrid w:val="0"/>
        <w:ind w:firstLine="1080" w:firstLineChars="450"/>
        <w:rPr>
          <w:rFonts w:ascii="宋体" w:hAnsi="宋体" w:cs="宋体"/>
          <w:sz w:val="24"/>
        </w:rPr>
      </w:pPr>
      <w:r>
        <w:rPr>
          <w:rFonts w:hint="eastAsia" w:ascii="宋体" w:hAnsi="宋体" w:cs="宋体"/>
          <w:sz w:val="24"/>
        </w:rPr>
        <w:t>投标人地址：</w:t>
      </w:r>
    </w:p>
    <w:p>
      <w:pPr>
        <w:adjustRightInd w:val="0"/>
        <w:snapToGrid w:val="0"/>
        <w:ind w:firstLine="4080" w:firstLineChars="1700"/>
        <w:rPr>
          <w:rFonts w:ascii="宋体" w:hAnsi="宋体" w:cs="宋体"/>
          <w:sz w:val="24"/>
        </w:rPr>
      </w:pPr>
      <w:r>
        <w:rPr>
          <w:rFonts w:hint="eastAsia" w:ascii="宋体" w:hAnsi="宋体" w:cs="宋体"/>
          <w:sz w:val="24"/>
        </w:rPr>
        <w:t>授权代表签名或盖章：</w:t>
      </w:r>
    </w:p>
    <w:p>
      <w:pPr>
        <w:adjustRightInd w:val="0"/>
        <w:snapToGrid w:val="0"/>
        <w:jc w:val="right"/>
        <w:rPr>
          <w:rFonts w:ascii="宋体" w:hAnsi="宋体" w:cs="宋体"/>
          <w:sz w:val="24"/>
        </w:rPr>
      </w:pPr>
      <w:r>
        <w:rPr>
          <w:rFonts w:hint="eastAsia" w:ascii="宋体" w:hAnsi="宋体" w:cs="宋体"/>
          <w:sz w:val="24"/>
        </w:rPr>
        <w:t xml:space="preserve">                        年  月  日</w:t>
      </w:r>
    </w:p>
    <w:p>
      <w:pPr>
        <w:spacing w:line="540" w:lineRule="exact"/>
        <w:rPr>
          <w:rFonts w:ascii="宋体" w:hAnsi="宋体" w:cs="宋体"/>
          <w:sz w:val="32"/>
          <w:szCs w:val="32"/>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adjustRightInd w:val="0"/>
        <w:snapToGrid w:val="0"/>
        <w:rPr>
          <w:rFonts w:ascii="宋体" w:hAnsi="宋体" w:cs="宋体"/>
          <w:sz w:val="24"/>
        </w:rPr>
      </w:pPr>
      <w:r>
        <w:rPr>
          <w:rFonts w:hint="eastAsia" w:ascii="宋体" w:hAnsi="宋体" w:cs="宋体"/>
          <w:sz w:val="24"/>
        </w:rPr>
        <w:t>目录</w:t>
      </w:r>
    </w:p>
    <w:p>
      <w:pPr>
        <w:tabs>
          <w:tab w:val="left" w:pos="533"/>
        </w:tabs>
        <w:adjustRightInd w:val="0"/>
        <w:snapToGrid w:val="0"/>
        <w:spacing w:line="360" w:lineRule="exact"/>
        <w:ind w:firstLine="422" w:firstLineChars="200"/>
        <w:jc w:val="left"/>
        <w:rPr>
          <w:rFonts w:ascii="宋体" w:hAnsi="宋体" w:cs="宋体"/>
          <w:szCs w:val="21"/>
        </w:rPr>
      </w:pPr>
      <w:r>
        <w:rPr>
          <w:rFonts w:hint="eastAsia" w:ascii="宋体" w:hAnsi="宋体" w:cs="宋体"/>
          <w:b/>
          <w:szCs w:val="21"/>
        </w:rPr>
        <w:t>报价文件包括：</w:t>
      </w:r>
    </w:p>
    <w:p>
      <w:pPr>
        <w:numPr>
          <w:ilvl w:val="0"/>
          <w:numId w:val="13"/>
        </w:numPr>
        <w:snapToGrid w:val="0"/>
        <w:spacing w:line="360" w:lineRule="exact"/>
        <w:jc w:val="left"/>
        <w:rPr>
          <w:rFonts w:ascii="宋体" w:hAnsi="宋体" w:cs="宋体"/>
          <w:szCs w:val="21"/>
        </w:rPr>
      </w:pPr>
      <w:r>
        <w:rPr>
          <w:rFonts w:hint="eastAsia" w:ascii="宋体" w:hAnsi="宋体" w:cs="宋体"/>
          <w:szCs w:val="21"/>
        </w:rPr>
        <w:t>投标函（格式见第六章）；</w:t>
      </w:r>
    </w:p>
    <w:p>
      <w:pPr>
        <w:numPr>
          <w:ilvl w:val="0"/>
          <w:numId w:val="13"/>
        </w:numPr>
        <w:snapToGrid w:val="0"/>
        <w:spacing w:line="360" w:lineRule="exact"/>
        <w:jc w:val="left"/>
        <w:rPr>
          <w:rFonts w:ascii="宋体" w:hAnsi="宋体" w:cs="宋体"/>
          <w:szCs w:val="21"/>
        </w:rPr>
      </w:pPr>
      <w:r>
        <w:rPr>
          <w:rFonts w:hint="eastAsia" w:ascii="宋体" w:hAnsi="宋体" w:cs="宋体"/>
          <w:szCs w:val="21"/>
        </w:rPr>
        <w:t>开标一览表（格式见第六章）</w:t>
      </w:r>
    </w:p>
    <w:p>
      <w:pPr>
        <w:numPr>
          <w:ilvl w:val="0"/>
          <w:numId w:val="13"/>
        </w:numPr>
        <w:snapToGrid w:val="0"/>
        <w:spacing w:line="360" w:lineRule="exact"/>
        <w:jc w:val="left"/>
        <w:rPr>
          <w:rFonts w:ascii="宋体" w:hAnsi="宋体" w:cs="宋体"/>
          <w:szCs w:val="21"/>
        </w:rPr>
      </w:pPr>
      <w:r>
        <w:rPr>
          <w:rFonts w:hint="eastAsia" w:ascii="宋体" w:hAnsi="宋体" w:cs="宋体"/>
          <w:szCs w:val="21"/>
        </w:rPr>
        <w:t>报价明细表（格式见第六章）；</w:t>
      </w:r>
    </w:p>
    <w:p>
      <w:pPr>
        <w:numPr>
          <w:ilvl w:val="0"/>
          <w:numId w:val="13"/>
        </w:numPr>
        <w:snapToGrid w:val="0"/>
        <w:spacing w:line="360" w:lineRule="exact"/>
        <w:jc w:val="left"/>
        <w:rPr>
          <w:rFonts w:ascii="宋体" w:hAnsi="宋体" w:cs="宋体"/>
          <w:szCs w:val="21"/>
        </w:rPr>
      </w:pPr>
      <w:r>
        <w:rPr>
          <w:rFonts w:hint="eastAsia" w:ascii="宋体" w:hAnsi="宋体" w:cs="宋体"/>
          <w:szCs w:val="21"/>
        </w:rPr>
        <w:t>投标人针对报价的说明或证明材料。</w:t>
      </w:r>
    </w:p>
    <w:p>
      <w:pPr>
        <w:pStyle w:val="15"/>
        <w:spacing w:before="120" w:after="120"/>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tabs>
          <w:tab w:val="left" w:pos="533"/>
        </w:tabs>
        <w:adjustRightInd w:val="0"/>
        <w:snapToGrid w:val="0"/>
        <w:spacing w:line="360" w:lineRule="exact"/>
        <w:ind w:left="113"/>
        <w:jc w:val="left"/>
        <w:rPr>
          <w:rFonts w:ascii="宋体" w:hAnsi="宋体" w:cs="宋体"/>
          <w:sz w:val="24"/>
        </w:rPr>
      </w:pPr>
      <w:r>
        <w:rPr>
          <w:rFonts w:hint="eastAsia" w:ascii="宋体" w:hAnsi="宋体" w:cs="宋体"/>
          <w:sz w:val="24"/>
        </w:rPr>
        <w:t>11、投标函格式</w:t>
      </w:r>
    </w:p>
    <w:p>
      <w:pPr>
        <w:spacing w:line="360" w:lineRule="auto"/>
        <w:jc w:val="center"/>
        <w:rPr>
          <w:rFonts w:ascii="宋体" w:hAnsi="宋体" w:cs="宋体"/>
          <w:b/>
          <w:sz w:val="30"/>
          <w:szCs w:val="30"/>
        </w:rPr>
      </w:pPr>
      <w:r>
        <w:rPr>
          <w:rFonts w:hint="eastAsia" w:ascii="宋体" w:hAnsi="宋体" w:cs="宋体"/>
          <w:b/>
          <w:sz w:val="30"/>
          <w:szCs w:val="30"/>
        </w:rPr>
        <w:t>投 标 函</w:t>
      </w:r>
    </w:p>
    <w:p>
      <w:pPr>
        <w:spacing w:line="420" w:lineRule="exact"/>
        <w:rPr>
          <w:rFonts w:ascii="宋体" w:hAnsi="宋体" w:cs="宋体"/>
          <w:szCs w:val="21"/>
          <w:u w:val="single"/>
        </w:rPr>
      </w:pPr>
      <w:r>
        <w:rPr>
          <w:rFonts w:hint="eastAsia" w:ascii="宋体" w:hAnsi="宋体" w:cs="宋体"/>
          <w:szCs w:val="21"/>
          <w:u w:val="single"/>
        </w:rPr>
        <w:t>致：安吉技师学院 ：</w:t>
      </w:r>
    </w:p>
    <w:p>
      <w:pPr>
        <w:spacing w:line="420" w:lineRule="exact"/>
        <w:ind w:firstLine="210" w:firstLineChars="100"/>
        <w:rPr>
          <w:rFonts w:ascii="宋体" w:hAnsi="宋体" w:cs="宋体"/>
          <w:szCs w:val="21"/>
          <w:u w:val="single"/>
        </w:rPr>
      </w:pPr>
      <w:r>
        <w:rPr>
          <w:rFonts w:hint="eastAsia" w:ascii="宋体" w:hAnsi="宋体" w:cs="宋体"/>
          <w:szCs w:val="21"/>
          <w:u w:val="single"/>
        </w:rPr>
        <w:t>湖州江南工程管理有限公司：</w:t>
      </w:r>
    </w:p>
    <w:p>
      <w:pPr>
        <w:spacing w:line="420" w:lineRule="exact"/>
        <w:ind w:firstLine="420" w:firstLineChars="200"/>
        <w:rPr>
          <w:rFonts w:ascii="宋体" w:hAnsi="宋体" w:cs="宋体"/>
          <w:szCs w:val="21"/>
        </w:rPr>
      </w:pPr>
      <w:r>
        <w:rPr>
          <w:rFonts w:hint="eastAsia" w:ascii="宋体" w:hAnsi="宋体" w:cs="宋体"/>
          <w:szCs w:val="21"/>
        </w:rPr>
        <w:t>根据已收到贵方的招标文件编号</w:t>
      </w:r>
      <w:r>
        <w:rPr>
          <w:rFonts w:hint="eastAsia" w:ascii="宋体" w:hAnsi="宋体" w:cs="宋体"/>
          <w:szCs w:val="21"/>
          <w:u w:val="single"/>
        </w:rPr>
        <w:t>HZJNAJ-2024010</w:t>
      </w:r>
      <w:r>
        <w:rPr>
          <w:rFonts w:hint="eastAsia" w:ascii="宋体" w:hAnsi="宋体" w:cs="宋体"/>
          <w:szCs w:val="21"/>
        </w:rPr>
        <w:t xml:space="preserve">的 </w:t>
      </w:r>
      <w:r>
        <w:rPr>
          <w:rFonts w:hint="eastAsia" w:ascii="宋体" w:hAnsi="宋体" w:cs="宋体"/>
          <w:szCs w:val="21"/>
          <w:u w:val="single"/>
        </w:rPr>
        <w:t>《 安吉技师学院单片机实训室建设项目》</w:t>
      </w:r>
      <w:r>
        <w:rPr>
          <w:rFonts w:hint="eastAsia" w:ascii="宋体" w:hAnsi="宋体" w:cs="宋体"/>
          <w:szCs w:val="21"/>
        </w:rPr>
        <w:t>招标文件，正式授权下述签字人：</w:t>
      </w:r>
      <w:r>
        <w:rPr>
          <w:rFonts w:hint="eastAsia" w:ascii="宋体" w:hAnsi="宋体" w:cs="宋体"/>
          <w:szCs w:val="21"/>
          <w:u w:val="single"/>
        </w:rPr>
        <w:t>（姓名和职务）</w:t>
      </w:r>
      <w:r>
        <w:rPr>
          <w:rFonts w:hint="eastAsia" w:ascii="宋体" w:hAnsi="宋体" w:cs="宋体"/>
          <w:szCs w:val="21"/>
        </w:rPr>
        <w:t>为我公司在职职工，代表</w:t>
      </w:r>
      <w:r>
        <w:rPr>
          <w:rFonts w:hint="eastAsia" w:ascii="宋体" w:hAnsi="宋体" w:cs="宋体"/>
          <w:szCs w:val="21"/>
          <w:u w:val="single"/>
        </w:rPr>
        <w:t xml:space="preserve"> 投标人（即投标单位）</w:t>
      </w:r>
      <w:r>
        <w:rPr>
          <w:rFonts w:hint="eastAsia" w:ascii="宋体" w:hAnsi="宋体" w:cs="宋体"/>
          <w:szCs w:val="21"/>
        </w:rPr>
        <w:t>，按招标文件要求提交投标文件。</w:t>
      </w:r>
    </w:p>
    <w:p>
      <w:pPr>
        <w:spacing w:line="420" w:lineRule="exact"/>
        <w:ind w:firstLine="420" w:firstLineChars="200"/>
        <w:rPr>
          <w:rFonts w:ascii="宋体" w:hAnsi="宋体" w:cs="宋体"/>
          <w:szCs w:val="21"/>
        </w:rPr>
      </w:pPr>
      <w:r>
        <w:rPr>
          <w:rFonts w:hint="eastAsia" w:ascii="宋体" w:hAnsi="宋体" w:cs="宋体"/>
          <w:szCs w:val="21"/>
        </w:rPr>
        <w:t>据此函，签字人兹宣布同意如下：</w:t>
      </w:r>
    </w:p>
    <w:p>
      <w:pPr>
        <w:spacing w:line="420" w:lineRule="exact"/>
        <w:ind w:firstLine="420" w:firstLineChars="200"/>
        <w:rPr>
          <w:rFonts w:ascii="宋体" w:hAnsi="宋体" w:cs="宋体"/>
          <w:szCs w:val="21"/>
        </w:rPr>
      </w:pPr>
      <w:r>
        <w:rPr>
          <w:rFonts w:hint="eastAsia" w:ascii="宋体" w:hAnsi="宋体" w:cs="宋体"/>
          <w:szCs w:val="21"/>
        </w:rPr>
        <w:t>1. 我单位已详细审核全部招标文件，包括招标文件、招标文件的补充、修改通知、投标答疑纪要的所有内容，均没有异议。在完全理解和接受的前提下，完全知道必须放弃因含糊不清或误解而对招标文件提出质疑的权利;</w:t>
      </w:r>
    </w:p>
    <w:p>
      <w:pPr>
        <w:spacing w:line="420" w:lineRule="exact"/>
        <w:ind w:firstLine="420" w:firstLineChars="200"/>
        <w:rPr>
          <w:rFonts w:ascii="宋体" w:hAnsi="宋体" w:cs="宋体"/>
          <w:szCs w:val="21"/>
        </w:rPr>
      </w:pPr>
      <w:r>
        <w:rPr>
          <w:rFonts w:hint="eastAsia" w:ascii="宋体" w:hAnsi="宋体" w:cs="宋体"/>
          <w:szCs w:val="21"/>
        </w:rPr>
        <w:t>2、投标人在投标之前已经与贵方进行了充分的沟通，完全理解并接受招标文件的各项规定和要求，对招标文件的合理性、合法性不再有异议。</w:t>
      </w:r>
    </w:p>
    <w:p>
      <w:pPr>
        <w:adjustRightInd w:val="0"/>
        <w:snapToGrid w:val="0"/>
        <w:spacing w:line="420" w:lineRule="exact"/>
        <w:ind w:firstLine="420" w:firstLineChars="200"/>
        <w:rPr>
          <w:rFonts w:ascii="宋体" w:hAnsi="宋体" w:cs="宋体"/>
          <w:sz w:val="24"/>
        </w:rPr>
      </w:pPr>
      <w:r>
        <w:rPr>
          <w:rFonts w:hint="eastAsia" w:ascii="宋体" w:hAnsi="宋体" w:cs="宋体"/>
          <w:szCs w:val="21"/>
        </w:rPr>
        <w:t>3. 本投标有效期自开标日起</w:t>
      </w:r>
      <w:r>
        <w:rPr>
          <w:rFonts w:hint="eastAsia" w:ascii="宋体" w:hAnsi="宋体" w:cs="宋体"/>
          <w:szCs w:val="21"/>
          <w:u w:val="single"/>
        </w:rPr>
        <w:t xml:space="preserve"> 90个</w:t>
      </w:r>
      <w:r>
        <w:rPr>
          <w:rFonts w:hint="eastAsia" w:ascii="宋体" w:hAnsi="宋体" w:cs="宋体"/>
          <w:szCs w:val="21"/>
        </w:rPr>
        <w:t>日历天；</w:t>
      </w:r>
    </w:p>
    <w:p>
      <w:pPr>
        <w:spacing w:line="420" w:lineRule="exact"/>
        <w:ind w:firstLine="420" w:firstLineChars="200"/>
        <w:rPr>
          <w:rFonts w:ascii="宋体" w:hAnsi="宋体" w:cs="宋体"/>
          <w:szCs w:val="21"/>
        </w:rPr>
      </w:pPr>
      <w:r>
        <w:rPr>
          <w:rFonts w:hint="eastAsia" w:ascii="宋体" w:hAnsi="宋体" w:cs="宋体"/>
          <w:szCs w:val="21"/>
        </w:rPr>
        <w:t>4. 我单位同意提供采购人和采购代理机构可能另外要求的与其招标有关的任何数据或资料；</w:t>
      </w:r>
    </w:p>
    <w:p>
      <w:pPr>
        <w:spacing w:line="420" w:lineRule="exact"/>
        <w:ind w:firstLine="420" w:firstLineChars="200"/>
        <w:rPr>
          <w:rFonts w:ascii="宋体" w:hAnsi="宋体" w:cs="宋体"/>
          <w:szCs w:val="21"/>
        </w:rPr>
      </w:pPr>
      <w:r>
        <w:rPr>
          <w:rFonts w:hint="eastAsia" w:ascii="宋体" w:hAnsi="宋体" w:cs="宋体"/>
          <w:szCs w:val="21"/>
        </w:rPr>
        <w:t>5. 我单位同意按照招标文件中规定的服务期限如期提供服务；</w:t>
      </w:r>
    </w:p>
    <w:p>
      <w:pPr>
        <w:spacing w:line="420" w:lineRule="exact"/>
        <w:ind w:firstLine="420" w:firstLineChars="200"/>
        <w:rPr>
          <w:rFonts w:ascii="宋体" w:hAnsi="宋体" w:cs="宋体"/>
          <w:szCs w:val="21"/>
        </w:rPr>
      </w:pPr>
      <w:r>
        <w:rPr>
          <w:rFonts w:hint="eastAsia" w:ascii="宋体" w:hAnsi="宋体" w:cs="宋体"/>
          <w:szCs w:val="21"/>
        </w:rPr>
        <w:t>6. 我单位保证所供服务项目质量符合国家强制性规范和标准，达到招标文件规定的要求；</w:t>
      </w:r>
    </w:p>
    <w:p>
      <w:pPr>
        <w:spacing w:line="420" w:lineRule="exact"/>
        <w:ind w:firstLine="420" w:firstLineChars="200"/>
        <w:rPr>
          <w:rFonts w:ascii="宋体" w:hAnsi="宋体" w:cs="宋体"/>
          <w:szCs w:val="21"/>
        </w:rPr>
      </w:pPr>
      <w:r>
        <w:rPr>
          <w:rFonts w:hint="eastAsia" w:ascii="宋体" w:hAnsi="宋体" w:cs="宋体"/>
          <w:szCs w:val="21"/>
        </w:rPr>
        <w:t>7. 我单位同意所提交的投标文件在招标有效期内有效，在此期间我方的投标有可能中标，我方将受此约束；</w:t>
      </w:r>
    </w:p>
    <w:p>
      <w:pPr>
        <w:spacing w:line="420" w:lineRule="exact"/>
        <w:ind w:firstLine="420" w:firstLineChars="200"/>
        <w:rPr>
          <w:rFonts w:ascii="宋体" w:hAnsi="宋体" w:cs="宋体"/>
          <w:szCs w:val="21"/>
        </w:rPr>
      </w:pPr>
      <w:r>
        <w:rPr>
          <w:rFonts w:hint="eastAsia" w:ascii="宋体" w:hAnsi="宋体" w:cs="宋体"/>
          <w:szCs w:val="21"/>
        </w:rPr>
        <w:t>8. 除非另外达成协议并生效，招标文件、招标文件补充、修改通知、技术规范、中标通知书和本投标文件将构成约束我们双方的合同。</w:t>
      </w:r>
    </w:p>
    <w:p>
      <w:pPr>
        <w:snapToGrid w:val="0"/>
        <w:spacing w:line="420" w:lineRule="exact"/>
        <w:ind w:firstLine="420" w:firstLineChars="200"/>
        <w:rPr>
          <w:rFonts w:ascii="宋体" w:hAnsi="宋体" w:cs="宋体"/>
          <w:szCs w:val="21"/>
        </w:rPr>
      </w:pPr>
      <w:r>
        <w:rPr>
          <w:rFonts w:hint="eastAsia" w:ascii="宋体" w:hAnsi="宋体" w:cs="宋体"/>
          <w:szCs w:val="21"/>
        </w:rPr>
        <w:t>9. 与本次投标有关的一切正式往来函件信息如下：</w:t>
      </w:r>
    </w:p>
    <w:p>
      <w:pPr>
        <w:spacing w:line="420" w:lineRule="exact"/>
        <w:ind w:firstLine="420" w:firstLineChars="200"/>
        <w:rPr>
          <w:rFonts w:ascii="宋体" w:hAnsi="宋体" w:cs="宋体"/>
          <w:szCs w:val="21"/>
          <w:u w:val="single"/>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 xml:space="preserve"> 电子邮箱：</w:t>
      </w:r>
      <w:r>
        <w:rPr>
          <w:rFonts w:hint="eastAsia" w:ascii="宋体" w:hAnsi="宋体" w:cs="宋体"/>
          <w:szCs w:val="21"/>
          <w:u w:val="single"/>
        </w:rPr>
        <w:t xml:space="preserve">            </w:t>
      </w:r>
    </w:p>
    <w:p>
      <w:pPr>
        <w:spacing w:line="420" w:lineRule="exact"/>
        <w:ind w:firstLine="420" w:firstLineChars="200"/>
        <w:rPr>
          <w:rFonts w:ascii="宋体" w:hAnsi="宋体" w:cs="宋体"/>
          <w:szCs w:val="21"/>
          <w:u w:val="single"/>
        </w:rPr>
      </w:pPr>
      <w:r>
        <w:rPr>
          <w:rFonts w:hint="eastAsia" w:ascii="宋体" w:hAnsi="宋体" w:cs="宋体"/>
          <w:szCs w:val="21"/>
        </w:rPr>
        <w:t xml:space="preserve">邮编： </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r>
        <w:rPr>
          <w:rFonts w:hint="eastAsia" w:ascii="宋体" w:hAnsi="宋体" w:cs="宋体"/>
          <w:szCs w:val="21"/>
        </w:rPr>
        <w:t xml:space="preserve"> 传真： </w:t>
      </w:r>
      <w:r>
        <w:rPr>
          <w:rFonts w:hint="eastAsia" w:ascii="宋体" w:hAnsi="宋体" w:cs="宋体"/>
          <w:szCs w:val="21"/>
          <w:u w:val="single"/>
        </w:rPr>
        <w:t xml:space="preserve">     </w:t>
      </w:r>
    </w:p>
    <w:p>
      <w:pPr>
        <w:spacing w:line="420" w:lineRule="exact"/>
        <w:ind w:firstLine="420" w:firstLineChars="200"/>
        <w:rPr>
          <w:rFonts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银行帐号：</w:t>
      </w:r>
      <w:r>
        <w:rPr>
          <w:rFonts w:hint="eastAsia" w:ascii="宋体" w:hAnsi="宋体" w:cs="宋体"/>
          <w:szCs w:val="21"/>
          <w:u w:val="single"/>
        </w:rPr>
        <w:t xml:space="preserve">         </w:t>
      </w:r>
    </w:p>
    <w:p>
      <w:pPr>
        <w:spacing w:line="420" w:lineRule="exact"/>
        <w:ind w:firstLine="420" w:firstLineChars="200"/>
        <w:rPr>
          <w:rFonts w:ascii="宋体" w:hAnsi="宋体" w:cs="宋体"/>
          <w:szCs w:val="21"/>
          <w:u w:val="single"/>
        </w:rPr>
      </w:pPr>
      <w:r>
        <w:rPr>
          <w:rFonts w:hint="eastAsia" w:ascii="宋体" w:hAnsi="宋体" w:cs="宋体"/>
          <w:szCs w:val="21"/>
        </w:rPr>
        <w:t>投标人代表姓名</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pPr>
        <w:spacing w:line="420" w:lineRule="exact"/>
        <w:ind w:firstLine="420" w:firstLineChars="200"/>
        <w:rPr>
          <w:rFonts w:ascii="宋体" w:hAnsi="宋体" w:cs="宋体"/>
          <w:szCs w:val="21"/>
          <w:u w:val="single"/>
        </w:rPr>
      </w:pPr>
      <w:r>
        <w:rPr>
          <w:rFonts w:hint="eastAsia" w:ascii="宋体" w:hAnsi="宋体" w:cs="宋体"/>
          <w:szCs w:val="21"/>
        </w:rPr>
        <w:t>法定代表人签字：</w:t>
      </w:r>
      <w:r>
        <w:rPr>
          <w:rFonts w:hint="eastAsia" w:ascii="宋体" w:hAnsi="宋体" w:cs="宋体"/>
          <w:szCs w:val="21"/>
          <w:u w:val="single"/>
        </w:rPr>
        <w:t xml:space="preserve">                </w:t>
      </w:r>
    </w:p>
    <w:p>
      <w:pPr>
        <w:pStyle w:val="13"/>
        <w:tabs>
          <w:tab w:val="left" w:pos="939"/>
        </w:tabs>
        <w:snapToGrid w:val="0"/>
        <w:spacing w:line="420" w:lineRule="exact"/>
        <w:ind w:left="0" w:leftChars="0" w:firstLine="420" w:firstLineChars="200"/>
        <w:rPr>
          <w:rFonts w:ascii="宋体" w:hAnsi="宋体" w:cs="宋体"/>
          <w:szCs w:val="21"/>
        </w:rPr>
      </w:pPr>
    </w:p>
    <w:p>
      <w:pPr>
        <w:pStyle w:val="13"/>
        <w:tabs>
          <w:tab w:val="left" w:pos="939"/>
        </w:tabs>
        <w:snapToGrid w:val="0"/>
        <w:spacing w:line="420" w:lineRule="exact"/>
        <w:ind w:left="0" w:leftChars="0" w:firstLine="420" w:firstLineChars="200"/>
        <w:rPr>
          <w:rFonts w:ascii="宋体" w:hAnsi="宋体" w:cs="宋体"/>
          <w:szCs w:val="21"/>
        </w:rPr>
      </w:pPr>
      <w:r>
        <w:rPr>
          <w:rFonts w:hint="eastAsia" w:ascii="宋体" w:hAnsi="宋体" w:cs="宋体"/>
          <w:szCs w:val="21"/>
        </w:rPr>
        <w:t>投标人全称（公章）：</w:t>
      </w:r>
    </w:p>
    <w:p>
      <w:pPr>
        <w:ind w:firstLine="420" w:firstLineChars="200"/>
        <w:rPr>
          <w:rFonts w:ascii="宋体" w:hAnsi="宋体" w:cs="宋体"/>
        </w:rPr>
      </w:pPr>
      <w:r>
        <w:rPr>
          <w:rFonts w:hint="eastAsia" w:ascii="宋体" w:hAnsi="宋体" w:cs="宋体"/>
          <w:szCs w:val="21"/>
        </w:rPr>
        <w:t>日 期：</w:t>
      </w:r>
      <w:r>
        <w:rPr>
          <w:rFonts w:hint="eastAsia" w:ascii="宋体" w:hAnsi="宋体" w:cs="宋体"/>
          <w:szCs w:val="21"/>
          <w:u w:val="single"/>
        </w:rPr>
        <w:t xml:space="preserve">                </w:t>
      </w:r>
    </w:p>
    <w:p>
      <w:pPr>
        <w:sectPr>
          <w:pgSz w:w="11906" w:h="16838"/>
          <w:pgMar w:top="1247" w:right="1247" w:bottom="1247" w:left="1247" w:header="851" w:footer="992" w:gutter="0"/>
          <w:cols w:space="720" w:num="1"/>
          <w:docGrid w:linePitch="313" w:charSpace="0"/>
        </w:sectPr>
      </w:pPr>
    </w:p>
    <w:p>
      <w:pPr>
        <w:spacing w:line="520" w:lineRule="exact"/>
        <w:rPr>
          <w:rFonts w:ascii="宋体" w:hAnsi="宋体" w:cs="宋体"/>
          <w:sz w:val="24"/>
        </w:rPr>
      </w:pPr>
      <w:r>
        <w:rPr>
          <w:rFonts w:hint="eastAsia" w:ascii="宋体" w:hAnsi="宋体" w:cs="宋体"/>
          <w:sz w:val="24"/>
        </w:rPr>
        <w:t>12、开标一览表格式</w:t>
      </w:r>
    </w:p>
    <w:p>
      <w:pPr>
        <w:spacing w:line="500" w:lineRule="exact"/>
        <w:jc w:val="center"/>
        <w:rPr>
          <w:rFonts w:ascii="宋体" w:hAnsi="宋体" w:cs="宋体"/>
          <w:spacing w:val="-20"/>
          <w:szCs w:val="21"/>
        </w:rPr>
      </w:pPr>
      <w:r>
        <w:rPr>
          <w:rFonts w:hint="eastAsia" w:ascii="宋体" w:hAnsi="宋体" w:cs="宋体"/>
          <w:bCs/>
          <w:sz w:val="44"/>
        </w:rPr>
        <w:t>开标一览表</w:t>
      </w:r>
    </w:p>
    <w:p>
      <w:pPr>
        <w:pStyle w:val="7"/>
        <w:tabs>
          <w:tab w:val="left" w:pos="4477"/>
        </w:tabs>
        <w:spacing w:line="400" w:lineRule="exact"/>
        <w:ind w:firstLine="0"/>
        <w:rPr>
          <w:rFonts w:ascii="宋体" w:hAnsi="宋体" w:cs="宋体"/>
          <w:szCs w:val="21"/>
        </w:rPr>
      </w:pPr>
      <w:r>
        <w:rPr>
          <w:rFonts w:hint="eastAsia" w:ascii="宋体" w:hAnsi="宋体" w:cs="宋体"/>
          <w:szCs w:val="21"/>
        </w:rPr>
        <w:t>项目名称：</w:t>
      </w:r>
      <w:r>
        <w:rPr>
          <w:rFonts w:hint="eastAsia" w:ascii="宋体" w:hAnsi="宋体"/>
          <w:szCs w:val="21"/>
        </w:rPr>
        <w:t xml:space="preserve"> 安吉技师学院单片机实训室建设项目</w:t>
      </w:r>
      <w:r>
        <w:rPr>
          <w:rFonts w:hint="eastAsia" w:ascii="宋体" w:hAnsi="宋体" w:cs="宋体"/>
          <w:szCs w:val="21"/>
        </w:rPr>
        <w:t xml:space="preserve">      </w:t>
      </w:r>
    </w:p>
    <w:p>
      <w:pPr>
        <w:pStyle w:val="7"/>
        <w:tabs>
          <w:tab w:val="left" w:pos="4477"/>
        </w:tabs>
        <w:spacing w:line="400" w:lineRule="exact"/>
        <w:ind w:firstLine="0"/>
        <w:rPr>
          <w:rFonts w:ascii="宋体" w:hAnsi="宋体" w:cs="宋体"/>
          <w:szCs w:val="21"/>
        </w:rPr>
      </w:pPr>
      <w:r>
        <w:rPr>
          <w:rFonts w:hint="eastAsia" w:ascii="宋体" w:hAnsi="宋体" w:cs="宋体"/>
          <w:szCs w:val="21"/>
        </w:rPr>
        <w:t xml:space="preserve">项目编号：                                   金额单位：元      </w:t>
      </w:r>
    </w:p>
    <w:tbl>
      <w:tblPr>
        <w:tblStyle w:val="34"/>
        <w:tblW w:w="90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45"/>
        <w:gridCol w:w="2643"/>
        <w:gridCol w:w="1785"/>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06" w:type="dxa"/>
            <w:vAlign w:val="center"/>
          </w:tcPr>
          <w:p>
            <w:pPr>
              <w:spacing w:line="360" w:lineRule="exact"/>
              <w:jc w:val="center"/>
              <w:rPr>
                <w:rFonts w:ascii="宋体" w:hAnsi="宋体"/>
                <w:szCs w:val="21"/>
              </w:rPr>
            </w:pPr>
            <w:r>
              <w:rPr>
                <w:rFonts w:hint="eastAsia" w:ascii="宋体" w:hAnsi="宋体"/>
                <w:szCs w:val="21"/>
              </w:rPr>
              <w:t>序号</w:t>
            </w:r>
          </w:p>
        </w:tc>
        <w:tc>
          <w:tcPr>
            <w:tcW w:w="4088" w:type="dxa"/>
            <w:gridSpan w:val="2"/>
            <w:vAlign w:val="center"/>
          </w:tcPr>
          <w:p>
            <w:pPr>
              <w:spacing w:line="360" w:lineRule="exact"/>
              <w:jc w:val="center"/>
              <w:rPr>
                <w:rFonts w:ascii="宋体" w:hAnsi="宋体"/>
                <w:szCs w:val="21"/>
              </w:rPr>
            </w:pPr>
            <w:r>
              <w:rPr>
                <w:rFonts w:hint="eastAsia" w:ascii="宋体" w:hAnsi="宋体"/>
                <w:szCs w:val="21"/>
              </w:rPr>
              <w:t>服务名称</w:t>
            </w:r>
          </w:p>
        </w:tc>
        <w:tc>
          <w:tcPr>
            <w:tcW w:w="1785" w:type="dxa"/>
            <w:vAlign w:val="center"/>
          </w:tcPr>
          <w:p>
            <w:pPr>
              <w:snapToGrid w:val="0"/>
              <w:spacing w:line="340" w:lineRule="exact"/>
              <w:jc w:val="center"/>
              <w:rPr>
                <w:rFonts w:ascii="宋体" w:hAnsi="宋体"/>
                <w:szCs w:val="21"/>
              </w:rPr>
            </w:pPr>
            <w:r>
              <w:rPr>
                <w:rFonts w:hint="eastAsia" w:ascii="宋体" w:hAnsi="宋体"/>
                <w:szCs w:val="21"/>
              </w:rPr>
              <w:t>数量</w:t>
            </w:r>
          </w:p>
        </w:tc>
        <w:tc>
          <w:tcPr>
            <w:tcW w:w="2718" w:type="dxa"/>
            <w:vAlign w:val="center"/>
          </w:tcPr>
          <w:p>
            <w:pPr>
              <w:spacing w:line="360" w:lineRule="exact"/>
              <w:jc w:val="center"/>
              <w:rPr>
                <w:rFonts w:ascii="宋体" w:hAnsi="宋体"/>
                <w:szCs w:val="21"/>
              </w:rPr>
            </w:pPr>
            <w:r>
              <w:rPr>
                <w:rFonts w:hint="eastAsia" w:ascii="宋体" w:hAnsi="宋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06" w:type="dxa"/>
            <w:vAlign w:val="center"/>
          </w:tcPr>
          <w:p>
            <w:pPr>
              <w:spacing w:line="360" w:lineRule="exact"/>
              <w:jc w:val="center"/>
              <w:rPr>
                <w:rFonts w:ascii="宋体" w:hAnsi="宋体"/>
                <w:szCs w:val="21"/>
              </w:rPr>
            </w:pPr>
            <w:r>
              <w:rPr>
                <w:rFonts w:hint="eastAsia" w:ascii="宋体" w:hAnsi="宋体"/>
                <w:szCs w:val="21"/>
              </w:rPr>
              <w:t>1</w:t>
            </w:r>
          </w:p>
        </w:tc>
        <w:tc>
          <w:tcPr>
            <w:tcW w:w="4088" w:type="dxa"/>
            <w:gridSpan w:val="2"/>
            <w:vAlign w:val="center"/>
          </w:tcPr>
          <w:p>
            <w:pPr>
              <w:adjustRightInd w:val="0"/>
              <w:snapToGrid w:val="0"/>
              <w:spacing w:line="340" w:lineRule="exact"/>
              <w:jc w:val="center"/>
              <w:rPr>
                <w:rFonts w:ascii="宋体" w:hAnsi="宋体" w:cs="宋体"/>
                <w:szCs w:val="21"/>
              </w:rPr>
            </w:pPr>
            <w:r>
              <w:rPr>
                <w:rFonts w:hint="eastAsia" w:ascii="宋体" w:hAnsi="宋体"/>
                <w:szCs w:val="21"/>
              </w:rPr>
              <w:t>安吉技师学院单片机实训室建设项目</w:t>
            </w:r>
          </w:p>
        </w:tc>
        <w:tc>
          <w:tcPr>
            <w:tcW w:w="1785" w:type="dxa"/>
            <w:vAlign w:val="center"/>
          </w:tcPr>
          <w:p>
            <w:pPr>
              <w:adjustRightInd w:val="0"/>
              <w:snapToGrid w:val="0"/>
              <w:spacing w:line="340" w:lineRule="exact"/>
              <w:jc w:val="center"/>
              <w:rPr>
                <w:rFonts w:ascii="宋体" w:hAnsi="宋体" w:cs="宋体"/>
                <w:szCs w:val="21"/>
              </w:rPr>
            </w:pPr>
            <w:r>
              <w:rPr>
                <w:rFonts w:hint="eastAsia" w:ascii="宋体" w:hAnsi="宋体" w:cs="宋体"/>
                <w:szCs w:val="21"/>
              </w:rPr>
              <w:t>1项</w:t>
            </w:r>
          </w:p>
        </w:tc>
        <w:tc>
          <w:tcPr>
            <w:tcW w:w="2718" w:type="dxa"/>
            <w:vAlign w:val="center"/>
          </w:tcPr>
          <w:p>
            <w:pPr>
              <w:adjustRightInd w:val="0"/>
              <w:snapToGrid w:val="0"/>
              <w:spacing w:line="340" w:lineRule="exact"/>
              <w:jc w:val="center"/>
              <w:rPr>
                <w:rFonts w:ascii="宋体" w:hAnsi="宋体" w:cs="宋体"/>
                <w:kern w:val="0"/>
                <w:szCs w:val="21"/>
              </w:rPr>
            </w:pPr>
            <w:r>
              <w:rPr>
                <w:rFonts w:hint="eastAsia" w:ascii="宋体" w:hAnsi="宋体" w:cs="宋体"/>
                <w:kern w:val="0"/>
                <w:szCs w:val="21"/>
              </w:rPr>
              <w:t xml:space="preserve">        </w:t>
            </w:r>
          </w:p>
          <w:p>
            <w:pPr>
              <w:spacing w:line="360" w:lineRule="exact"/>
              <w:jc w:val="center"/>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951" w:type="dxa"/>
            <w:gridSpan w:val="2"/>
            <w:vAlign w:val="center"/>
          </w:tcPr>
          <w:p>
            <w:pPr>
              <w:spacing w:line="360" w:lineRule="exact"/>
              <w:jc w:val="center"/>
              <w:rPr>
                <w:rFonts w:ascii="宋体" w:hAnsi="宋体"/>
                <w:szCs w:val="21"/>
              </w:rPr>
            </w:pPr>
            <w:r>
              <w:rPr>
                <w:rFonts w:hint="eastAsia" w:ascii="宋体" w:hAnsi="宋体"/>
                <w:szCs w:val="21"/>
              </w:rPr>
              <w:t>投标报价</w:t>
            </w:r>
          </w:p>
        </w:tc>
        <w:tc>
          <w:tcPr>
            <w:tcW w:w="7146" w:type="dxa"/>
            <w:gridSpan w:val="3"/>
            <w:vAlign w:val="center"/>
          </w:tcPr>
          <w:p>
            <w:pPr>
              <w:spacing w:line="360" w:lineRule="exact"/>
              <w:rPr>
                <w:rFonts w:ascii="宋体" w:hAnsi="宋体"/>
                <w:szCs w:val="21"/>
              </w:rPr>
            </w:pPr>
            <w:r>
              <w:rPr>
                <w:rFonts w:hint="eastAsia" w:ascii="宋体" w:hAnsi="宋体"/>
                <w:szCs w:val="21"/>
              </w:rPr>
              <w:t>大写：人民币</w:t>
            </w:r>
          </w:p>
          <w:p>
            <w:pPr>
              <w:spacing w:line="360" w:lineRule="exact"/>
              <w:rPr>
                <w:rFonts w:ascii="宋体" w:hAnsi="宋体"/>
                <w:szCs w:val="21"/>
              </w:rPr>
            </w:pPr>
            <w:r>
              <w:rPr>
                <w:rFonts w:hint="eastAsia" w:ascii="宋体" w:hAnsi="宋体"/>
                <w:szCs w:val="21"/>
              </w:rPr>
              <w:t xml:space="preserve">小写：￥                                  </w:t>
            </w:r>
          </w:p>
        </w:tc>
      </w:tr>
    </w:tbl>
    <w:p>
      <w:pPr>
        <w:pStyle w:val="15"/>
        <w:widowControl/>
        <w:numPr>
          <w:ilvl w:val="0"/>
          <w:numId w:val="14"/>
        </w:numPr>
        <w:spacing w:before="0" w:beforeLines="0" w:after="0" w:afterLines="0" w:line="460" w:lineRule="atLeast"/>
        <w:jc w:val="left"/>
        <w:rPr>
          <w:rFonts w:hAnsi="宋体" w:cs="宋体"/>
          <w:b/>
          <w:sz w:val="21"/>
          <w:szCs w:val="21"/>
        </w:rPr>
      </w:pPr>
      <w:r>
        <w:rPr>
          <w:rFonts w:hint="eastAsia" w:hAnsi="宋体" w:cs="宋体"/>
          <w:b/>
          <w:sz w:val="21"/>
          <w:szCs w:val="21"/>
        </w:rPr>
        <w:t>说明：</w:t>
      </w:r>
    </w:p>
    <w:p>
      <w:pPr>
        <w:pStyle w:val="15"/>
        <w:spacing w:before="120" w:after="120" w:line="240" w:lineRule="exact"/>
        <w:rPr>
          <w:rFonts w:hAnsi="宋体" w:cs="宋体"/>
          <w:b/>
          <w:sz w:val="21"/>
          <w:szCs w:val="21"/>
        </w:rPr>
      </w:pPr>
      <w:r>
        <w:rPr>
          <w:rFonts w:hint="eastAsia" w:hAnsi="宋体" w:cs="宋体"/>
          <w:b/>
          <w:sz w:val="21"/>
          <w:szCs w:val="21"/>
        </w:rPr>
        <w:t>1、报价总价是履行合同的最终价格。</w:t>
      </w:r>
    </w:p>
    <w:p>
      <w:pPr>
        <w:pStyle w:val="15"/>
        <w:spacing w:before="120" w:after="120" w:line="240" w:lineRule="exact"/>
        <w:rPr>
          <w:rFonts w:hAnsi="宋体" w:cs="宋体"/>
          <w:b/>
          <w:sz w:val="21"/>
          <w:szCs w:val="21"/>
        </w:rPr>
      </w:pPr>
      <w:r>
        <w:rPr>
          <w:rFonts w:hint="eastAsia" w:hAnsi="宋体" w:cs="宋体"/>
          <w:b/>
          <w:sz w:val="21"/>
          <w:szCs w:val="21"/>
        </w:rPr>
        <w:t>2、本表格的总价应与《报价明细表》的总价相一致。</w:t>
      </w:r>
    </w:p>
    <w:p>
      <w:pPr>
        <w:pStyle w:val="15"/>
        <w:spacing w:before="120" w:after="120" w:line="240" w:lineRule="exact"/>
        <w:rPr>
          <w:rFonts w:hAnsi="宋体" w:cs="宋体"/>
          <w:b/>
          <w:sz w:val="21"/>
          <w:szCs w:val="21"/>
        </w:rPr>
      </w:pPr>
      <w:r>
        <w:rPr>
          <w:rFonts w:hint="eastAsia" w:hAnsi="宋体" w:cs="宋体"/>
          <w:b/>
          <w:sz w:val="21"/>
          <w:szCs w:val="21"/>
        </w:rPr>
        <w:t>▲3、投标文件只允许有一个报价，有选择的报价将不予接受。</w:t>
      </w:r>
    </w:p>
    <w:p>
      <w:pPr>
        <w:pStyle w:val="15"/>
        <w:spacing w:before="120" w:after="120" w:line="240" w:lineRule="exact"/>
        <w:rPr>
          <w:rFonts w:hAnsi="宋体" w:cs="宋体"/>
          <w:b/>
          <w:sz w:val="21"/>
          <w:szCs w:val="21"/>
        </w:rPr>
      </w:pPr>
    </w:p>
    <w:p>
      <w:pPr>
        <w:widowControl/>
        <w:spacing w:line="460" w:lineRule="atLeast"/>
        <w:ind w:right="660" w:firstLine="5880" w:firstLineChars="2800"/>
        <w:rPr>
          <w:rFonts w:ascii="宋体" w:hAnsi="宋体" w:cs="宋体"/>
          <w:szCs w:val="21"/>
        </w:rPr>
      </w:pPr>
      <w:r>
        <w:rPr>
          <w:rFonts w:hint="eastAsia" w:ascii="宋体" w:hAnsi="宋体" w:cs="宋体"/>
          <w:szCs w:val="21"/>
        </w:rPr>
        <w:t>投标人全称：（盖章）</w:t>
      </w:r>
    </w:p>
    <w:p>
      <w:pPr>
        <w:widowControl/>
        <w:spacing w:line="460" w:lineRule="atLeast"/>
        <w:ind w:right="440"/>
        <w:jc w:val="center"/>
        <w:rPr>
          <w:rFonts w:ascii="宋体" w:hAnsi="宋体" w:cs="宋体"/>
          <w:szCs w:val="21"/>
        </w:rPr>
      </w:pPr>
      <w:r>
        <w:rPr>
          <w:rFonts w:hint="eastAsia" w:ascii="宋体" w:hAnsi="宋体" w:cs="宋体"/>
          <w:szCs w:val="21"/>
        </w:rPr>
        <w:t xml:space="preserve">                                              授权代表：（签字）</w:t>
      </w:r>
    </w:p>
    <w:p>
      <w:pPr>
        <w:snapToGrid w:val="0"/>
        <w:spacing w:line="400" w:lineRule="exact"/>
        <w:rPr>
          <w:rFonts w:ascii="宋体" w:hAnsi="宋体" w:cs="宋体"/>
          <w:szCs w:val="21"/>
        </w:rPr>
      </w:pPr>
      <w:r>
        <w:rPr>
          <w:rFonts w:hint="eastAsia" w:ascii="宋体" w:hAnsi="宋体" w:cs="宋体"/>
          <w:szCs w:val="21"/>
        </w:rPr>
        <w:t xml:space="preserve">                                                       日期：   年   月   日</w:t>
      </w:r>
    </w:p>
    <w:bookmarkEnd w:id="159"/>
    <w:bookmarkEnd w:id="160"/>
    <w:p>
      <w:pPr>
        <w:spacing w:line="520" w:lineRule="exact"/>
        <w:rPr>
          <w:rFonts w:ascii="宋体" w:hAnsi="宋体" w:cs="宋体"/>
          <w:szCs w:val="21"/>
        </w:rPr>
      </w:pPr>
      <w:bookmarkStart w:id="182" w:name="_Toc17729"/>
      <w:bookmarkStart w:id="183" w:name="_Toc2464"/>
    </w:p>
    <w:p>
      <w:pPr>
        <w:pStyle w:val="69"/>
        <w:rPr>
          <w:rFonts w:ascii="宋体" w:hAnsi="宋体" w:cs="宋体"/>
          <w:szCs w:val="21"/>
        </w:rPr>
      </w:pPr>
    </w:p>
    <w:p>
      <w:pPr>
        <w:spacing w:line="520" w:lineRule="exact"/>
        <w:rPr>
          <w:rFonts w:ascii="宋体" w:hAnsi="宋体" w:cs="宋体"/>
          <w:sz w:val="24"/>
        </w:rPr>
      </w:pPr>
      <w:bookmarkStart w:id="184" w:name="_Toc526960898"/>
      <w:bookmarkStart w:id="185" w:name="_Toc31956"/>
      <w:bookmarkStart w:id="186" w:name="_Toc27716"/>
      <w:bookmarkStart w:id="187" w:name="_Toc530041770"/>
      <w:bookmarkStart w:id="188" w:name="_Toc8807242"/>
    </w:p>
    <w:p>
      <w:pPr>
        <w:spacing w:line="520" w:lineRule="exact"/>
        <w:rPr>
          <w:rFonts w:ascii="宋体" w:hAnsi="宋体" w:cs="宋体"/>
          <w:sz w:val="24"/>
        </w:rPr>
      </w:pPr>
    </w:p>
    <w:p>
      <w:pPr>
        <w:spacing w:line="520" w:lineRule="exact"/>
        <w:rPr>
          <w:rFonts w:ascii="宋体" w:hAnsi="宋体" w:cs="宋体"/>
          <w:sz w:val="24"/>
        </w:rPr>
      </w:pPr>
    </w:p>
    <w:p>
      <w:pPr>
        <w:spacing w:line="520" w:lineRule="exact"/>
        <w:rPr>
          <w:rFonts w:ascii="宋体" w:hAnsi="宋体" w:cs="宋体"/>
          <w:sz w:val="24"/>
        </w:rPr>
      </w:pPr>
    </w:p>
    <w:p>
      <w:pPr>
        <w:spacing w:line="520" w:lineRule="exact"/>
        <w:rPr>
          <w:rFonts w:ascii="宋体" w:hAnsi="宋体" w:cs="宋体"/>
          <w:sz w:val="24"/>
        </w:rPr>
      </w:pPr>
    </w:p>
    <w:p>
      <w:pPr>
        <w:spacing w:line="520" w:lineRule="exact"/>
        <w:rPr>
          <w:rFonts w:ascii="宋体" w:hAnsi="宋体" w:cs="宋体"/>
          <w:sz w:val="24"/>
        </w:rPr>
      </w:pPr>
    </w:p>
    <w:p>
      <w:pPr>
        <w:spacing w:line="520" w:lineRule="exact"/>
        <w:rPr>
          <w:rFonts w:ascii="宋体" w:hAnsi="宋体" w:cs="宋体"/>
          <w:sz w:val="24"/>
        </w:rPr>
      </w:pPr>
    </w:p>
    <w:p>
      <w:pPr>
        <w:spacing w:line="520" w:lineRule="exact"/>
        <w:rPr>
          <w:rFonts w:ascii="宋体" w:hAnsi="宋体" w:cs="宋体"/>
          <w:sz w:val="24"/>
        </w:rPr>
      </w:pPr>
      <w:r>
        <w:rPr>
          <w:rFonts w:hint="eastAsia" w:ascii="宋体" w:hAnsi="宋体" w:cs="宋体"/>
          <w:sz w:val="24"/>
        </w:rPr>
        <w:t>14、报价明细表</w:t>
      </w:r>
    </w:p>
    <w:p>
      <w:pPr>
        <w:pStyle w:val="15"/>
        <w:spacing w:before="120" w:after="120"/>
        <w:jc w:val="center"/>
        <w:outlineLvl w:val="1"/>
        <w:rPr>
          <w:rFonts w:hAnsi="宋体" w:cs="宋体"/>
          <w:sz w:val="30"/>
          <w:szCs w:val="30"/>
        </w:rPr>
      </w:pPr>
      <w:bookmarkStart w:id="189" w:name="_Toc6565"/>
      <w:bookmarkStart w:id="190" w:name="_Toc18526"/>
      <w:bookmarkStart w:id="191" w:name="_Toc95211200"/>
      <w:bookmarkStart w:id="192" w:name="_Toc21964"/>
      <w:bookmarkStart w:id="193" w:name="_Toc73085486"/>
      <w:bookmarkStart w:id="194" w:name="_Toc74166648"/>
      <w:bookmarkStart w:id="195" w:name="_Toc2949"/>
      <w:r>
        <w:rPr>
          <w:rFonts w:hint="eastAsia" w:hAnsi="宋体" w:cs="宋体"/>
          <w:sz w:val="30"/>
          <w:szCs w:val="30"/>
        </w:rPr>
        <w:t>报价明细表</w:t>
      </w:r>
      <w:bookmarkEnd w:id="184"/>
      <w:bookmarkEnd w:id="185"/>
      <w:bookmarkEnd w:id="186"/>
      <w:bookmarkEnd w:id="187"/>
      <w:bookmarkEnd w:id="188"/>
      <w:bookmarkEnd w:id="189"/>
      <w:bookmarkEnd w:id="190"/>
      <w:bookmarkEnd w:id="191"/>
      <w:bookmarkEnd w:id="192"/>
      <w:bookmarkEnd w:id="193"/>
      <w:bookmarkEnd w:id="194"/>
      <w:bookmarkEnd w:id="195"/>
    </w:p>
    <w:p>
      <w:pPr>
        <w:pStyle w:val="7"/>
        <w:spacing w:line="400" w:lineRule="exact"/>
        <w:ind w:firstLine="0"/>
        <w:rPr>
          <w:rFonts w:ascii="宋体" w:hAnsi="宋体" w:cs="宋体"/>
          <w:szCs w:val="21"/>
        </w:rPr>
      </w:pPr>
      <w:r>
        <w:rPr>
          <w:rFonts w:hint="eastAsia" w:ascii="宋体" w:hAnsi="宋体" w:cs="宋体"/>
          <w:szCs w:val="21"/>
        </w:rPr>
        <w:t xml:space="preserve">项目名称：                             项目编号：    </w:t>
      </w:r>
    </w:p>
    <w:tbl>
      <w:tblPr>
        <w:tblStyle w:val="34"/>
        <w:tblW w:w="0" w:type="auto"/>
        <w:tblInd w:w="0" w:type="dxa"/>
        <w:tblLayout w:type="fixed"/>
        <w:tblCellMar>
          <w:top w:w="0" w:type="dxa"/>
          <w:left w:w="108" w:type="dxa"/>
          <w:bottom w:w="0" w:type="dxa"/>
          <w:right w:w="108" w:type="dxa"/>
        </w:tblCellMar>
      </w:tblPr>
      <w:tblGrid>
        <w:gridCol w:w="1181"/>
        <w:gridCol w:w="3180"/>
        <w:gridCol w:w="1559"/>
        <w:gridCol w:w="1250"/>
        <w:gridCol w:w="2424"/>
      </w:tblGrid>
      <w:tr>
        <w:tblPrEx>
          <w:tblCellMar>
            <w:top w:w="0" w:type="dxa"/>
            <w:left w:w="108" w:type="dxa"/>
            <w:bottom w:w="0" w:type="dxa"/>
            <w:right w:w="108" w:type="dxa"/>
          </w:tblCellMar>
        </w:tblPrEx>
        <w:trPr>
          <w:trHeight w:val="546" w:hRule="atLeast"/>
        </w:trPr>
        <w:tc>
          <w:tcPr>
            <w:tcW w:w="118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Cs w:val="21"/>
              </w:rPr>
            </w:pPr>
            <w:r>
              <w:rPr>
                <w:rFonts w:hint="eastAsia" w:ascii="宋体" w:hAnsi="宋体"/>
                <w:szCs w:val="21"/>
              </w:rPr>
              <w:t>序号</w:t>
            </w:r>
          </w:p>
        </w:tc>
        <w:tc>
          <w:tcPr>
            <w:tcW w:w="318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Cs w:val="21"/>
              </w:rPr>
            </w:pPr>
            <w:r>
              <w:rPr>
                <w:rFonts w:hint="eastAsia" w:ascii="宋体" w:hAnsi="宋体"/>
                <w:szCs w:val="21"/>
              </w:rPr>
              <w:t>内容</w:t>
            </w:r>
          </w:p>
        </w:tc>
        <w:tc>
          <w:tcPr>
            <w:tcW w:w="155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Cs w:val="21"/>
              </w:rPr>
            </w:pPr>
            <w:r>
              <w:rPr>
                <w:rFonts w:hint="eastAsia" w:ascii="宋体" w:hAnsi="宋体"/>
                <w:szCs w:val="21"/>
              </w:rPr>
              <w:t>单位及数量</w:t>
            </w:r>
          </w:p>
        </w:tc>
        <w:tc>
          <w:tcPr>
            <w:tcW w:w="125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Cs w:val="21"/>
              </w:rPr>
            </w:pPr>
            <w:r>
              <w:rPr>
                <w:rFonts w:hint="eastAsia" w:ascii="宋体" w:hAnsi="宋体"/>
                <w:szCs w:val="21"/>
              </w:rPr>
              <w:t>单价</w:t>
            </w:r>
          </w:p>
        </w:tc>
        <w:tc>
          <w:tcPr>
            <w:tcW w:w="242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Cs w:val="21"/>
              </w:rPr>
            </w:pPr>
            <w:r>
              <w:rPr>
                <w:rFonts w:hint="eastAsia" w:ascii="宋体" w:hAnsi="宋体"/>
                <w:szCs w:val="21"/>
              </w:rPr>
              <w:t>金额</w:t>
            </w:r>
          </w:p>
        </w:tc>
      </w:tr>
      <w:tr>
        <w:tblPrEx>
          <w:tblCellMar>
            <w:top w:w="0" w:type="dxa"/>
            <w:left w:w="108" w:type="dxa"/>
            <w:bottom w:w="0" w:type="dxa"/>
            <w:right w:w="108" w:type="dxa"/>
          </w:tblCellMar>
        </w:tblPrEx>
        <w:trPr>
          <w:trHeight w:val="546" w:hRule="atLeast"/>
        </w:trPr>
        <w:tc>
          <w:tcPr>
            <w:tcW w:w="118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318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2424"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r>
      <w:tr>
        <w:tblPrEx>
          <w:tblCellMar>
            <w:top w:w="0" w:type="dxa"/>
            <w:left w:w="108" w:type="dxa"/>
            <w:bottom w:w="0" w:type="dxa"/>
            <w:right w:w="108" w:type="dxa"/>
          </w:tblCellMar>
        </w:tblPrEx>
        <w:trPr>
          <w:trHeight w:val="546" w:hRule="atLeast"/>
        </w:trPr>
        <w:tc>
          <w:tcPr>
            <w:tcW w:w="118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318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2424"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r>
      <w:tr>
        <w:tblPrEx>
          <w:tblCellMar>
            <w:top w:w="0" w:type="dxa"/>
            <w:left w:w="108" w:type="dxa"/>
            <w:bottom w:w="0" w:type="dxa"/>
            <w:right w:w="108" w:type="dxa"/>
          </w:tblCellMar>
        </w:tblPrEx>
        <w:trPr>
          <w:trHeight w:val="546" w:hRule="atLeast"/>
        </w:trPr>
        <w:tc>
          <w:tcPr>
            <w:tcW w:w="118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318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2424"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r>
      <w:tr>
        <w:tblPrEx>
          <w:tblCellMar>
            <w:top w:w="0" w:type="dxa"/>
            <w:left w:w="108" w:type="dxa"/>
            <w:bottom w:w="0" w:type="dxa"/>
            <w:right w:w="108" w:type="dxa"/>
          </w:tblCellMar>
        </w:tblPrEx>
        <w:trPr>
          <w:trHeight w:val="546" w:hRule="atLeast"/>
        </w:trPr>
        <w:tc>
          <w:tcPr>
            <w:tcW w:w="118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318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2424"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r>
      <w:tr>
        <w:tblPrEx>
          <w:tblCellMar>
            <w:top w:w="0" w:type="dxa"/>
            <w:left w:w="108" w:type="dxa"/>
            <w:bottom w:w="0" w:type="dxa"/>
            <w:right w:w="108" w:type="dxa"/>
          </w:tblCellMar>
        </w:tblPrEx>
        <w:trPr>
          <w:trHeight w:val="546" w:hRule="atLeast"/>
        </w:trPr>
        <w:tc>
          <w:tcPr>
            <w:tcW w:w="118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318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2424"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r>
      <w:tr>
        <w:tblPrEx>
          <w:tblCellMar>
            <w:top w:w="0" w:type="dxa"/>
            <w:left w:w="108" w:type="dxa"/>
            <w:bottom w:w="0" w:type="dxa"/>
            <w:right w:w="108" w:type="dxa"/>
          </w:tblCellMar>
        </w:tblPrEx>
        <w:trPr>
          <w:trHeight w:val="546" w:hRule="atLeast"/>
        </w:trPr>
        <w:tc>
          <w:tcPr>
            <w:tcW w:w="118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318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2424"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r>
      <w:tr>
        <w:tblPrEx>
          <w:tblCellMar>
            <w:top w:w="0" w:type="dxa"/>
            <w:left w:w="108" w:type="dxa"/>
            <w:bottom w:w="0" w:type="dxa"/>
            <w:right w:w="108" w:type="dxa"/>
          </w:tblCellMar>
        </w:tblPrEx>
        <w:trPr>
          <w:trHeight w:val="546" w:hRule="atLeast"/>
        </w:trPr>
        <w:tc>
          <w:tcPr>
            <w:tcW w:w="118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318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2424"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r>
      <w:tr>
        <w:tblPrEx>
          <w:tblCellMar>
            <w:top w:w="0" w:type="dxa"/>
            <w:left w:w="108" w:type="dxa"/>
            <w:bottom w:w="0" w:type="dxa"/>
            <w:right w:w="108" w:type="dxa"/>
          </w:tblCellMar>
        </w:tblPrEx>
        <w:trPr>
          <w:trHeight w:val="546" w:hRule="atLeast"/>
        </w:trPr>
        <w:tc>
          <w:tcPr>
            <w:tcW w:w="118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318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2424"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r>
      <w:tr>
        <w:tblPrEx>
          <w:tblCellMar>
            <w:top w:w="0" w:type="dxa"/>
            <w:left w:w="108" w:type="dxa"/>
            <w:bottom w:w="0" w:type="dxa"/>
            <w:right w:w="108" w:type="dxa"/>
          </w:tblCellMar>
        </w:tblPrEx>
        <w:trPr>
          <w:trHeight w:val="546" w:hRule="atLeast"/>
        </w:trPr>
        <w:tc>
          <w:tcPr>
            <w:tcW w:w="118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318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r>
              <w:rPr>
                <w:rFonts w:hint="eastAsia" w:ascii="宋体" w:hAnsi="宋体"/>
                <w:szCs w:val="21"/>
              </w:rPr>
              <w:t>税费及附加</w:t>
            </w:r>
          </w:p>
        </w:tc>
        <w:tc>
          <w:tcPr>
            <w:tcW w:w="2809" w:type="dxa"/>
            <w:gridSpan w:val="2"/>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r>
              <w:rPr>
                <w:rFonts w:hint="eastAsia" w:ascii="宋体" w:hAnsi="宋体"/>
                <w:szCs w:val="21"/>
              </w:rPr>
              <w:t>税费率：      %</w:t>
            </w:r>
          </w:p>
        </w:tc>
        <w:tc>
          <w:tcPr>
            <w:tcW w:w="2424"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r>
      <w:tr>
        <w:tblPrEx>
          <w:tblCellMar>
            <w:top w:w="0" w:type="dxa"/>
            <w:left w:w="108" w:type="dxa"/>
            <w:bottom w:w="0" w:type="dxa"/>
            <w:right w:w="108" w:type="dxa"/>
          </w:tblCellMar>
        </w:tblPrEx>
        <w:trPr>
          <w:trHeight w:val="546" w:hRule="atLeast"/>
        </w:trPr>
        <w:tc>
          <w:tcPr>
            <w:tcW w:w="118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c>
          <w:tcPr>
            <w:tcW w:w="3180"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r>
              <w:rPr>
                <w:rFonts w:hint="eastAsia" w:ascii="宋体" w:hAnsi="宋体"/>
                <w:szCs w:val="21"/>
              </w:rPr>
              <w:t xml:space="preserve"> 其他</w:t>
            </w:r>
          </w:p>
        </w:tc>
        <w:tc>
          <w:tcPr>
            <w:tcW w:w="2809" w:type="dxa"/>
            <w:gridSpan w:val="2"/>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r>
              <w:rPr>
                <w:rFonts w:hint="eastAsia" w:ascii="宋体" w:hAnsi="宋体"/>
                <w:szCs w:val="21"/>
              </w:rPr>
              <w:t xml:space="preserve"> </w:t>
            </w:r>
          </w:p>
        </w:tc>
        <w:tc>
          <w:tcPr>
            <w:tcW w:w="2424"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r>
      <w:tr>
        <w:tblPrEx>
          <w:tblCellMar>
            <w:top w:w="0" w:type="dxa"/>
            <w:left w:w="108" w:type="dxa"/>
            <w:bottom w:w="0" w:type="dxa"/>
            <w:right w:w="108" w:type="dxa"/>
          </w:tblCellMar>
        </w:tblPrEx>
        <w:trPr>
          <w:trHeight w:val="563" w:hRule="atLeast"/>
        </w:trPr>
        <w:tc>
          <w:tcPr>
            <w:tcW w:w="7170"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r>
              <w:rPr>
                <w:rFonts w:hint="eastAsia" w:ascii="宋体" w:hAnsi="宋体"/>
                <w:szCs w:val="21"/>
              </w:rPr>
              <w:t>合计金额（应与开标一览表总价相一致）</w:t>
            </w:r>
          </w:p>
        </w:tc>
        <w:tc>
          <w:tcPr>
            <w:tcW w:w="2424"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p>
        </w:tc>
      </w:tr>
    </w:tbl>
    <w:p>
      <w:pPr>
        <w:pStyle w:val="7"/>
        <w:spacing w:line="400" w:lineRule="exact"/>
        <w:ind w:firstLine="0"/>
        <w:rPr>
          <w:rFonts w:ascii="宋体" w:hAnsi="宋体" w:cs="宋体"/>
          <w:szCs w:val="21"/>
        </w:rPr>
      </w:pPr>
    </w:p>
    <w:p>
      <w:pPr>
        <w:spacing w:line="360" w:lineRule="exact"/>
        <w:rPr>
          <w:rFonts w:ascii="宋体" w:hAnsi="宋体" w:cs="宋体"/>
          <w:szCs w:val="21"/>
        </w:rPr>
      </w:pPr>
      <w:r>
        <w:rPr>
          <w:rFonts w:hint="eastAsia" w:ascii="宋体" w:hAnsi="宋体" w:cs="宋体"/>
          <w:szCs w:val="21"/>
        </w:rPr>
        <w:t xml:space="preserve">  投标人（盖章）：</w:t>
      </w:r>
    </w:p>
    <w:p>
      <w:pPr>
        <w:spacing w:line="360" w:lineRule="exact"/>
        <w:rPr>
          <w:rFonts w:ascii="宋体" w:hAnsi="宋体" w:cs="宋体"/>
          <w:szCs w:val="21"/>
        </w:rPr>
      </w:pPr>
      <w:r>
        <w:rPr>
          <w:rFonts w:hint="eastAsia" w:ascii="宋体" w:hAnsi="宋体" w:cs="宋体"/>
          <w:szCs w:val="21"/>
        </w:rPr>
        <w:t>授权代表（签字）：</w:t>
      </w:r>
    </w:p>
    <w:p>
      <w:pPr>
        <w:spacing w:line="400" w:lineRule="exact"/>
        <w:rPr>
          <w:rFonts w:ascii="宋体" w:hAnsi="宋体" w:cs="宋体"/>
          <w:szCs w:val="21"/>
        </w:rPr>
      </w:pPr>
      <w:r>
        <w:rPr>
          <w:rFonts w:hint="eastAsia" w:ascii="宋体" w:hAnsi="宋体" w:cs="宋体"/>
          <w:szCs w:val="21"/>
        </w:rPr>
        <w:t xml:space="preserve">日期：     </w:t>
      </w:r>
    </w:p>
    <w:p>
      <w:pPr>
        <w:spacing w:line="320" w:lineRule="exact"/>
        <w:rPr>
          <w:rFonts w:ascii="宋体" w:hAnsi="宋体" w:cs="宋体"/>
          <w:b/>
          <w:szCs w:val="21"/>
        </w:rPr>
      </w:pPr>
      <w:r>
        <w:rPr>
          <w:rFonts w:hint="eastAsia" w:ascii="宋体" w:hAnsi="宋体" w:cs="宋体"/>
          <w:b/>
          <w:szCs w:val="21"/>
        </w:rPr>
        <w:t>注：1、本表格仅提供了样表格式，投标人应根据实际情况自行编制；</w:t>
      </w:r>
    </w:p>
    <w:p>
      <w:pPr>
        <w:spacing w:line="320" w:lineRule="exact"/>
        <w:ind w:firstLine="432"/>
        <w:rPr>
          <w:rFonts w:ascii="宋体" w:hAnsi="宋体" w:cs="宋体"/>
          <w:b/>
          <w:szCs w:val="21"/>
        </w:rPr>
      </w:pPr>
      <w:r>
        <w:rPr>
          <w:rFonts w:hint="eastAsia" w:ascii="宋体" w:hAnsi="宋体" w:cs="宋体"/>
          <w:b/>
          <w:szCs w:val="21"/>
        </w:rPr>
        <w:t>2、最终合计金额必须包括实施本项目所需的一切费用，并与开标一览表中总价相一致。</w:t>
      </w:r>
    </w:p>
    <w:p/>
    <w:p/>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adjustRightInd w:val="0"/>
        <w:snapToGrid w:val="0"/>
        <w:jc w:val="center"/>
        <w:rPr>
          <w:rFonts w:ascii="宋体" w:hAnsi="宋体" w:cs="宋体"/>
          <w:b/>
          <w:sz w:val="44"/>
          <w:szCs w:val="44"/>
        </w:rPr>
      </w:pPr>
      <w:r>
        <w:rPr>
          <w:rFonts w:hint="eastAsia" w:ascii="宋体" w:hAnsi="宋体" w:cs="宋体"/>
          <w:b/>
          <w:sz w:val="44"/>
          <w:szCs w:val="44"/>
        </w:rPr>
        <w:t>五、其他文书、文件格式</w:t>
      </w:r>
    </w:p>
    <w:p>
      <w:pPr>
        <w:rPr>
          <w:rFonts w:ascii="宋体" w:hAnsi="宋体" w:cs="宋体"/>
          <w:szCs w:val="21"/>
        </w:rPr>
      </w:pPr>
    </w:p>
    <w:p>
      <w:pPr>
        <w:rPr>
          <w:rFonts w:ascii="宋体" w:hAnsi="宋体" w:cs="宋体"/>
          <w:szCs w:val="21"/>
        </w:rPr>
      </w:pPr>
      <w:r>
        <w:rPr>
          <w:rFonts w:hint="eastAsia" w:ascii="宋体" w:hAnsi="宋体" w:cs="宋体"/>
          <w:szCs w:val="21"/>
        </w:rPr>
        <w:t>评分表格式（评分内容参见第四章）</w:t>
      </w:r>
    </w:p>
    <w:p>
      <w:pPr>
        <w:jc w:val="center"/>
        <w:rPr>
          <w:rFonts w:ascii="宋体" w:hAnsi="宋体" w:cs="宋体"/>
          <w:sz w:val="32"/>
          <w:szCs w:val="32"/>
        </w:rPr>
      </w:pPr>
      <w:r>
        <w:rPr>
          <w:rFonts w:hint="eastAsia" w:ascii="宋体" w:hAnsi="宋体" w:cs="宋体"/>
          <w:sz w:val="32"/>
          <w:szCs w:val="32"/>
        </w:rPr>
        <w:t>采购项目评分表</w:t>
      </w:r>
    </w:p>
    <w:p>
      <w:pPr>
        <w:spacing w:line="440" w:lineRule="exact"/>
        <w:rPr>
          <w:rFonts w:ascii="宋体" w:hAnsi="宋体" w:cs="宋体"/>
          <w:szCs w:val="21"/>
        </w:rPr>
      </w:pPr>
      <w:r>
        <w:rPr>
          <w:rFonts w:hint="eastAsia" w:ascii="宋体" w:hAnsi="宋体" w:cs="宋体"/>
          <w:szCs w:val="21"/>
        </w:rPr>
        <w:t xml:space="preserve">投标人名称： </w:t>
      </w:r>
    </w:p>
    <w:p>
      <w:pPr>
        <w:rPr>
          <w:rFonts w:ascii="宋体" w:hAnsi="宋体" w:cs="宋体"/>
          <w:szCs w:val="21"/>
        </w:rPr>
      </w:pPr>
      <w:r>
        <w:rPr>
          <w:rFonts w:hint="eastAsia" w:ascii="宋体" w:hAnsi="宋体" w:cs="宋体"/>
          <w:szCs w:val="21"/>
        </w:rPr>
        <w:t xml:space="preserve">项目编号：  </w:t>
      </w:r>
    </w:p>
    <w:tbl>
      <w:tblPr>
        <w:tblStyle w:val="34"/>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846"/>
        <w:gridCol w:w="954"/>
        <w:gridCol w:w="816"/>
        <w:gridCol w:w="883"/>
        <w:gridCol w:w="90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3888" w:type="dxa"/>
            <w:gridSpan w:val="2"/>
            <w:vMerge w:val="restart"/>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r>
              <w:rPr>
                <w:rFonts w:hint="eastAsia" w:ascii="宋体" w:hAnsi="宋体" w:cs="宋体"/>
                <w:szCs w:val="21"/>
              </w:rPr>
              <w:t>评标内容及分值</w:t>
            </w:r>
          </w:p>
        </w:tc>
        <w:tc>
          <w:tcPr>
            <w:tcW w:w="2616"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r>
              <w:rPr>
                <w:rFonts w:hint="eastAsia" w:ascii="宋体" w:hAnsi="宋体" w:cs="宋体"/>
                <w:szCs w:val="21"/>
              </w:rPr>
              <w:t>投标人自评栏</w:t>
            </w:r>
          </w:p>
        </w:tc>
        <w:tc>
          <w:tcPr>
            <w:tcW w:w="2709"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r>
              <w:rPr>
                <w:rFonts w:hint="eastAsia" w:ascii="宋体" w:hAnsi="宋体" w:cs="宋体"/>
                <w:szCs w:val="21"/>
              </w:rPr>
              <w:t>专家评定栏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3888"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p>
        </w:tc>
        <w:tc>
          <w:tcPr>
            <w:tcW w:w="8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响应</w:t>
            </w:r>
          </w:p>
          <w:p>
            <w:pPr>
              <w:rPr>
                <w:rFonts w:ascii="宋体" w:hAnsi="宋体" w:cs="宋体"/>
                <w:szCs w:val="21"/>
              </w:rPr>
            </w:pPr>
            <w:r>
              <w:rPr>
                <w:rFonts w:hint="eastAsia" w:ascii="宋体" w:hAnsi="宋体" w:cs="宋体"/>
                <w:szCs w:val="21"/>
              </w:rPr>
              <w:t>程度</w:t>
            </w:r>
          </w:p>
        </w:tc>
        <w:tc>
          <w:tcPr>
            <w:tcW w:w="9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响应文件页码</w:t>
            </w:r>
          </w:p>
        </w:tc>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自评分</w:t>
            </w:r>
          </w:p>
        </w:tc>
        <w:tc>
          <w:tcPr>
            <w:tcW w:w="8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专家</w:t>
            </w:r>
          </w:p>
          <w:p>
            <w:pPr>
              <w:rPr>
                <w:rFonts w:ascii="宋体" w:hAnsi="宋体" w:cs="宋体"/>
                <w:szCs w:val="21"/>
              </w:rPr>
            </w:pPr>
            <w:r>
              <w:rPr>
                <w:rFonts w:hint="eastAsia" w:ascii="宋体" w:hAnsi="宋体" w:cs="宋体"/>
                <w:szCs w:val="21"/>
              </w:rPr>
              <w:t>评定分</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偏离</w:t>
            </w:r>
          </w:p>
          <w:p>
            <w:pPr>
              <w:rPr>
                <w:rFonts w:ascii="宋体" w:hAnsi="宋体" w:cs="宋体"/>
                <w:szCs w:val="21"/>
              </w:rPr>
            </w:pPr>
            <w:r>
              <w:rPr>
                <w:rFonts w:hint="eastAsia" w:ascii="宋体" w:hAnsi="宋体" w:cs="宋体"/>
                <w:szCs w:val="21"/>
              </w:rPr>
              <w:t>情况</w:t>
            </w:r>
          </w:p>
        </w:tc>
        <w:tc>
          <w:tcPr>
            <w:tcW w:w="9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扣分</w:t>
            </w:r>
          </w:p>
          <w:p>
            <w:pPr>
              <w:rPr>
                <w:rFonts w:ascii="宋体" w:hAnsi="宋体" w:cs="宋体"/>
                <w:szCs w:val="21"/>
              </w:rPr>
            </w:pPr>
            <w:r>
              <w:rPr>
                <w:rFonts w:hint="eastAsia" w:ascii="宋体" w:hAnsi="宋体" w:cs="宋体"/>
                <w:szCs w:val="21"/>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r>
              <w:rPr>
                <w:rFonts w:hint="eastAsia" w:ascii="宋体" w:hAnsi="宋体" w:cs="宋体"/>
                <w:szCs w:val="21"/>
              </w:rPr>
              <w:t>价格分（    分）</w:t>
            </w:r>
          </w:p>
        </w:tc>
        <w:tc>
          <w:tcPr>
            <w:tcW w:w="846" w:type="dxa"/>
            <w:tcBorders>
              <w:top w:val="single" w:color="auto" w:sz="4" w:space="0"/>
              <w:left w:val="single" w:color="auto" w:sz="4" w:space="0"/>
              <w:bottom w:val="single" w:color="auto" w:sz="4" w:space="0"/>
              <w:right w:val="single" w:color="auto" w:sz="4" w:space="0"/>
              <w:tr2bl w:val="single" w:color="auto" w:sz="4" w:space="0"/>
            </w:tcBorders>
            <w:vAlign w:val="center"/>
          </w:tcPr>
          <w:p>
            <w:pPr>
              <w:ind w:firstLine="420" w:firstLineChars="200"/>
              <w:rPr>
                <w:rFonts w:ascii="宋体" w:hAnsi="宋体" w:cs="宋体"/>
                <w:szCs w:val="21"/>
              </w:rPr>
            </w:pPr>
          </w:p>
        </w:tc>
        <w:tc>
          <w:tcPr>
            <w:tcW w:w="954" w:type="dxa"/>
            <w:tcBorders>
              <w:top w:val="single" w:color="auto" w:sz="4" w:space="0"/>
              <w:left w:val="single" w:color="auto" w:sz="4" w:space="0"/>
              <w:bottom w:val="single" w:color="auto" w:sz="4" w:space="0"/>
              <w:right w:val="single" w:color="auto" w:sz="4" w:space="0"/>
              <w:tr2bl w:val="single" w:color="auto" w:sz="4" w:space="0"/>
            </w:tcBorders>
            <w:vAlign w:val="center"/>
          </w:tcPr>
          <w:p>
            <w:pPr>
              <w:ind w:firstLine="420" w:firstLineChars="200"/>
              <w:rPr>
                <w:rFonts w:ascii="宋体" w:hAnsi="宋体" w:cs="宋体"/>
                <w:szCs w:val="21"/>
              </w:rPr>
            </w:pPr>
          </w:p>
        </w:tc>
        <w:tc>
          <w:tcPr>
            <w:tcW w:w="816" w:type="dxa"/>
            <w:tcBorders>
              <w:top w:val="single" w:color="auto" w:sz="4" w:space="0"/>
              <w:left w:val="single" w:color="auto" w:sz="4" w:space="0"/>
              <w:bottom w:val="single" w:color="auto" w:sz="4" w:space="0"/>
              <w:right w:val="single" w:color="auto" w:sz="4" w:space="0"/>
              <w:tr2bl w:val="single" w:color="auto" w:sz="4" w:space="0"/>
            </w:tcBorders>
            <w:vAlign w:val="center"/>
          </w:tcPr>
          <w:p>
            <w:pPr>
              <w:ind w:firstLine="420" w:firstLineChars="200"/>
              <w:rPr>
                <w:rFonts w:ascii="宋体" w:hAnsi="宋体" w:cs="宋体"/>
                <w:szCs w:val="21"/>
              </w:rPr>
            </w:pPr>
          </w:p>
        </w:tc>
        <w:tc>
          <w:tcPr>
            <w:tcW w:w="883"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28"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pPr>
              <w:ind w:left="16" w:hanging="16"/>
              <w:rPr>
                <w:rFonts w:ascii="宋体" w:hAnsi="宋体" w:cs="宋体"/>
                <w:szCs w:val="21"/>
              </w:rPr>
            </w:pPr>
          </w:p>
        </w:tc>
        <w:tc>
          <w:tcPr>
            <w:tcW w:w="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p>
        </w:tc>
        <w:tc>
          <w:tcPr>
            <w:tcW w:w="883"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828" w:type="dxa"/>
            <w:vMerge w:val="continue"/>
            <w:tcBorders>
              <w:left w:val="single" w:color="auto" w:sz="4" w:space="0"/>
              <w:right w:val="single" w:color="auto" w:sz="4" w:space="0"/>
            </w:tcBorders>
            <w:vAlign w:val="center"/>
          </w:tcPr>
          <w:p>
            <w:pPr>
              <w:ind w:firstLine="420" w:firstLineChars="200"/>
              <w:rPr>
                <w:rFonts w:ascii="宋体" w:hAnsi="宋体" w:cs="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pacing w:before="120" w:beforeLines="50" w:after="120" w:afterLines="50"/>
              <w:textAlignment w:val="baseline"/>
              <w:rPr>
                <w:rFonts w:ascii="宋体" w:hAnsi="宋体" w:cs="宋体"/>
                <w:szCs w:val="21"/>
              </w:rPr>
            </w:pPr>
          </w:p>
        </w:tc>
        <w:tc>
          <w:tcPr>
            <w:tcW w:w="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p>
        </w:tc>
        <w:tc>
          <w:tcPr>
            <w:tcW w:w="883"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828" w:type="dxa"/>
            <w:vMerge w:val="continue"/>
            <w:tcBorders>
              <w:left w:val="single" w:color="auto" w:sz="4" w:space="0"/>
              <w:right w:val="single" w:color="auto" w:sz="4" w:space="0"/>
            </w:tcBorders>
            <w:vAlign w:val="center"/>
          </w:tcPr>
          <w:p>
            <w:pPr>
              <w:ind w:firstLine="420" w:firstLineChars="200"/>
              <w:rPr>
                <w:rFonts w:ascii="宋体" w:hAnsi="宋体" w:cs="宋体"/>
                <w:szCs w:val="21"/>
              </w:rPr>
            </w:pPr>
          </w:p>
        </w:tc>
        <w:tc>
          <w:tcPr>
            <w:tcW w:w="3060" w:type="dxa"/>
            <w:tcBorders>
              <w:top w:val="single" w:color="auto" w:sz="4" w:space="0"/>
              <w:left w:val="single" w:color="auto" w:sz="4" w:space="0"/>
              <w:right w:val="single" w:color="auto" w:sz="4" w:space="0"/>
            </w:tcBorders>
            <w:vAlign w:val="center"/>
          </w:tcPr>
          <w:p>
            <w:pPr>
              <w:adjustRightInd w:val="0"/>
              <w:spacing w:before="120" w:beforeLines="50" w:after="120" w:afterLines="50"/>
              <w:textAlignment w:val="baseline"/>
              <w:rPr>
                <w:rFonts w:ascii="宋体" w:hAnsi="宋体" w:cs="宋体"/>
                <w:szCs w:val="21"/>
              </w:rPr>
            </w:pPr>
          </w:p>
        </w:tc>
        <w:tc>
          <w:tcPr>
            <w:tcW w:w="84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54"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81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883"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00"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2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28" w:type="dxa"/>
            <w:vMerge w:val="restart"/>
            <w:tcBorders>
              <w:left w:val="single" w:color="auto" w:sz="4" w:space="0"/>
              <w:right w:val="single" w:color="auto" w:sz="4" w:space="0"/>
            </w:tcBorders>
            <w:vAlign w:val="center"/>
          </w:tcPr>
          <w:p>
            <w:pPr>
              <w:rPr>
                <w:rFonts w:ascii="宋体" w:hAnsi="宋体" w:cs="宋体"/>
                <w:szCs w:val="21"/>
              </w:rPr>
            </w:pPr>
          </w:p>
        </w:tc>
        <w:tc>
          <w:tcPr>
            <w:tcW w:w="3060" w:type="dxa"/>
            <w:tcBorders>
              <w:top w:val="single" w:color="auto" w:sz="4" w:space="0"/>
              <w:left w:val="single" w:color="auto" w:sz="4" w:space="0"/>
              <w:right w:val="single" w:color="auto" w:sz="4" w:space="0"/>
            </w:tcBorders>
            <w:vAlign w:val="center"/>
          </w:tcPr>
          <w:p>
            <w:pPr>
              <w:jc w:val="center"/>
              <w:rPr>
                <w:rFonts w:ascii="宋体" w:hAnsi="宋体" w:cs="宋体"/>
                <w:szCs w:val="21"/>
              </w:rPr>
            </w:pPr>
          </w:p>
        </w:tc>
        <w:tc>
          <w:tcPr>
            <w:tcW w:w="84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54"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81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883"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00"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2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28" w:type="dxa"/>
            <w:vMerge w:val="continue"/>
            <w:tcBorders>
              <w:left w:val="single" w:color="auto" w:sz="4" w:space="0"/>
              <w:right w:val="single" w:color="auto" w:sz="4" w:space="0"/>
            </w:tcBorders>
            <w:vAlign w:val="center"/>
          </w:tcPr>
          <w:p>
            <w:pPr>
              <w:ind w:firstLine="420" w:firstLineChars="200"/>
              <w:rPr>
                <w:rFonts w:ascii="宋体" w:hAnsi="宋体" w:cs="宋体"/>
                <w:szCs w:val="21"/>
              </w:rPr>
            </w:pPr>
          </w:p>
        </w:tc>
        <w:tc>
          <w:tcPr>
            <w:tcW w:w="3060" w:type="dxa"/>
            <w:tcBorders>
              <w:top w:val="single" w:color="auto" w:sz="4" w:space="0"/>
              <w:left w:val="single" w:color="auto" w:sz="4" w:space="0"/>
              <w:right w:val="single" w:color="auto" w:sz="4" w:space="0"/>
            </w:tcBorders>
            <w:vAlign w:val="center"/>
          </w:tcPr>
          <w:p>
            <w:pPr>
              <w:jc w:val="center"/>
              <w:rPr>
                <w:rFonts w:ascii="宋体" w:hAnsi="宋体" w:cs="宋体"/>
                <w:szCs w:val="21"/>
              </w:rPr>
            </w:pPr>
          </w:p>
        </w:tc>
        <w:tc>
          <w:tcPr>
            <w:tcW w:w="84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54"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81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883"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00"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2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vAlign w:val="center"/>
          </w:tcPr>
          <w:p>
            <w:pPr>
              <w:ind w:firstLine="420" w:firstLineChars="200"/>
              <w:rPr>
                <w:rFonts w:ascii="宋体" w:hAnsi="宋体" w:cs="宋体"/>
                <w:szCs w:val="21"/>
              </w:rPr>
            </w:pPr>
          </w:p>
        </w:tc>
        <w:tc>
          <w:tcPr>
            <w:tcW w:w="3060" w:type="dxa"/>
            <w:tcBorders>
              <w:top w:val="single" w:color="auto" w:sz="4" w:space="0"/>
              <w:left w:val="single" w:color="auto" w:sz="4" w:space="0"/>
              <w:right w:val="single" w:color="auto" w:sz="4" w:space="0"/>
            </w:tcBorders>
            <w:vAlign w:val="center"/>
          </w:tcPr>
          <w:p>
            <w:pPr>
              <w:adjustRightInd w:val="0"/>
              <w:spacing w:before="120" w:beforeLines="50" w:after="120" w:afterLines="50"/>
              <w:jc w:val="center"/>
              <w:textAlignment w:val="baseline"/>
              <w:rPr>
                <w:rFonts w:ascii="宋体" w:hAnsi="宋体" w:cs="宋体"/>
                <w:szCs w:val="21"/>
              </w:rPr>
            </w:pPr>
          </w:p>
        </w:tc>
        <w:tc>
          <w:tcPr>
            <w:tcW w:w="84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54"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81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883"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00"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2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vAlign w:val="center"/>
          </w:tcPr>
          <w:p>
            <w:pPr>
              <w:ind w:firstLine="420" w:firstLineChars="200"/>
              <w:rPr>
                <w:rFonts w:ascii="宋体" w:hAnsi="宋体" w:cs="宋体"/>
                <w:szCs w:val="21"/>
              </w:rPr>
            </w:pPr>
          </w:p>
        </w:tc>
        <w:tc>
          <w:tcPr>
            <w:tcW w:w="3060" w:type="dxa"/>
            <w:tcBorders>
              <w:top w:val="single" w:color="auto" w:sz="4" w:space="0"/>
              <w:left w:val="single" w:color="auto" w:sz="4" w:space="0"/>
              <w:right w:val="single" w:color="auto" w:sz="4" w:space="0"/>
            </w:tcBorders>
            <w:vAlign w:val="center"/>
          </w:tcPr>
          <w:p>
            <w:pPr>
              <w:adjustRightInd w:val="0"/>
              <w:spacing w:before="120" w:beforeLines="50" w:after="120" w:afterLines="50"/>
              <w:jc w:val="center"/>
              <w:textAlignment w:val="baseline"/>
              <w:rPr>
                <w:rFonts w:ascii="宋体" w:hAnsi="宋体" w:cs="宋体"/>
                <w:szCs w:val="21"/>
              </w:rPr>
            </w:pPr>
          </w:p>
        </w:tc>
        <w:tc>
          <w:tcPr>
            <w:tcW w:w="84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54"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81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883"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00"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2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28"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p>
        </w:tc>
        <w:tc>
          <w:tcPr>
            <w:tcW w:w="3060" w:type="dxa"/>
            <w:tcBorders>
              <w:top w:val="single" w:color="auto" w:sz="4" w:space="0"/>
              <w:left w:val="single" w:color="auto" w:sz="4" w:space="0"/>
              <w:right w:val="single" w:color="auto" w:sz="4" w:space="0"/>
            </w:tcBorders>
            <w:vAlign w:val="center"/>
          </w:tcPr>
          <w:p>
            <w:pPr>
              <w:jc w:val="center"/>
              <w:rPr>
                <w:rFonts w:ascii="宋体" w:hAnsi="宋体" w:cs="宋体"/>
                <w:szCs w:val="21"/>
              </w:rPr>
            </w:pPr>
          </w:p>
        </w:tc>
        <w:tc>
          <w:tcPr>
            <w:tcW w:w="84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54"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81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883"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00"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2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28" w:type="dxa"/>
            <w:vMerge w:val="continue"/>
            <w:tcBorders>
              <w:left w:val="single" w:color="auto" w:sz="4" w:space="0"/>
              <w:right w:val="single" w:color="auto" w:sz="4" w:space="0"/>
            </w:tcBorders>
            <w:vAlign w:val="center"/>
          </w:tcPr>
          <w:p>
            <w:pPr>
              <w:rPr>
                <w:rFonts w:ascii="宋体" w:hAnsi="宋体" w:cs="宋体"/>
                <w:kern w:val="0"/>
                <w:szCs w:val="21"/>
              </w:rPr>
            </w:pPr>
          </w:p>
        </w:tc>
        <w:tc>
          <w:tcPr>
            <w:tcW w:w="3060" w:type="dxa"/>
            <w:tcBorders>
              <w:top w:val="single" w:color="auto" w:sz="4" w:space="0"/>
              <w:left w:val="single" w:color="auto" w:sz="4" w:space="0"/>
              <w:right w:val="single" w:color="auto" w:sz="4" w:space="0"/>
            </w:tcBorders>
            <w:vAlign w:val="center"/>
          </w:tcPr>
          <w:p>
            <w:pPr>
              <w:adjustRightInd w:val="0"/>
              <w:spacing w:before="120" w:beforeLines="50" w:after="120" w:afterLines="50"/>
              <w:jc w:val="center"/>
              <w:textAlignment w:val="baseline"/>
              <w:rPr>
                <w:rFonts w:ascii="宋体" w:hAnsi="宋体" w:cs="宋体"/>
                <w:szCs w:val="21"/>
              </w:rPr>
            </w:pPr>
          </w:p>
        </w:tc>
        <w:tc>
          <w:tcPr>
            <w:tcW w:w="84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54"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81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883"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00"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2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Merge w:val="continue"/>
            <w:tcBorders>
              <w:left w:val="single" w:color="auto" w:sz="4" w:space="0"/>
              <w:right w:val="single" w:color="auto" w:sz="4" w:space="0"/>
            </w:tcBorders>
            <w:vAlign w:val="center"/>
          </w:tcPr>
          <w:p>
            <w:pPr>
              <w:rPr>
                <w:rFonts w:ascii="宋体" w:hAnsi="宋体" w:cs="宋体"/>
                <w:kern w:val="0"/>
                <w:szCs w:val="21"/>
              </w:rPr>
            </w:pPr>
          </w:p>
        </w:tc>
        <w:tc>
          <w:tcPr>
            <w:tcW w:w="3060" w:type="dxa"/>
            <w:tcBorders>
              <w:top w:val="single" w:color="auto" w:sz="4" w:space="0"/>
              <w:left w:val="single" w:color="auto" w:sz="4" w:space="0"/>
              <w:right w:val="single" w:color="auto" w:sz="4" w:space="0"/>
            </w:tcBorders>
            <w:vAlign w:val="center"/>
          </w:tcPr>
          <w:p>
            <w:pPr>
              <w:jc w:val="center"/>
              <w:rPr>
                <w:rFonts w:ascii="宋体" w:hAnsi="宋体" w:cs="宋体"/>
                <w:szCs w:val="21"/>
              </w:rPr>
            </w:pPr>
          </w:p>
        </w:tc>
        <w:tc>
          <w:tcPr>
            <w:tcW w:w="84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54"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81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883"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00"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2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Merge w:val="restart"/>
            <w:tcBorders>
              <w:left w:val="single" w:color="auto" w:sz="4" w:space="0"/>
              <w:right w:val="single" w:color="auto" w:sz="4" w:space="0"/>
            </w:tcBorders>
            <w:vAlign w:val="center"/>
          </w:tcPr>
          <w:p>
            <w:pPr>
              <w:rPr>
                <w:rFonts w:ascii="宋体" w:hAnsi="宋体" w:cs="宋体"/>
                <w:kern w:val="0"/>
                <w:szCs w:val="21"/>
              </w:rPr>
            </w:pPr>
          </w:p>
        </w:tc>
        <w:tc>
          <w:tcPr>
            <w:tcW w:w="3060" w:type="dxa"/>
            <w:tcBorders>
              <w:top w:val="single" w:color="auto" w:sz="4" w:space="0"/>
              <w:left w:val="single" w:color="auto" w:sz="4" w:space="0"/>
              <w:right w:val="single" w:color="auto" w:sz="4" w:space="0"/>
            </w:tcBorders>
            <w:vAlign w:val="center"/>
          </w:tcPr>
          <w:p>
            <w:pPr>
              <w:jc w:val="center"/>
              <w:rPr>
                <w:rFonts w:ascii="宋体" w:hAnsi="宋体" w:cs="宋体"/>
                <w:szCs w:val="21"/>
              </w:rPr>
            </w:pPr>
          </w:p>
        </w:tc>
        <w:tc>
          <w:tcPr>
            <w:tcW w:w="84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54"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81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883"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00"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2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28" w:type="dxa"/>
            <w:vMerge w:val="continue"/>
            <w:tcBorders>
              <w:left w:val="single" w:color="auto" w:sz="4" w:space="0"/>
              <w:right w:val="single" w:color="auto" w:sz="4" w:space="0"/>
            </w:tcBorders>
            <w:vAlign w:val="center"/>
          </w:tcPr>
          <w:p>
            <w:pPr>
              <w:rPr>
                <w:rFonts w:ascii="宋体" w:hAnsi="宋体" w:cs="宋体"/>
                <w:kern w:val="0"/>
                <w:szCs w:val="21"/>
              </w:rPr>
            </w:pPr>
          </w:p>
        </w:tc>
        <w:tc>
          <w:tcPr>
            <w:tcW w:w="3060" w:type="dxa"/>
            <w:tcBorders>
              <w:top w:val="single" w:color="auto" w:sz="4" w:space="0"/>
              <w:left w:val="single" w:color="auto" w:sz="4" w:space="0"/>
              <w:right w:val="single" w:color="auto" w:sz="4" w:space="0"/>
            </w:tcBorders>
            <w:vAlign w:val="center"/>
          </w:tcPr>
          <w:p>
            <w:pPr>
              <w:rPr>
                <w:rFonts w:ascii="宋体" w:hAnsi="宋体" w:cs="宋体"/>
                <w:szCs w:val="21"/>
              </w:rPr>
            </w:pPr>
          </w:p>
        </w:tc>
        <w:tc>
          <w:tcPr>
            <w:tcW w:w="84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54"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81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883"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00"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2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8" w:type="dxa"/>
            <w:vMerge w:val="continue"/>
            <w:tcBorders>
              <w:left w:val="single" w:color="auto" w:sz="4" w:space="0"/>
              <w:right w:val="single" w:color="auto" w:sz="4" w:space="0"/>
            </w:tcBorders>
            <w:vAlign w:val="center"/>
          </w:tcPr>
          <w:p>
            <w:pPr>
              <w:rPr>
                <w:rFonts w:ascii="宋体" w:hAnsi="宋体" w:cs="宋体"/>
                <w:kern w:val="0"/>
                <w:szCs w:val="21"/>
              </w:rPr>
            </w:pPr>
          </w:p>
        </w:tc>
        <w:tc>
          <w:tcPr>
            <w:tcW w:w="3060" w:type="dxa"/>
            <w:tcBorders>
              <w:top w:val="single" w:color="auto" w:sz="4" w:space="0"/>
              <w:left w:val="single" w:color="auto" w:sz="4" w:space="0"/>
              <w:right w:val="single" w:color="auto" w:sz="4" w:space="0"/>
            </w:tcBorders>
            <w:vAlign w:val="center"/>
          </w:tcPr>
          <w:p>
            <w:pPr>
              <w:jc w:val="center"/>
              <w:rPr>
                <w:rFonts w:ascii="宋体" w:hAnsi="宋体" w:cs="宋体"/>
                <w:szCs w:val="21"/>
              </w:rPr>
            </w:pPr>
          </w:p>
        </w:tc>
        <w:tc>
          <w:tcPr>
            <w:tcW w:w="84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54"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81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883"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00"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c>
          <w:tcPr>
            <w:tcW w:w="926" w:type="dxa"/>
            <w:tcBorders>
              <w:top w:val="single" w:color="auto" w:sz="4" w:space="0"/>
              <w:left w:val="single" w:color="auto" w:sz="4" w:space="0"/>
              <w:right w:val="single" w:color="auto" w:sz="4" w:space="0"/>
            </w:tcBorders>
            <w:vAlign w:val="center"/>
          </w:tcPr>
          <w:p>
            <w:pPr>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r>
              <w:rPr>
                <w:rFonts w:hint="eastAsia" w:ascii="宋体" w:hAnsi="宋体" w:cs="宋体"/>
                <w:szCs w:val="21"/>
              </w:rPr>
              <w:t>合计得分</w:t>
            </w:r>
          </w:p>
        </w:tc>
        <w:tc>
          <w:tcPr>
            <w:tcW w:w="2616" w:type="dxa"/>
            <w:gridSpan w:val="3"/>
            <w:tcBorders>
              <w:top w:val="single" w:color="auto" w:sz="4" w:space="0"/>
              <w:left w:val="single" w:color="auto" w:sz="4" w:space="0"/>
              <w:bottom w:val="single" w:color="auto" w:sz="4" w:space="0"/>
              <w:right w:val="single" w:color="auto" w:sz="4" w:space="0"/>
              <w:tr2bl w:val="single" w:color="auto" w:sz="4" w:space="0"/>
            </w:tcBorders>
            <w:vAlign w:val="center"/>
          </w:tcPr>
          <w:p>
            <w:pPr>
              <w:ind w:firstLine="420" w:firstLineChars="200"/>
              <w:rPr>
                <w:rFonts w:ascii="宋体" w:hAnsi="宋体" w:cs="宋体"/>
                <w:szCs w:val="21"/>
              </w:rPr>
            </w:pPr>
          </w:p>
        </w:tc>
        <w:tc>
          <w:tcPr>
            <w:tcW w:w="883"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p>
        </w:tc>
        <w:tc>
          <w:tcPr>
            <w:tcW w:w="1826" w:type="dxa"/>
            <w:gridSpan w:val="2"/>
            <w:tcBorders>
              <w:top w:val="single" w:color="auto" w:sz="4" w:space="0"/>
              <w:left w:val="single" w:color="auto" w:sz="4" w:space="0"/>
              <w:bottom w:val="single" w:color="auto" w:sz="4" w:space="0"/>
              <w:right w:val="single" w:color="auto" w:sz="4" w:space="0"/>
              <w:tr2bl w:val="single" w:color="auto" w:sz="4" w:space="0"/>
            </w:tcBorders>
            <w:vAlign w:val="center"/>
          </w:tcPr>
          <w:p>
            <w:pPr>
              <w:ind w:firstLine="420" w:firstLineChars="200"/>
              <w:rPr>
                <w:rFonts w:ascii="宋体" w:hAnsi="宋体" w:cs="宋体"/>
                <w:szCs w:val="21"/>
              </w:rPr>
            </w:pPr>
          </w:p>
        </w:tc>
      </w:tr>
    </w:tbl>
    <w:p>
      <w:pPr>
        <w:rPr>
          <w:rFonts w:ascii="宋体" w:hAnsi="宋体" w:cs="宋体"/>
        </w:rPr>
      </w:pPr>
      <w:r>
        <w:rPr>
          <w:rFonts w:hint="eastAsia" w:ascii="宋体" w:hAnsi="宋体" w:cs="宋体"/>
        </w:rPr>
        <w:t>本表格需参照第四章评分条款，认真填写，并附在技术资信文件目录后，方便评委评分时核对</w:t>
      </w:r>
    </w:p>
    <w:p>
      <w:pPr>
        <w:spacing w:line="520" w:lineRule="exact"/>
        <w:rPr>
          <w:rFonts w:ascii="宋体" w:hAnsi="宋体" w:cs="宋体"/>
          <w:szCs w:val="21"/>
        </w:rPr>
      </w:pPr>
    </w:p>
    <w:bookmarkEnd w:id="182"/>
    <w:bookmarkEnd w:id="183"/>
    <w:p>
      <w:pPr>
        <w:adjustRightInd w:val="0"/>
        <w:snapToGrid w:val="0"/>
        <w:spacing w:line="360" w:lineRule="auto"/>
        <w:jc w:val="left"/>
        <w:rPr>
          <w:rFonts w:ascii="宋体" w:hAnsi="宋体" w:cs="宋体"/>
          <w:snapToGrid w:val="0"/>
          <w:sz w:val="36"/>
          <w:szCs w:val="36"/>
        </w:rPr>
        <w:sectPr>
          <w:pgSz w:w="11906" w:h="16838"/>
          <w:pgMar w:top="1247" w:right="1247" w:bottom="1247" w:left="1247" w:header="851" w:footer="992" w:gutter="0"/>
          <w:cols w:space="720" w:num="1"/>
          <w:docGrid w:linePitch="313" w:charSpace="0"/>
        </w:sectPr>
      </w:pPr>
      <w:r>
        <w:rPr>
          <w:rFonts w:hint="eastAsia" w:ascii="宋体" w:hAnsi="宋体" w:cs="宋体"/>
          <w:b/>
          <w:bCs/>
          <w:i/>
          <w:iCs/>
          <w:sz w:val="24"/>
        </w:rPr>
        <w:t>招标文件无格式但需要提供的资料或者影响投标人得分以及资格认定的资料请投标人另行自拟添加</w:t>
      </w:r>
    </w:p>
    <w:p/>
    <w:sectPr>
      <w:pgSz w:w="11906" w:h="16838"/>
      <w:pgMar w:top="1247" w:right="1247" w:bottom="1247" w:left="1247" w:header="851" w:footer="992" w:gutter="0"/>
      <w:cols w:space="720" w:num="1"/>
      <w:docGrid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rPr>
      <w:t>湖州江南工程管理有限公司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ind w:right="360"/>
      <w:jc w:val="both"/>
      <w:rPr>
        <w: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rPr>
                              <w:rStyle w:val="38"/>
                            </w:rPr>
                          </w:pPr>
                          <w:r>
                            <w:fldChar w:fldCharType="begin"/>
                          </w:r>
                          <w:r>
                            <w:rPr>
                              <w:rStyle w:val="38"/>
                            </w:rPr>
                            <w:instrText xml:space="preserve">PAGE  </w:instrText>
                          </w:r>
                          <w:r>
                            <w:fldChar w:fldCharType="separate"/>
                          </w:r>
                          <w:r>
                            <w:rPr>
                              <w:rStyle w:val="38"/>
                            </w:rPr>
                            <w:t>61</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CpSe3I4AEAALwDAAAO&#10;AAAAAAAAAAEAIAAAACIBAABkcnMvZTJvRG9jLnhtbFBLBQYAAAAABgAGAFkBAAB0BQAAAAA=&#10;">
              <v:fill on="f" focussize="0,0"/>
              <v:stroke on="f" weight="1.25pt"/>
              <v:imagedata o:title=""/>
              <o:lock v:ext="edit" aspectratio="f"/>
              <v:textbox inset="0mm,0mm,0mm,0mm" style="mso-fit-shape-to-text:t;">
                <w:txbxContent>
                  <w:p>
                    <w:pPr>
                      <w:pStyle w:val="19"/>
                      <w:rPr>
                        <w:rStyle w:val="38"/>
                      </w:rPr>
                    </w:pPr>
                    <w:r>
                      <w:fldChar w:fldCharType="begin"/>
                    </w:r>
                    <w:r>
                      <w:rPr>
                        <w:rStyle w:val="38"/>
                      </w:rPr>
                      <w:instrText xml:space="preserve">PAGE  </w:instrText>
                    </w:r>
                    <w:r>
                      <w:fldChar w:fldCharType="separate"/>
                    </w:r>
                    <w:r>
                      <w:rPr>
                        <w:rStyle w:val="38"/>
                      </w:rPr>
                      <w:t>61</w:t>
                    </w:r>
                    <w:r>
                      <w:fldChar w:fldCharType="end"/>
                    </w:r>
                  </w:p>
                </w:txbxContent>
              </v:textbox>
            </v:shape>
          </w:pict>
        </mc:Fallback>
      </mc:AlternateContent>
    </w:r>
    <w:r>
      <w:rPr>
        <w:rFonts w:hint="eastAsia"/>
        <w:i/>
      </w:rPr>
      <w:t>湖州江南工程管理有限公司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8"/>
      </w:rPr>
    </w:pPr>
    <w:r>
      <w:fldChar w:fldCharType="begin"/>
    </w:r>
    <w:r>
      <w:rPr>
        <w:rStyle w:val="38"/>
      </w:rPr>
      <w:instrText xml:space="preserve">PAGE  </w:instrText>
    </w:r>
    <w:r>
      <w:fldChar w:fldCharType="end"/>
    </w:r>
  </w:p>
  <w:p>
    <w:pPr>
      <w:pStyle w:val="1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 xml:space="preserve">                         安吉技师学院单片机实训室建设项目公开招标采购文件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wordWrap w:val="0"/>
      <w:jc w:val="right"/>
      <w:rPr>
        <w:i/>
        <w:color w:val="000000"/>
        <w:sz w:val="16"/>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1593E"/>
    <w:multiLevelType w:val="singleLevel"/>
    <w:tmpl w:val="8251593E"/>
    <w:lvl w:ilvl="0" w:tentative="0">
      <w:start w:val="2"/>
      <w:numFmt w:val="chineseCounting"/>
      <w:suff w:val="nothing"/>
      <w:lvlText w:val="%1、"/>
      <w:lvlJc w:val="left"/>
      <w:rPr>
        <w:rFonts w:hint="eastAsia"/>
      </w:rPr>
    </w:lvl>
  </w:abstractNum>
  <w:abstractNum w:abstractNumId="1">
    <w:nsid w:val="97D91239"/>
    <w:multiLevelType w:val="multilevel"/>
    <w:tmpl w:val="97D91239"/>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B9ED0ED6"/>
    <w:multiLevelType w:val="singleLevel"/>
    <w:tmpl w:val="B9ED0ED6"/>
    <w:lvl w:ilvl="0" w:tentative="0">
      <w:start w:val="2"/>
      <w:numFmt w:val="decimal"/>
      <w:suff w:val="nothing"/>
      <w:lvlText w:val="%1、"/>
      <w:lvlJc w:val="left"/>
    </w:lvl>
  </w:abstractNum>
  <w:abstractNum w:abstractNumId="3">
    <w:nsid w:val="E819AD43"/>
    <w:multiLevelType w:val="multilevel"/>
    <w:tmpl w:val="E819AD43"/>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2"/>
      <w:numFmt w:val="bullet"/>
      <w:lvlText w:val="★"/>
      <w:lvlJc w:val="left"/>
      <w:pPr>
        <w:tabs>
          <w:tab w:val="left" w:pos="360"/>
        </w:tabs>
        <w:ind w:left="360" w:hanging="360"/>
      </w:pPr>
      <w:rPr>
        <w:rFonts w:hint="default" w:ascii="Times New Roman" w:hAnsi="Times New Roman" w:eastAsia="楷体_GB231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1744E57"/>
    <w:multiLevelType w:val="multilevel"/>
    <w:tmpl w:val="11744E57"/>
    <w:lvl w:ilvl="0" w:tentative="0">
      <w:start w:val="1"/>
      <w:numFmt w:val="decimal"/>
      <w:lvlText w:val="%1"/>
      <w:lvlJc w:val="left"/>
      <w:pPr>
        <w:tabs>
          <w:tab w:val="left" w:pos="432"/>
        </w:tabs>
        <w:ind w:left="432" w:hanging="432"/>
      </w:pPr>
      <w:rPr>
        <w:rFonts w:ascii="宋体" w:hAnsi="宋体" w:eastAsia="宋体"/>
      </w:r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5A44B75"/>
    <w:multiLevelType w:val="singleLevel"/>
    <w:tmpl w:val="15A44B75"/>
    <w:lvl w:ilvl="0" w:tentative="0">
      <w:start w:val="2"/>
      <w:numFmt w:val="chineseCounting"/>
      <w:suff w:val="nothing"/>
      <w:lvlText w:val="（%1）"/>
      <w:lvlJc w:val="left"/>
      <w:rPr>
        <w:rFonts w:hint="eastAsia"/>
      </w:rPr>
    </w:lvl>
  </w:abstractNum>
  <w:abstractNum w:abstractNumId="7">
    <w:nsid w:val="324ED4F8"/>
    <w:multiLevelType w:val="multilevel"/>
    <w:tmpl w:val="324ED4F8"/>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D4B0E98"/>
    <w:multiLevelType w:val="multilevel"/>
    <w:tmpl w:val="4D4B0E98"/>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9D7428E"/>
    <w:multiLevelType w:val="singleLevel"/>
    <w:tmpl w:val="59D7428E"/>
    <w:lvl w:ilvl="0" w:tentative="0">
      <w:start w:val="5"/>
      <w:numFmt w:val="chineseCounting"/>
      <w:suff w:val="nothing"/>
      <w:lvlText w:val="%1、"/>
      <w:lvlJc w:val="left"/>
    </w:lvl>
  </w:abstractNum>
  <w:abstractNum w:abstractNumId="10">
    <w:nsid w:val="59D7508F"/>
    <w:multiLevelType w:val="singleLevel"/>
    <w:tmpl w:val="59D7508F"/>
    <w:lvl w:ilvl="0" w:tentative="0">
      <w:start w:val="1"/>
      <w:numFmt w:val="chineseCounting"/>
      <w:suff w:val="nothing"/>
      <w:lvlText w:val="（%1）"/>
      <w:lvlJc w:val="left"/>
    </w:lvl>
  </w:abstractNum>
  <w:abstractNum w:abstractNumId="11">
    <w:nsid w:val="59D83E1D"/>
    <w:multiLevelType w:val="singleLevel"/>
    <w:tmpl w:val="59D83E1D"/>
    <w:lvl w:ilvl="0" w:tentative="0">
      <w:start w:val="1"/>
      <w:numFmt w:val="decimal"/>
      <w:suff w:val="nothing"/>
      <w:lvlText w:val="%1、"/>
      <w:lvlJc w:val="left"/>
    </w:lvl>
  </w:abstractNum>
  <w:abstractNum w:abstractNumId="12">
    <w:nsid w:val="5A6DAE27"/>
    <w:multiLevelType w:val="multilevel"/>
    <w:tmpl w:val="5A6DAE27"/>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6143D7D"/>
    <w:multiLevelType w:val="multilevel"/>
    <w:tmpl w:val="76143D7D"/>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0"/>
  </w:num>
  <w:num w:numId="3">
    <w:abstractNumId w:val="2"/>
  </w:num>
  <w:num w:numId="4">
    <w:abstractNumId w:val="1"/>
  </w:num>
  <w:num w:numId="5">
    <w:abstractNumId w:val="3"/>
  </w:num>
  <w:num w:numId="6">
    <w:abstractNumId w:val="13"/>
  </w:num>
  <w:num w:numId="7">
    <w:abstractNumId w:val="9"/>
  </w:num>
  <w:num w:numId="8">
    <w:abstractNumId w:val="10"/>
  </w:num>
  <w:num w:numId="9">
    <w:abstractNumId w:val="6"/>
  </w:num>
  <w:num w:numId="10">
    <w:abstractNumId w:val="11"/>
  </w:num>
  <w:num w:numId="11">
    <w:abstractNumId w:val="7"/>
  </w:num>
  <w:num w:numId="12">
    <w:abstractNumId w:val="8"/>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MTgxOWIyNjQyZWQ3Zjc4MzE5NzQzZjJmY2M4YTUifQ=="/>
  </w:docVars>
  <w:rsids>
    <w:rsidRoot w:val="00454DFB"/>
    <w:rsid w:val="00003F5D"/>
    <w:rsid w:val="000112D2"/>
    <w:rsid w:val="00011DA8"/>
    <w:rsid w:val="000122A5"/>
    <w:rsid w:val="00012D74"/>
    <w:rsid w:val="0001398D"/>
    <w:rsid w:val="000167D7"/>
    <w:rsid w:val="00016A12"/>
    <w:rsid w:val="00016AB6"/>
    <w:rsid w:val="0001789A"/>
    <w:rsid w:val="00022722"/>
    <w:rsid w:val="00022CF5"/>
    <w:rsid w:val="0002548B"/>
    <w:rsid w:val="000277F4"/>
    <w:rsid w:val="00031520"/>
    <w:rsid w:val="0003263C"/>
    <w:rsid w:val="000337E4"/>
    <w:rsid w:val="000340DE"/>
    <w:rsid w:val="0003428E"/>
    <w:rsid w:val="00034EBB"/>
    <w:rsid w:val="0004164E"/>
    <w:rsid w:val="00042FA1"/>
    <w:rsid w:val="000433DF"/>
    <w:rsid w:val="000434FF"/>
    <w:rsid w:val="00043718"/>
    <w:rsid w:val="0004403E"/>
    <w:rsid w:val="0004540F"/>
    <w:rsid w:val="0005069A"/>
    <w:rsid w:val="00056385"/>
    <w:rsid w:val="00057520"/>
    <w:rsid w:val="000603B0"/>
    <w:rsid w:val="00061878"/>
    <w:rsid w:val="000619C7"/>
    <w:rsid w:val="000735B4"/>
    <w:rsid w:val="000807FB"/>
    <w:rsid w:val="0008082E"/>
    <w:rsid w:val="00081789"/>
    <w:rsid w:val="00081F3C"/>
    <w:rsid w:val="00082FAE"/>
    <w:rsid w:val="00084809"/>
    <w:rsid w:val="00084E5F"/>
    <w:rsid w:val="00085CE0"/>
    <w:rsid w:val="0009024E"/>
    <w:rsid w:val="000906B0"/>
    <w:rsid w:val="00091812"/>
    <w:rsid w:val="00091973"/>
    <w:rsid w:val="00093DA8"/>
    <w:rsid w:val="00095D37"/>
    <w:rsid w:val="00096140"/>
    <w:rsid w:val="00096AC3"/>
    <w:rsid w:val="00097AD6"/>
    <w:rsid w:val="000A2126"/>
    <w:rsid w:val="000A34F0"/>
    <w:rsid w:val="000A5237"/>
    <w:rsid w:val="000A66CD"/>
    <w:rsid w:val="000A7C44"/>
    <w:rsid w:val="000B2082"/>
    <w:rsid w:val="000B692C"/>
    <w:rsid w:val="000C048A"/>
    <w:rsid w:val="000C23B6"/>
    <w:rsid w:val="000C24BD"/>
    <w:rsid w:val="000C50FB"/>
    <w:rsid w:val="000C72A6"/>
    <w:rsid w:val="000C753D"/>
    <w:rsid w:val="000D01A0"/>
    <w:rsid w:val="000D46E3"/>
    <w:rsid w:val="000D4700"/>
    <w:rsid w:val="000D6BC0"/>
    <w:rsid w:val="000E1160"/>
    <w:rsid w:val="000E43B3"/>
    <w:rsid w:val="000E72EE"/>
    <w:rsid w:val="000F375B"/>
    <w:rsid w:val="000F70A3"/>
    <w:rsid w:val="00104108"/>
    <w:rsid w:val="00106596"/>
    <w:rsid w:val="0011072F"/>
    <w:rsid w:val="00110EED"/>
    <w:rsid w:val="00111090"/>
    <w:rsid w:val="00112DA4"/>
    <w:rsid w:val="0012246A"/>
    <w:rsid w:val="00126C7B"/>
    <w:rsid w:val="00132B89"/>
    <w:rsid w:val="00137D1D"/>
    <w:rsid w:val="001409D0"/>
    <w:rsid w:val="00141ABE"/>
    <w:rsid w:val="00142522"/>
    <w:rsid w:val="00143E7C"/>
    <w:rsid w:val="001443F1"/>
    <w:rsid w:val="00144DD6"/>
    <w:rsid w:val="00146A04"/>
    <w:rsid w:val="001471FA"/>
    <w:rsid w:val="00151137"/>
    <w:rsid w:val="00152A68"/>
    <w:rsid w:val="001539B0"/>
    <w:rsid w:val="00154F97"/>
    <w:rsid w:val="001573BA"/>
    <w:rsid w:val="00157932"/>
    <w:rsid w:val="00157B02"/>
    <w:rsid w:val="00160830"/>
    <w:rsid w:val="00162CFC"/>
    <w:rsid w:val="00164839"/>
    <w:rsid w:val="00165921"/>
    <w:rsid w:val="00165FB2"/>
    <w:rsid w:val="001667FF"/>
    <w:rsid w:val="00174D1A"/>
    <w:rsid w:val="001756C5"/>
    <w:rsid w:val="00175A7B"/>
    <w:rsid w:val="00175BBF"/>
    <w:rsid w:val="001764EA"/>
    <w:rsid w:val="0017767B"/>
    <w:rsid w:val="00180631"/>
    <w:rsid w:val="001816BE"/>
    <w:rsid w:val="00182D9F"/>
    <w:rsid w:val="00185F28"/>
    <w:rsid w:val="001879E2"/>
    <w:rsid w:val="00190614"/>
    <w:rsid w:val="00191532"/>
    <w:rsid w:val="001915B1"/>
    <w:rsid w:val="001917F9"/>
    <w:rsid w:val="00192CF8"/>
    <w:rsid w:val="001A2711"/>
    <w:rsid w:val="001A5670"/>
    <w:rsid w:val="001B0455"/>
    <w:rsid w:val="001B10B8"/>
    <w:rsid w:val="001B1C63"/>
    <w:rsid w:val="001B3011"/>
    <w:rsid w:val="001B5328"/>
    <w:rsid w:val="001C1C6A"/>
    <w:rsid w:val="001C1E55"/>
    <w:rsid w:val="001C2B93"/>
    <w:rsid w:val="001C39EC"/>
    <w:rsid w:val="001C5413"/>
    <w:rsid w:val="001D271D"/>
    <w:rsid w:val="001D3418"/>
    <w:rsid w:val="001D353D"/>
    <w:rsid w:val="001D42B3"/>
    <w:rsid w:val="001D5E26"/>
    <w:rsid w:val="001D79FC"/>
    <w:rsid w:val="001E02EA"/>
    <w:rsid w:val="001E26C8"/>
    <w:rsid w:val="001E4D6B"/>
    <w:rsid w:val="001E4F91"/>
    <w:rsid w:val="001E514C"/>
    <w:rsid w:val="001E64AC"/>
    <w:rsid w:val="001E6B19"/>
    <w:rsid w:val="001F1137"/>
    <w:rsid w:val="001F3B19"/>
    <w:rsid w:val="001F50DA"/>
    <w:rsid w:val="001F52F0"/>
    <w:rsid w:val="00201690"/>
    <w:rsid w:val="00201F22"/>
    <w:rsid w:val="00206B2E"/>
    <w:rsid w:val="00207516"/>
    <w:rsid w:val="00207A62"/>
    <w:rsid w:val="0021133F"/>
    <w:rsid w:val="00211568"/>
    <w:rsid w:val="002160A9"/>
    <w:rsid w:val="00216BC4"/>
    <w:rsid w:val="00216CE6"/>
    <w:rsid w:val="00220A12"/>
    <w:rsid w:val="00222200"/>
    <w:rsid w:val="002228D1"/>
    <w:rsid w:val="00224D9F"/>
    <w:rsid w:val="00226D94"/>
    <w:rsid w:val="00230148"/>
    <w:rsid w:val="00230173"/>
    <w:rsid w:val="002327AD"/>
    <w:rsid w:val="002357E5"/>
    <w:rsid w:val="002375D2"/>
    <w:rsid w:val="0024607E"/>
    <w:rsid w:val="00247B69"/>
    <w:rsid w:val="00250EC8"/>
    <w:rsid w:val="00251C0B"/>
    <w:rsid w:val="00253D71"/>
    <w:rsid w:val="002566A5"/>
    <w:rsid w:val="00261275"/>
    <w:rsid w:val="00264938"/>
    <w:rsid w:val="002657AD"/>
    <w:rsid w:val="00267348"/>
    <w:rsid w:val="002673DA"/>
    <w:rsid w:val="00267D39"/>
    <w:rsid w:val="00267EB2"/>
    <w:rsid w:val="00272A90"/>
    <w:rsid w:val="00273A61"/>
    <w:rsid w:val="00275F1D"/>
    <w:rsid w:val="00281A80"/>
    <w:rsid w:val="0028494C"/>
    <w:rsid w:val="00284C4D"/>
    <w:rsid w:val="00284F58"/>
    <w:rsid w:val="00285F02"/>
    <w:rsid w:val="002862C8"/>
    <w:rsid w:val="00287FBF"/>
    <w:rsid w:val="002918B7"/>
    <w:rsid w:val="002A28DD"/>
    <w:rsid w:val="002A5D2E"/>
    <w:rsid w:val="002A67A5"/>
    <w:rsid w:val="002A6857"/>
    <w:rsid w:val="002A7FFE"/>
    <w:rsid w:val="002B1A8F"/>
    <w:rsid w:val="002B5F1C"/>
    <w:rsid w:val="002B6CE5"/>
    <w:rsid w:val="002C3FDC"/>
    <w:rsid w:val="002C4E51"/>
    <w:rsid w:val="002C5B07"/>
    <w:rsid w:val="002C7A0D"/>
    <w:rsid w:val="002D1D25"/>
    <w:rsid w:val="002D2228"/>
    <w:rsid w:val="002D23C2"/>
    <w:rsid w:val="002D2712"/>
    <w:rsid w:val="002D3A62"/>
    <w:rsid w:val="002D6360"/>
    <w:rsid w:val="002D669D"/>
    <w:rsid w:val="002D6DE4"/>
    <w:rsid w:val="002E1CD4"/>
    <w:rsid w:val="002E7C84"/>
    <w:rsid w:val="002F1355"/>
    <w:rsid w:val="002F19C5"/>
    <w:rsid w:val="002F460E"/>
    <w:rsid w:val="002F63B5"/>
    <w:rsid w:val="00301217"/>
    <w:rsid w:val="0030400E"/>
    <w:rsid w:val="00310DA4"/>
    <w:rsid w:val="003150AA"/>
    <w:rsid w:val="0031622F"/>
    <w:rsid w:val="0031690E"/>
    <w:rsid w:val="003177CB"/>
    <w:rsid w:val="00317DD6"/>
    <w:rsid w:val="0032120B"/>
    <w:rsid w:val="00322338"/>
    <w:rsid w:val="0032288B"/>
    <w:rsid w:val="00323AE1"/>
    <w:rsid w:val="00324EF4"/>
    <w:rsid w:val="0032608A"/>
    <w:rsid w:val="00327347"/>
    <w:rsid w:val="00330422"/>
    <w:rsid w:val="00333478"/>
    <w:rsid w:val="00333D81"/>
    <w:rsid w:val="00337344"/>
    <w:rsid w:val="003426B7"/>
    <w:rsid w:val="0034583C"/>
    <w:rsid w:val="0035231A"/>
    <w:rsid w:val="003541CE"/>
    <w:rsid w:val="0035467E"/>
    <w:rsid w:val="003549D1"/>
    <w:rsid w:val="003556F9"/>
    <w:rsid w:val="00355E24"/>
    <w:rsid w:val="00356321"/>
    <w:rsid w:val="0035782B"/>
    <w:rsid w:val="003622F7"/>
    <w:rsid w:val="00363229"/>
    <w:rsid w:val="00370C8F"/>
    <w:rsid w:val="00371DAF"/>
    <w:rsid w:val="0037576B"/>
    <w:rsid w:val="00376841"/>
    <w:rsid w:val="00380347"/>
    <w:rsid w:val="00383EA9"/>
    <w:rsid w:val="00383FB7"/>
    <w:rsid w:val="0038571F"/>
    <w:rsid w:val="00390468"/>
    <w:rsid w:val="00396070"/>
    <w:rsid w:val="003A0198"/>
    <w:rsid w:val="003A092F"/>
    <w:rsid w:val="003A0FE8"/>
    <w:rsid w:val="003A1D86"/>
    <w:rsid w:val="003A33CD"/>
    <w:rsid w:val="003A5799"/>
    <w:rsid w:val="003A643C"/>
    <w:rsid w:val="003A74B5"/>
    <w:rsid w:val="003B050A"/>
    <w:rsid w:val="003B15D9"/>
    <w:rsid w:val="003B1FD8"/>
    <w:rsid w:val="003B2FFE"/>
    <w:rsid w:val="003B3D50"/>
    <w:rsid w:val="003C011D"/>
    <w:rsid w:val="003C532D"/>
    <w:rsid w:val="003C71AD"/>
    <w:rsid w:val="003C75EC"/>
    <w:rsid w:val="003D075B"/>
    <w:rsid w:val="003D17BD"/>
    <w:rsid w:val="003D21E3"/>
    <w:rsid w:val="003E1BD1"/>
    <w:rsid w:val="003E261D"/>
    <w:rsid w:val="003E46AD"/>
    <w:rsid w:val="003F097E"/>
    <w:rsid w:val="003F1DAE"/>
    <w:rsid w:val="00403AAD"/>
    <w:rsid w:val="00403FE4"/>
    <w:rsid w:val="00404499"/>
    <w:rsid w:val="00407135"/>
    <w:rsid w:val="004077E7"/>
    <w:rsid w:val="00407992"/>
    <w:rsid w:val="00412EC6"/>
    <w:rsid w:val="00420D7A"/>
    <w:rsid w:val="00430600"/>
    <w:rsid w:val="00430D3B"/>
    <w:rsid w:val="004323B4"/>
    <w:rsid w:val="00432F3C"/>
    <w:rsid w:val="00434B15"/>
    <w:rsid w:val="004372FD"/>
    <w:rsid w:val="00440BC5"/>
    <w:rsid w:val="0044381E"/>
    <w:rsid w:val="004443CC"/>
    <w:rsid w:val="00445DC0"/>
    <w:rsid w:val="00446877"/>
    <w:rsid w:val="00446C4B"/>
    <w:rsid w:val="00450F8E"/>
    <w:rsid w:val="0045130C"/>
    <w:rsid w:val="00451A86"/>
    <w:rsid w:val="00452E22"/>
    <w:rsid w:val="0045480B"/>
    <w:rsid w:val="00454DFB"/>
    <w:rsid w:val="004556D1"/>
    <w:rsid w:val="004579AE"/>
    <w:rsid w:val="00460AC0"/>
    <w:rsid w:val="00464B00"/>
    <w:rsid w:val="00466734"/>
    <w:rsid w:val="004715FF"/>
    <w:rsid w:val="00472C46"/>
    <w:rsid w:val="004760C1"/>
    <w:rsid w:val="00476EF8"/>
    <w:rsid w:val="00477094"/>
    <w:rsid w:val="00477F59"/>
    <w:rsid w:val="00481184"/>
    <w:rsid w:val="0048187A"/>
    <w:rsid w:val="00482CC2"/>
    <w:rsid w:val="0048376B"/>
    <w:rsid w:val="00483EF6"/>
    <w:rsid w:val="00484CAC"/>
    <w:rsid w:val="004864C4"/>
    <w:rsid w:val="00486D0B"/>
    <w:rsid w:val="004873EF"/>
    <w:rsid w:val="00490281"/>
    <w:rsid w:val="00492DE3"/>
    <w:rsid w:val="00494A7E"/>
    <w:rsid w:val="00495E54"/>
    <w:rsid w:val="004972F8"/>
    <w:rsid w:val="00497A5A"/>
    <w:rsid w:val="004A04DE"/>
    <w:rsid w:val="004A0F59"/>
    <w:rsid w:val="004A29DF"/>
    <w:rsid w:val="004A5811"/>
    <w:rsid w:val="004B4DFB"/>
    <w:rsid w:val="004B79B4"/>
    <w:rsid w:val="004C365A"/>
    <w:rsid w:val="004C449C"/>
    <w:rsid w:val="004C4EF1"/>
    <w:rsid w:val="004C5D50"/>
    <w:rsid w:val="004C6022"/>
    <w:rsid w:val="004D42A5"/>
    <w:rsid w:val="004D6190"/>
    <w:rsid w:val="004E01B1"/>
    <w:rsid w:val="004E2567"/>
    <w:rsid w:val="004E3477"/>
    <w:rsid w:val="004E415B"/>
    <w:rsid w:val="004E540D"/>
    <w:rsid w:val="004E57AC"/>
    <w:rsid w:val="004E5D33"/>
    <w:rsid w:val="004F0C8F"/>
    <w:rsid w:val="004F2BCE"/>
    <w:rsid w:val="004F4EE5"/>
    <w:rsid w:val="004F7133"/>
    <w:rsid w:val="005028E0"/>
    <w:rsid w:val="00503BEF"/>
    <w:rsid w:val="00504E66"/>
    <w:rsid w:val="00506EEE"/>
    <w:rsid w:val="005101FA"/>
    <w:rsid w:val="00510B1A"/>
    <w:rsid w:val="00512D74"/>
    <w:rsid w:val="00513D27"/>
    <w:rsid w:val="005150D4"/>
    <w:rsid w:val="005173F9"/>
    <w:rsid w:val="00520106"/>
    <w:rsid w:val="00522148"/>
    <w:rsid w:val="005227D4"/>
    <w:rsid w:val="00524E7A"/>
    <w:rsid w:val="00524FAF"/>
    <w:rsid w:val="00526603"/>
    <w:rsid w:val="00530ECC"/>
    <w:rsid w:val="005328D7"/>
    <w:rsid w:val="005338D7"/>
    <w:rsid w:val="005340BD"/>
    <w:rsid w:val="005353BD"/>
    <w:rsid w:val="0054453B"/>
    <w:rsid w:val="00544543"/>
    <w:rsid w:val="00544848"/>
    <w:rsid w:val="005451BB"/>
    <w:rsid w:val="00546DA2"/>
    <w:rsid w:val="00550891"/>
    <w:rsid w:val="00554299"/>
    <w:rsid w:val="005545A7"/>
    <w:rsid w:val="005569C2"/>
    <w:rsid w:val="00557164"/>
    <w:rsid w:val="00557D62"/>
    <w:rsid w:val="00557F5E"/>
    <w:rsid w:val="00560A96"/>
    <w:rsid w:val="00560E7C"/>
    <w:rsid w:val="00562A16"/>
    <w:rsid w:val="00563EA6"/>
    <w:rsid w:val="005658D9"/>
    <w:rsid w:val="0056647E"/>
    <w:rsid w:val="005669A5"/>
    <w:rsid w:val="00566FAE"/>
    <w:rsid w:val="00567924"/>
    <w:rsid w:val="00570343"/>
    <w:rsid w:val="00570EC1"/>
    <w:rsid w:val="00572C48"/>
    <w:rsid w:val="0057386D"/>
    <w:rsid w:val="00576BFD"/>
    <w:rsid w:val="00577455"/>
    <w:rsid w:val="00581646"/>
    <w:rsid w:val="00581CD3"/>
    <w:rsid w:val="0058318E"/>
    <w:rsid w:val="00586433"/>
    <w:rsid w:val="005865CF"/>
    <w:rsid w:val="0058777B"/>
    <w:rsid w:val="00587B50"/>
    <w:rsid w:val="005916FF"/>
    <w:rsid w:val="005933B2"/>
    <w:rsid w:val="00595A84"/>
    <w:rsid w:val="005963AA"/>
    <w:rsid w:val="005A1AFB"/>
    <w:rsid w:val="005A1F30"/>
    <w:rsid w:val="005A2246"/>
    <w:rsid w:val="005A34B2"/>
    <w:rsid w:val="005A3BC6"/>
    <w:rsid w:val="005A54EA"/>
    <w:rsid w:val="005B1C3A"/>
    <w:rsid w:val="005B377C"/>
    <w:rsid w:val="005B79DD"/>
    <w:rsid w:val="005C040E"/>
    <w:rsid w:val="005C4E0F"/>
    <w:rsid w:val="005C5115"/>
    <w:rsid w:val="005C54E2"/>
    <w:rsid w:val="005D1CE9"/>
    <w:rsid w:val="005D27A2"/>
    <w:rsid w:val="005D6417"/>
    <w:rsid w:val="005D73FA"/>
    <w:rsid w:val="005E05E1"/>
    <w:rsid w:val="005E18BA"/>
    <w:rsid w:val="005E2F2C"/>
    <w:rsid w:val="005E47D1"/>
    <w:rsid w:val="005E4BE7"/>
    <w:rsid w:val="005E5A3B"/>
    <w:rsid w:val="005E5AE4"/>
    <w:rsid w:val="005E7106"/>
    <w:rsid w:val="005F2E23"/>
    <w:rsid w:val="005F3CE7"/>
    <w:rsid w:val="005F6149"/>
    <w:rsid w:val="005F6988"/>
    <w:rsid w:val="006003C1"/>
    <w:rsid w:val="00600BEC"/>
    <w:rsid w:val="00600FA1"/>
    <w:rsid w:val="00602C5B"/>
    <w:rsid w:val="00602D7E"/>
    <w:rsid w:val="00603DBA"/>
    <w:rsid w:val="00606454"/>
    <w:rsid w:val="00607C18"/>
    <w:rsid w:val="00610049"/>
    <w:rsid w:val="00613040"/>
    <w:rsid w:val="00613A75"/>
    <w:rsid w:val="00620F0B"/>
    <w:rsid w:val="00621064"/>
    <w:rsid w:val="006238B2"/>
    <w:rsid w:val="00630363"/>
    <w:rsid w:val="006315BC"/>
    <w:rsid w:val="006322DF"/>
    <w:rsid w:val="00633974"/>
    <w:rsid w:val="00636E61"/>
    <w:rsid w:val="00636FF6"/>
    <w:rsid w:val="00644358"/>
    <w:rsid w:val="00644A43"/>
    <w:rsid w:val="0064500E"/>
    <w:rsid w:val="0064642D"/>
    <w:rsid w:val="00647973"/>
    <w:rsid w:val="00651B4F"/>
    <w:rsid w:val="00652B1C"/>
    <w:rsid w:val="0065572A"/>
    <w:rsid w:val="00660567"/>
    <w:rsid w:val="006629D7"/>
    <w:rsid w:val="00663E29"/>
    <w:rsid w:val="00663FF4"/>
    <w:rsid w:val="006653ED"/>
    <w:rsid w:val="00673126"/>
    <w:rsid w:val="00674C5C"/>
    <w:rsid w:val="006764DC"/>
    <w:rsid w:val="006816F2"/>
    <w:rsid w:val="00682453"/>
    <w:rsid w:val="006826FB"/>
    <w:rsid w:val="006839C2"/>
    <w:rsid w:val="00684238"/>
    <w:rsid w:val="00684423"/>
    <w:rsid w:val="00684D0F"/>
    <w:rsid w:val="00685808"/>
    <w:rsid w:val="006878CC"/>
    <w:rsid w:val="00691840"/>
    <w:rsid w:val="0069274C"/>
    <w:rsid w:val="00692C47"/>
    <w:rsid w:val="00692F34"/>
    <w:rsid w:val="00693039"/>
    <w:rsid w:val="006939C2"/>
    <w:rsid w:val="006965D0"/>
    <w:rsid w:val="0069771C"/>
    <w:rsid w:val="006A0BEB"/>
    <w:rsid w:val="006A256E"/>
    <w:rsid w:val="006A4699"/>
    <w:rsid w:val="006A69AC"/>
    <w:rsid w:val="006A754B"/>
    <w:rsid w:val="006B2D86"/>
    <w:rsid w:val="006B3135"/>
    <w:rsid w:val="006B3FA6"/>
    <w:rsid w:val="006B41CD"/>
    <w:rsid w:val="006B41F5"/>
    <w:rsid w:val="006B4D75"/>
    <w:rsid w:val="006B74BC"/>
    <w:rsid w:val="006C0D94"/>
    <w:rsid w:val="006C0E42"/>
    <w:rsid w:val="006C375D"/>
    <w:rsid w:val="006C3D79"/>
    <w:rsid w:val="006C3E3B"/>
    <w:rsid w:val="006D0A29"/>
    <w:rsid w:val="006D3BD3"/>
    <w:rsid w:val="006D6A64"/>
    <w:rsid w:val="006E014A"/>
    <w:rsid w:val="006E2DC5"/>
    <w:rsid w:val="006E474B"/>
    <w:rsid w:val="006E50F9"/>
    <w:rsid w:val="006E617C"/>
    <w:rsid w:val="006F2735"/>
    <w:rsid w:val="006F3F43"/>
    <w:rsid w:val="006F4F07"/>
    <w:rsid w:val="006F5065"/>
    <w:rsid w:val="006F6CC8"/>
    <w:rsid w:val="006F709F"/>
    <w:rsid w:val="007005C6"/>
    <w:rsid w:val="00701244"/>
    <w:rsid w:val="00701E3D"/>
    <w:rsid w:val="0070312B"/>
    <w:rsid w:val="0070420D"/>
    <w:rsid w:val="00706B77"/>
    <w:rsid w:val="007072B9"/>
    <w:rsid w:val="00707ACB"/>
    <w:rsid w:val="00707BFA"/>
    <w:rsid w:val="007116C5"/>
    <w:rsid w:val="00712389"/>
    <w:rsid w:val="00713177"/>
    <w:rsid w:val="007137B0"/>
    <w:rsid w:val="00714735"/>
    <w:rsid w:val="007147AF"/>
    <w:rsid w:val="00715873"/>
    <w:rsid w:val="00716040"/>
    <w:rsid w:val="00716664"/>
    <w:rsid w:val="007169F0"/>
    <w:rsid w:val="0071727A"/>
    <w:rsid w:val="00717432"/>
    <w:rsid w:val="00717DC9"/>
    <w:rsid w:val="00726797"/>
    <w:rsid w:val="007306F9"/>
    <w:rsid w:val="00730E9B"/>
    <w:rsid w:val="007314FD"/>
    <w:rsid w:val="00731823"/>
    <w:rsid w:val="0073438D"/>
    <w:rsid w:val="0073444E"/>
    <w:rsid w:val="007405DC"/>
    <w:rsid w:val="00744FC7"/>
    <w:rsid w:val="007454A7"/>
    <w:rsid w:val="00745CBC"/>
    <w:rsid w:val="00747877"/>
    <w:rsid w:val="00751C31"/>
    <w:rsid w:val="00752A07"/>
    <w:rsid w:val="007531C5"/>
    <w:rsid w:val="00753A89"/>
    <w:rsid w:val="00754178"/>
    <w:rsid w:val="00754597"/>
    <w:rsid w:val="007548CE"/>
    <w:rsid w:val="007548F6"/>
    <w:rsid w:val="00756700"/>
    <w:rsid w:val="00757A9C"/>
    <w:rsid w:val="00761995"/>
    <w:rsid w:val="0076242F"/>
    <w:rsid w:val="0076265D"/>
    <w:rsid w:val="007701D6"/>
    <w:rsid w:val="00771D50"/>
    <w:rsid w:val="00772195"/>
    <w:rsid w:val="00773CB7"/>
    <w:rsid w:val="0077580A"/>
    <w:rsid w:val="00776D4F"/>
    <w:rsid w:val="007771EC"/>
    <w:rsid w:val="00777692"/>
    <w:rsid w:val="00780817"/>
    <w:rsid w:val="007809A3"/>
    <w:rsid w:val="00781027"/>
    <w:rsid w:val="007836E9"/>
    <w:rsid w:val="00785659"/>
    <w:rsid w:val="00786FB9"/>
    <w:rsid w:val="00793D8E"/>
    <w:rsid w:val="00794219"/>
    <w:rsid w:val="00794E50"/>
    <w:rsid w:val="00797965"/>
    <w:rsid w:val="007A19AD"/>
    <w:rsid w:val="007A3D6F"/>
    <w:rsid w:val="007A4980"/>
    <w:rsid w:val="007A6163"/>
    <w:rsid w:val="007A62D7"/>
    <w:rsid w:val="007A6832"/>
    <w:rsid w:val="007B29CE"/>
    <w:rsid w:val="007B4D68"/>
    <w:rsid w:val="007B52D9"/>
    <w:rsid w:val="007B60E6"/>
    <w:rsid w:val="007B7603"/>
    <w:rsid w:val="007D1326"/>
    <w:rsid w:val="007D2C9F"/>
    <w:rsid w:val="007D3FA2"/>
    <w:rsid w:val="007D5403"/>
    <w:rsid w:val="007D6834"/>
    <w:rsid w:val="007E11E9"/>
    <w:rsid w:val="007E120C"/>
    <w:rsid w:val="007E160A"/>
    <w:rsid w:val="007E5964"/>
    <w:rsid w:val="007E689C"/>
    <w:rsid w:val="007F01CA"/>
    <w:rsid w:val="007F1D3B"/>
    <w:rsid w:val="007F3B1B"/>
    <w:rsid w:val="007F4574"/>
    <w:rsid w:val="007F75D2"/>
    <w:rsid w:val="00804BDC"/>
    <w:rsid w:val="00813929"/>
    <w:rsid w:val="00814952"/>
    <w:rsid w:val="0081625A"/>
    <w:rsid w:val="00824652"/>
    <w:rsid w:val="00824BA6"/>
    <w:rsid w:val="0082625C"/>
    <w:rsid w:val="00827168"/>
    <w:rsid w:val="008273B1"/>
    <w:rsid w:val="00830963"/>
    <w:rsid w:val="00830BCA"/>
    <w:rsid w:val="00830CB9"/>
    <w:rsid w:val="0083360D"/>
    <w:rsid w:val="00833DAD"/>
    <w:rsid w:val="00834425"/>
    <w:rsid w:val="00836C63"/>
    <w:rsid w:val="008405F5"/>
    <w:rsid w:val="00850B23"/>
    <w:rsid w:val="00853D6B"/>
    <w:rsid w:val="00854E6F"/>
    <w:rsid w:val="00854F0C"/>
    <w:rsid w:val="00855DF5"/>
    <w:rsid w:val="0085676C"/>
    <w:rsid w:val="00861CC9"/>
    <w:rsid w:val="00861E69"/>
    <w:rsid w:val="008620D1"/>
    <w:rsid w:val="00862F06"/>
    <w:rsid w:val="00866944"/>
    <w:rsid w:val="008700CE"/>
    <w:rsid w:val="00870E73"/>
    <w:rsid w:val="008713F9"/>
    <w:rsid w:val="00871940"/>
    <w:rsid w:val="00871F32"/>
    <w:rsid w:val="00872982"/>
    <w:rsid w:val="00877696"/>
    <w:rsid w:val="00877B83"/>
    <w:rsid w:val="00877DCF"/>
    <w:rsid w:val="00877FE8"/>
    <w:rsid w:val="00880D4F"/>
    <w:rsid w:val="008840E4"/>
    <w:rsid w:val="008848CB"/>
    <w:rsid w:val="0088652F"/>
    <w:rsid w:val="008877E3"/>
    <w:rsid w:val="008905B6"/>
    <w:rsid w:val="0089410A"/>
    <w:rsid w:val="008957E7"/>
    <w:rsid w:val="008974A8"/>
    <w:rsid w:val="008976E6"/>
    <w:rsid w:val="008A0818"/>
    <w:rsid w:val="008A0B18"/>
    <w:rsid w:val="008A3EE0"/>
    <w:rsid w:val="008A529C"/>
    <w:rsid w:val="008A74FF"/>
    <w:rsid w:val="008B37EE"/>
    <w:rsid w:val="008B5631"/>
    <w:rsid w:val="008B7EA9"/>
    <w:rsid w:val="008B7FD2"/>
    <w:rsid w:val="008C084A"/>
    <w:rsid w:val="008C0B0D"/>
    <w:rsid w:val="008C0FC9"/>
    <w:rsid w:val="008C11F5"/>
    <w:rsid w:val="008C61DF"/>
    <w:rsid w:val="008C639B"/>
    <w:rsid w:val="008C74C4"/>
    <w:rsid w:val="008D142F"/>
    <w:rsid w:val="008D3D03"/>
    <w:rsid w:val="008D528B"/>
    <w:rsid w:val="008E3214"/>
    <w:rsid w:val="008E4328"/>
    <w:rsid w:val="008F4D0C"/>
    <w:rsid w:val="008F63EA"/>
    <w:rsid w:val="008F6C6D"/>
    <w:rsid w:val="00902870"/>
    <w:rsid w:val="009039E2"/>
    <w:rsid w:val="0091071C"/>
    <w:rsid w:val="00910BE4"/>
    <w:rsid w:val="009145E4"/>
    <w:rsid w:val="0092227D"/>
    <w:rsid w:val="009228AE"/>
    <w:rsid w:val="00927E16"/>
    <w:rsid w:val="00930851"/>
    <w:rsid w:val="00933004"/>
    <w:rsid w:val="009332B6"/>
    <w:rsid w:val="009335D1"/>
    <w:rsid w:val="00933771"/>
    <w:rsid w:val="009363A8"/>
    <w:rsid w:val="00936C83"/>
    <w:rsid w:val="00937DD8"/>
    <w:rsid w:val="00940B0B"/>
    <w:rsid w:val="0094347D"/>
    <w:rsid w:val="009454CA"/>
    <w:rsid w:val="00952D00"/>
    <w:rsid w:val="009536FB"/>
    <w:rsid w:val="00954245"/>
    <w:rsid w:val="009552B6"/>
    <w:rsid w:val="00955462"/>
    <w:rsid w:val="009564A2"/>
    <w:rsid w:val="00956F91"/>
    <w:rsid w:val="00964AFC"/>
    <w:rsid w:val="00972044"/>
    <w:rsid w:val="00976B2E"/>
    <w:rsid w:val="00981742"/>
    <w:rsid w:val="00981E2C"/>
    <w:rsid w:val="00986459"/>
    <w:rsid w:val="0099022A"/>
    <w:rsid w:val="0099056F"/>
    <w:rsid w:val="00990736"/>
    <w:rsid w:val="00990B48"/>
    <w:rsid w:val="00991279"/>
    <w:rsid w:val="00994072"/>
    <w:rsid w:val="00994812"/>
    <w:rsid w:val="00995E97"/>
    <w:rsid w:val="00996F69"/>
    <w:rsid w:val="009979B0"/>
    <w:rsid w:val="00997E7E"/>
    <w:rsid w:val="009A163F"/>
    <w:rsid w:val="009A612E"/>
    <w:rsid w:val="009A621A"/>
    <w:rsid w:val="009A72B4"/>
    <w:rsid w:val="009A7768"/>
    <w:rsid w:val="009A7858"/>
    <w:rsid w:val="009B0C14"/>
    <w:rsid w:val="009B2851"/>
    <w:rsid w:val="009B35CE"/>
    <w:rsid w:val="009B379B"/>
    <w:rsid w:val="009B3F23"/>
    <w:rsid w:val="009B5319"/>
    <w:rsid w:val="009B6BDA"/>
    <w:rsid w:val="009B759A"/>
    <w:rsid w:val="009B7971"/>
    <w:rsid w:val="009B7983"/>
    <w:rsid w:val="009C0632"/>
    <w:rsid w:val="009C19B8"/>
    <w:rsid w:val="009C38FB"/>
    <w:rsid w:val="009C3BF3"/>
    <w:rsid w:val="009C7980"/>
    <w:rsid w:val="009D03FA"/>
    <w:rsid w:val="009D0AAB"/>
    <w:rsid w:val="009D2D8A"/>
    <w:rsid w:val="009D387A"/>
    <w:rsid w:val="009E4582"/>
    <w:rsid w:val="009E578B"/>
    <w:rsid w:val="009F037D"/>
    <w:rsid w:val="009F05F5"/>
    <w:rsid w:val="009F0972"/>
    <w:rsid w:val="009F42D9"/>
    <w:rsid w:val="009F46BA"/>
    <w:rsid w:val="009F522E"/>
    <w:rsid w:val="00A0199C"/>
    <w:rsid w:val="00A020BC"/>
    <w:rsid w:val="00A02FF9"/>
    <w:rsid w:val="00A0309F"/>
    <w:rsid w:val="00A155DB"/>
    <w:rsid w:val="00A17649"/>
    <w:rsid w:val="00A20550"/>
    <w:rsid w:val="00A20EDE"/>
    <w:rsid w:val="00A218E3"/>
    <w:rsid w:val="00A23FB6"/>
    <w:rsid w:val="00A23FDD"/>
    <w:rsid w:val="00A2454A"/>
    <w:rsid w:val="00A24616"/>
    <w:rsid w:val="00A26134"/>
    <w:rsid w:val="00A27D83"/>
    <w:rsid w:val="00A27E6A"/>
    <w:rsid w:val="00A307E2"/>
    <w:rsid w:val="00A332AE"/>
    <w:rsid w:val="00A3369F"/>
    <w:rsid w:val="00A33AD0"/>
    <w:rsid w:val="00A33E9B"/>
    <w:rsid w:val="00A36B29"/>
    <w:rsid w:val="00A376A2"/>
    <w:rsid w:val="00A4004E"/>
    <w:rsid w:val="00A40963"/>
    <w:rsid w:val="00A41F4D"/>
    <w:rsid w:val="00A43276"/>
    <w:rsid w:val="00A4425F"/>
    <w:rsid w:val="00A44E99"/>
    <w:rsid w:val="00A4728F"/>
    <w:rsid w:val="00A53CD8"/>
    <w:rsid w:val="00A56C4B"/>
    <w:rsid w:val="00A576CA"/>
    <w:rsid w:val="00A61FDA"/>
    <w:rsid w:val="00A63E77"/>
    <w:rsid w:val="00A641DF"/>
    <w:rsid w:val="00A64C19"/>
    <w:rsid w:val="00A65683"/>
    <w:rsid w:val="00A739BD"/>
    <w:rsid w:val="00A74977"/>
    <w:rsid w:val="00A751FF"/>
    <w:rsid w:val="00A76C57"/>
    <w:rsid w:val="00A82A0C"/>
    <w:rsid w:val="00A84A97"/>
    <w:rsid w:val="00A860D9"/>
    <w:rsid w:val="00A9026A"/>
    <w:rsid w:val="00A90D60"/>
    <w:rsid w:val="00A90E96"/>
    <w:rsid w:val="00A93595"/>
    <w:rsid w:val="00A95FE4"/>
    <w:rsid w:val="00A9746B"/>
    <w:rsid w:val="00AA03D8"/>
    <w:rsid w:val="00AA2C6E"/>
    <w:rsid w:val="00AA4C83"/>
    <w:rsid w:val="00AB4083"/>
    <w:rsid w:val="00AB41A4"/>
    <w:rsid w:val="00AB5700"/>
    <w:rsid w:val="00AC0FA7"/>
    <w:rsid w:val="00AC4A30"/>
    <w:rsid w:val="00AD05D5"/>
    <w:rsid w:val="00AD548B"/>
    <w:rsid w:val="00AD7D30"/>
    <w:rsid w:val="00AE0636"/>
    <w:rsid w:val="00AE278D"/>
    <w:rsid w:val="00AE4937"/>
    <w:rsid w:val="00AE4C98"/>
    <w:rsid w:val="00AE55F4"/>
    <w:rsid w:val="00AE5CEA"/>
    <w:rsid w:val="00AF08A5"/>
    <w:rsid w:val="00AF2E2D"/>
    <w:rsid w:val="00AF52B0"/>
    <w:rsid w:val="00AF6EF2"/>
    <w:rsid w:val="00AF7835"/>
    <w:rsid w:val="00AF7DD6"/>
    <w:rsid w:val="00B000A9"/>
    <w:rsid w:val="00B002F2"/>
    <w:rsid w:val="00B01961"/>
    <w:rsid w:val="00B067B6"/>
    <w:rsid w:val="00B1194A"/>
    <w:rsid w:val="00B13406"/>
    <w:rsid w:val="00B14D81"/>
    <w:rsid w:val="00B14F61"/>
    <w:rsid w:val="00B150D8"/>
    <w:rsid w:val="00B16DEA"/>
    <w:rsid w:val="00B17451"/>
    <w:rsid w:val="00B238E9"/>
    <w:rsid w:val="00B25315"/>
    <w:rsid w:val="00B275AC"/>
    <w:rsid w:val="00B32A4B"/>
    <w:rsid w:val="00B32EF1"/>
    <w:rsid w:val="00B34ACC"/>
    <w:rsid w:val="00B34BC9"/>
    <w:rsid w:val="00B35807"/>
    <w:rsid w:val="00B35DC1"/>
    <w:rsid w:val="00B37CE8"/>
    <w:rsid w:val="00B37ECC"/>
    <w:rsid w:val="00B37F37"/>
    <w:rsid w:val="00B406CE"/>
    <w:rsid w:val="00B434CA"/>
    <w:rsid w:val="00B43BD6"/>
    <w:rsid w:val="00B44513"/>
    <w:rsid w:val="00B45415"/>
    <w:rsid w:val="00B46357"/>
    <w:rsid w:val="00B523E2"/>
    <w:rsid w:val="00B5530A"/>
    <w:rsid w:val="00B5573B"/>
    <w:rsid w:val="00B56471"/>
    <w:rsid w:val="00B64963"/>
    <w:rsid w:val="00B7025D"/>
    <w:rsid w:val="00B710DF"/>
    <w:rsid w:val="00B71FD5"/>
    <w:rsid w:val="00B82978"/>
    <w:rsid w:val="00B8683E"/>
    <w:rsid w:val="00B87174"/>
    <w:rsid w:val="00B9466E"/>
    <w:rsid w:val="00B96A9E"/>
    <w:rsid w:val="00B9764E"/>
    <w:rsid w:val="00BA2A3D"/>
    <w:rsid w:val="00BA395F"/>
    <w:rsid w:val="00BA39AC"/>
    <w:rsid w:val="00BA3FCD"/>
    <w:rsid w:val="00BA427A"/>
    <w:rsid w:val="00BA51D5"/>
    <w:rsid w:val="00BA5F14"/>
    <w:rsid w:val="00BA7AA0"/>
    <w:rsid w:val="00BB07C9"/>
    <w:rsid w:val="00BC1B45"/>
    <w:rsid w:val="00BC3328"/>
    <w:rsid w:val="00BC7858"/>
    <w:rsid w:val="00BD3E00"/>
    <w:rsid w:val="00BD41F4"/>
    <w:rsid w:val="00BE1A9B"/>
    <w:rsid w:val="00BE1F13"/>
    <w:rsid w:val="00BE2FCB"/>
    <w:rsid w:val="00BE3EA0"/>
    <w:rsid w:val="00BE65D2"/>
    <w:rsid w:val="00BE7E42"/>
    <w:rsid w:val="00BF0598"/>
    <w:rsid w:val="00BF0D54"/>
    <w:rsid w:val="00BF0E5C"/>
    <w:rsid w:val="00BF11D6"/>
    <w:rsid w:val="00BF149F"/>
    <w:rsid w:val="00BF179D"/>
    <w:rsid w:val="00BF23A9"/>
    <w:rsid w:val="00BF3C5E"/>
    <w:rsid w:val="00BF60FA"/>
    <w:rsid w:val="00BF68CB"/>
    <w:rsid w:val="00BF6A2F"/>
    <w:rsid w:val="00BF77F2"/>
    <w:rsid w:val="00C02FF1"/>
    <w:rsid w:val="00C03BB3"/>
    <w:rsid w:val="00C0489F"/>
    <w:rsid w:val="00C0608E"/>
    <w:rsid w:val="00C130D2"/>
    <w:rsid w:val="00C13B32"/>
    <w:rsid w:val="00C13F44"/>
    <w:rsid w:val="00C1419D"/>
    <w:rsid w:val="00C14BC0"/>
    <w:rsid w:val="00C151F5"/>
    <w:rsid w:val="00C15A45"/>
    <w:rsid w:val="00C1675D"/>
    <w:rsid w:val="00C201EA"/>
    <w:rsid w:val="00C213EB"/>
    <w:rsid w:val="00C21520"/>
    <w:rsid w:val="00C2586B"/>
    <w:rsid w:val="00C25AD5"/>
    <w:rsid w:val="00C261F7"/>
    <w:rsid w:val="00C26A96"/>
    <w:rsid w:val="00C26E8B"/>
    <w:rsid w:val="00C335DF"/>
    <w:rsid w:val="00C33AFB"/>
    <w:rsid w:val="00C372C2"/>
    <w:rsid w:val="00C375BE"/>
    <w:rsid w:val="00C45469"/>
    <w:rsid w:val="00C4556F"/>
    <w:rsid w:val="00C52357"/>
    <w:rsid w:val="00C526B5"/>
    <w:rsid w:val="00C52CEC"/>
    <w:rsid w:val="00C607FC"/>
    <w:rsid w:val="00C623F9"/>
    <w:rsid w:val="00C628FC"/>
    <w:rsid w:val="00C64071"/>
    <w:rsid w:val="00C65037"/>
    <w:rsid w:val="00C6568A"/>
    <w:rsid w:val="00C65C10"/>
    <w:rsid w:val="00C66AD2"/>
    <w:rsid w:val="00C71634"/>
    <w:rsid w:val="00C729CF"/>
    <w:rsid w:val="00C730BA"/>
    <w:rsid w:val="00C73CEE"/>
    <w:rsid w:val="00C73DB6"/>
    <w:rsid w:val="00C770F9"/>
    <w:rsid w:val="00C811D3"/>
    <w:rsid w:val="00C82461"/>
    <w:rsid w:val="00C84518"/>
    <w:rsid w:val="00C84607"/>
    <w:rsid w:val="00C84984"/>
    <w:rsid w:val="00C85030"/>
    <w:rsid w:val="00C8682B"/>
    <w:rsid w:val="00C86E30"/>
    <w:rsid w:val="00C87404"/>
    <w:rsid w:val="00C93DBF"/>
    <w:rsid w:val="00C93E11"/>
    <w:rsid w:val="00C9427D"/>
    <w:rsid w:val="00C9490E"/>
    <w:rsid w:val="00C94D88"/>
    <w:rsid w:val="00C97FF6"/>
    <w:rsid w:val="00CA0E52"/>
    <w:rsid w:val="00CA6BB2"/>
    <w:rsid w:val="00CA7D53"/>
    <w:rsid w:val="00CB3D42"/>
    <w:rsid w:val="00CB4788"/>
    <w:rsid w:val="00CB5D09"/>
    <w:rsid w:val="00CB64E4"/>
    <w:rsid w:val="00CB6CA0"/>
    <w:rsid w:val="00CB7C40"/>
    <w:rsid w:val="00CC19F7"/>
    <w:rsid w:val="00CC4701"/>
    <w:rsid w:val="00CC4797"/>
    <w:rsid w:val="00CC6134"/>
    <w:rsid w:val="00CC699F"/>
    <w:rsid w:val="00CC71AB"/>
    <w:rsid w:val="00CD1349"/>
    <w:rsid w:val="00CD2758"/>
    <w:rsid w:val="00CD4516"/>
    <w:rsid w:val="00CD6666"/>
    <w:rsid w:val="00CE5BF0"/>
    <w:rsid w:val="00CE61EA"/>
    <w:rsid w:val="00CE6B1A"/>
    <w:rsid w:val="00CE7448"/>
    <w:rsid w:val="00CE7887"/>
    <w:rsid w:val="00CF3D94"/>
    <w:rsid w:val="00CF59A9"/>
    <w:rsid w:val="00D01F38"/>
    <w:rsid w:val="00D03C6A"/>
    <w:rsid w:val="00D0468D"/>
    <w:rsid w:val="00D04D3B"/>
    <w:rsid w:val="00D055DD"/>
    <w:rsid w:val="00D07F2D"/>
    <w:rsid w:val="00D10748"/>
    <w:rsid w:val="00D12576"/>
    <w:rsid w:val="00D223C7"/>
    <w:rsid w:val="00D22B3B"/>
    <w:rsid w:val="00D267C3"/>
    <w:rsid w:val="00D30267"/>
    <w:rsid w:val="00D31094"/>
    <w:rsid w:val="00D31C69"/>
    <w:rsid w:val="00D36771"/>
    <w:rsid w:val="00D367F9"/>
    <w:rsid w:val="00D4086C"/>
    <w:rsid w:val="00D411C6"/>
    <w:rsid w:val="00D413F5"/>
    <w:rsid w:val="00D42050"/>
    <w:rsid w:val="00D4414F"/>
    <w:rsid w:val="00D50EDE"/>
    <w:rsid w:val="00D52210"/>
    <w:rsid w:val="00D52DBD"/>
    <w:rsid w:val="00D57515"/>
    <w:rsid w:val="00D62014"/>
    <w:rsid w:val="00D63B03"/>
    <w:rsid w:val="00D6674B"/>
    <w:rsid w:val="00D70E8E"/>
    <w:rsid w:val="00D733AD"/>
    <w:rsid w:val="00D74586"/>
    <w:rsid w:val="00D80331"/>
    <w:rsid w:val="00D81DDC"/>
    <w:rsid w:val="00D821C5"/>
    <w:rsid w:val="00D83812"/>
    <w:rsid w:val="00D83C01"/>
    <w:rsid w:val="00D857C2"/>
    <w:rsid w:val="00D859C3"/>
    <w:rsid w:val="00D86AE9"/>
    <w:rsid w:val="00D930D8"/>
    <w:rsid w:val="00D9363C"/>
    <w:rsid w:val="00D95B0B"/>
    <w:rsid w:val="00DA26D3"/>
    <w:rsid w:val="00DA5B5D"/>
    <w:rsid w:val="00DA7048"/>
    <w:rsid w:val="00DB2CBF"/>
    <w:rsid w:val="00DB3045"/>
    <w:rsid w:val="00DB3433"/>
    <w:rsid w:val="00DB4D6B"/>
    <w:rsid w:val="00DB4F8E"/>
    <w:rsid w:val="00DB5882"/>
    <w:rsid w:val="00DB6ACF"/>
    <w:rsid w:val="00DB77DA"/>
    <w:rsid w:val="00DC1270"/>
    <w:rsid w:val="00DC5018"/>
    <w:rsid w:val="00DD0057"/>
    <w:rsid w:val="00DD25AB"/>
    <w:rsid w:val="00DD39B7"/>
    <w:rsid w:val="00DD45F8"/>
    <w:rsid w:val="00DD583E"/>
    <w:rsid w:val="00DD76D7"/>
    <w:rsid w:val="00DE0346"/>
    <w:rsid w:val="00DE1DAD"/>
    <w:rsid w:val="00DE5FBC"/>
    <w:rsid w:val="00DF4469"/>
    <w:rsid w:val="00DF4A54"/>
    <w:rsid w:val="00DF4E7F"/>
    <w:rsid w:val="00DF5186"/>
    <w:rsid w:val="00DF6EA1"/>
    <w:rsid w:val="00E014F6"/>
    <w:rsid w:val="00E04566"/>
    <w:rsid w:val="00E04AB2"/>
    <w:rsid w:val="00E06FF9"/>
    <w:rsid w:val="00E0785E"/>
    <w:rsid w:val="00E125C8"/>
    <w:rsid w:val="00E125E3"/>
    <w:rsid w:val="00E148D8"/>
    <w:rsid w:val="00E15EE5"/>
    <w:rsid w:val="00E17875"/>
    <w:rsid w:val="00E20531"/>
    <w:rsid w:val="00E21543"/>
    <w:rsid w:val="00E2348E"/>
    <w:rsid w:val="00E23A2E"/>
    <w:rsid w:val="00E24F74"/>
    <w:rsid w:val="00E263AC"/>
    <w:rsid w:val="00E265B8"/>
    <w:rsid w:val="00E30B65"/>
    <w:rsid w:val="00E32A25"/>
    <w:rsid w:val="00E339C0"/>
    <w:rsid w:val="00E354D1"/>
    <w:rsid w:val="00E43178"/>
    <w:rsid w:val="00E43B59"/>
    <w:rsid w:val="00E444A3"/>
    <w:rsid w:val="00E4568C"/>
    <w:rsid w:val="00E47E89"/>
    <w:rsid w:val="00E509E8"/>
    <w:rsid w:val="00E5492F"/>
    <w:rsid w:val="00E56BBE"/>
    <w:rsid w:val="00E57630"/>
    <w:rsid w:val="00E62686"/>
    <w:rsid w:val="00E64E3A"/>
    <w:rsid w:val="00E66A70"/>
    <w:rsid w:val="00E67612"/>
    <w:rsid w:val="00E714F5"/>
    <w:rsid w:val="00E808D0"/>
    <w:rsid w:val="00E82154"/>
    <w:rsid w:val="00E85454"/>
    <w:rsid w:val="00E87D02"/>
    <w:rsid w:val="00E900D8"/>
    <w:rsid w:val="00E93B45"/>
    <w:rsid w:val="00E94FCF"/>
    <w:rsid w:val="00E95C5F"/>
    <w:rsid w:val="00EA154B"/>
    <w:rsid w:val="00EA2976"/>
    <w:rsid w:val="00EA40B8"/>
    <w:rsid w:val="00EA46BB"/>
    <w:rsid w:val="00EA5619"/>
    <w:rsid w:val="00EB0044"/>
    <w:rsid w:val="00EB2DE2"/>
    <w:rsid w:val="00EB3186"/>
    <w:rsid w:val="00EB5E96"/>
    <w:rsid w:val="00EC15B5"/>
    <w:rsid w:val="00EC4B5D"/>
    <w:rsid w:val="00EC5805"/>
    <w:rsid w:val="00EC6E15"/>
    <w:rsid w:val="00ED06DA"/>
    <w:rsid w:val="00ED1D08"/>
    <w:rsid w:val="00ED4617"/>
    <w:rsid w:val="00EE0A0F"/>
    <w:rsid w:val="00EE2D63"/>
    <w:rsid w:val="00EE4E3C"/>
    <w:rsid w:val="00EE5429"/>
    <w:rsid w:val="00EE5ADB"/>
    <w:rsid w:val="00EF044D"/>
    <w:rsid w:val="00EF059C"/>
    <w:rsid w:val="00EF3962"/>
    <w:rsid w:val="00EF5A8F"/>
    <w:rsid w:val="00EF73BE"/>
    <w:rsid w:val="00F00F74"/>
    <w:rsid w:val="00F01887"/>
    <w:rsid w:val="00F02500"/>
    <w:rsid w:val="00F068DF"/>
    <w:rsid w:val="00F107FF"/>
    <w:rsid w:val="00F1176D"/>
    <w:rsid w:val="00F12069"/>
    <w:rsid w:val="00F12D2A"/>
    <w:rsid w:val="00F17B9F"/>
    <w:rsid w:val="00F204E0"/>
    <w:rsid w:val="00F215DF"/>
    <w:rsid w:val="00F2202D"/>
    <w:rsid w:val="00F22C99"/>
    <w:rsid w:val="00F230A5"/>
    <w:rsid w:val="00F274DD"/>
    <w:rsid w:val="00F27FBF"/>
    <w:rsid w:val="00F30CC4"/>
    <w:rsid w:val="00F31196"/>
    <w:rsid w:val="00F33B48"/>
    <w:rsid w:val="00F34006"/>
    <w:rsid w:val="00F34B0A"/>
    <w:rsid w:val="00F4526C"/>
    <w:rsid w:val="00F50DDD"/>
    <w:rsid w:val="00F52C01"/>
    <w:rsid w:val="00F53089"/>
    <w:rsid w:val="00F540F8"/>
    <w:rsid w:val="00F56B98"/>
    <w:rsid w:val="00F61692"/>
    <w:rsid w:val="00F654C5"/>
    <w:rsid w:val="00F66E7E"/>
    <w:rsid w:val="00F67206"/>
    <w:rsid w:val="00F70B95"/>
    <w:rsid w:val="00F715DE"/>
    <w:rsid w:val="00F72B23"/>
    <w:rsid w:val="00F73CBB"/>
    <w:rsid w:val="00F761DA"/>
    <w:rsid w:val="00F82521"/>
    <w:rsid w:val="00F84125"/>
    <w:rsid w:val="00F85039"/>
    <w:rsid w:val="00F85F70"/>
    <w:rsid w:val="00F8763D"/>
    <w:rsid w:val="00F87B91"/>
    <w:rsid w:val="00F9169A"/>
    <w:rsid w:val="00F9424E"/>
    <w:rsid w:val="00F9443B"/>
    <w:rsid w:val="00F94EC5"/>
    <w:rsid w:val="00F9670F"/>
    <w:rsid w:val="00FA03D6"/>
    <w:rsid w:val="00FA06AF"/>
    <w:rsid w:val="00FA09B5"/>
    <w:rsid w:val="00FA1B6C"/>
    <w:rsid w:val="00FA1D3A"/>
    <w:rsid w:val="00FA6653"/>
    <w:rsid w:val="00FA68DB"/>
    <w:rsid w:val="00FA6A62"/>
    <w:rsid w:val="00FA7430"/>
    <w:rsid w:val="00FB0518"/>
    <w:rsid w:val="00FB1D7D"/>
    <w:rsid w:val="00FB210F"/>
    <w:rsid w:val="00FB4E9F"/>
    <w:rsid w:val="00FB60A1"/>
    <w:rsid w:val="00FC4ACF"/>
    <w:rsid w:val="00FC6387"/>
    <w:rsid w:val="00FC63E0"/>
    <w:rsid w:val="00FD3F4A"/>
    <w:rsid w:val="00FE0707"/>
    <w:rsid w:val="00FE173E"/>
    <w:rsid w:val="00FE37E5"/>
    <w:rsid w:val="00FE4F38"/>
    <w:rsid w:val="00FE6077"/>
    <w:rsid w:val="00FE7CDA"/>
    <w:rsid w:val="00FF2342"/>
    <w:rsid w:val="00FF314A"/>
    <w:rsid w:val="00FF3702"/>
    <w:rsid w:val="00FF42D4"/>
    <w:rsid w:val="00FF5E4D"/>
    <w:rsid w:val="01095331"/>
    <w:rsid w:val="01581382"/>
    <w:rsid w:val="019356A1"/>
    <w:rsid w:val="01BF37C7"/>
    <w:rsid w:val="01D40725"/>
    <w:rsid w:val="02095E20"/>
    <w:rsid w:val="02380465"/>
    <w:rsid w:val="024E1C49"/>
    <w:rsid w:val="02941E14"/>
    <w:rsid w:val="02D51B92"/>
    <w:rsid w:val="03295D70"/>
    <w:rsid w:val="032B03AA"/>
    <w:rsid w:val="032F3FB0"/>
    <w:rsid w:val="033D69F6"/>
    <w:rsid w:val="037E2B67"/>
    <w:rsid w:val="03B56F7B"/>
    <w:rsid w:val="03ED3296"/>
    <w:rsid w:val="04243DB5"/>
    <w:rsid w:val="047665CE"/>
    <w:rsid w:val="047678D3"/>
    <w:rsid w:val="04E836BF"/>
    <w:rsid w:val="0500243F"/>
    <w:rsid w:val="05964C1A"/>
    <w:rsid w:val="05AC22B4"/>
    <w:rsid w:val="05B1203A"/>
    <w:rsid w:val="06033DBD"/>
    <w:rsid w:val="06224621"/>
    <w:rsid w:val="0624301F"/>
    <w:rsid w:val="06940C00"/>
    <w:rsid w:val="06B07C43"/>
    <w:rsid w:val="06B43D3B"/>
    <w:rsid w:val="073E101F"/>
    <w:rsid w:val="0768187A"/>
    <w:rsid w:val="07750162"/>
    <w:rsid w:val="07992EBD"/>
    <w:rsid w:val="07C24B61"/>
    <w:rsid w:val="07C437DD"/>
    <w:rsid w:val="07E15B19"/>
    <w:rsid w:val="08391A75"/>
    <w:rsid w:val="08971324"/>
    <w:rsid w:val="08EA46D7"/>
    <w:rsid w:val="091E280E"/>
    <w:rsid w:val="092A2235"/>
    <w:rsid w:val="09737190"/>
    <w:rsid w:val="098B0432"/>
    <w:rsid w:val="0A184F25"/>
    <w:rsid w:val="0A260878"/>
    <w:rsid w:val="0A346E2E"/>
    <w:rsid w:val="0A3E0FFB"/>
    <w:rsid w:val="0A4B5D00"/>
    <w:rsid w:val="0A5344BA"/>
    <w:rsid w:val="0A6766AF"/>
    <w:rsid w:val="0A852BD8"/>
    <w:rsid w:val="0A9617D5"/>
    <w:rsid w:val="0A9D178C"/>
    <w:rsid w:val="0AAC468F"/>
    <w:rsid w:val="0AB35D19"/>
    <w:rsid w:val="0AE207F3"/>
    <w:rsid w:val="0B1A4C9E"/>
    <w:rsid w:val="0B3041F8"/>
    <w:rsid w:val="0B4E35E4"/>
    <w:rsid w:val="0B607895"/>
    <w:rsid w:val="0B67306F"/>
    <w:rsid w:val="0B8F5F21"/>
    <w:rsid w:val="0BAA07F8"/>
    <w:rsid w:val="0BFA2E04"/>
    <w:rsid w:val="0C0777A4"/>
    <w:rsid w:val="0C2A689B"/>
    <w:rsid w:val="0C3A7B8A"/>
    <w:rsid w:val="0C45039E"/>
    <w:rsid w:val="0CC3182D"/>
    <w:rsid w:val="0CEC12E3"/>
    <w:rsid w:val="0D024C2F"/>
    <w:rsid w:val="0D12204A"/>
    <w:rsid w:val="0D28248F"/>
    <w:rsid w:val="0D345D6D"/>
    <w:rsid w:val="0D56313D"/>
    <w:rsid w:val="0DAF0F48"/>
    <w:rsid w:val="0DB326EE"/>
    <w:rsid w:val="0DCC5911"/>
    <w:rsid w:val="0E1D392E"/>
    <w:rsid w:val="0E3328EC"/>
    <w:rsid w:val="0E58556F"/>
    <w:rsid w:val="0E5D5C97"/>
    <w:rsid w:val="0E71704F"/>
    <w:rsid w:val="0EB82814"/>
    <w:rsid w:val="0EBE12D0"/>
    <w:rsid w:val="0EE271CE"/>
    <w:rsid w:val="0EE718F2"/>
    <w:rsid w:val="0EE85525"/>
    <w:rsid w:val="0F3454AB"/>
    <w:rsid w:val="0F3C590C"/>
    <w:rsid w:val="0FC539CE"/>
    <w:rsid w:val="0FF0196A"/>
    <w:rsid w:val="1076786C"/>
    <w:rsid w:val="10C66B57"/>
    <w:rsid w:val="10D170B5"/>
    <w:rsid w:val="10FB5145"/>
    <w:rsid w:val="110209FE"/>
    <w:rsid w:val="11365752"/>
    <w:rsid w:val="113C1628"/>
    <w:rsid w:val="11781C6F"/>
    <w:rsid w:val="11967E55"/>
    <w:rsid w:val="11CC7BA9"/>
    <w:rsid w:val="120A2D88"/>
    <w:rsid w:val="125260A5"/>
    <w:rsid w:val="12E02245"/>
    <w:rsid w:val="12F75ED3"/>
    <w:rsid w:val="135C6647"/>
    <w:rsid w:val="13975173"/>
    <w:rsid w:val="13D73B59"/>
    <w:rsid w:val="13EC3F5B"/>
    <w:rsid w:val="143A33DE"/>
    <w:rsid w:val="14432DC0"/>
    <w:rsid w:val="14667CCC"/>
    <w:rsid w:val="14A723DA"/>
    <w:rsid w:val="14AB122D"/>
    <w:rsid w:val="14BB0146"/>
    <w:rsid w:val="14F27922"/>
    <w:rsid w:val="150051B7"/>
    <w:rsid w:val="15267261"/>
    <w:rsid w:val="15281012"/>
    <w:rsid w:val="155679FC"/>
    <w:rsid w:val="15957341"/>
    <w:rsid w:val="15DA2C2F"/>
    <w:rsid w:val="15E763F1"/>
    <w:rsid w:val="160B51EB"/>
    <w:rsid w:val="163216E5"/>
    <w:rsid w:val="16322A61"/>
    <w:rsid w:val="1634549E"/>
    <w:rsid w:val="164241DC"/>
    <w:rsid w:val="166074CF"/>
    <w:rsid w:val="16724385"/>
    <w:rsid w:val="169F1963"/>
    <w:rsid w:val="16D059F9"/>
    <w:rsid w:val="17093E3E"/>
    <w:rsid w:val="171F4E51"/>
    <w:rsid w:val="17201E62"/>
    <w:rsid w:val="1730359D"/>
    <w:rsid w:val="179010B4"/>
    <w:rsid w:val="179E1DFC"/>
    <w:rsid w:val="17B03722"/>
    <w:rsid w:val="18080F1C"/>
    <w:rsid w:val="180D1D92"/>
    <w:rsid w:val="1822695F"/>
    <w:rsid w:val="1825592A"/>
    <w:rsid w:val="186A0B1C"/>
    <w:rsid w:val="18735801"/>
    <w:rsid w:val="18771F0A"/>
    <w:rsid w:val="187D0551"/>
    <w:rsid w:val="189D2F93"/>
    <w:rsid w:val="18B6361D"/>
    <w:rsid w:val="18D92132"/>
    <w:rsid w:val="18F77D70"/>
    <w:rsid w:val="192B66E0"/>
    <w:rsid w:val="1940466F"/>
    <w:rsid w:val="19444E7F"/>
    <w:rsid w:val="19543A50"/>
    <w:rsid w:val="19882298"/>
    <w:rsid w:val="19B25CF0"/>
    <w:rsid w:val="1A9E62E4"/>
    <w:rsid w:val="1AB2048F"/>
    <w:rsid w:val="1AB4284F"/>
    <w:rsid w:val="1ABD5BF3"/>
    <w:rsid w:val="1AC2469F"/>
    <w:rsid w:val="1AD94183"/>
    <w:rsid w:val="1AE74CC7"/>
    <w:rsid w:val="1AFC4046"/>
    <w:rsid w:val="1B010DD9"/>
    <w:rsid w:val="1B0B77EF"/>
    <w:rsid w:val="1B191A0B"/>
    <w:rsid w:val="1B423185"/>
    <w:rsid w:val="1B4B6052"/>
    <w:rsid w:val="1B5E2EB1"/>
    <w:rsid w:val="1B73519C"/>
    <w:rsid w:val="1B825F57"/>
    <w:rsid w:val="1BF4231A"/>
    <w:rsid w:val="1C1D15B8"/>
    <w:rsid w:val="1C2F1CC9"/>
    <w:rsid w:val="1C317102"/>
    <w:rsid w:val="1C836361"/>
    <w:rsid w:val="1D0A0E86"/>
    <w:rsid w:val="1D0B31A8"/>
    <w:rsid w:val="1D2D7843"/>
    <w:rsid w:val="1D3B5FC4"/>
    <w:rsid w:val="1D792862"/>
    <w:rsid w:val="1D924BBF"/>
    <w:rsid w:val="1DD92D2D"/>
    <w:rsid w:val="1E1046B9"/>
    <w:rsid w:val="1E176B13"/>
    <w:rsid w:val="1E502A69"/>
    <w:rsid w:val="1E7A4DD3"/>
    <w:rsid w:val="1ED330D2"/>
    <w:rsid w:val="1EEF63C6"/>
    <w:rsid w:val="1F4F15DD"/>
    <w:rsid w:val="1F5573F2"/>
    <w:rsid w:val="1F79664A"/>
    <w:rsid w:val="1F933359"/>
    <w:rsid w:val="1FAB3DD0"/>
    <w:rsid w:val="1FCD6933"/>
    <w:rsid w:val="200B7434"/>
    <w:rsid w:val="201C32D6"/>
    <w:rsid w:val="2028357B"/>
    <w:rsid w:val="202E0A8E"/>
    <w:rsid w:val="205067D8"/>
    <w:rsid w:val="205B0707"/>
    <w:rsid w:val="2066788B"/>
    <w:rsid w:val="206770AC"/>
    <w:rsid w:val="208C5578"/>
    <w:rsid w:val="20906700"/>
    <w:rsid w:val="20944476"/>
    <w:rsid w:val="20A12D3B"/>
    <w:rsid w:val="20D0351D"/>
    <w:rsid w:val="21066A5F"/>
    <w:rsid w:val="21181965"/>
    <w:rsid w:val="21273848"/>
    <w:rsid w:val="213265D5"/>
    <w:rsid w:val="214166E3"/>
    <w:rsid w:val="21625A6F"/>
    <w:rsid w:val="21855FAA"/>
    <w:rsid w:val="21BA1B37"/>
    <w:rsid w:val="21BE40CD"/>
    <w:rsid w:val="21C0176E"/>
    <w:rsid w:val="21CC3D6A"/>
    <w:rsid w:val="21DF189B"/>
    <w:rsid w:val="22547E7D"/>
    <w:rsid w:val="22D54A6B"/>
    <w:rsid w:val="231554EA"/>
    <w:rsid w:val="23234FAA"/>
    <w:rsid w:val="232B2B18"/>
    <w:rsid w:val="238268AD"/>
    <w:rsid w:val="23914D68"/>
    <w:rsid w:val="23993E44"/>
    <w:rsid w:val="23BE0CF5"/>
    <w:rsid w:val="24265CA2"/>
    <w:rsid w:val="243700D6"/>
    <w:rsid w:val="24486A01"/>
    <w:rsid w:val="24551B60"/>
    <w:rsid w:val="246C2373"/>
    <w:rsid w:val="24701DEC"/>
    <w:rsid w:val="24940E97"/>
    <w:rsid w:val="249A3483"/>
    <w:rsid w:val="249C1ECC"/>
    <w:rsid w:val="24AC2CED"/>
    <w:rsid w:val="24B569F7"/>
    <w:rsid w:val="24F66C29"/>
    <w:rsid w:val="24FB50A0"/>
    <w:rsid w:val="2564491D"/>
    <w:rsid w:val="25C70488"/>
    <w:rsid w:val="25E113EC"/>
    <w:rsid w:val="25F32882"/>
    <w:rsid w:val="25F541FF"/>
    <w:rsid w:val="26307F8F"/>
    <w:rsid w:val="263140CA"/>
    <w:rsid w:val="26955EA5"/>
    <w:rsid w:val="269C60F7"/>
    <w:rsid w:val="26B94FF3"/>
    <w:rsid w:val="26EA03F9"/>
    <w:rsid w:val="26FC1914"/>
    <w:rsid w:val="27050C9F"/>
    <w:rsid w:val="273121C1"/>
    <w:rsid w:val="27544917"/>
    <w:rsid w:val="27A843BF"/>
    <w:rsid w:val="27D265D2"/>
    <w:rsid w:val="27E464C3"/>
    <w:rsid w:val="27E910AC"/>
    <w:rsid w:val="28101DD7"/>
    <w:rsid w:val="282F2A46"/>
    <w:rsid w:val="2833632A"/>
    <w:rsid w:val="286200A6"/>
    <w:rsid w:val="28A0483A"/>
    <w:rsid w:val="28C05AEF"/>
    <w:rsid w:val="290F369C"/>
    <w:rsid w:val="295121A9"/>
    <w:rsid w:val="295835B7"/>
    <w:rsid w:val="296C3109"/>
    <w:rsid w:val="29B53680"/>
    <w:rsid w:val="29CC6825"/>
    <w:rsid w:val="29EC1600"/>
    <w:rsid w:val="2A281D7C"/>
    <w:rsid w:val="2A5957DE"/>
    <w:rsid w:val="2A6D05AD"/>
    <w:rsid w:val="2AB40D52"/>
    <w:rsid w:val="2AC34F8C"/>
    <w:rsid w:val="2ACB35CE"/>
    <w:rsid w:val="2AFE23B7"/>
    <w:rsid w:val="2B253984"/>
    <w:rsid w:val="2B727682"/>
    <w:rsid w:val="2B9E3452"/>
    <w:rsid w:val="2BB63891"/>
    <w:rsid w:val="2BBE6DB4"/>
    <w:rsid w:val="2C026E71"/>
    <w:rsid w:val="2C6B2637"/>
    <w:rsid w:val="2C812F9A"/>
    <w:rsid w:val="2C8404E8"/>
    <w:rsid w:val="2CEA730C"/>
    <w:rsid w:val="2CF746D8"/>
    <w:rsid w:val="2D2623AD"/>
    <w:rsid w:val="2D3D1CAD"/>
    <w:rsid w:val="2D467E5C"/>
    <w:rsid w:val="2D795461"/>
    <w:rsid w:val="2D9751F3"/>
    <w:rsid w:val="2DB36189"/>
    <w:rsid w:val="2DDA1BF0"/>
    <w:rsid w:val="2E0E4E35"/>
    <w:rsid w:val="2E1E7787"/>
    <w:rsid w:val="2E901143"/>
    <w:rsid w:val="2EA4496D"/>
    <w:rsid w:val="2ECA747A"/>
    <w:rsid w:val="2EF51D26"/>
    <w:rsid w:val="2F2525D7"/>
    <w:rsid w:val="2F344F3F"/>
    <w:rsid w:val="2F4C4F8C"/>
    <w:rsid w:val="2F506315"/>
    <w:rsid w:val="2F740752"/>
    <w:rsid w:val="2FA92457"/>
    <w:rsid w:val="2FD4628A"/>
    <w:rsid w:val="2FE46E29"/>
    <w:rsid w:val="2FEB14C9"/>
    <w:rsid w:val="30170D3F"/>
    <w:rsid w:val="302C0736"/>
    <w:rsid w:val="303E59B5"/>
    <w:rsid w:val="30422C9D"/>
    <w:rsid w:val="30532C89"/>
    <w:rsid w:val="308070A0"/>
    <w:rsid w:val="308E2E9C"/>
    <w:rsid w:val="310E1ED0"/>
    <w:rsid w:val="31132910"/>
    <w:rsid w:val="312824B9"/>
    <w:rsid w:val="313145EE"/>
    <w:rsid w:val="3132639B"/>
    <w:rsid w:val="31436989"/>
    <w:rsid w:val="31841037"/>
    <w:rsid w:val="31BF5D2C"/>
    <w:rsid w:val="31F1336E"/>
    <w:rsid w:val="31F83313"/>
    <w:rsid w:val="31F8762B"/>
    <w:rsid w:val="326136CC"/>
    <w:rsid w:val="32897912"/>
    <w:rsid w:val="32BA118F"/>
    <w:rsid w:val="33377124"/>
    <w:rsid w:val="33476306"/>
    <w:rsid w:val="334A0B80"/>
    <w:rsid w:val="336D4FD3"/>
    <w:rsid w:val="33756463"/>
    <w:rsid w:val="33AB0D7B"/>
    <w:rsid w:val="33B864AF"/>
    <w:rsid w:val="33BE1416"/>
    <w:rsid w:val="34324D15"/>
    <w:rsid w:val="34634F0C"/>
    <w:rsid w:val="34897C8A"/>
    <w:rsid w:val="349473BB"/>
    <w:rsid w:val="34AE1AED"/>
    <w:rsid w:val="34BA1658"/>
    <w:rsid w:val="34CA00E8"/>
    <w:rsid w:val="3514040E"/>
    <w:rsid w:val="351A75D6"/>
    <w:rsid w:val="353C140A"/>
    <w:rsid w:val="35943A4E"/>
    <w:rsid w:val="35B018F6"/>
    <w:rsid w:val="35C7294F"/>
    <w:rsid w:val="35CD752C"/>
    <w:rsid w:val="363A05FC"/>
    <w:rsid w:val="364957D6"/>
    <w:rsid w:val="366014A2"/>
    <w:rsid w:val="366318CF"/>
    <w:rsid w:val="369C240F"/>
    <w:rsid w:val="36B427C0"/>
    <w:rsid w:val="36CF5BB1"/>
    <w:rsid w:val="36E310FD"/>
    <w:rsid w:val="371C4BFF"/>
    <w:rsid w:val="373909D7"/>
    <w:rsid w:val="37D35CA7"/>
    <w:rsid w:val="37EA25B2"/>
    <w:rsid w:val="381074A3"/>
    <w:rsid w:val="382A33BD"/>
    <w:rsid w:val="382A633D"/>
    <w:rsid w:val="386447B5"/>
    <w:rsid w:val="38731D6E"/>
    <w:rsid w:val="38756853"/>
    <w:rsid w:val="389F0D87"/>
    <w:rsid w:val="38C61663"/>
    <w:rsid w:val="38D41721"/>
    <w:rsid w:val="38D87A7A"/>
    <w:rsid w:val="38F126CB"/>
    <w:rsid w:val="390E689F"/>
    <w:rsid w:val="39111DB4"/>
    <w:rsid w:val="39B30B81"/>
    <w:rsid w:val="39BB580B"/>
    <w:rsid w:val="3A4B17A5"/>
    <w:rsid w:val="3A5E2E76"/>
    <w:rsid w:val="3A960061"/>
    <w:rsid w:val="3AB35415"/>
    <w:rsid w:val="3ACA58E5"/>
    <w:rsid w:val="3B021405"/>
    <w:rsid w:val="3B0767A9"/>
    <w:rsid w:val="3B0B1E52"/>
    <w:rsid w:val="3B106D64"/>
    <w:rsid w:val="3B563116"/>
    <w:rsid w:val="3B7C5965"/>
    <w:rsid w:val="3BC36384"/>
    <w:rsid w:val="3BF1098B"/>
    <w:rsid w:val="3BFC1957"/>
    <w:rsid w:val="3C0015B6"/>
    <w:rsid w:val="3C4F122C"/>
    <w:rsid w:val="3C75250B"/>
    <w:rsid w:val="3C7B1161"/>
    <w:rsid w:val="3C7E28AD"/>
    <w:rsid w:val="3CB567B0"/>
    <w:rsid w:val="3CCF022F"/>
    <w:rsid w:val="3CF35416"/>
    <w:rsid w:val="3CFF77CB"/>
    <w:rsid w:val="3D5C53E6"/>
    <w:rsid w:val="3D8E349F"/>
    <w:rsid w:val="3E4D64A9"/>
    <w:rsid w:val="3E536041"/>
    <w:rsid w:val="3E764C79"/>
    <w:rsid w:val="3EA42AF4"/>
    <w:rsid w:val="3EA712B7"/>
    <w:rsid w:val="3F004CA8"/>
    <w:rsid w:val="3F022049"/>
    <w:rsid w:val="3F0B1507"/>
    <w:rsid w:val="3F212D1C"/>
    <w:rsid w:val="3F5335B0"/>
    <w:rsid w:val="3F84587D"/>
    <w:rsid w:val="3F8459E8"/>
    <w:rsid w:val="3FA93B90"/>
    <w:rsid w:val="3FD31D82"/>
    <w:rsid w:val="401D28BB"/>
    <w:rsid w:val="402913AD"/>
    <w:rsid w:val="402E2B3B"/>
    <w:rsid w:val="4044340A"/>
    <w:rsid w:val="40495DFF"/>
    <w:rsid w:val="40687B3F"/>
    <w:rsid w:val="406958C9"/>
    <w:rsid w:val="40AC2B09"/>
    <w:rsid w:val="40AF7D31"/>
    <w:rsid w:val="40B01FE0"/>
    <w:rsid w:val="40B40646"/>
    <w:rsid w:val="40EA07A3"/>
    <w:rsid w:val="40EA7508"/>
    <w:rsid w:val="41150A6D"/>
    <w:rsid w:val="41375C29"/>
    <w:rsid w:val="413A30A7"/>
    <w:rsid w:val="416A4A30"/>
    <w:rsid w:val="419F292A"/>
    <w:rsid w:val="41B0093E"/>
    <w:rsid w:val="41B11ADD"/>
    <w:rsid w:val="41C04416"/>
    <w:rsid w:val="41FA49A8"/>
    <w:rsid w:val="426C699A"/>
    <w:rsid w:val="42EA4097"/>
    <w:rsid w:val="433371AF"/>
    <w:rsid w:val="43523DC4"/>
    <w:rsid w:val="43D555FF"/>
    <w:rsid w:val="43D73A2F"/>
    <w:rsid w:val="440062D4"/>
    <w:rsid w:val="44693B5C"/>
    <w:rsid w:val="44AC7321"/>
    <w:rsid w:val="44BB2CD2"/>
    <w:rsid w:val="45331A53"/>
    <w:rsid w:val="45390C72"/>
    <w:rsid w:val="453B2488"/>
    <w:rsid w:val="454C5B47"/>
    <w:rsid w:val="454E7F1F"/>
    <w:rsid w:val="457559B9"/>
    <w:rsid w:val="457C79AC"/>
    <w:rsid w:val="45B66F29"/>
    <w:rsid w:val="45DD6B66"/>
    <w:rsid w:val="46166234"/>
    <w:rsid w:val="462F1BFA"/>
    <w:rsid w:val="46906A76"/>
    <w:rsid w:val="46A8181B"/>
    <w:rsid w:val="46E53A1A"/>
    <w:rsid w:val="47611E4F"/>
    <w:rsid w:val="477300A6"/>
    <w:rsid w:val="47BC7378"/>
    <w:rsid w:val="47DC26E0"/>
    <w:rsid w:val="47DD6325"/>
    <w:rsid w:val="4857239F"/>
    <w:rsid w:val="487716D6"/>
    <w:rsid w:val="488F1FB7"/>
    <w:rsid w:val="48B36F8C"/>
    <w:rsid w:val="49045F3B"/>
    <w:rsid w:val="49226A06"/>
    <w:rsid w:val="49383D0D"/>
    <w:rsid w:val="4940230C"/>
    <w:rsid w:val="49607DCC"/>
    <w:rsid w:val="49A402E9"/>
    <w:rsid w:val="49F556AA"/>
    <w:rsid w:val="49F63603"/>
    <w:rsid w:val="4A850B95"/>
    <w:rsid w:val="4A970F3D"/>
    <w:rsid w:val="4AC45B10"/>
    <w:rsid w:val="4B113BF2"/>
    <w:rsid w:val="4B255AB1"/>
    <w:rsid w:val="4B2B3929"/>
    <w:rsid w:val="4B511371"/>
    <w:rsid w:val="4B652F13"/>
    <w:rsid w:val="4BA9280D"/>
    <w:rsid w:val="4BA9394F"/>
    <w:rsid w:val="4BB275BF"/>
    <w:rsid w:val="4BC33909"/>
    <w:rsid w:val="4BC72FCF"/>
    <w:rsid w:val="4BEA6D44"/>
    <w:rsid w:val="4BF86C6F"/>
    <w:rsid w:val="4C0741DA"/>
    <w:rsid w:val="4C4A3527"/>
    <w:rsid w:val="4C5D11DF"/>
    <w:rsid w:val="4C83437C"/>
    <w:rsid w:val="4D5213E4"/>
    <w:rsid w:val="4D741B0F"/>
    <w:rsid w:val="4E8B1E12"/>
    <w:rsid w:val="4EFD6647"/>
    <w:rsid w:val="4F127306"/>
    <w:rsid w:val="4F15796C"/>
    <w:rsid w:val="4F244AC7"/>
    <w:rsid w:val="4F3605B7"/>
    <w:rsid w:val="4F553EFF"/>
    <w:rsid w:val="4F9671EF"/>
    <w:rsid w:val="4FB629B4"/>
    <w:rsid w:val="4FC5352D"/>
    <w:rsid w:val="4FE90329"/>
    <w:rsid w:val="4FF210FB"/>
    <w:rsid w:val="50235261"/>
    <w:rsid w:val="503111D0"/>
    <w:rsid w:val="50367EF2"/>
    <w:rsid w:val="50431DDF"/>
    <w:rsid w:val="50A33261"/>
    <w:rsid w:val="50C02F04"/>
    <w:rsid w:val="50C86E43"/>
    <w:rsid w:val="50EE4E6D"/>
    <w:rsid w:val="510258D9"/>
    <w:rsid w:val="51081D45"/>
    <w:rsid w:val="514F4A5B"/>
    <w:rsid w:val="51964F16"/>
    <w:rsid w:val="51CB36BA"/>
    <w:rsid w:val="51D02694"/>
    <w:rsid w:val="52352C15"/>
    <w:rsid w:val="529251C4"/>
    <w:rsid w:val="529831E5"/>
    <w:rsid w:val="52A36FA3"/>
    <w:rsid w:val="52C01722"/>
    <w:rsid w:val="52CF05DB"/>
    <w:rsid w:val="52FF0427"/>
    <w:rsid w:val="53194663"/>
    <w:rsid w:val="533C5323"/>
    <w:rsid w:val="534678A8"/>
    <w:rsid w:val="534B47C5"/>
    <w:rsid w:val="53BB6724"/>
    <w:rsid w:val="53F73946"/>
    <w:rsid w:val="5422307A"/>
    <w:rsid w:val="543028D1"/>
    <w:rsid w:val="5439457B"/>
    <w:rsid w:val="545B590E"/>
    <w:rsid w:val="546F0026"/>
    <w:rsid w:val="547C44B5"/>
    <w:rsid w:val="54815C8D"/>
    <w:rsid w:val="549078B3"/>
    <w:rsid w:val="54AA1E56"/>
    <w:rsid w:val="54B86B27"/>
    <w:rsid w:val="54C33BA9"/>
    <w:rsid w:val="54C77C41"/>
    <w:rsid w:val="54D57048"/>
    <w:rsid w:val="54E45B41"/>
    <w:rsid w:val="55271749"/>
    <w:rsid w:val="556A1333"/>
    <w:rsid w:val="55AB2E37"/>
    <w:rsid w:val="55F43034"/>
    <w:rsid w:val="56187267"/>
    <w:rsid w:val="564F5B2A"/>
    <w:rsid w:val="566B176B"/>
    <w:rsid w:val="56B00F0F"/>
    <w:rsid w:val="56DB6758"/>
    <w:rsid w:val="56F13A1F"/>
    <w:rsid w:val="570A2411"/>
    <w:rsid w:val="57336E13"/>
    <w:rsid w:val="57357797"/>
    <w:rsid w:val="577C037B"/>
    <w:rsid w:val="57830F51"/>
    <w:rsid w:val="579876DC"/>
    <w:rsid w:val="57B70730"/>
    <w:rsid w:val="57D912C4"/>
    <w:rsid w:val="57EA1C17"/>
    <w:rsid w:val="57FF756F"/>
    <w:rsid w:val="582A4940"/>
    <w:rsid w:val="582B14B5"/>
    <w:rsid w:val="583938B0"/>
    <w:rsid w:val="58501654"/>
    <w:rsid w:val="589E610E"/>
    <w:rsid w:val="58C70972"/>
    <w:rsid w:val="58E1406B"/>
    <w:rsid w:val="58E37BA2"/>
    <w:rsid w:val="58EA5F3F"/>
    <w:rsid w:val="59145347"/>
    <w:rsid w:val="591A3FB4"/>
    <w:rsid w:val="591B41E6"/>
    <w:rsid w:val="597B1175"/>
    <w:rsid w:val="597C16EE"/>
    <w:rsid w:val="59D10BED"/>
    <w:rsid w:val="59D36626"/>
    <w:rsid w:val="59E303F0"/>
    <w:rsid w:val="59EA1B83"/>
    <w:rsid w:val="5A2B3678"/>
    <w:rsid w:val="5A5C4C66"/>
    <w:rsid w:val="5A804B5B"/>
    <w:rsid w:val="5AC129EF"/>
    <w:rsid w:val="5AD7118D"/>
    <w:rsid w:val="5ADE1B0D"/>
    <w:rsid w:val="5AFA24ED"/>
    <w:rsid w:val="5B0E7850"/>
    <w:rsid w:val="5B304098"/>
    <w:rsid w:val="5B351ABB"/>
    <w:rsid w:val="5B761A84"/>
    <w:rsid w:val="5B8B515E"/>
    <w:rsid w:val="5B917B28"/>
    <w:rsid w:val="5BBF3119"/>
    <w:rsid w:val="5BEF4F47"/>
    <w:rsid w:val="5BF01C38"/>
    <w:rsid w:val="5C143DAB"/>
    <w:rsid w:val="5C172FBA"/>
    <w:rsid w:val="5C1812C0"/>
    <w:rsid w:val="5C1D436E"/>
    <w:rsid w:val="5C38391D"/>
    <w:rsid w:val="5C426374"/>
    <w:rsid w:val="5C5B5DA5"/>
    <w:rsid w:val="5CA42280"/>
    <w:rsid w:val="5D4D56DA"/>
    <w:rsid w:val="5DE5477B"/>
    <w:rsid w:val="5DF72805"/>
    <w:rsid w:val="5E295146"/>
    <w:rsid w:val="5E3124BD"/>
    <w:rsid w:val="5E3B66CA"/>
    <w:rsid w:val="5E5C45B3"/>
    <w:rsid w:val="5EAA4A39"/>
    <w:rsid w:val="5EB46155"/>
    <w:rsid w:val="5EF23EE8"/>
    <w:rsid w:val="5EFA55C1"/>
    <w:rsid w:val="5F1B2CDF"/>
    <w:rsid w:val="5F2D4F70"/>
    <w:rsid w:val="5F3B74A2"/>
    <w:rsid w:val="5F637D2F"/>
    <w:rsid w:val="5F7628F6"/>
    <w:rsid w:val="5FCC5B31"/>
    <w:rsid w:val="604008D3"/>
    <w:rsid w:val="604F12F6"/>
    <w:rsid w:val="608C4842"/>
    <w:rsid w:val="60C364C4"/>
    <w:rsid w:val="60CB090D"/>
    <w:rsid w:val="60E71377"/>
    <w:rsid w:val="614038BA"/>
    <w:rsid w:val="61573ED9"/>
    <w:rsid w:val="6158030E"/>
    <w:rsid w:val="618B1AD4"/>
    <w:rsid w:val="61EC2A01"/>
    <w:rsid w:val="61F2446A"/>
    <w:rsid w:val="622D15EE"/>
    <w:rsid w:val="62587B5C"/>
    <w:rsid w:val="626223DA"/>
    <w:rsid w:val="62642845"/>
    <w:rsid w:val="62976520"/>
    <w:rsid w:val="62F43E72"/>
    <w:rsid w:val="62F907EA"/>
    <w:rsid w:val="634828BA"/>
    <w:rsid w:val="634C21F2"/>
    <w:rsid w:val="63D26477"/>
    <w:rsid w:val="63D370A6"/>
    <w:rsid w:val="640D4647"/>
    <w:rsid w:val="64477400"/>
    <w:rsid w:val="644D60AC"/>
    <w:rsid w:val="645A6E63"/>
    <w:rsid w:val="647257B0"/>
    <w:rsid w:val="6477459F"/>
    <w:rsid w:val="6481764F"/>
    <w:rsid w:val="649467B0"/>
    <w:rsid w:val="64954921"/>
    <w:rsid w:val="64D56159"/>
    <w:rsid w:val="64D854B8"/>
    <w:rsid w:val="64E16774"/>
    <w:rsid w:val="64ED1273"/>
    <w:rsid w:val="650C48DD"/>
    <w:rsid w:val="651E708C"/>
    <w:rsid w:val="653B7602"/>
    <w:rsid w:val="654076EC"/>
    <w:rsid w:val="6566441C"/>
    <w:rsid w:val="656D5A1D"/>
    <w:rsid w:val="65B72FB4"/>
    <w:rsid w:val="65D874ED"/>
    <w:rsid w:val="65DD1ED5"/>
    <w:rsid w:val="6624206B"/>
    <w:rsid w:val="6642143C"/>
    <w:rsid w:val="665B13C5"/>
    <w:rsid w:val="668325F8"/>
    <w:rsid w:val="66ED4352"/>
    <w:rsid w:val="66F84133"/>
    <w:rsid w:val="671B1104"/>
    <w:rsid w:val="672238D8"/>
    <w:rsid w:val="676E2090"/>
    <w:rsid w:val="67951345"/>
    <w:rsid w:val="67E70585"/>
    <w:rsid w:val="67EB1F53"/>
    <w:rsid w:val="6819065B"/>
    <w:rsid w:val="68314D7E"/>
    <w:rsid w:val="68853EFE"/>
    <w:rsid w:val="689067FA"/>
    <w:rsid w:val="698379D1"/>
    <w:rsid w:val="6A0F4F53"/>
    <w:rsid w:val="6A392864"/>
    <w:rsid w:val="6A3E6605"/>
    <w:rsid w:val="6A5357C2"/>
    <w:rsid w:val="6A5400BE"/>
    <w:rsid w:val="6A6B1E68"/>
    <w:rsid w:val="6A873B01"/>
    <w:rsid w:val="6ACA3980"/>
    <w:rsid w:val="6AEF43E2"/>
    <w:rsid w:val="6B1F3D3B"/>
    <w:rsid w:val="6B311331"/>
    <w:rsid w:val="6B47519F"/>
    <w:rsid w:val="6B58619F"/>
    <w:rsid w:val="6B6B117E"/>
    <w:rsid w:val="6BAC0DAC"/>
    <w:rsid w:val="6BAC47D7"/>
    <w:rsid w:val="6BF8364A"/>
    <w:rsid w:val="6C0512FC"/>
    <w:rsid w:val="6C1D0840"/>
    <w:rsid w:val="6C430A2F"/>
    <w:rsid w:val="6C8960A3"/>
    <w:rsid w:val="6C901E89"/>
    <w:rsid w:val="6CBE332D"/>
    <w:rsid w:val="6CD940F9"/>
    <w:rsid w:val="6CDD5127"/>
    <w:rsid w:val="6CDF61DC"/>
    <w:rsid w:val="6CEC2FC6"/>
    <w:rsid w:val="6D703CD5"/>
    <w:rsid w:val="6D866588"/>
    <w:rsid w:val="6DB25791"/>
    <w:rsid w:val="6DC02D4B"/>
    <w:rsid w:val="6DC56975"/>
    <w:rsid w:val="6E0D7A82"/>
    <w:rsid w:val="6E590D98"/>
    <w:rsid w:val="6ED73C06"/>
    <w:rsid w:val="6EE04D35"/>
    <w:rsid w:val="6EE07455"/>
    <w:rsid w:val="6F282B2F"/>
    <w:rsid w:val="6F3B7F09"/>
    <w:rsid w:val="6F3C288E"/>
    <w:rsid w:val="6F3E2352"/>
    <w:rsid w:val="6F7536BF"/>
    <w:rsid w:val="6F812B02"/>
    <w:rsid w:val="6FD91A8A"/>
    <w:rsid w:val="6FE02EE2"/>
    <w:rsid w:val="70556126"/>
    <w:rsid w:val="70661D48"/>
    <w:rsid w:val="70BD4A19"/>
    <w:rsid w:val="70C86C1F"/>
    <w:rsid w:val="70D638A5"/>
    <w:rsid w:val="70FD3989"/>
    <w:rsid w:val="713D310E"/>
    <w:rsid w:val="71511E10"/>
    <w:rsid w:val="727C1001"/>
    <w:rsid w:val="729E195F"/>
    <w:rsid w:val="730065DA"/>
    <w:rsid w:val="73244934"/>
    <w:rsid w:val="73EA2BB4"/>
    <w:rsid w:val="73F66817"/>
    <w:rsid w:val="741246D7"/>
    <w:rsid w:val="744B7032"/>
    <w:rsid w:val="74640D85"/>
    <w:rsid w:val="74A868DA"/>
    <w:rsid w:val="74F27E04"/>
    <w:rsid w:val="75045B10"/>
    <w:rsid w:val="752957D6"/>
    <w:rsid w:val="753349CF"/>
    <w:rsid w:val="7573643C"/>
    <w:rsid w:val="758518F0"/>
    <w:rsid w:val="75E61424"/>
    <w:rsid w:val="761D45F9"/>
    <w:rsid w:val="762B48DE"/>
    <w:rsid w:val="763D775A"/>
    <w:rsid w:val="76484B73"/>
    <w:rsid w:val="764D1ECA"/>
    <w:rsid w:val="76664D73"/>
    <w:rsid w:val="76E96C0C"/>
    <w:rsid w:val="76EF6EBD"/>
    <w:rsid w:val="7706418A"/>
    <w:rsid w:val="771114D8"/>
    <w:rsid w:val="780026F1"/>
    <w:rsid w:val="78537E3E"/>
    <w:rsid w:val="78C8198A"/>
    <w:rsid w:val="78D678A0"/>
    <w:rsid w:val="78F366A1"/>
    <w:rsid w:val="78FD327E"/>
    <w:rsid w:val="78FF6981"/>
    <w:rsid w:val="79973769"/>
    <w:rsid w:val="79C17A1C"/>
    <w:rsid w:val="7AB901A0"/>
    <w:rsid w:val="7B0C0CDF"/>
    <w:rsid w:val="7B1328AB"/>
    <w:rsid w:val="7B623910"/>
    <w:rsid w:val="7BA31B33"/>
    <w:rsid w:val="7BB3322A"/>
    <w:rsid w:val="7C11714A"/>
    <w:rsid w:val="7C4A52B3"/>
    <w:rsid w:val="7C621797"/>
    <w:rsid w:val="7C700E7C"/>
    <w:rsid w:val="7C741FFA"/>
    <w:rsid w:val="7CB650A7"/>
    <w:rsid w:val="7CBB01A1"/>
    <w:rsid w:val="7CC7751F"/>
    <w:rsid w:val="7CCB5D73"/>
    <w:rsid w:val="7CEC69AD"/>
    <w:rsid w:val="7D0160A8"/>
    <w:rsid w:val="7D0C4C05"/>
    <w:rsid w:val="7D0D09C9"/>
    <w:rsid w:val="7D0F35BE"/>
    <w:rsid w:val="7D6273C4"/>
    <w:rsid w:val="7D6B2CF5"/>
    <w:rsid w:val="7D8D5C57"/>
    <w:rsid w:val="7DDB1B00"/>
    <w:rsid w:val="7DFD162B"/>
    <w:rsid w:val="7E241953"/>
    <w:rsid w:val="7E3A7951"/>
    <w:rsid w:val="7E8F5479"/>
    <w:rsid w:val="7EB11EEF"/>
    <w:rsid w:val="7EB629DA"/>
    <w:rsid w:val="7EB82636"/>
    <w:rsid w:val="7EDA4F01"/>
    <w:rsid w:val="7EE6724D"/>
    <w:rsid w:val="7F0F39F3"/>
    <w:rsid w:val="7F2168FD"/>
    <w:rsid w:val="7F2F03F6"/>
    <w:rsid w:val="7F875650"/>
    <w:rsid w:val="7F9107F1"/>
    <w:rsid w:val="7FC81373"/>
    <w:rsid w:val="7FFF0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2"/>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line="376" w:lineRule="auto"/>
      <w:outlineLvl w:val="3"/>
    </w:pPr>
    <w:rPr>
      <w:rFonts w:ascii="Arial" w:hAnsi="Arial" w:eastAsia="黑体"/>
      <w:b/>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7">
    <w:name w:val="Normal Indent"/>
    <w:basedOn w:val="1"/>
    <w:next w:val="1"/>
    <w:link w:val="53"/>
    <w:autoRedefine/>
    <w:qFormat/>
    <w:uiPriority w:val="0"/>
    <w:pPr>
      <w:ind w:firstLine="420"/>
    </w:pPr>
    <w:rPr>
      <w:szCs w:val="20"/>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annotation text"/>
    <w:basedOn w:val="1"/>
    <w:autoRedefine/>
    <w:semiHidden/>
    <w:qFormat/>
    <w:uiPriority w:val="0"/>
    <w:pPr>
      <w:jc w:val="left"/>
    </w:pPr>
  </w:style>
  <w:style w:type="paragraph" w:styleId="10">
    <w:name w:val="Body Text 3"/>
    <w:basedOn w:val="1"/>
    <w:autoRedefine/>
    <w:qFormat/>
    <w:uiPriority w:val="0"/>
    <w:pPr>
      <w:spacing w:after="120"/>
    </w:pPr>
    <w:rPr>
      <w:sz w:val="16"/>
      <w:szCs w:val="16"/>
    </w:rPr>
  </w:style>
  <w:style w:type="paragraph" w:styleId="11">
    <w:name w:val="Body Text Indent"/>
    <w:basedOn w:val="1"/>
    <w:next w:val="12"/>
    <w:link w:val="54"/>
    <w:autoRedefine/>
    <w:qFormat/>
    <w:uiPriority w:val="0"/>
    <w:pPr>
      <w:spacing w:line="360" w:lineRule="auto"/>
      <w:ind w:firstLine="600" w:firstLineChars="200"/>
    </w:pPr>
    <w:rPr>
      <w:rFonts w:ascii="仿宋_GB2312" w:hAnsi="宋体" w:eastAsia="仿宋_GB2312"/>
      <w:sz w:val="30"/>
    </w:rPr>
  </w:style>
  <w:style w:type="paragraph" w:styleId="12">
    <w:name w:val="envelope return"/>
    <w:basedOn w:val="1"/>
    <w:autoRedefine/>
    <w:unhideWhenUsed/>
    <w:qFormat/>
    <w:uiPriority w:val="99"/>
    <w:pPr>
      <w:snapToGrid w:val="0"/>
    </w:pPr>
    <w:rPr>
      <w:rFonts w:ascii="Arial" w:hAnsi="Arial"/>
    </w:rPr>
  </w:style>
  <w:style w:type="paragraph" w:styleId="13">
    <w:name w:val="List 2"/>
    <w:basedOn w:val="1"/>
    <w:autoRedefine/>
    <w:qFormat/>
    <w:uiPriority w:val="0"/>
    <w:pPr>
      <w:ind w:left="100" w:leftChars="200" w:hanging="200" w:hangingChars="200"/>
    </w:pPr>
  </w:style>
  <w:style w:type="paragraph" w:styleId="14">
    <w:name w:val="Block Text"/>
    <w:basedOn w:val="1"/>
    <w:autoRedefine/>
    <w:unhideWhenUsed/>
    <w:qFormat/>
    <w:uiPriority w:val="99"/>
    <w:pPr>
      <w:ind w:left="-718" w:leftChars="-342" w:right="-512" w:rightChars="-244" w:firstLine="560" w:firstLineChars="200"/>
    </w:pPr>
    <w:rPr>
      <w:sz w:val="28"/>
    </w:rPr>
  </w:style>
  <w:style w:type="paragraph" w:styleId="15">
    <w:name w:val="Plain Text"/>
    <w:basedOn w:val="1"/>
    <w:next w:val="1"/>
    <w:link w:val="55"/>
    <w:autoRedefine/>
    <w:qFormat/>
    <w:uiPriority w:val="0"/>
    <w:pPr>
      <w:spacing w:before="156" w:beforeLines="50" w:after="156" w:afterLines="50" w:line="400" w:lineRule="exact"/>
    </w:pPr>
    <w:rPr>
      <w:rFonts w:ascii="宋体" w:hAnsi="Courier New"/>
      <w:sz w:val="24"/>
    </w:rPr>
  </w:style>
  <w:style w:type="paragraph" w:styleId="16">
    <w:name w:val="Date"/>
    <w:basedOn w:val="1"/>
    <w:next w:val="1"/>
    <w:link w:val="56"/>
    <w:autoRedefine/>
    <w:qFormat/>
    <w:uiPriority w:val="0"/>
    <w:pPr>
      <w:ind w:left="100" w:leftChars="2500"/>
    </w:pPr>
    <w:rPr>
      <w:rFonts w:ascii="仿宋_GB2312" w:hAnsi="宋体" w:eastAsia="仿宋_GB2312"/>
      <w:sz w:val="30"/>
    </w:rPr>
  </w:style>
  <w:style w:type="paragraph" w:styleId="17">
    <w:name w:val="Body Text Indent 2"/>
    <w:basedOn w:val="1"/>
    <w:autoRedefine/>
    <w:qFormat/>
    <w:uiPriority w:val="0"/>
    <w:pPr>
      <w:spacing w:after="120" w:line="480" w:lineRule="auto"/>
      <w:ind w:left="420" w:leftChars="200"/>
    </w:pPr>
  </w:style>
  <w:style w:type="paragraph" w:styleId="18">
    <w:name w:val="Balloon Text"/>
    <w:basedOn w:val="1"/>
    <w:autoRedefine/>
    <w:semiHidden/>
    <w:qFormat/>
    <w:uiPriority w:val="0"/>
    <w:rPr>
      <w:sz w:val="18"/>
      <w:szCs w:val="18"/>
    </w:rPr>
  </w:style>
  <w:style w:type="paragraph" w:styleId="19">
    <w:name w:val="footer"/>
    <w:basedOn w:val="1"/>
    <w:link w:val="57"/>
    <w:autoRedefine/>
    <w:qFormat/>
    <w:uiPriority w:val="99"/>
    <w:pPr>
      <w:tabs>
        <w:tab w:val="center" w:pos="4153"/>
        <w:tab w:val="right" w:pos="8306"/>
      </w:tabs>
      <w:snapToGrid w:val="0"/>
      <w:jc w:val="left"/>
    </w:pPr>
    <w:rPr>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style>
  <w:style w:type="paragraph" w:styleId="22">
    <w:name w:val="toc 4"/>
    <w:basedOn w:val="1"/>
    <w:next w:val="1"/>
    <w:autoRedefine/>
    <w:qFormat/>
    <w:uiPriority w:val="39"/>
    <w:pPr>
      <w:ind w:left="420"/>
    </w:pPr>
    <w:rPr>
      <w:rFonts w:ascii="Calibri" w:hAnsi="Calibri" w:cs="Calibri"/>
      <w:sz w:val="20"/>
      <w:szCs w:val="20"/>
    </w:rPr>
  </w:style>
  <w:style w:type="paragraph" w:styleId="23">
    <w:name w:val="toc 6"/>
    <w:basedOn w:val="1"/>
    <w:next w:val="1"/>
    <w:autoRedefine/>
    <w:qFormat/>
    <w:uiPriority w:val="0"/>
    <w:pPr>
      <w:spacing w:line="360" w:lineRule="auto"/>
      <w:ind w:left="1200" w:firstLine="200" w:firstLineChars="200"/>
      <w:jc w:val="left"/>
    </w:pPr>
    <w:rPr>
      <w:rFonts w:ascii="Calibri" w:hAnsi="Calibri" w:cs="Calibri"/>
      <w:sz w:val="18"/>
      <w:szCs w:val="18"/>
    </w:rPr>
  </w:style>
  <w:style w:type="paragraph" w:styleId="24">
    <w:name w:val="Body Text Indent 3"/>
    <w:basedOn w:val="1"/>
    <w:link w:val="58"/>
    <w:autoRedefine/>
    <w:qFormat/>
    <w:uiPriority w:val="0"/>
    <w:pPr>
      <w:spacing w:after="120"/>
      <w:ind w:left="420" w:leftChars="200"/>
    </w:pPr>
    <w:rPr>
      <w:sz w:val="16"/>
      <w:szCs w:val="16"/>
    </w:rPr>
  </w:style>
  <w:style w:type="paragraph" w:styleId="25">
    <w:name w:val="toc 2"/>
    <w:basedOn w:val="1"/>
    <w:next w:val="1"/>
    <w:autoRedefine/>
    <w:qFormat/>
    <w:uiPriority w:val="39"/>
    <w:pPr>
      <w:ind w:left="420" w:leftChars="200"/>
    </w:pPr>
  </w:style>
  <w:style w:type="paragraph" w:styleId="26">
    <w:name w:val="List 4"/>
    <w:basedOn w:val="1"/>
    <w:autoRedefine/>
    <w:qFormat/>
    <w:uiPriority w:val="0"/>
    <w:pPr>
      <w:ind w:left="100" w:leftChars="600" w:hanging="200" w:hangingChars="200"/>
    </w:pPr>
  </w:style>
  <w:style w:type="paragraph" w:styleId="2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autoRedefine/>
    <w:qFormat/>
    <w:uiPriority w:val="0"/>
    <w:pPr>
      <w:spacing w:before="100" w:beforeAutospacing="1" w:after="100" w:afterAutospacing="1"/>
      <w:jc w:val="left"/>
    </w:pPr>
    <w:rPr>
      <w:kern w:val="0"/>
      <w:sz w:val="24"/>
    </w:rPr>
  </w:style>
  <w:style w:type="paragraph" w:styleId="29">
    <w:name w:val="Title"/>
    <w:basedOn w:val="1"/>
    <w:next w:val="1"/>
    <w:link w:val="59"/>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30">
    <w:name w:val="annotation subject"/>
    <w:basedOn w:val="9"/>
    <w:next w:val="9"/>
    <w:autoRedefine/>
    <w:semiHidden/>
    <w:qFormat/>
    <w:uiPriority w:val="0"/>
    <w:rPr>
      <w:b/>
      <w:bCs/>
    </w:rPr>
  </w:style>
  <w:style w:type="paragraph" w:styleId="31">
    <w:name w:val="Body Text First Indent"/>
    <w:basedOn w:val="2"/>
    <w:next w:val="1"/>
    <w:autoRedefine/>
    <w:qFormat/>
    <w:uiPriority w:val="0"/>
    <w:pPr>
      <w:ind w:firstLine="420" w:firstLineChars="100"/>
    </w:pPr>
  </w:style>
  <w:style w:type="paragraph" w:styleId="32">
    <w:name w:val="Body Text First Indent 2"/>
    <w:basedOn w:val="11"/>
    <w:next w:val="33"/>
    <w:link w:val="60"/>
    <w:autoRedefine/>
    <w:qFormat/>
    <w:uiPriority w:val="0"/>
    <w:pPr>
      <w:spacing w:after="120" w:line="240" w:lineRule="auto"/>
      <w:ind w:left="420" w:leftChars="200" w:firstLine="420"/>
    </w:pPr>
    <w:rPr>
      <w:rFonts w:ascii="Times New Roman" w:hAnsi="Times New Roman" w:eastAsia="宋体"/>
      <w:sz w:val="21"/>
    </w:rPr>
  </w:style>
  <w:style w:type="paragraph" w:customStyle="1" w:styleId="33">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35">
    <w:name w:val="Table Grid"/>
    <w:basedOn w:val="3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0"/>
    <w:rPr>
      <w:b/>
    </w:rPr>
  </w:style>
  <w:style w:type="character" w:styleId="38">
    <w:name w:val="page number"/>
    <w:autoRedefine/>
    <w:qFormat/>
    <w:uiPriority w:val="0"/>
  </w:style>
  <w:style w:type="character" w:styleId="39">
    <w:name w:val="FollowedHyperlink"/>
    <w:basedOn w:val="36"/>
    <w:qFormat/>
    <w:uiPriority w:val="0"/>
    <w:rPr>
      <w:color w:val="800080"/>
      <w:u w:val="none"/>
    </w:rPr>
  </w:style>
  <w:style w:type="character" w:styleId="40">
    <w:name w:val="Emphasis"/>
    <w:basedOn w:val="36"/>
    <w:autoRedefine/>
    <w:qFormat/>
    <w:uiPriority w:val="0"/>
    <w:rPr>
      <w:i/>
    </w:rPr>
  </w:style>
  <w:style w:type="character" w:styleId="41">
    <w:name w:val="HTML Definition"/>
    <w:basedOn w:val="36"/>
    <w:qFormat/>
    <w:uiPriority w:val="0"/>
  </w:style>
  <w:style w:type="character" w:styleId="42">
    <w:name w:val="HTML Typewriter"/>
    <w:basedOn w:val="36"/>
    <w:qFormat/>
    <w:uiPriority w:val="0"/>
    <w:rPr>
      <w:rFonts w:ascii="monospace" w:hAnsi="monospace" w:eastAsia="monospace" w:cs="monospace"/>
      <w:sz w:val="20"/>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autoRedefine/>
    <w:qFormat/>
    <w:uiPriority w:val="0"/>
    <w:rPr>
      <w:color w:val="0000FF"/>
      <w:u w:val="singl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autoRedefine/>
    <w:semiHidden/>
    <w:qFormat/>
    <w:uiPriority w:val="0"/>
    <w:rPr>
      <w:sz w:val="21"/>
      <w:szCs w:val="21"/>
    </w:rPr>
  </w:style>
  <w:style w:type="character" w:styleId="48">
    <w:name w:val="HTML Cite"/>
    <w:basedOn w:val="36"/>
    <w:qFormat/>
    <w:uiPriority w:val="0"/>
  </w:style>
  <w:style w:type="character" w:styleId="49">
    <w:name w:val="HTML Keyboard"/>
    <w:basedOn w:val="36"/>
    <w:qFormat/>
    <w:uiPriority w:val="0"/>
    <w:rPr>
      <w:rFonts w:hint="default" w:ascii="monospace" w:hAnsi="monospace" w:eastAsia="monospace" w:cs="monospace"/>
      <w:sz w:val="20"/>
    </w:rPr>
  </w:style>
  <w:style w:type="character" w:styleId="50">
    <w:name w:val="HTML Sample"/>
    <w:basedOn w:val="36"/>
    <w:qFormat/>
    <w:uiPriority w:val="0"/>
    <w:rPr>
      <w:rFonts w:hint="default" w:ascii="monospace" w:hAnsi="monospace" w:eastAsia="monospace" w:cs="monospace"/>
    </w:rPr>
  </w:style>
  <w:style w:type="character" w:customStyle="1" w:styleId="51">
    <w:name w:val="标题 1 Char"/>
    <w:link w:val="3"/>
    <w:autoRedefine/>
    <w:qFormat/>
    <w:uiPriority w:val="0"/>
    <w:rPr>
      <w:b/>
      <w:bCs/>
      <w:kern w:val="44"/>
      <w:sz w:val="44"/>
      <w:szCs w:val="44"/>
    </w:rPr>
  </w:style>
  <w:style w:type="character" w:customStyle="1" w:styleId="52">
    <w:name w:val="标题 2 Char"/>
    <w:link w:val="4"/>
    <w:autoRedefine/>
    <w:qFormat/>
    <w:uiPriority w:val="0"/>
    <w:rPr>
      <w:rFonts w:ascii="Arial" w:hAnsi="Arial" w:eastAsia="黑体"/>
      <w:b/>
      <w:bCs/>
      <w:kern w:val="2"/>
      <w:sz w:val="32"/>
      <w:szCs w:val="32"/>
    </w:rPr>
  </w:style>
  <w:style w:type="character" w:customStyle="1" w:styleId="53">
    <w:name w:val="正文缩进 Char"/>
    <w:link w:val="7"/>
    <w:autoRedefine/>
    <w:qFormat/>
    <w:uiPriority w:val="0"/>
    <w:rPr>
      <w:rFonts w:eastAsia="宋体"/>
      <w:kern w:val="2"/>
      <w:sz w:val="21"/>
      <w:lang w:val="en-US" w:eastAsia="zh-CN" w:bidi="ar-SA"/>
    </w:rPr>
  </w:style>
  <w:style w:type="character" w:customStyle="1" w:styleId="54">
    <w:name w:val="正文文本缩进 Char"/>
    <w:link w:val="11"/>
    <w:autoRedefine/>
    <w:qFormat/>
    <w:uiPriority w:val="0"/>
    <w:rPr>
      <w:rFonts w:ascii="仿宋_GB2312" w:hAnsi="宋体" w:eastAsia="仿宋_GB2312"/>
      <w:kern w:val="2"/>
      <w:sz w:val="30"/>
      <w:szCs w:val="24"/>
    </w:rPr>
  </w:style>
  <w:style w:type="character" w:customStyle="1" w:styleId="55">
    <w:name w:val="纯文本 Char"/>
    <w:link w:val="15"/>
    <w:autoRedefine/>
    <w:qFormat/>
    <w:uiPriority w:val="0"/>
    <w:rPr>
      <w:rFonts w:ascii="宋体" w:hAnsi="Courier New" w:eastAsia="宋体"/>
      <w:kern w:val="2"/>
      <w:sz w:val="24"/>
      <w:szCs w:val="24"/>
      <w:lang w:val="en-US" w:eastAsia="zh-CN" w:bidi="ar-SA"/>
    </w:rPr>
  </w:style>
  <w:style w:type="character" w:customStyle="1" w:styleId="56">
    <w:name w:val="日期 Char"/>
    <w:link w:val="16"/>
    <w:autoRedefine/>
    <w:qFormat/>
    <w:uiPriority w:val="0"/>
    <w:rPr>
      <w:rFonts w:ascii="仿宋_GB2312" w:hAnsi="宋体" w:eastAsia="仿宋_GB2312"/>
      <w:kern w:val="2"/>
      <w:sz w:val="30"/>
      <w:szCs w:val="24"/>
    </w:rPr>
  </w:style>
  <w:style w:type="character" w:customStyle="1" w:styleId="57">
    <w:name w:val="页脚 Char"/>
    <w:link w:val="19"/>
    <w:autoRedefine/>
    <w:qFormat/>
    <w:uiPriority w:val="99"/>
    <w:rPr>
      <w:kern w:val="2"/>
      <w:sz w:val="18"/>
      <w:szCs w:val="18"/>
    </w:rPr>
  </w:style>
  <w:style w:type="character" w:customStyle="1" w:styleId="58">
    <w:name w:val="正文文本缩进 3 Char"/>
    <w:link w:val="24"/>
    <w:autoRedefine/>
    <w:qFormat/>
    <w:uiPriority w:val="0"/>
    <w:rPr>
      <w:kern w:val="2"/>
      <w:sz w:val="16"/>
      <w:szCs w:val="16"/>
    </w:rPr>
  </w:style>
  <w:style w:type="character" w:customStyle="1" w:styleId="59">
    <w:name w:val="标题 Char"/>
    <w:link w:val="29"/>
    <w:autoRedefine/>
    <w:qFormat/>
    <w:uiPriority w:val="0"/>
    <w:rPr>
      <w:b/>
      <w:sz w:val="24"/>
      <w:lang w:val="en-GB"/>
    </w:rPr>
  </w:style>
  <w:style w:type="character" w:customStyle="1" w:styleId="60">
    <w:name w:val="正文首行缩进 2 Char"/>
    <w:link w:val="32"/>
    <w:autoRedefine/>
    <w:qFormat/>
    <w:uiPriority w:val="0"/>
    <w:rPr>
      <w:rFonts w:ascii="仿宋_GB2312" w:hAnsi="宋体" w:eastAsia="仿宋_GB2312"/>
      <w:kern w:val="2"/>
      <w:sz w:val="21"/>
      <w:szCs w:val="24"/>
    </w:rPr>
  </w:style>
  <w:style w:type="paragraph" w:customStyle="1" w:styleId="61">
    <w:name w:val="表格文字"/>
    <w:basedOn w:val="15"/>
    <w:next w:val="2"/>
    <w:autoRedefine/>
    <w:qFormat/>
    <w:uiPriority w:val="0"/>
    <w:pPr>
      <w:adjustRightInd w:val="0"/>
      <w:spacing w:line="420" w:lineRule="atLeast"/>
      <w:jc w:val="left"/>
      <w:textAlignment w:val="baseline"/>
    </w:pPr>
    <w:rPr>
      <w:rFonts w:ascii="Times New Roman" w:hAnsi="Times New Roman"/>
      <w:kern w:val="0"/>
    </w:rPr>
  </w:style>
  <w:style w:type="character" w:customStyle="1" w:styleId="62">
    <w:name w:val="15"/>
    <w:autoRedefine/>
    <w:qFormat/>
    <w:uiPriority w:val="0"/>
    <w:rPr>
      <w:rFonts w:hint="default" w:ascii="Times New Roman" w:hAnsi="Times New Roman" w:cs="Times New Roman"/>
    </w:rPr>
  </w:style>
  <w:style w:type="character" w:customStyle="1" w:styleId="63">
    <w:name w:val="纯文本 Char1"/>
    <w:autoRedefine/>
    <w:qFormat/>
    <w:uiPriority w:val="0"/>
    <w:rPr>
      <w:rFonts w:ascii="宋体" w:hAnsi="Courier New" w:eastAsia="宋体"/>
      <w:kern w:val="2"/>
      <w:sz w:val="24"/>
      <w:szCs w:val="24"/>
      <w:lang w:val="en-US" w:eastAsia="zh-CN" w:bidi="ar-SA"/>
    </w:rPr>
  </w:style>
  <w:style w:type="character" w:customStyle="1" w:styleId="64">
    <w:name w:val="font11"/>
    <w:basedOn w:val="36"/>
    <w:autoRedefine/>
    <w:qFormat/>
    <w:uiPriority w:val="0"/>
    <w:rPr>
      <w:rFonts w:hint="eastAsia" w:ascii="宋体" w:hAnsi="宋体" w:eastAsia="宋体" w:cs="宋体"/>
      <w:color w:val="000000"/>
      <w:sz w:val="20"/>
      <w:szCs w:val="20"/>
      <w:u w:val="none"/>
    </w:rPr>
  </w:style>
  <w:style w:type="character" w:customStyle="1" w:styleId="65">
    <w:name w:val="ca-4"/>
    <w:autoRedefine/>
    <w:qFormat/>
    <w:uiPriority w:val="0"/>
  </w:style>
  <w:style w:type="character" w:customStyle="1" w:styleId="66">
    <w:name w:val="newsitemtext1"/>
    <w:autoRedefine/>
    <w:qFormat/>
    <w:uiPriority w:val="0"/>
    <w:rPr>
      <w:color w:val="000000"/>
      <w:spacing w:val="320"/>
      <w:sz w:val="21"/>
      <w:szCs w:val="21"/>
    </w:rPr>
  </w:style>
  <w:style w:type="character" w:customStyle="1" w:styleId="67">
    <w:name w:val="font31"/>
    <w:basedOn w:val="36"/>
    <w:autoRedefine/>
    <w:qFormat/>
    <w:uiPriority w:val="0"/>
    <w:rPr>
      <w:rFonts w:hint="eastAsia" w:ascii="宋体" w:hAnsi="宋体" w:eastAsia="宋体" w:cs="宋体"/>
      <w:b/>
      <w:bCs/>
      <w:color w:val="000000"/>
      <w:sz w:val="20"/>
      <w:szCs w:val="20"/>
      <w:u w:val="none"/>
    </w:rPr>
  </w:style>
  <w:style w:type="paragraph" w:styleId="68">
    <w:name w:val="Intense Quote"/>
    <w:basedOn w:val="1"/>
    <w:next w:val="1"/>
    <w:autoRedefine/>
    <w:qFormat/>
    <w:uiPriority w:val="0"/>
    <w:pPr>
      <w:wordWrap w:val="0"/>
      <w:spacing w:before="360" w:after="360"/>
      <w:ind w:left="950" w:right="950"/>
      <w:jc w:val="center"/>
    </w:pPr>
    <w:rPr>
      <w:i/>
    </w:rPr>
  </w:style>
  <w:style w:type="paragraph" w:customStyle="1" w:styleId="69">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styleId="70">
    <w:name w:val="List Paragraph"/>
    <w:basedOn w:val="1"/>
    <w:autoRedefine/>
    <w:qFormat/>
    <w:uiPriority w:val="34"/>
    <w:pPr>
      <w:ind w:firstLine="420" w:firstLineChars="200"/>
    </w:pPr>
  </w:style>
  <w:style w:type="paragraph" w:customStyle="1" w:styleId="71">
    <w:name w:val="Default"/>
    <w:next w:val="68"/>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2">
    <w:name w:val="正文2"/>
    <w:basedOn w:val="1"/>
    <w:autoRedefine/>
    <w:qFormat/>
    <w:uiPriority w:val="0"/>
    <w:pPr>
      <w:spacing w:before="156" w:line="360" w:lineRule="auto"/>
      <w:ind w:firstLine="510" w:firstLineChars="200"/>
    </w:pPr>
    <w:rPr>
      <w:szCs w:val="20"/>
    </w:rPr>
  </w:style>
  <w:style w:type="paragraph" w:customStyle="1" w:styleId="73">
    <w:name w:val="列出段落1"/>
    <w:basedOn w:val="1"/>
    <w:autoRedefine/>
    <w:qFormat/>
    <w:uiPriority w:val="34"/>
    <w:pPr>
      <w:ind w:firstLine="420" w:firstLineChars="200"/>
    </w:pPr>
    <w:rPr>
      <w:sz w:val="28"/>
      <w:szCs w:val="20"/>
    </w:rPr>
  </w:style>
  <w:style w:type="paragraph" w:customStyle="1" w:styleId="74">
    <w:name w:val="正文 A"/>
    <w:basedOn w:val="1"/>
    <w:autoRedefine/>
    <w:qFormat/>
    <w:uiPriority w:val="0"/>
    <w:rPr>
      <w:rFonts w:eastAsia="Arial Unicode MS" w:cs="Arial Unicode MS"/>
      <w:color w:val="000000"/>
      <w:szCs w:val="21"/>
    </w:rPr>
  </w:style>
  <w:style w:type="paragraph" w:customStyle="1" w:styleId="75">
    <w:name w:val="章正文"/>
    <w:basedOn w:val="1"/>
    <w:autoRedefine/>
    <w:qFormat/>
    <w:uiPriority w:val="0"/>
    <w:pPr>
      <w:spacing w:before="156" w:beforeLines="50" w:after="120" w:line="300" w:lineRule="auto"/>
      <w:ind w:firstLine="480"/>
    </w:pPr>
    <w:rPr>
      <w:rFonts w:ascii="Helvetica" w:hAnsi="Helvetica"/>
      <w:kern w:val="0"/>
      <w:sz w:val="24"/>
    </w:rPr>
  </w:style>
  <w:style w:type="paragraph" w:customStyle="1" w:styleId="76">
    <w:name w:val="正文段"/>
    <w:basedOn w:val="1"/>
    <w:autoRedefine/>
    <w:qFormat/>
    <w:uiPriority w:val="99"/>
    <w:pPr>
      <w:widowControl/>
      <w:snapToGrid w:val="0"/>
      <w:spacing w:after="156" w:afterLines="50"/>
      <w:ind w:firstLine="200" w:firstLineChars="200"/>
    </w:pPr>
    <w:rPr>
      <w:kern w:val="0"/>
      <w:sz w:val="24"/>
      <w:szCs w:val="20"/>
    </w:rPr>
  </w:style>
  <w:style w:type="paragraph" w:customStyle="1" w:styleId="77">
    <w:name w:val="_Style 1"/>
    <w:basedOn w:val="1"/>
    <w:autoRedefine/>
    <w:qFormat/>
    <w:uiPriority w:val="0"/>
    <w:pPr>
      <w:ind w:firstLine="420" w:firstLineChars="200"/>
    </w:pPr>
    <w:rPr>
      <w:rFonts w:ascii="Calibri" w:hAnsi="Calibri"/>
      <w:szCs w:val="22"/>
    </w:rPr>
  </w:style>
  <w:style w:type="paragraph" w:customStyle="1" w:styleId="7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9">
    <w:name w:val="pa-122"/>
    <w:basedOn w:val="1"/>
    <w:autoRedefine/>
    <w:qFormat/>
    <w:uiPriority w:val="0"/>
    <w:pPr>
      <w:widowControl/>
      <w:spacing w:before="150" w:after="150"/>
      <w:jc w:val="left"/>
    </w:pPr>
    <w:rPr>
      <w:rFonts w:ascii="宋体" w:hAnsi="宋体" w:cs="宋体"/>
      <w:kern w:val="0"/>
      <w:sz w:val="24"/>
    </w:rPr>
  </w:style>
  <w:style w:type="paragraph" w:customStyle="1" w:styleId="80">
    <w:name w:val="_Style 69"/>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0~投标正文"/>
    <w:basedOn w:val="1"/>
    <w:autoRedefine/>
    <w:qFormat/>
    <w:uiPriority w:val="0"/>
    <w:pPr>
      <w:widowControl/>
      <w:ind w:firstLine="200" w:firstLineChars="200"/>
      <w:jc w:val="left"/>
    </w:pPr>
    <w:rPr>
      <w:rFonts w:ascii="宋体" w:hAnsi="宋体" w:cs="宋体"/>
      <w:kern w:val="0"/>
    </w:rPr>
  </w:style>
  <w:style w:type="paragraph" w:customStyle="1" w:styleId="82">
    <w:name w:val="初设正文"/>
    <w:basedOn w:val="1"/>
    <w:autoRedefine/>
    <w:qFormat/>
    <w:uiPriority w:val="0"/>
    <w:pPr>
      <w:spacing w:line="360" w:lineRule="auto"/>
      <w:ind w:firstLine="200" w:firstLineChars="200"/>
    </w:pPr>
  </w:style>
  <w:style w:type="character" w:customStyle="1" w:styleId="83">
    <w:name w:val="font171"/>
    <w:basedOn w:val="36"/>
    <w:autoRedefine/>
    <w:qFormat/>
    <w:uiPriority w:val="0"/>
    <w:rPr>
      <w:rFonts w:ascii="Symbol" w:hAnsi="Symbol" w:cs="Symbol"/>
      <w:color w:val="000000"/>
      <w:sz w:val="22"/>
      <w:szCs w:val="22"/>
      <w:u w:val="none"/>
    </w:rPr>
  </w:style>
  <w:style w:type="paragraph" w:customStyle="1" w:styleId="84">
    <w:name w:val="正文1"/>
    <w:basedOn w:val="1"/>
    <w:autoRedefine/>
    <w:qFormat/>
    <w:uiPriority w:val="0"/>
    <w:pPr>
      <w:widowControl/>
    </w:pPr>
    <w:rPr>
      <w:szCs w:val="21"/>
    </w:rPr>
  </w:style>
  <w:style w:type="character" w:customStyle="1" w:styleId="85">
    <w:name w:val="font21"/>
    <w:basedOn w:val="36"/>
    <w:autoRedefine/>
    <w:qFormat/>
    <w:uiPriority w:val="0"/>
    <w:rPr>
      <w:rFonts w:hint="eastAsia" w:ascii="微软雅黑" w:hAnsi="微软雅黑" w:eastAsia="微软雅黑" w:cs="微软雅黑"/>
      <w:color w:val="000000"/>
      <w:sz w:val="16"/>
      <w:szCs w:val="16"/>
      <w:u w:val="none"/>
    </w:rPr>
  </w:style>
  <w:style w:type="paragraph" w:customStyle="1" w:styleId="86">
    <w:name w:val="LS-表格正文"/>
    <w:basedOn w:val="1"/>
    <w:autoRedefine/>
    <w:qFormat/>
    <w:uiPriority w:val="0"/>
    <w:pPr>
      <w:tabs>
        <w:tab w:val="left" w:pos="560"/>
      </w:tabs>
      <w:spacing w:before="100" w:beforeAutospacing="1" w:after="100" w:afterAutospacing="1"/>
      <w:jc w:val="center"/>
    </w:pPr>
    <w:rPr>
      <w:rFonts w:hint="eastAsia" w:ascii="Calibri" w:hAnsi="Calibri"/>
      <w:szCs w:val="22"/>
    </w:rPr>
  </w:style>
  <w:style w:type="character" w:customStyle="1" w:styleId="8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37264</Words>
  <Characters>39575</Characters>
  <Lines>316</Lines>
  <Paragraphs>89</Paragraphs>
  <TotalTime>98</TotalTime>
  <ScaleCrop>false</ScaleCrop>
  <LinksUpToDate>false</LinksUpToDate>
  <CharactersWithSpaces>42159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2024-06-14T02:58:00Z</dcterms:created>
  <dc:creator>鹧鸪天</dc:creator>
  <cp:lastModifiedBy>only。</cp:lastModifiedBy>
  <cp:lastPrinted>2021-09-23T07:47:00Z</cp:lastPrinted>
  <dcterms:modified xsi:type="dcterms:W3CDTF">2024-06-18T04:28:22Z</dcterms:modified>
  <dc:title>2018-2019年度安吉县县级以上公路日常养护服务政府采购项目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ED6A227864634A3285FB50A86E683537_13</vt:lpwstr>
  </property>
</Properties>
</file>