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276"/>
        </w:tabs>
        <w:spacing w:line="1000" w:lineRule="exact"/>
        <w:jc w:val="center"/>
        <w:rPr>
          <w:rFonts w:hint="eastAsia" w:ascii="宋体" w:hAnsi="宋体" w:eastAsia="宋体" w:cs="宋体"/>
          <w:b/>
          <w:color w:val="auto"/>
          <w:sz w:val="48"/>
          <w:szCs w:val="48"/>
          <w:highlight w:val="none"/>
          <w:lang w:eastAsia="zh-CN"/>
        </w:rPr>
      </w:pPr>
      <w:r>
        <w:rPr>
          <w:rFonts w:hint="eastAsia" w:ascii="宋体" w:hAnsi="宋体" w:cs="宋体"/>
          <w:b/>
          <w:color w:val="auto"/>
          <w:sz w:val="48"/>
          <w:szCs w:val="48"/>
          <w:highlight w:val="none"/>
          <w:lang w:eastAsia="zh-CN"/>
        </w:rPr>
        <w:t>安吉县人民政府灵峰街道办事处2025-2026年度土壤污染状况调查服务项目</w:t>
      </w:r>
    </w:p>
    <w:p>
      <w:pPr>
        <w:tabs>
          <w:tab w:val="left" w:pos="1276"/>
        </w:tabs>
        <w:spacing w:line="1000" w:lineRule="exact"/>
        <w:jc w:val="center"/>
        <w:rPr>
          <w:rFonts w:hint="eastAsia" w:ascii="宋体" w:hAnsi="宋体" w:cs="宋体"/>
          <w:b/>
          <w:color w:val="auto"/>
          <w:sz w:val="52"/>
          <w:szCs w:val="52"/>
          <w:highlight w:val="none"/>
        </w:rPr>
      </w:pPr>
    </w:p>
    <w:p>
      <w:pPr>
        <w:tabs>
          <w:tab w:val="left" w:pos="1276"/>
        </w:tabs>
        <w:spacing w:line="1000" w:lineRule="exact"/>
        <w:jc w:val="center"/>
        <w:rPr>
          <w:rFonts w:hint="eastAsia" w:ascii="宋体" w:hAnsi="宋体" w:cs="宋体"/>
          <w:b/>
          <w:color w:val="auto"/>
          <w:sz w:val="48"/>
          <w:szCs w:val="48"/>
          <w:highlight w:val="none"/>
        </w:rPr>
      </w:pPr>
      <w:r>
        <w:rPr>
          <w:rFonts w:hint="eastAsia" w:ascii="宋体" w:hAnsi="宋体" w:cs="宋体"/>
          <w:b/>
          <w:color w:val="auto"/>
          <w:sz w:val="48"/>
          <w:szCs w:val="48"/>
          <w:highlight w:val="none"/>
        </w:rPr>
        <w:t>竞</w:t>
      </w:r>
    </w:p>
    <w:p>
      <w:pPr>
        <w:tabs>
          <w:tab w:val="left" w:pos="1276"/>
        </w:tabs>
        <w:spacing w:line="1000" w:lineRule="exact"/>
        <w:jc w:val="center"/>
        <w:rPr>
          <w:rFonts w:hint="eastAsia" w:ascii="宋体" w:hAnsi="宋体" w:cs="宋体"/>
          <w:b/>
          <w:color w:val="auto"/>
          <w:sz w:val="48"/>
          <w:szCs w:val="48"/>
          <w:highlight w:val="none"/>
        </w:rPr>
      </w:pPr>
      <w:r>
        <w:rPr>
          <w:rFonts w:hint="eastAsia" w:ascii="宋体" w:hAnsi="宋体" w:cs="宋体"/>
          <w:b/>
          <w:color w:val="auto"/>
          <w:sz w:val="48"/>
          <w:szCs w:val="48"/>
          <w:highlight w:val="none"/>
        </w:rPr>
        <w:t>争</w:t>
      </w:r>
    </w:p>
    <w:p>
      <w:pPr>
        <w:tabs>
          <w:tab w:val="left" w:pos="1276"/>
        </w:tabs>
        <w:spacing w:line="1000" w:lineRule="exact"/>
        <w:jc w:val="center"/>
        <w:rPr>
          <w:rFonts w:hint="eastAsia" w:ascii="宋体" w:hAnsi="宋体" w:cs="宋体"/>
          <w:b/>
          <w:color w:val="auto"/>
          <w:sz w:val="48"/>
          <w:szCs w:val="48"/>
          <w:highlight w:val="none"/>
        </w:rPr>
      </w:pPr>
      <w:r>
        <w:rPr>
          <w:rFonts w:hint="eastAsia" w:ascii="宋体" w:hAnsi="宋体" w:cs="宋体"/>
          <w:b/>
          <w:color w:val="auto"/>
          <w:sz w:val="48"/>
          <w:szCs w:val="48"/>
          <w:highlight w:val="none"/>
        </w:rPr>
        <w:t>性</w:t>
      </w:r>
    </w:p>
    <w:p>
      <w:pPr>
        <w:tabs>
          <w:tab w:val="left" w:pos="1276"/>
        </w:tabs>
        <w:spacing w:line="1000" w:lineRule="exact"/>
        <w:jc w:val="center"/>
        <w:rPr>
          <w:rFonts w:hint="eastAsia" w:ascii="宋体" w:hAnsi="宋体" w:cs="宋体"/>
          <w:b/>
          <w:color w:val="auto"/>
          <w:sz w:val="48"/>
          <w:szCs w:val="48"/>
          <w:highlight w:val="none"/>
        </w:rPr>
      </w:pPr>
      <w:r>
        <w:rPr>
          <w:rFonts w:hint="eastAsia" w:ascii="宋体" w:hAnsi="宋体" w:cs="宋体"/>
          <w:b/>
          <w:color w:val="auto"/>
          <w:sz w:val="48"/>
          <w:szCs w:val="48"/>
          <w:highlight w:val="none"/>
        </w:rPr>
        <w:t>磋</w:t>
      </w:r>
    </w:p>
    <w:p>
      <w:pPr>
        <w:tabs>
          <w:tab w:val="left" w:pos="1276"/>
        </w:tabs>
        <w:spacing w:line="1000" w:lineRule="exact"/>
        <w:jc w:val="center"/>
        <w:rPr>
          <w:rFonts w:hint="eastAsia" w:ascii="宋体" w:hAnsi="宋体" w:cs="宋体"/>
          <w:b/>
          <w:color w:val="auto"/>
          <w:sz w:val="48"/>
          <w:szCs w:val="48"/>
          <w:highlight w:val="none"/>
        </w:rPr>
      </w:pPr>
      <w:r>
        <w:rPr>
          <w:rFonts w:hint="eastAsia" w:ascii="宋体" w:hAnsi="宋体" w:cs="宋体"/>
          <w:b/>
          <w:color w:val="auto"/>
          <w:sz w:val="48"/>
          <w:szCs w:val="48"/>
          <w:highlight w:val="none"/>
        </w:rPr>
        <w:t>商</w:t>
      </w:r>
    </w:p>
    <w:p>
      <w:pPr>
        <w:tabs>
          <w:tab w:val="left" w:pos="1276"/>
        </w:tabs>
        <w:spacing w:line="1000" w:lineRule="exact"/>
        <w:jc w:val="center"/>
        <w:rPr>
          <w:rFonts w:hint="eastAsia" w:ascii="宋体" w:hAnsi="宋体" w:cs="宋体"/>
          <w:b/>
          <w:color w:val="auto"/>
          <w:sz w:val="48"/>
          <w:szCs w:val="48"/>
          <w:highlight w:val="none"/>
        </w:rPr>
      </w:pPr>
      <w:r>
        <w:rPr>
          <w:rFonts w:hint="eastAsia" w:ascii="宋体" w:hAnsi="宋体" w:cs="宋体"/>
          <w:b/>
          <w:color w:val="auto"/>
          <w:sz w:val="48"/>
          <w:szCs w:val="48"/>
          <w:highlight w:val="none"/>
        </w:rPr>
        <w:t>文</w:t>
      </w:r>
    </w:p>
    <w:p>
      <w:pPr>
        <w:tabs>
          <w:tab w:val="left" w:pos="1276"/>
        </w:tabs>
        <w:spacing w:line="1000" w:lineRule="exact"/>
        <w:jc w:val="center"/>
        <w:rPr>
          <w:rFonts w:hint="eastAsia" w:ascii="宋体" w:hAnsi="宋体" w:cs="宋体"/>
          <w:b/>
          <w:color w:val="auto"/>
          <w:sz w:val="48"/>
          <w:szCs w:val="48"/>
          <w:highlight w:val="none"/>
        </w:rPr>
      </w:pPr>
      <w:r>
        <w:rPr>
          <w:rFonts w:hint="eastAsia" w:ascii="宋体" w:hAnsi="宋体" w:cs="宋体"/>
          <w:b/>
          <w:color w:val="auto"/>
          <w:sz w:val="48"/>
          <w:szCs w:val="48"/>
          <w:highlight w:val="none"/>
        </w:rPr>
        <w:t>件</w:t>
      </w:r>
    </w:p>
    <w:p>
      <w:pPr>
        <w:spacing w:line="360" w:lineRule="exact"/>
        <w:rPr>
          <w:rFonts w:hint="eastAsia" w:ascii="宋体" w:hAnsi="宋体" w:cs="宋体"/>
          <w:color w:val="auto"/>
          <w:szCs w:val="21"/>
          <w:highlight w:val="none"/>
        </w:rPr>
      </w:pPr>
    </w:p>
    <w:p>
      <w:pPr>
        <w:keepNext/>
        <w:keepLines/>
        <w:spacing w:line="579" w:lineRule="auto"/>
        <w:rPr>
          <w:rFonts w:hint="eastAsia" w:ascii="宋体" w:hAnsi="宋体" w:cs="宋体"/>
          <w:color w:val="auto"/>
          <w:szCs w:val="21"/>
          <w:highlight w:val="none"/>
        </w:rPr>
      </w:pPr>
    </w:p>
    <w:p>
      <w:pPr>
        <w:spacing w:line="520" w:lineRule="exact"/>
        <w:ind w:firstLine="1960" w:firstLineChars="700"/>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rPr>
        <w:t>项目编号：</w:t>
      </w:r>
      <w:r>
        <w:rPr>
          <w:rFonts w:hint="eastAsia" w:ascii="宋体" w:hAnsi="宋体" w:cs="宋体"/>
          <w:color w:val="auto"/>
          <w:sz w:val="28"/>
          <w:szCs w:val="28"/>
          <w:highlight w:val="none"/>
          <w:lang w:eastAsia="zh-CN"/>
        </w:rPr>
        <w:t>AJKB-CS2025-005</w:t>
      </w:r>
    </w:p>
    <w:p>
      <w:pPr>
        <w:spacing w:line="520" w:lineRule="exact"/>
        <w:rPr>
          <w:rFonts w:hint="eastAsia" w:ascii="宋体" w:hAnsi="宋体" w:eastAsia="宋体" w:cs="宋体"/>
          <w:color w:val="auto"/>
          <w:sz w:val="28"/>
          <w:szCs w:val="28"/>
          <w:highlight w:val="none"/>
          <w:lang w:eastAsia="zh-CN"/>
        </w:rPr>
      </w:pPr>
      <w:r>
        <w:rPr>
          <w:rFonts w:hint="eastAsia" w:ascii="宋体" w:hAnsi="宋体" w:cs="宋体"/>
          <w:bCs/>
          <w:color w:val="auto"/>
          <w:sz w:val="28"/>
          <w:szCs w:val="28"/>
          <w:highlight w:val="none"/>
        </w:rPr>
        <w:t>采购</w:t>
      </w:r>
      <w:r>
        <w:rPr>
          <w:rFonts w:hint="eastAsia" w:ascii="宋体" w:hAnsi="宋体" w:cs="宋体"/>
          <w:color w:val="auto"/>
          <w:sz w:val="28"/>
          <w:szCs w:val="28"/>
          <w:highlight w:val="none"/>
        </w:rPr>
        <w:t>单位：</w:t>
      </w:r>
      <w:r>
        <w:rPr>
          <w:rFonts w:hint="eastAsia" w:ascii="宋体" w:hAnsi="宋体" w:cs="宋体"/>
          <w:color w:val="auto"/>
          <w:sz w:val="28"/>
          <w:szCs w:val="28"/>
          <w:highlight w:val="none"/>
          <w:lang w:eastAsia="zh-CN"/>
        </w:rPr>
        <w:t>安吉县人民政府灵峰街道办事处（安吉灵峰旅游度假区管理委员会）</w:t>
      </w:r>
    </w:p>
    <w:p>
      <w:pPr>
        <w:spacing w:line="520" w:lineRule="exact"/>
        <w:ind w:firstLine="1960" w:firstLineChars="700"/>
        <w:rPr>
          <w:rFonts w:hint="eastAsia" w:ascii="宋体" w:hAnsi="宋体" w:cs="宋体"/>
          <w:color w:val="auto"/>
          <w:sz w:val="28"/>
          <w:szCs w:val="28"/>
          <w:highlight w:val="none"/>
        </w:rPr>
      </w:pPr>
      <w:r>
        <w:rPr>
          <w:rFonts w:hint="eastAsia" w:ascii="宋体" w:hAnsi="宋体" w:cs="宋体"/>
          <w:color w:val="auto"/>
          <w:sz w:val="28"/>
          <w:szCs w:val="28"/>
          <w:highlight w:val="none"/>
        </w:rPr>
        <w:t>采购代理机构：安吉口碑采购代理服务有限公司</w:t>
      </w:r>
    </w:p>
    <w:p>
      <w:pPr>
        <w:spacing w:line="520" w:lineRule="exact"/>
        <w:ind w:firstLine="1960" w:firstLineChars="700"/>
        <w:rPr>
          <w:rFonts w:hint="eastAsia" w:ascii="宋体" w:hAnsi="宋体" w:cs="宋体"/>
          <w:color w:val="auto"/>
          <w:sz w:val="28"/>
          <w:szCs w:val="28"/>
          <w:highlight w:val="none"/>
        </w:rPr>
      </w:pPr>
      <w:r>
        <w:rPr>
          <w:rFonts w:hint="eastAsia" w:ascii="宋体" w:hAnsi="宋体" w:cs="宋体"/>
          <w:color w:val="auto"/>
          <w:sz w:val="28"/>
          <w:szCs w:val="28"/>
          <w:highlight w:val="none"/>
        </w:rPr>
        <w:t>日期：202</w:t>
      </w:r>
      <w:r>
        <w:rPr>
          <w:rFonts w:hint="eastAsia" w:ascii="宋体" w:hAnsi="宋体" w:cs="宋体"/>
          <w:color w:val="auto"/>
          <w:sz w:val="28"/>
          <w:szCs w:val="28"/>
          <w:highlight w:val="none"/>
          <w:lang w:val="en-US" w:eastAsia="zh-CN"/>
        </w:rPr>
        <w:t>5</w:t>
      </w:r>
      <w:r>
        <w:rPr>
          <w:rFonts w:hint="eastAsia" w:ascii="宋体" w:hAnsi="宋体" w:cs="宋体"/>
          <w:color w:val="auto"/>
          <w:sz w:val="28"/>
          <w:szCs w:val="28"/>
          <w:highlight w:val="none"/>
        </w:rPr>
        <w:t>年</w:t>
      </w:r>
      <w:r>
        <w:rPr>
          <w:rFonts w:hint="eastAsia" w:ascii="宋体" w:hAnsi="宋体" w:cs="宋体"/>
          <w:color w:val="auto"/>
          <w:sz w:val="28"/>
          <w:szCs w:val="28"/>
          <w:highlight w:val="none"/>
          <w:lang w:val="en-US" w:eastAsia="zh-CN"/>
        </w:rPr>
        <w:t>2</w:t>
      </w:r>
      <w:r>
        <w:rPr>
          <w:rFonts w:hint="eastAsia" w:ascii="宋体" w:hAnsi="宋体" w:cs="宋体"/>
          <w:color w:val="auto"/>
          <w:sz w:val="28"/>
          <w:szCs w:val="28"/>
          <w:highlight w:val="none"/>
        </w:rPr>
        <w:t>月</w:t>
      </w:r>
    </w:p>
    <w:p>
      <w:pPr>
        <w:spacing w:line="360" w:lineRule="exact"/>
        <w:rPr>
          <w:rFonts w:hint="eastAsia" w:ascii="宋体" w:hAnsi="宋体" w:cs="宋体"/>
          <w:color w:val="auto"/>
          <w:szCs w:val="21"/>
          <w:highlight w:val="none"/>
        </w:rPr>
      </w:pPr>
    </w:p>
    <w:p>
      <w:pPr>
        <w:spacing w:line="360" w:lineRule="exact"/>
        <w:rPr>
          <w:rFonts w:hint="eastAsia" w:ascii="宋体" w:hAnsi="宋体" w:cs="宋体"/>
          <w:color w:val="auto"/>
          <w:szCs w:val="21"/>
          <w:highlight w:val="none"/>
        </w:rPr>
        <w:sectPr>
          <w:headerReference r:id="rId3" w:type="default"/>
          <w:footerReference r:id="rId4" w:type="default"/>
          <w:pgSz w:w="11906" w:h="16838"/>
          <w:pgMar w:top="1134" w:right="1134" w:bottom="1134" w:left="1134" w:header="567" w:footer="567" w:gutter="0"/>
          <w:pgNumType w:start="1"/>
          <w:cols w:space="720" w:num="1"/>
          <w:docGrid w:type="lines" w:linePitch="312" w:charSpace="0"/>
        </w:sectPr>
      </w:pPr>
    </w:p>
    <w:p>
      <w:pPr>
        <w:spacing w:line="360" w:lineRule="exact"/>
        <w:rPr>
          <w:rFonts w:hint="eastAsia" w:ascii="宋体" w:hAnsi="宋体" w:cs="宋体"/>
          <w:color w:val="auto"/>
          <w:szCs w:val="21"/>
          <w:highlight w:val="none"/>
        </w:rPr>
      </w:pPr>
    </w:p>
    <w:p>
      <w:pPr>
        <w:spacing w:line="360" w:lineRule="auto"/>
        <w:jc w:val="center"/>
        <w:rPr>
          <w:rFonts w:hint="eastAsia" w:ascii="宋体" w:hAnsi="宋体" w:cs="宋体"/>
          <w:b/>
          <w:color w:val="auto"/>
          <w:szCs w:val="21"/>
          <w:highlight w:val="none"/>
        </w:rPr>
      </w:pPr>
      <w:r>
        <w:rPr>
          <w:rFonts w:hint="eastAsia" w:ascii="宋体" w:hAnsi="宋体" w:cs="宋体"/>
          <w:b/>
          <w:color w:val="auto"/>
          <w:sz w:val="32"/>
          <w:szCs w:val="32"/>
          <w:highlight w:val="none"/>
        </w:rPr>
        <w:t>目   录</w:t>
      </w:r>
    </w:p>
    <w:p>
      <w:pPr>
        <w:pStyle w:val="21"/>
        <w:spacing w:line="480" w:lineRule="auto"/>
        <w:jc w:val="center"/>
        <w:rPr>
          <w:rFonts w:hint="eastAsia" w:cs="宋体"/>
          <w:color w:val="auto"/>
          <w:sz w:val="28"/>
          <w:szCs w:val="28"/>
          <w:highlight w:val="none"/>
          <w:lang w:val="en-US" w:eastAsia="zh-CN"/>
        </w:rPr>
      </w:pPr>
      <w:r>
        <w:rPr>
          <w:rFonts w:hint="eastAsia" w:cs="宋体"/>
          <w:color w:val="auto"/>
          <w:sz w:val="28"/>
          <w:szCs w:val="28"/>
          <w:highlight w:val="none"/>
        </w:rPr>
        <w:fldChar w:fldCharType="begin"/>
      </w:r>
      <w:r>
        <w:rPr>
          <w:rFonts w:hint="eastAsia" w:cs="宋体"/>
          <w:color w:val="auto"/>
          <w:sz w:val="28"/>
          <w:szCs w:val="28"/>
          <w:highlight w:val="none"/>
        </w:rPr>
        <w:instrText xml:space="preserve"> TOC \o "1-3" \h \z \u </w:instrText>
      </w:r>
      <w:r>
        <w:rPr>
          <w:rFonts w:hint="eastAsia" w:cs="宋体"/>
          <w:color w:val="auto"/>
          <w:sz w:val="28"/>
          <w:szCs w:val="28"/>
          <w:highlight w:val="none"/>
        </w:rPr>
        <w:fldChar w:fldCharType="separate"/>
      </w:r>
      <w:r>
        <w:rPr>
          <w:rFonts w:hint="eastAsia" w:cs="宋体"/>
          <w:color w:val="auto"/>
          <w:sz w:val="28"/>
          <w:szCs w:val="28"/>
          <w:highlight w:val="none"/>
        </w:rPr>
        <w:fldChar w:fldCharType="begin"/>
      </w:r>
      <w:r>
        <w:rPr>
          <w:rStyle w:val="36"/>
          <w:rFonts w:hint="eastAsia" w:cs="宋体"/>
          <w:color w:val="auto"/>
          <w:sz w:val="28"/>
          <w:szCs w:val="28"/>
          <w:highlight w:val="none"/>
        </w:rPr>
        <w:instrText xml:space="preserve"> </w:instrText>
      </w:r>
      <w:r>
        <w:rPr>
          <w:rFonts w:hint="eastAsia" w:cs="宋体"/>
          <w:color w:val="auto"/>
          <w:sz w:val="28"/>
          <w:szCs w:val="28"/>
          <w:highlight w:val="none"/>
        </w:rPr>
        <w:instrText xml:space="preserve">HYPERLINK \l "_Toc34746014"</w:instrText>
      </w:r>
      <w:r>
        <w:rPr>
          <w:rStyle w:val="36"/>
          <w:rFonts w:hint="eastAsia" w:cs="宋体"/>
          <w:color w:val="auto"/>
          <w:sz w:val="28"/>
          <w:szCs w:val="28"/>
          <w:highlight w:val="none"/>
        </w:rPr>
        <w:instrText xml:space="preserve"> </w:instrText>
      </w:r>
      <w:r>
        <w:rPr>
          <w:rFonts w:hint="eastAsia" w:cs="宋体"/>
          <w:color w:val="auto"/>
          <w:sz w:val="28"/>
          <w:szCs w:val="28"/>
          <w:highlight w:val="none"/>
        </w:rPr>
        <w:fldChar w:fldCharType="separate"/>
      </w:r>
      <w:r>
        <w:rPr>
          <w:rStyle w:val="36"/>
          <w:rFonts w:hint="eastAsia" w:cs="宋体"/>
          <w:color w:val="auto"/>
          <w:sz w:val="28"/>
          <w:szCs w:val="28"/>
          <w:highlight w:val="none"/>
        </w:rPr>
        <w:t xml:space="preserve">第一章 </w:t>
      </w:r>
      <w:r>
        <w:rPr>
          <w:rStyle w:val="36"/>
          <w:rFonts w:hint="eastAsia" w:cs="宋体"/>
          <w:color w:val="auto"/>
          <w:sz w:val="28"/>
          <w:szCs w:val="28"/>
          <w:highlight w:val="none"/>
          <w:lang w:val="en-US" w:eastAsia="zh-CN"/>
        </w:rPr>
        <w:t xml:space="preserve"> </w:t>
      </w:r>
      <w:r>
        <w:rPr>
          <w:rStyle w:val="36"/>
          <w:rFonts w:hint="eastAsia" w:cs="宋体"/>
          <w:color w:val="auto"/>
          <w:sz w:val="28"/>
          <w:szCs w:val="28"/>
          <w:highlight w:val="none"/>
        </w:rPr>
        <w:t>竞争性磋商公告</w:t>
      </w:r>
      <w:r>
        <w:rPr>
          <w:rFonts w:hint="eastAsia" w:cs="宋体"/>
          <w:color w:val="auto"/>
          <w:sz w:val="28"/>
          <w:szCs w:val="28"/>
          <w:highlight w:val="none"/>
        </w:rPr>
        <w:tab/>
      </w:r>
      <w:r>
        <w:rPr>
          <w:rFonts w:hint="eastAsia" w:cs="宋体"/>
          <w:color w:val="auto"/>
          <w:sz w:val="28"/>
          <w:szCs w:val="28"/>
          <w:highlight w:val="none"/>
        </w:rPr>
        <w:fldChar w:fldCharType="begin"/>
      </w:r>
      <w:r>
        <w:rPr>
          <w:rFonts w:hint="eastAsia" w:cs="宋体"/>
          <w:color w:val="auto"/>
          <w:sz w:val="28"/>
          <w:szCs w:val="28"/>
          <w:highlight w:val="none"/>
        </w:rPr>
        <w:instrText xml:space="preserve"> PAGEREF _Toc34746014 \h </w:instrText>
      </w:r>
      <w:r>
        <w:rPr>
          <w:rFonts w:hint="eastAsia" w:cs="宋体"/>
          <w:color w:val="auto"/>
          <w:sz w:val="28"/>
          <w:szCs w:val="28"/>
          <w:highlight w:val="none"/>
        </w:rPr>
        <w:fldChar w:fldCharType="separate"/>
      </w:r>
      <w:r>
        <w:rPr>
          <w:rFonts w:hint="eastAsia" w:cs="宋体"/>
          <w:color w:val="auto"/>
          <w:sz w:val="28"/>
          <w:szCs w:val="28"/>
          <w:highlight w:val="none"/>
        </w:rPr>
        <w:t>1</w:t>
      </w:r>
      <w:r>
        <w:rPr>
          <w:rFonts w:hint="eastAsia" w:cs="宋体"/>
          <w:color w:val="auto"/>
          <w:sz w:val="28"/>
          <w:szCs w:val="28"/>
          <w:highlight w:val="none"/>
        </w:rPr>
        <w:fldChar w:fldCharType="end"/>
      </w:r>
      <w:r>
        <w:rPr>
          <w:rFonts w:hint="eastAsia" w:cs="宋体"/>
          <w:color w:val="auto"/>
          <w:sz w:val="28"/>
          <w:szCs w:val="28"/>
          <w:highlight w:val="none"/>
        </w:rPr>
        <w:fldChar w:fldCharType="end"/>
      </w:r>
    </w:p>
    <w:p>
      <w:pPr>
        <w:pStyle w:val="21"/>
        <w:spacing w:line="480" w:lineRule="auto"/>
        <w:jc w:val="center"/>
        <w:rPr>
          <w:rFonts w:hint="eastAsia" w:cs="宋体"/>
          <w:color w:val="auto"/>
          <w:sz w:val="28"/>
          <w:szCs w:val="28"/>
          <w:highlight w:val="none"/>
          <w:lang w:val="en-US" w:eastAsia="zh-CN"/>
        </w:rPr>
      </w:pPr>
      <w:r>
        <w:rPr>
          <w:rFonts w:hint="eastAsia" w:cs="宋体"/>
          <w:color w:val="auto"/>
          <w:sz w:val="28"/>
          <w:szCs w:val="28"/>
          <w:highlight w:val="none"/>
        </w:rPr>
        <w:fldChar w:fldCharType="begin"/>
      </w:r>
      <w:r>
        <w:rPr>
          <w:rStyle w:val="36"/>
          <w:rFonts w:hint="eastAsia" w:cs="宋体"/>
          <w:color w:val="auto"/>
          <w:sz w:val="28"/>
          <w:szCs w:val="28"/>
          <w:highlight w:val="none"/>
        </w:rPr>
        <w:instrText xml:space="preserve"> </w:instrText>
      </w:r>
      <w:r>
        <w:rPr>
          <w:rFonts w:hint="eastAsia" w:cs="宋体"/>
          <w:color w:val="auto"/>
          <w:sz w:val="28"/>
          <w:szCs w:val="28"/>
          <w:highlight w:val="none"/>
        </w:rPr>
        <w:instrText xml:space="preserve">HYPERLINK \l "_Toc34746015"</w:instrText>
      </w:r>
      <w:r>
        <w:rPr>
          <w:rStyle w:val="36"/>
          <w:rFonts w:hint="eastAsia" w:cs="宋体"/>
          <w:color w:val="auto"/>
          <w:sz w:val="28"/>
          <w:szCs w:val="28"/>
          <w:highlight w:val="none"/>
        </w:rPr>
        <w:instrText xml:space="preserve"> </w:instrText>
      </w:r>
      <w:r>
        <w:rPr>
          <w:rFonts w:hint="eastAsia" w:cs="宋体"/>
          <w:color w:val="auto"/>
          <w:sz w:val="28"/>
          <w:szCs w:val="28"/>
          <w:highlight w:val="none"/>
        </w:rPr>
        <w:fldChar w:fldCharType="separate"/>
      </w:r>
      <w:r>
        <w:rPr>
          <w:rStyle w:val="36"/>
          <w:rFonts w:hint="eastAsia" w:cs="宋体"/>
          <w:color w:val="auto"/>
          <w:sz w:val="28"/>
          <w:szCs w:val="28"/>
          <w:highlight w:val="none"/>
        </w:rPr>
        <w:t>第二章  供应商须知</w:t>
      </w:r>
      <w:r>
        <w:rPr>
          <w:rFonts w:hint="eastAsia" w:cs="宋体"/>
          <w:color w:val="auto"/>
          <w:sz w:val="28"/>
          <w:szCs w:val="28"/>
          <w:highlight w:val="none"/>
        </w:rPr>
        <w:tab/>
      </w:r>
      <w:r>
        <w:rPr>
          <w:rFonts w:hint="eastAsia" w:cs="宋体"/>
          <w:color w:val="auto"/>
          <w:sz w:val="28"/>
          <w:szCs w:val="28"/>
          <w:highlight w:val="none"/>
          <w:lang w:val="en-US" w:eastAsia="zh-CN"/>
        </w:rPr>
        <w:t>5</w:t>
      </w:r>
      <w:r>
        <w:rPr>
          <w:rFonts w:hint="eastAsia" w:cs="宋体"/>
          <w:color w:val="auto"/>
          <w:sz w:val="28"/>
          <w:szCs w:val="28"/>
          <w:highlight w:val="none"/>
        </w:rPr>
        <w:fldChar w:fldCharType="end"/>
      </w:r>
    </w:p>
    <w:p>
      <w:pPr>
        <w:pStyle w:val="21"/>
        <w:spacing w:line="480" w:lineRule="auto"/>
        <w:jc w:val="center"/>
        <w:rPr>
          <w:rFonts w:hint="eastAsia" w:eastAsia="宋体" w:cs="宋体"/>
          <w:color w:val="auto"/>
          <w:sz w:val="28"/>
          <w:szCs w:val="28"/>
          <w:highlight w:val="none"/>
          <w:lang w:val="en-US" w:eastAsia="zh-CN"/>
        </w:rPr>
      </w:pPr>
      <w:r>
        <w:rPr>
          <w:rFonts w:hint="eastAsia" w:cs="宋体"/>
          <w:color w:val="auto"/>
          <w:sz w:val="28"/>
          <w:szCs w:val="28"/>
          <w:highlight w:val="none"/>
        </w:rPr>
        <w:fldChar w:fldCharType="begin"/>
      </w:r>
      <w:r>
        <w:rPr>
          <w:rStyle w:val="36"/>
          <w:rFonts w:hint="eastAsia" w:cs="宋体"/>
          <w:color w:val="auto"/>
          <w:sz w:val="28"/>
          <w:szCs w:val="28"/>
          <w:highlight w:val="none"/>
        </w:rPr>
        <w:instrText xml:space="preserve"> </w:instrText>
      </w:r>
      <w:r>
        <w:rPr>
          <w:rFonts w:hint="eastAsia" w:cs="宋体"/>
          <w:color w:val="auto"/>
          <w:sz w:val="28"/>
          <w:szCs w:val="28"/>
          <w:highlight w:val="none"/>
        </w:rPr>
        <w:instrText xml:space="preserve">HYPERLINK \l "_Toc34746016"</w:instrText>
      </w:r>
      <w:r>
        <w:rPr>
          <w:rStyle w:val="36"/>
          <w:rFonts w:hint="eastAsia" w:cs="宋体"/>
          <w:color w:val="auto"/>
          <w:sz w:val="28"/>
          <w:szCs w:val="28"/>
          <w:highlight w:val="none"/>
        </w:rPr>
        <w:instrText xml:space="preserve"> </w:instrText>
      </w:r>
      <w:r>
        <w:rPr>
          <w:rFonts w:hint="eastAsia" w:cs="宋体"/>
          <w:color w:val="auto"/>
          <w:sz w:val="28"/>
          <w:szCs w:val="28"/>
          <w:highlight w:val="none"/>
        </w:rPr>
        <w:fldChar w:fldCharType="separate"/>
      </w:r>
      <w:r>
        <w:rPr>
          <w:rStyle w:val="36"/>
          <w:rFonts w:hint="eastAsia" w:cs="宋体"/>
          <w:color w:val="auto"/>
          <w:sz w:val="28"/>
          <w:szCs w:val="28"/>
          <w:highlight w:val="none"/>
        </w:rPr>
        <w:t>第三章  磋商项目服务内容及要求</w:t>
      </w:r>
      <w:r>
        <w:rPr>
          <w:rFonts w:hint="eastAsia" w:cs="宋体"/>
          <w:color w:val="auto"/>
          <w:sz w:val="28"/>
          <w:szCs w:val="28"/>
          <w:highlight w:val="none"/>
        </w:rPr>
        <w:tab/>
      </w:r>
      <w:r>
        <w:rPr>
          <w:rFonts w:hint="eastAsia" w:cs="宋体"/>
          <w:color w:val="auto"/>
          <w:sz w:val="28"/>
          <w:szCs w:val="28"/>
          <w:highlight w:val="none"/>
          <w:lang w:val="en-US" w:eastAsia="zh-CN"/>
        </w:rPr>
        <w:t>1</w:t>
      </w:r>
      <w:r>
        <w:rPr>
          <w:rFonts w:hint="eastAsia" w:cs="宋体"/>
          <w:color w:val="auto"/>
          <w:sz w:val="28"/>
          <w:szCs w:val="28"/>
          <w:highlight w:val="none"/>
        </w:rPr>
        <w:fldChar w:fldCharType="end"/>
      </w:r>
      <w:r>
        <w:rPr>
          <w:rFonts w:hint="eastAsia" w:cs="宋体"/>
          <w:color w:val="auto"/>
          <w:sz w:val="28"/>
          <w:szCs w:val="28"/>
          <w:highlight w:val="none"/>
          <w:lang w:val="en-US" w:eastAsia="zh-CN"/>
        </w:rPr>
        <w:t>8</w:t>
      </w:r>
    </w:p>
    <w:p>
      <w:pPr>
        <w:pStyle w:val="21"/>
        <w:spacing w:line="480" w:lineRule="auto"/>
        <w:jc w:val="center"/>
        <w:rPr>
          <w:rFonts w:hint="eastAsia" w:eastAsia="宋体" w:cs="宋体"/>
          <w:color w:val="auto"/>
          <w:sz w:val="28"/>
          <w:szCs w:val="28"/>
          <w:highlight w:val="none"/>
          <w:lang w:val="en-US" w:eastAsia="zh-CN"/>
        </w:rPr>
      </w:pPr>
      <w:r>
        <w:rPr>
          <w:rFonts w:hint="eastAsia" w:cs="宋体"/>
          <w:color w:val="auto"/>
          <w:sz w:val="28"/>
          <w:szCs w:val="28"/>
          <w:highlight w:val="none"/>
        </w:rPr>
        <w:fldChar w:fldCharType="begin"/>
      </w:r>
      <w:r>
        <w:rPr>
          <w:rStyle w:val="36"/>
          <w:rFonts w:hint="eastAsia" w:cs="宋体"/>
          <w:color w:val="auto"/>
          <w:sz w:val="28"/>
          <w:szCs w:val="28"/>
          <w:highlight w:val="none"/>
        </w:rPr>
        <w:instrText xml:space="preserve"> </w:instrText>
      </w:r>
      <w:r>
        <w:rPr>
          <w:rFonts w:hint="eastAsia" w:cs="宋体"/>
          <w:color w:val="auto"/>
          <w:sz w:val="28"/>
          <w:szCs w:val="28"/>
          <w:highlight w:val="none"/>
        </w:rPr>
        <w:instrText xml:space="preserve">HYPERLINK \l "_Toc34746017"</w:instrText>
      </w:r>
      <w:r>
        <w:rPr>
          <w:rStyle w:val="36"/>
          <w:rFonts w:hint="eastAsia" w:cs="宋体"/>
          <w:color w:val="auto"/>
          <w:sz w:val="28"/>
          <w:szCs w:val="28"/>
          <w:highlight w:val="none"/>
        </w:rPr>
        <w:instrText xml:space="preserve"> </w:instrText>
      </w:r>
      <w:r>
        <w:rPr>
          <w:rFonts w:hint="eastAsia" w:cs="宋体"/>
          <w:color w:val="auto"/>
          <w:sz w:val="28"/>
          <w:szCs w:val="28"/>
          <w:highlight w:val="none"/>
        </w:rPr>
        <w:fldChar w:fldCharType="separate"/>
      </w:r>
      <w:r>
        <w:rPr>
          <w:rStyle w:val="36"/>
          <w:rFonts w:hint="eastAsia" w:cs="宋体"/>
          <w:color w:val="auto"/>
          <w:sz w:val="28"/>
          <w:szCs w:val="28"/>
          <w:highlight w:val="none"/>
        </w:rPr>
        <w:t>第四章  磋商原则和程序</w:t>
      </w:r>
      <w:r>
        <w:rPr>
          <w:rFonts w:hint="eastAsia" w:cs="宋体"/>
          <w:color w:val="auto"/>
          <w:sz w:val="28"/>
          <w:szCs w:val="28"/>
          <w:highlight w:val="none"/>
        </w:rPr>
        <w:tab/>
      </w:r>
      <w:r>
        <w:rPr>
          <w:rFonts w:hint="eastAsia" w:cs="宋体"/>
          <w:color w:val="auto"/>
          <w:sz w:val="28"/>
          <w:szCs w:val="28"/>
          <w:highlight w:val="none"/>
          <w:lang w:val="en-US" w:eastAsia="zh-CN"/>
        </w:rPr>
        <w:t>2</w:t>
      </w:r>
      <w:r>
        <w:rPr>
          <w:rFonts w:hint="eastAsia" w:cs="宋体"/>
          <w:color w:val="auto"/>
          <w:sz w:val="28"/>
          <w:szCs w:val="28"/>
          <w:highlight w:val="none"/>
        </w:rPr>
        <w:fldChar w:fldCharType="end"/>
      </w:r>
      <w:r>
        <w:rPr>
          <w:rFonts w:hint="eastAsia" w:cs="宋体"/>
          <w:color w:val="auto"/>
          <w:sz w:val="28"/>
          <w:szCs w:val="28"/>
          <w:highlight w:val="none"/>
          <w:lang w:val="en-US" w:eastAsia="zh-CN"/>
        </w:rPr>
        <w:t>3</w:t>
      </w:r>
    </w:p>
    <w:p>
      <w:pPr>
        <w:pStyle w:val="21"/>
        <w:spacing w:line="480" w:lineRule="auto"/>
        <w:jc w:val="center"/>
        <w:rPr>
          <w:rFonts w:hint="eastAsia" w:eastAsia="宋体" w:cs="宋体"/>
          <w:color w:val="auto"/>
          <w:sz w:val="28"/>
          <w:szCs w:val="28"/>
          <w:highlight w:val="none"/>
          <w:lang w:val="en-US" w:eastAsia="zh-CN"/>
        </w:rPr>
      </w:pPr>
      <w:r>
        <w:rPr>
          <w:rFonts w:hint="eastAsia" w:cs="宋体"/>
          <w:color w:val="auto"/>
          <w:sz w:val="28"/>
          <w:szCs w:val="28"/>
          <w:highlight w:val="none"/>
        </w:rPr>
        <w:fldChar w:fldCharType="begin"/>
      </w:r>
      <w:r>
        <w:rPr>
          <w:rStyle w:val="36"/>
          <w:rFonts w:hint="eastAsia" w:cs="宋体"/>
          <w:color w:val="auto"/>
          <w:sz w:val="28"/>
          <w:szCs w:val="28"/>
          <w:highlight w:val="none"/>
        </w:rPr>
        <w:instrText xml:space="preserve"> </w:instrText>
      </w:r>
      <w:r>
        <w:rPr>
          <w:rFonts w:hint="eastAsia" w:cs="宋体"/>
          <w:color w:val="auto"/>
          <w:sz w:val="28"/>
          <w:szCs w:val="28"/>
          <w:highlight w:val="none"/>
        </w:rPr>
        <w:instrText xml:space="preserve">HYPERLINK \l "_Toc34746018"</w:instrText>
      </w:r>
      <w:r>
        <w:rPr>
          <w:rStyle w:val="36"/>
          <w:rFonts w:hint="eastAsia" w:cs="宋体"/>
          <w:color w:val="auto"/>
          <w:sz w:val="28"/>
          <w:szCs w:val="28"/>
          <w:highlight w:val="none"/>
        </w:rPr>
        <w:instrText xml:space="preserve"> </w:instrText>
      </w:r>
      <w:r>
        <w:rPr>
          <w:rFonts w:hint="eastAsia" w:cs="宋体"/>
          <w:color w:val="auto"/>
          <w:sz w:val="28"/>
          <w:szCs w:val="28"/>
          <w:highlight w:val="none"/>
        </w:rPr>
        <w:fldChar w:fldCharType="separate"/>
      </w:r>
      <w:r>
        <w:rPr>
          <w:rStyle w:val="36"/>
          <w:rFonts w:hint="eastAsia" w:cs="宋体"/>
          <w:color w:val="auto"/>
          <w:sz w:val="28"/>
          <w:szCs w:val="28"/>
          <w:highlight w:val="none"/>
        </w:rPr>
        <w:t xml:space="preserve">第五章 </w:t>
      </w:r>
      <w:r>
        <w:rPr>
          <w:rStyle w:val="36"/>
          <w:rFonts w:hint="eastAsia" w:cs="宋体"/>
          <w:color w:val="auto"/>
          <w:sz w:val="28"/>
          <w:szCs w:val="28"/>
          <w:highlight w:val="none"/>
          <w:lang w:val="en-US" w:eastAsia="zh-CN"/>
        </w:rPr>
        <w:t xml:space="preserve"> </w:t>
      </w:r>
      <w:r>
        <w:rPr>
          <w:rStyle w:val="36"/>
          <w:rFonts w:hint="eastAsia" w:cs="宋体"/>
          <w:color w:val="auto"/>
          <w:sz w:val="28"/>
          <w:szCs w:val="28"/>
          <w:highlight w:val="none"/>
        </w:rPr>
        <w:t>合同主要条款</w:t>
      </w:r>
      <w:r>
        <w:rPr>
          <w:rFonts w:hint="eastAsia" w:cs="宋体"/>
          <w:color w:val="auto"/>
          <w:sz w:val="28"/>
          <w:szCs w:val="28"/>
          <w:highlight w:val="none"/>
        </w:rPr>
        <w:tab/>
      </w:r>
      <w:r>
        <w:rPr>
          <w:rFonts w:hint="eastAsia" w:cs="宋体"/>
          <w:color w:val="auto"/>
          <w:sz w:val="28"/>
          <w:szCs w:val="28"/>
          <w:highlight w:val="none"/>
          <w:lang w:val="en-US" w:eastAsia="zh-CN"/>
        </w:rPr>
        <w:t>3</w:t>
      </w:r>
      <w:r>
        <w:rPr>
          <w:rFonts w:hint="eastAsia" w:cs="宋体"/>
          <w:color w:val="auto"/>
          <w:sz w:val="28"/>
          <w:szCs w:val="28"/>
          <w:highlight w:val="none"/>
        </w:rPr>
        <w:fldChar w:fldCharType="end"/>
      </w:r>
      <w:r>
        <w:rPr>
          <w:rFonts w:hint="eastAsia" w:cs="宋体"/>
          <w:color w:val="auto"/>
          <w:sz w:val="28"/>
          <w:szCs w:val="28"/>
          <w:highlight w:val="none"/>
          <w:lang w:val="en-US" w:eastAsia="zh-CN"/>
        </w:rPr>
        <w:t>0</w:t>
      </w:r>
    </w:p>
    <w:p>
      <w:pPr>
        <w:pStyle w:val="21"/>
        <w:spacing w:line="480" w:lineRule="auto"/>
        <w:jc w:val="center"/>
        <w:rPr>
          <w:rFonts w:hint="eastAsia" w:eastAsia="宋体" w:cs="宋体"/>
          <w:color w:val="auto"/>
          <w:sz w:val="28"/>
          <w:szCs w:val="28"/>
          <w:highlight w:val="none"/>
          <w:lang w:val="en-US" w:eastAsia="zh-CN"/>
        </w:rPr>
      </w:pPr>
      <w:r>
        <w:rPr>
          <w:rFonts w:hint="eastAsia" w:cs="宋体"/>
          <w:color w:val="auto"/>
          <w:sz w:val="28"/>
          <w:szCs w:val="28"/>
          <w:highlight w:val="none"/>
        </w:rPr>
        <w:fldChar w:fldCharType="begin"/>
      </w:r>
      <w:r>
        <w:rPr>
          <w:rStyle w:val="36"/>
          <w:rFonts w:hint="eastAsia" w:cs="宋体"/>
          <w:color w:val="auto"/>
          <w:sz w:val="28"/>
          <w:szCs w:val="28"/>
          <w:highlight w:val="none"/>
        </w:rPr>
        <w:instrText xml:space="preserve"> </w:instrText>
      </w:r>
      <w:r>
        <w:rPr>
          <w:rFonts w:hint="eastAsia" w:cs="宋体"/>
          <w:color w:val="auto"/>
          <w:sz w:val="28"/>
          <w:szCs w:val="28"/>
          <w:highlight w:val="none"/>
        </w:rPr>
        <w:instrText xml:space="preserve">HYPERLINK \l "_Toc34746019"</w:instrText>
      </w:r>
      <w:r>
        <w:rPr>
          <w:rStyle w:val="36"/>
          <w:rFonts w:hint="eastAsia" w:cs="宋体"/>
          <w:color w:val="auto"/>
          <w:sz w:val="28"/>
          <w:szCs w:val="28"/>
          <w:highlight w:val="none"/>
        </w:rPr>
        <w:instrText xml:space="preserve"> </w:instrText>
      </w:r>
      <w:r>
        <w:rPr>
          <w:rFonts w:hint="eastAsia" w:cs="宋体"/>
          <w:color w:val="auto"/>
          <w:sz w:val="28"/>
          <w:szCs w:val="28"/>
          <w:highlight w:val="none"/>
        </w:rPr>
        <w:fldChar w:fldCharType="separate"/>
      </w:r>
      <w:r>
        <w:rPr>
          <w:rStyle w:val="36"/>
          <w:rFonts w:hint="eastAsia" w:cs="宋体"/>
          <w:color w:val="auto"/>
          <w:sz w:val="28"/>
          <w:szCs w:val="28"/>
          <w:highlight w:val="none"/>
        </w:rPr>
        <w:t>第六章  响应文件格式</w:t>
      </w:r>
      <w:r>
        <w:rPr>
          <w:rFonts w:hint="eastAsia" w:cs="宋体"/>
          <w:color w:val="auto"/>
          <w:sz w:val="28"/>
          <w:szCs w:val="28"/>
          <w:highlight w:val="none"/>
        </w:rPr>
        <w:tab/>
      </w:r>
      <w:r>
        <w:rPr>
          <w:rFonts w:hint="eastAsia" w:cs="宋体"/>
          <w:color w:val="auto"/>
          <w:sz w:val="28"/>
          <w:szCs w:val="28"/>
          <w:highlight w:val="none"/>
          <w:lang w:val="en-US" w:eastAsia="zh-CN"/>
        </w:rPr>
        <w:t>3</w:t>
      </w:r>
      <w:r>
        <w:rPr>
          <w:rFonts w:hint="eastAsia" w:cs="宋体"/>
          <w:color w:val="auto"/>
          <w:sz w:val="28"/>
          <w:szCs w:val="28"/>
          <w:highlight w:val="none"/>
        </w:rPr>
        <w:fldChar w:fldCharType="end"/>
      </w:r>
      <w:r>
        <w:rPr>
          <w:rFonts w:hint="eastAsia" w:cs="宋体"/>
          <w:color w:val="auto"/>
          <w:sz w:val="28"/>
          <w:szCs w:val="28"/>
          <w:highlight w:val="none"/>
          <w:lang w:val="en-US" w:eastAsia="zh-CN"/>
        </w:rPr>
        <w:t>3</w:t>
      </w:r>
    </w:p>
    <w:p>
      <w:pPr>
        <w:spacing w:line="480" w:lineRule="auto"/>
        <w:ind w:firstLine="105"/>
        <w:jc w:val="center"/>
        <w:rPr>
          <w:rFonts w:hint="eastAsia" w:ascii="宋体" w:hAnsi="宋体" w:cs="宋体"/>
          <w:color w:val="auto"/>
          <w:szCs w:val="21"/>
          <w:highlight w:val="none"/>
        </w:rPr>
      </w:pPr>
      <w:r>
        <w:rPr>
          <w:rFonts w:hint="eastAsia" w:ascii="宋体" w:hAnsi="宋体" w:cs="宋体"/>
          <w:color w:val="auto"/>
          <w:sz w:val="28"/>
          <w:szCs w:val="28"/>
          <w:highlight w:val="none"/>
        </w:rPr>
        <w:fldChar w:fldCharType="end"/>
      </w:r>
    </w:p>
    <w:p>
      <w:pPr>
        <w:pStyle w:val="21"/>
        <w:spacing w:line="260" w:lineRule="exact"/>
        <w:rPr>
          <w:rFonts w:hint="eastAsia" w:cs="宋体"/>
          <w:color w:val="auto"/>
          <w:sz w:val="21"/>
          <w:szCs w:val="21"/>
          <w:highlight w:val="none"/>
        </w:rPr>
      </w:pPr>
      <w:r>
        <w:rPr>
          <w:rFonts w:hint="eastAsia" w:cs="宋体"/>
          <w:color w:val="auto"/>
          <w:sz w:val="21"/>
          <w:szCs w:val="21"/>
          <w:highlight w:val="none"/>
        </w:rPr>
        <w:fldChar w:fldCharType="begin"/>
      </w:r>
      <w:r>
        <w:rPr>
          <w:rFonts w:hint="eastAsia" w:cs="宋体"/>
          <w:color w:val="auto"/>
          <w:sz w:val="21"/>
          <w:szCs w:val="21"/>
          <w:highlight w:val="none"/>
        </w:rPr>
        <w:instrText xml:space="preserve"> TOC \o "1-3" \h \z \u </w:instrText>
      </w:r>
      <w:r>
        <w:rPr>
          <w:rFonts w:hint="eastAsia" w:cs="宋体"/>
          <w:color w:val="auto"/>
          <w:sz w:val="21"/>
          <w:szCs w:val="21"/>
          <w:highlight w:val="none"/>
        </w:rPr>
        <w:fldChar w:fldCharType="separate"/>
      </w:r>
    </w:p>
    <w:p>
      <w:pPr>
        <w:pStyle w:val="21"/>
        <w:spacing w:line="260" w:lineRule="exact"/>
        <w:ind w:firstLine="105"/>
        <w:rPr>
          <w:rFonts w:hint="eastAsia" w:cs="宋体"/>
          <w:color w:val="auto"/>
          <w:sz w:val="21"/>
          <w:szCs w:val="21"/>
          <w:highlight w:val="none"/>
        </w:rPr>
      </w:pPr>
    </w:p>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fldChar w:fldCharType="end"/>
      </w:r>
    </w:p>
    <w:p>
      <w:pPr>
        <w:spacing w:line="360" w:lineRule="exact"/>
        <w:rPr>
          <w:rFonts w:hint="eastAsia" w:ascii="宋体" w:hAnsi="宋体" w:cs="宋体"/>
          <w:color w:val="auto"/>
          <w:szCs w:val="21"/>
          <w:highlight w:val="none"/>
        </w:rPr>
      </w:pPr>
    </w:p>
    <w:p>
      <w:pPr>
        <w:rPr>
          <w:rFonts w:hint="eastAsia" w:ascii="宋体" w:hAnsi="宋体" w:cs="宋体"/>
          <w:color w:val="auto"/>
          <w:szCs w:val="21"/>
          <w:highlight w:val="none"/>
        </w:rPr>
      </w:pPr>
    </w:p>
    <w:p>
      <w:pPr>
        <w:pStyle w:val="4"/>
        <w:pageBreakBefore/>
        <w:spacing w:before="156" w:after="156" w:line="360" w:lineRule="exact"/>
        <w:rPr>
          <w:rFonts w:hint="eastAsia" w:ascii="宋体" w:hAnsi="宋体" w:cs="宋体"/>
          <w:color w:val="auto"/>
          <w:sz w:val="21"/>
          <w:szCs w:val="21"/>
          <w:highlight w:val="none"/>
        </w:rPr>
        <w:sectPr>
          <w:headerReference r:id="rId5" w:type="default"/>
          <w:footerReference r:id="rId6" w:type="default"/>
          <w:pgSz w:w="11906" w:h="16838"/>
          <w:pgMar w:top="1134" w:right="1134" w:bottom="1134" w:left="1134" w:header="567" w:footer="567" w:gutter="0"/>
          <w:pgNumType w:fmt="upperRoman" w:start="1"/>
          <w:cols w:space="720" w:num="1"/>
          <w:docGrid w:type="lines" w:linePitch="312" w:charSpace="0"/>
        </w:sectPr>
      </w:pPr>
      <w:bookmarkStart w:id="0" w:name="_Toc34746014"/>
    </w:p>
    <w:p>
      <w:pPr>
        <w:pStyle w:val="4"/>
        <w:spacing w:before="156" w:after="156"/>
        <w:rPr>
          <w:rFonts w:hint="eastAsia"/>
          <w:color w:val="auto"/>
          <w:highlight w:val="none"/>
        </w:rPr>
      </w:pPr>
      <w:bookmarkStart w:id="1" w:name="_Toc18453"/>
      <w:r>
        <w:rPr>
          <w:rFonts w:hint="eastAsia"/>
          <w:color w:val="auto"/>
          <w:highlight w:val="none"/>
        </w:rPr>
        <w:t>第一章  竞争性磋商公告</w:t>
      </w:r>
      <w:bookmarkEnd w:id="1"/>
    </w:p>
    <w:tbl>
      <w:tblPr>
        <w:tblStyle w:val="30"/>
        <w:tblpPr w:leftFromText="180" w:rightFromText="180" w:vertAnchor="text" w:tblpX="-38" w:tblpY="25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9640" w:type="dxa"/>
            <w:noWrap w:val="0"/>
            <w:vAlign w:val="top"/>
          </w:tcPr>
          <w:p>
            <w:pPr>
              <w:spacing w:line="360" w:lineRule="auto"/>
              <w:rPr>
                <w:rFonts w:hint="eastAsia" w:ascii="宋体" w:hAnsi="宋体" w:cs="宋体"/>
                <w:color w:val="auto"/>
                <w:szCs w:val="21"/>
                <w:highlight w:val="none"/>
              </w:rPr>
            </w:pPr>
            <w:bookmarkStart w:id="2" w:name="OLE_LINK3"/>
            <w:bookmarkStart w:id="3" w:name="OLE_LINK5"/>
            <w:r>
              <w:rPr>
                <w:rFonts w:hint="eastAsia" w:ascii="宋体" w:hAnsi="宋体" w:cs="宋体"/>
                <w:b/>
                <w:bCs/>
                <w:color w:val="auto"/>
                <w:szCs w:val="21"/>
                <w:highlight w:val="none"/>
              </w:rPr>
              <w:t>项目概况：</w:t>
            </w:r>
            <w:r>
              <w:rPr>
                <w:rFonts w:hint="eastAsia" w:ascii="宋体" w:hAnsi="宋体" w:cs="宋体"/>
                <w:color w:val="auto"/>
                <w:szCs w:val="21"/>
                <w:highlight w:val="none"/>
              </w:rPr>
              <w:t xml:space="preserve">                                                   </w:t>
            </w:r>
          </w:p>
          <w:p>
            <w:pPr>
              <w:spacing w:line="360" w:lineRule="auto"/>
              <w:ind w:firstLine="420" w:firstLineChars="200"/>
              <w:rPr>
                <w:rFonts w:hint="eastAsia" w:ascii="宋体" w:hAnsi="宋体" w:cs="宋体"/>
                <w:color w:val="auto"/>
                <w:szCs w:val="21"/>
                <w:highlight w:val="none"/>
              </w:rPr>
            </w:pPr>
            <w:r>
              <w:rPr>
                <w:rFonts w:hint="eastAsia"/>
                <w:color w:val="auto"/>
                <w:highlight w:val="none"/>
                <w:lang w:eastAsia="zh-CN"/>
              </w:rPr>
              <w:t>安吉县人民政府灵峰街道办事处2025-2026年度土壤污染状况调查服务项目</w:t>
            </w:r>
            <w:r>
              <w:rPr>
                <w:rFonts w:hint="eastAsia" w:ascii="宋体" w:hAnsi="宋体" w:cs="宋体"/>
                <w:color w:val="auto"/>
                <w:szCs w:val="21"/>
                <w:highlight w:val="none"/>
              </w:rPr>
              <w:t>的潜在投标供应商应在政府采购云平台</w:t>
            </w:r>
            <w:r>
              <w:rPr>
                <w:rFonts w:hint="eastAsia" w:ascii="宋体" w:hAnsi="宋体" w:cs="宋体"/>
                <w:color w:val="auto"/>
                <w:szCs w:val="21"/>
                <w:highlight w:val="none"/>
                <w:u w:val="single"/>
              </w:rPr>
              <w:t>http://www.zcygov.cn</w:t>
            </w:r>
            <w:r>
              <w:rPr>
                <w:rFonts w:hint="eastAsia" w:ascii="宋体" w:hAnsi="宋体" w:cs="宋体"/>
                <w:color w:val="auto"/>
                <w:szCs w:val="21"/>
                <w:highlight w:val="none"/>
              </w:rPr>
              <w:t>（以下简称“政采云平台”）；获取（下载）采购文件，并于 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日</w:t>
            </w:r>
            <w:r>
              <w:rPr>
                <w:rFonts w:hint="eastAsia" w:ascii="宋体" w:hAnsi="宋体" w:cs="宋体"/>
                <w:color w:val="auto"/>
                <w:szCs w:val="21"/>
                <w:highlight w:val="none"/>
                <w:lang w:eastAsia="zh-CN"/>
              </w:rPr>
              <w:t>14:</w:t>
            </w:r>
            <w:r>
              <w:rPr>
                <w:rFonts w:hint="eastAsia" w:ascii="宋体" w:hAnsi="宋体" w:cs="宋体"/>
                <w:color w:val="auto"/>
                <w:szCs w:val="21"/>
                <w:highlight w:val="none"/>
                <w:lang w:val="en-US" w:eastAsia="zh-CN"/>
              </w:rPr>
              <w:t>00</w:t>
            </w:r>
            <w:r>
              <w:rPr>
                <w:rFonts w:hint="eastAsia" w:ascii="宋体" w:hAnsi="宋体" w:cs="宋体"/>
                <w:color w:val="auto"/>
                <w:szCs w:val="21"/>
                <w:highlight w:val="none"/>
              </w:rPr>
              <w:t xml:space="preserve">时（北京时间）前递交（上传）响应文件。 </w:t>
            </w:r>
          </w:p>
        </w:tc>
      </w:tr>
    </w:tbl>
    <w:p>
      <w:pPr>
        <w:pStyle w:val="26"/>
        <w:widowControl/>
        <w:numPr>
          <w:ilvl w:val="0"/>
          <w:numId w:val="2"/>
        </w:numPr>
        <w:shd w:val="clear" w:color="auto" w:fill="FFFFFF"/>
        <w:spacing w:before="156" w:beforeLines="50" w:beforeAutospacing="0" w:after="0" w:afterAutospacing="0" w:line="360" w:lineRule="auto"/>
        <w:rPr>
          <w:rStyle w:val="33"/>
          <w:rFonts w:hint="eastAsia" w:ascii="宋体" w:hAnsi="宋体" w:eastAsia="宋体" w:cs="宋体"/>
          <w:color w:val="auto"/>
          <w:sz w:val="21"/>
          <w:szCs w:val="21"/>
          <w:highlight w:val="none"/>
          <w:shd w:val="clear" w:color="auto" w:fill="FFFFFF"/>
        </w:rPr>
      </w:pPr>
      <w:r>
        <w:rPr>
          <w:rStyle w:val="33"/>
          <w:rFonts w:hint="eastAsia" w:ascii="宋体" w:hAnsi="宋体" w:eastAsia="宋体" w:cs="宋体"/>
          <w:color w:val="auto"/>
          <w:sz w:val="21"/>
          <w:szCs w:val="21"/>
          <w:highlight w:val="none"/>
          <w:shd w:val="clear" w:color="auto" w:fill="FFFFFF"/>
        </w:rPr>
        <w:t>项目基本情况</w:t>
      </w:r>
    </w:p>
    <w:p>
      <w:pPr>
        <w:pStyle w:val="26"/>
        <w:spacing w:before="0" w:beforeAutospacing="0" w:after="0" w:afterAutospacing="0" w:line="360" w:lineRule="auto"/>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rPr>
        <w:t>项目编号：</w:t>
      </w:r>
      <w:r>
        <w:rPr>
          <w:rFonts w:hint="eastAsia" w:ascii="宋体" w:hAnsi="宋体" w:eastAsia="宋体" w:cs="宋体"/>
          <w:color w:val="auto"/>
          <w:sz w:val="21"/>
          <w:szCs w:val="21"/>
          <w:highlight w:val="none"/>
          <w:shd w:val="clear" w:color="auto" w:fill="FFFFFF"/>
          <w:lang w:eastAsia="zh-CN"/>
        </w:rPr>
        <w:t>AJKB-CS2025-005</w:t>
      </w:r>
    </w:p>
    <w:p>
      <w:pPr>
        <w:pStyle w:val="26"/>
        <w:spacing w:before="0" w:beforeAutospacing="0" w:after="0" w:afterAutospacing="0"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shd w:val="clear" w:color="auto" w:fill="FFFFFF"/>
        </w:rPr>
        <w:t>项目名称：</w:t>
      </w:r>
      <w:r>
        <w:rPr>
          <w:rFonts w:hint="eastAsia" w:ascii="宋体" w:hAnsi="宋体" w:eastAsia="宋体" w:cs="宋体"/>
          <w:color w:val="auto"/>
          <w:sz w:val="21"/>
          <w:szCs w:val="21"/>
          <w:highlight w:val="none"/>
          <w:lang w:eastAsia="zh-CN"/>
        </w:rPr>
        <w:t>安吉县人民政府灵峰街道办事处2025-2026年度土壤污染状况调查服务项目</w:t>
      </w:r>
    </w:p>
    <w:p>
      <w:pPr>
        <w:pStyle w:val="26"/>
        <w:spacing w:before="0" w:beforeAutospacing="0" w:after="0" w:afterAutospacing="0" w:line="360" w:lineRule="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采购方式：竞争性磋商</w:t>
      </w:r>
    </w:p>
    <w:p>
      <w:pPr>
        <w:spacing w:line="360" w:lineRule="exact"/>
        <w:jc w:val="left"/>
        <w:rPr>
          <w:rFonts w:hint="default" w:ascii="宋体" w:hAnsi="宋体" w:eastAsia="宋体" w:cs="宋体"/>
          <w:color w:val="auto"/>
          <w:highlight w:val="none"/>
          <w:lang w:val="en-US" w:eastAsia="zh-CN"/>
        </w:rPr>
      </w:pPr>
      <w:r>
        <w:rPr>
          <w:rFonts w:hint="eastAsia" w:ascii="宋体" w:hAnsi="宋体" w:eastAsia="宋体" w:cs="宋体"/>
          <w:color w:val="auto"/>
          <w:highlight w:val="none"/>
        </w:rPr>
        <w:t>预算金额（元）：</w:t>
      </w:r>
      <w:r>
        <w:rPr>
          <w:rFonts w:hint="eastAsia" w:ascii="宋体" w:hAnsi="宋体" w:cs="宋体"/>
          <w:color w:val="auto"/>
          <w:highlight w:val="none"/>
          <w:lang w:val="en-US" w:eastAsia="zh-CN"/>
        </w:rPr>
        <w:t>10</w:t>
      </w:r>
      <w:r>
        <w:rPr>
          <w:rFonts w:hint="eastAsia" w:ascii="宋体" w:hAnsi="宋体" w:eastAsia="宋体" w:cs="宋体"/>
          <w:color w:val="auto"/>
          <w:highlight w:val="none"/>
        </w:rPr>
        <w:t>00000</w:t>
      </w:r>
      <w:r>
        <w:rPr>
          <w:rFonts w:hint="eastAsia" w:ascii="宋体" w:hAnsi="宋体" w:eastAsia="宋体" w:cs="宋体"/>
          <w:color w:val="auto"/>
          <w:highlight w:val="none"/>
          <w:lang w:val="en-US" w:eastAsia="zh-CN"/>
        </w:rPr>
        <w:t>.00</w:t>
      </w:r>
      <w:r>
        <w:rPr>
          <w:rFonts w:hint="eastAsia" w:ascii="宋体" w:hAnsi="宋体" w:cs="宋体"/>
          <w:color w:val="auto"/>
          <w:highlight w:val="none"/>
          <w:lang w:val="en-US" w:eastAsia="zh-CN"/>
        </w:rPr>
        <w:t>元</w:t>
      </w:r>
    </w:p>
    <w:p>
      <w:pPr>
        <w:spacing w:line="360" w:lineRule="exact"/>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最高限价（元）：</w:t>
      </w:r>
      <w:r>
        <w:rPr>
          <w:rFonts w:hint="eastAsia" w:ascii="宋体" w:hAnsi="宋体" w:cs="宋体"/>
          <w:color w:val="auto"/>
          <w:highlight w:val="none"/>
          <w:lang w:val="en-US" w:eastAsia="zh-CN"/>
        </w:rPr>
        <w:t>10</w:t>
      </w:r>
      <w:r>
        <w:rPr>
          <w:rFonts w:hint="eastAsia" w:ascii="宋体" w:hAnsi="宋体" w:eastAsia="宋体" w:cs="宋体"/>
          <w:color w:val="auto"/>
          <w:highlight w:val="none"/>
        </w:rPr>
        <w:t>00000</w:t>
      </w:r>
      <w:r>
        <w:rPr>
          <w:rFonts w:hint="eastAsia" w:ascii="宋体" w:hAnsi="宋体" w:eastAsia="宋体" w:cs="宋体"/>
          <w:color w:val="auto"/>
          <w:highlight w:val="none"/>
          <w:lang w:val="en-US" w:eastAsia="zh-CN"/>
        </w:rPr>
        <w:t>.00元</w:t>
      </w:r>
    </w:p>
    <w:p>
      <w:pPr>
        <w:spacing w:line="360" w:lineRule="exact"/>
        <w:jc w:val="left"/>
        <w:rPr>
          <w:rFonts w:hint="eastAsia"/>
          <w:color w:val="auto"/>
          <w:highlight w:val="none"/>
          <w:lang w:val="en-US" w:eastAsia="zh-CN"/>
        </w:rPr>
      </w:pPr>
      <w:r>
        <w:rPr>
          <w:rFonts w:hint="eastAsia" w:ascii="宋体" w:hAnsi="宋体" w:eastAsia="宋体" w:cs="宋体"/>
          <w:color w:val="auto"/>
          <w:sz w:val="21"/>
          <w:szCs w:val="21"/>
          <w:highlight w:val="none"/>
          <w:shd w:val="clear" w:color="auto" w:fill="FFFFFF"/>
        </w:rPr>
        <w:t>采购需求：</w:t>
      </w:r>
    </w:p>
    <w:tbl>
      <w:tblPr>
        <w:tblStyle w:val="30"/>
        <w:tblW w:w="914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3258"/>
        <w:gridCol w:w="1390"/>
        <w:gridCol w:w="1405"/>
        <w:gridCol w:w="1204"/>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0" w:type="auto"/>
            <w:noWrap w:val="0"/>
            <w:vAlign w:val="center"/>
          </w:tcPr>
          <w:p>
            <w:pP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序号</w:t>
            </w:r>
          </w:p>
        </w:tc>
        <w:tc>
          <w:tcPr>
            <w:tcW w:w="3258" w:type="dxa"/>
            <w:noWrap w:val="0"/>
            <w:vAlign w:val="center"/>
          </w:tcPr>
          <w:p>
            <w:pP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名称</w:t>
            </w:r>
          </w:p>
        </w:tc>
        <w:tc>
          <w:tcPr>
            <w:tcW w:w="1390" w:type="dxa"/>
            <w:noWrap w:val="0"/>
            <w:vAlign w:val="center"/>
          </w:tcPr>
          <w:p>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标项</w:t>
            </w:r>
          </w:p>
        </w:tc>
        <w:tc>
          <w:tcPr>
            <w:tcW w:w="1405" w:type="dxa"/>
            <w:noWrap w:val="0"/>
            <w:vAlign w:val="center"/>
          </w:tcPr>
          <w:p>
            <w:pP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内容</w:t>
            </w:r>
          </w:p>
        </w:tc>
        <w:tc>
          <w:tcPr>
            <w:tcW w:w="1204" w:type="dxa"/>
            <w:noWrap w:val="0"/>
            <w:vAlign w:val="center"/>
          </w:tcPr>
          <w:p>
            <w:pP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服务期限</w:t>
            </w:r>
          </w:p>
        </w:tc>
        <w:tc>
          <w:tcPr>
            <w:tcW w:w="1430" w:type="dxa"/>
            <w:noWrap w:val="0"/>
            <w:vAlign w:val="center"/>
          </w:tcPr>
          <w:p>
            <w:pP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预算（万元）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0" w:type="auto"/>
            <w:vMerge w:val="restart"/>
            <w:noWrap w:val="0"/>
            <w:vAlign w:val="center"/>
          </w:tcPr>
          <w:p>
            <w:pPr>
              <w:spacing w:line="360" w:lineRule="exact"/>
              <w:jc w:val="center"/>
              <w:rPr>
                <w:rFonts w:hint="eastAsia" w:ascii="宋体" w:hAnsi="宋体" w:cs="宋体"/>
                <w:bCs/>
                <w:color w:val="auto"/>
                <w:sz w:val="24"/>
                <w:highlight w:val="none"/>
              </w:rPr>
            </w:pPr>
            <w:r>
              <w:rPr>
                <w:rFonts w:hint="eastAsia" w:ascii="宋体" w:hAnsi="宋体" w:cs="宋体"/>
                <w:color w:val="auto"/>
                <w:highlight w:val="none"/>
              </w:rPr>
              <w:t>1</w:t>
            </w:r>
          </w:p>
        </w:tc>
        <w:tc>
          <w:tcPr>
            <w:tcW w:w="3258" w:type="dxa"/>
            <w:vMerge w:val="restart"/>
            <w:noWrap w:val="0"/>
            <w:vAlign w:val="center"/>
          </w:tcPr>
          <w:p>
            <w:pPr>
              <w:spacing w:line="360" w:lineRule="exact"/>
              <w:jc w:val="left"/>
              <w:rPr>
                <w:rFonts w:ascii="宋体" w:hAnsi="宋体" w:cs="宋体"/>
                <w:bCs/>
                <w:color w:val="auto"/>
                <w:sz w:val="24"/>
                <w:highlight w:val="none"/>
              </w:rPr>
            </w:pPr>
            <w:r>
              <w:rPr>
                <w:rFonts w:hint="eastAsia" w:ascii="宋体" w:hAnsi="宋体" w:eastAsia="宋体" w:cs="宋体"/>
                <w:color w:val="auto"/>
                <w:sz w:val="21"/>
                <w:szCs w:val="21"/>
                <w:highlight w:val="none"/>
                <w:lang w:eastAsia="zh-CN"/>
              </w:rPr>
              <w:t>安吉县人民政府灵峰街道办事处2025-2026年度土壤污染状况调查服务项目</w:t>
            </w:r>
          </w:p>
        </w:tc>
        <w:tc>
          <w:tcPr>
            <w:tcW w:w="1390" w:type="dxa"/>
            <w:noWrap w:val="0"/>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标项一</w:t>
            </w:r>
          </w:p>
        </w:tc>
        <w:tc>
          <w:tcPr>
            <w:tcW w:w="1405" w:type="dxa"/>
            <w:noWrap w:val="0"/>
            <w:vAlign w:val="center"/>
          </w:tcPr>
          <w:p>
            <w:pPr>
              <w:spacing w:line="360" w:lineRule="exact"/>
              <w:jc w:val="center"/>
              <w:rPr>
                <w:rFonts w:hint="eastAsia" w:ascii="宋体" w:hAnsi="宋体" w:eastAsia="宋体" w:cs="宋体"/>
                <w:color w:val="auto"/>
                <w:sz w:val="24"/>
                <w:highlight w:val="none"/>
                <w:lang w:eastAsia="zh-CN"/>
              </w:rPr>
            </w:pPr>
            <w:r>
              <w:rPr>
                <w:rFonts w:hint="eastAsia" w:ascii="宋体" w:hAnsi="宋体" w:cs="宋体"/>
                <w:color w:val="auto"/>
                <w:szCs w:val="21"/>
                <w:highlight w:val="none"/>
              </w:rPr>
              <w:t>详见招标文件</w:t>
            </w:r>
            <w:r>
              <w:rPr>
                <w:rFonts w:hint="eastAsia" w:ascii="宋体" w:hAnsi="宋体" w:cs="宋体"/>
                <w:color w:val="auto"/>
                <w:szCs w:val="21"/>
                <w:highlight w:val="none"/>
                <w:lang w:eastAsia="zh-CN"/>
              </w:rPr>
              <w:t>第三章</w:t>
            </w:r>
          </w:p>
        </w:tc>
        <w:tc>
          <w:tcPr>
            <w:tcW w:w="1204" w:type="dxa"/>
            <w:noWrap w:val="0"/>
            <w:vAlign w:val="center"/>
          </w:tcPr>
          <w:p>
            <w:pPr>
              <w:spacing w:line="360" w:lineRule="exact"/>
              <w:jc w:val="center"/>
              <w:rPr>
                <w:rFonts w:ascii="宋体" w:hAnsi="宋体" w:cs="宋体"/>
                <w:bCs/>
                <w:color w:val="auto"/>
                <w:sz w:val="24"/>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年</w:t>
            </w:r>
          </w:p>
        </w:tc>
        <w:tc>
          <w:tcPr>
            <w:tcW w:w="1430" w:type="dxa"/>
            <w:noWrap w:val="0"/>
            <w:vAlign w:val="center"/>
          </w:tcPr>
          <w:p>
            <w:pPr>
              <w:spacing w:line="360" w:lineRule="exact"/>
              <w:jc w:val="center"/>
              <w:rPr>
                <w:rFonts w:ascii="宋体" w:hAnsi="宋体" w:cs="宋体"/>
                <w:bCs/>
                <w:color w:val="auto"/>
                <w:sz w:val="24"/>
                <w:highlight w:val="none"/>
              </w:rPr>
            </w:pPr>
            <w:r>
              <w:rPr>
                <w:rFonts w:hint="eastAsia" w:ascii="宋体" w:hAnsi="宋体" w:cs="宋体"/>
                <w:color w:val="auto"/>
                <w:szCs w:val="21"/>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0" w:type="auto"/>
            <w:vMerge w:val="continue"/>
            <w:noWrap w:val="0"/>
            <w:vAlign w:val="center"/>
          </w:tcPr>
          <w:p>
            <w:pPr>
              <w:spacing w:line="360" w:lineRule="exact"/>
              <w:jc w:val="center"/>
              <w:rPr>
                <w:rFonts w:hint="eastAsia" w:ascii="宋体" w:hAnsi="宋体" w:cs="宋体"/>
                <w:color w:val="auto"/>
                <w:highlight w:val="none"/>
              </w:rPr>
            </w:pPr>
          </w:p>
        </w:tc>
        <w:tc>
          <w:tcPr>
            <w:tcW w:w="3258" w:type="dxa"/>
            <w:vMerge w:val="continue"/>
            <w:noWrap w:val="0"/>
            <w:vAlign w:val="center"/>
          </w:tcPr>
          <w:p>
            <w:pPr>
              <w:spacing w:line="360" w:lineRule="exact"/>
              <w:jc w:val="left"/>
              <w:rPr>
                <w:rFonts w:hint="eastAsia" w:ascii="宋体" w:hAnsi="宋体" w:cs="宋体"/>
                <w:color w:val="auto"/>
                <w:highlight w:val="none"/>
              </w:rPr>
            </w:pPr>
          </w:p>
        </w:tc>
        <w:tc>
          <w:tcPr>
            <w:tcW w:w="1390" w:type="dxa"/>
            <w:noWrap w:val="0"/>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标项二</w:t>
            </w:r>
          </w:p>
        </w:tc>
        <w:tc>
          <w:tcPr>
            <w:tcW w:w="1405" w:type="dxa"/>
            <w:noWrap w:val="0"/>
            <w:vAlign w:val="center"/>
          </w:tcPr>
          <w:p>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详见招标文件</w:t>
            </w:r>
            <w:r>
              <w:rPr>
                <w:rFonts w:hint="eastAsia" w:ascii="宋体" w:hAnsi="宋体" w:cs="宋体"/>
                <w:color w:val="auto"/>
                <w:szCs w:val="21"/>
                <w:highlight w:val="none"/>
                <w:lang w:eastAsia="zh-CN"/>
              </w:rPr>
              <w:t>第三章</w:t>
            </w:r>
          </w:p>
        </w:tc>
        <w:tc>
          <w:tcPr>
            <w:tcW w:w="1204" w:type="dxa"/>
            <w:noWrap w:val="0"/>
            <w:vAlign w:val="center"/>
          </w:tcPr>
          <w:p>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年</w:t>
            </w:r>
          </w:p>
        </w:tc>
        <w:tc>
          <w:tcPr>
            <w:tcW w:w="1430" w:type="dxa"/>
            <w:noWrap w:val="0"/>
            <w:vAlign w:val="center"/>
          </w:tcPr>
          <w:p>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trPr>
        <w:tc>
          <w:tcPr>
            <w:tcW w:w="0" w:type="auto"/>
            <w:noWrap w:val="0"/>
            <w:vAlign w:val="center"/>
          </w:tcPr>
          <w:p>
            <w:pP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备注</w:t>
            </w:r>
          </w:p>
        </w:tc>
        <w:tc>
          <w:tcPr>
            <w:tcW w:w="8687" w:type="dxa"/>
            <w:gridSpan w:val="5"/>
            <w:noWrap w:val="0"/>
            <w:vAlign w:val="center"/>
          </w:tcPr>
          <w:p>
            <w:pPr>
              <w:spacing w:line="360" w:lineRule="auto"/>
              <w:jc w:val="left"/>
              <w:rPr>
                <w:rFonts w:hint="eastAsia"/>
                <w:color w:val="auto"/>
                <w:highlight w:val="none"/>
              </w:rPr>
            </w:pPr>
            <w:r>
              <w:rPr>
                <w:rFonts w:hint="eastAsia"/>
                <w:color w:val="auto"/>
                <w:highlight w:val="none"/>
              </w:rPr>
              <w:t>注：1、本项目分两个标项，地块数量最终以实际发生量为准。服务应按照国家相关的技术规范，对所有地块进行勘察，确定现场的现状。综合分析后编制土壤环境初步调查报告并通过专家评审</w:t>
            </w:r>
          </w:p>
          <w:p>
            <w:pPr>
              <w:numPr>
                <w:ilvl w:val="0"/>
                <w:numId w:val="3"/>
              </w:numPr>
              <w:spacing w:line="360" w:lineRule="auto"/>
              <w:jc w:val="left"/>
              <w:rPr>
                <w:rFonts w:hint="eastAsia"/>
                <w:color w:val="auto"/>
                <w:highlight w:val="none"/>
              </w:rPr>
            </w:pPr>
            <w:r>
              <w:rPr>
                <w:rFonts w:hint="eastAsia"/>
                <w:color w:val="auto"/>
                <w:highlight w:val="none"/>
              </w:rPr>
              <w:t>本项目以单价形式进行报价。</w:t>
            </w:r>
          </w:p>
          <w:p>
            <w:pPr>
              <w:numPr>
                <w:ilvl w:val="0"/>
                <w:numId w:val="3"/>
              </w:numPr>
              <w:spacing w:line="360" w:lineRule="auto"/>
              <w:jc w:val="lef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本项目共2个标项，每个标项确定1家中标供应商，供应商可以自行选择参与的标项（即可以同时参与2个标项的投标，也可以选择其中任意标项投标），但不允许同时中标，同一供应商只能中一个标项。标项1已中标供应商不再推荐为标项2的中标供应商，但其投标文件仍然进入对应标项的评审，但不再推荐为其他标项的中标供应商。第一中标候选人放弃中标资格的, 则由采购人按该标项中标候选人排序依次选取。</w:t>
            </w:r>
          </w:p>
          <w:p>
            <w:pPr>
              <w:pStyle w:val="3"/>
              <w:rPr>
                <w:rFonts w:hint="eastAsia"/>
                <w:color w:val="auto"/>
                <w:highlight w:val="none"/>
              </w:rPr>
            </w:pPr>
          </w:p>
        </w:tc>
      </w:tr>
    </w:tbl>
    <w:p>
      <w:pPr>
        <w:pStyle w:val="26"/>
        <w:widowControl/>
        <w:numPr>
          <w:ilvl w:val="0"/>
          <w:numId w:val="2"/>
        </w:numPr>
        <w:shd w:val="clear" w:color="auto" w:fill="FFFFFF"/>
        <w:spacing w:before="156" w:beforeLines="50" w:beforeAutospacing="0" w:after="0" w:afterAutospacing="0" w:line="360" w:lineRule="auto"/>
        <w:rPr>
          <w:rStyle w:val="33"/>
          <w:rFonts w:hint="eastAsia" w:ascii="宋体" w:hAnsi="宋体" w:eastAsia="宋体" w:cs="宋体"/>
          <w:color w:val="auto"/>
          <w:sz w:val="21"/>
          <w:szCs w:val="21"/>
          <w:highlight w:val="none"/>
          <w:shd w:val="clear" w:color="auto" w:fill="FFFFFF"/>
        </w:rPr>
      </w:pPr>
      <w:r>
        <w:rPr>
          <w:rStyle w:val="33"/>
          <w:rFonts w:hint="eastAsia" w:ascii="宋体" w:hAnsi="宋体" w:eastAsia="宋体" w:cs="宋体"/>
          <w:color w:val="auto"/>
          <w:sz w:val="21"/>
          <w:szCs w:val="21"/>
          <w:highlight w:val="none"/>
          <w:shd w:val="clear" w:color="auto" w:fill="FFFFFF"/>
        </w:rPr>
        <w:t>申请人的资格要求：</w:t>
      </w:r>
    </w:p>
    <w:p>
      <w:pPr>
        <w:pStyle w:val="26"/>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1.满足《中华人民共和国政府采购法》第二十二条规定；未被“信用中国”（</w:t>
      </w:r>
      <w:r>
        <w:rPr>
          <w:rFonts w:hint="eastAsia" w:ascii="宋体" w:hAnsi="宋体" w:eastAsia="宋体" w:cs="宋体"/>
          <w:color w:val="auto"/>
          <w:sz w:val="21"/>
          <w:szCs w:val="21"/>
          <w:highlight w:val="none"/>
          <w:u w:val="single"/>
          <w:shd w:val="clear" w:color="auto" w:fill="FFFFFF"/>
        </w:rPr>
        <w:t>www.creditchina.gov.cn</w:t>
      </w:r>
      <w:r>
        <w:rPr>
          <w:rFonts w:hint="eastAsia" w:ascii="宋体" w:hAnsi="宋体" w:eastAsia="宋体" w:cs="宋体"/>
          <w:color w:val="auto"/>
          <w:sz w:val="21"/>
          <w:szCs w:val="21"/>
          <w:highlight w:val="none"/>
          <w:shd w:val="clear" w:color="auto" w:fill="FFFFFF"/>
        </w:rPr>
        <w:t>)、中国政府采购网（</w:t>
      </w:r>
      <w:r>
        <w:rPr>
          <w:rFonts w:hint="eastAsia" w:ascii="宋体" w:hAnsi="宋体" w:eastAsia="宋体" w:cs="宋体"/>
          <w:color w:val="auto"/>
          <w:sz w:val="21"/>
          <w:szCs w:val="21"/>
          <w:highlight w:val="none"/>
          <w:u w:val="single"/>
          <w:shd w:val="clear" w:color="auto" w:fill="FFFFFF"/>
        </w:rPr>
        <w:t>www.ccgp.gov.cn</w:t>
      </w:r>
      <w:r>
        <w:rPr>
          <w:rFonts w:hint="eastAsia" w:ascii="宋体" w:hAnsi="宋体" w:eastAsia="宋体" w:cs="宋体"/>
          <w:color w:val="auto"/>
          <w:sz w:val="21"/>
          <w:szCs w:val="21"/>
          <w:highlight w:val="none"/>
          <w:shd w:val="clear" w:color="auto" w:fill="FFFFFF"/>
        </w:rPr>
        <w:t>）列入失信被执行人、重大税收违法案件当事人名单、政府采购严重违法失信行为记录名单。</w:t>
      </w:r>
    </w:p>
    <w:p>
      <w:pPr>
        <w:spacing w:line="360" w:lineRule="auto"/>
        <w:ind w:firstLine="420" w:firstLineChars="200"/>
        <w:jc w:val="left"/>
        <w:rPr>
          <w:rFonts w:hint="eastAsia" w:ascii="宋体" w:hAnsi="宋体" w:cs="宋体"/>
          <w:b w:val="0"/>
          <w:bCs w:val="0"/>
          <w:color w:val="auto"/>
          <w:szCs w:val="21"/>
          <w:highlight w:val="none"/>
        </w:rPr>
      </w:pPr>
      <w:r>
        <w:rPr>
          <w:rFonts w:hint="eastAsia" w:ascii="宋体" w:hAnsi="宋体" w:eastAsia="宋体" w:cs="宋体"/>
          <w:color w:val="auto"/>
          <w:kern w:val="2"/>
          <w:sz w:val="21"/>
          <w:szCs w:val="21"/>
          <w:highlight w:val="none"/>
          <w:shd w:val="clear" w:color="auto" w:fill="FFFFFF"/>
          <w:lang w:val="en-US" w:eastAsia="zh-CN" w:bidi="ar-SA"/>
        </w:rPr>
        <w:t>2.落实政府采购政策需满足的资格要求：本项目专门面向中小微企业；（中小微企业是指满足《政府采购促进中小企业发展管理办法》（财库〔2020〕46号）规定的企业。投标人属于依据国务院批准的中小企业划分标准确定的中型企业、小型企业和微型企业，但与大企业的负责人为同一人，或者与大企业存在直接控股、管理关系的除外）；</w:t>
      </w:r>
    </w:p>
    <w:p>
      <w:pPr>
        <w:widowControl/>
        <w:spacing w:line="480" w:lineRule="exact"/>
        <w:ind w:firstLine="420" w:firstLineChars="200"/>
        <w:rPr>
          <w:rFonts w:hint="eastAsia" w:ascii="宋体" w:hAnsi="宋体" w:cs="宋体"/>
          <w:color w:val="auto"/>
          <w:szCs w:val="21"/>
          <w:highlight w:val="none"/>
          <w:shd w:val="clear" w:color="auto" w:fill="FFFFFF"/>
          <w:lang w:eastAsia="zh-CN"/>
        </w:rPr>
      </w:pPr>
      <w:r>
        <w:rPr>
          <w:rFonts w:hint="eastAsia" w:ascii="宋体" w:hAnsi="宋体" w:cs="宋体"/>
          <w:color w:val="auto"/>
          <w:szCs w:val="21"/>
          <w:highlight w:val="none"/>
          <w:shd w:val="clear" w:color="auto" w:fill="FFFFFF"/>
        </w:rPr>
        <w:t>3.本项目的特定资格要求：</w:t>
      </w:r>
      <w:r>
        <w:rPr>
          <w:rFonts w:hint="eastAsia" w:ascii="宋体" w:hAnsi="宋体" w:cs="宋体"/>
          <w:color w:val="auto"/>
          <w:szCs w:val="21"/>
          <w:highlight w:val="none"/>
          <w:shd w:val="clear" w:color="auto" w:fill="FFFFFF"/>
          <w:lang w:val="en-US" w:eastAsia="zh-CN"/>
        </w:rPr>
        <w:t>无</w:t>
      </w:r>
    </w:p>
    <w:p>
      <w:pPr>
        <w:spacing w:line="360" w:lineRule="auto"/>
        <w:ind w:firstLine="420" w:firstLineChars="200"/>
        <w:jc w:val="left"/>
        <w:rPr>
          <w:rFonts w:hint="eastAsia" w:ascii="宋体" w:hAnsi="宋体" w:cs="宋体"/>
          <w:b w:val="0"/>
          <w:bCs w:val="0"/>
          <w:color w:val="auto"/>
          <w:szCs w:val="21"/>
          <w:highlight w:val="none"/>
        </w:rPr>
      </w:pPr>
      <w:r>
        <w:rPr>
          <w:rFonts w:hint="eastAsia" w:ascii="宋体" w:hAnsi="宋体" w:cs="宋体"/>
          <w:b w:val="0"/>
          <w:bCs w:val="0"/>
          <w:color w:val="auto"/>
          <w:szCs w:val="21"/>
          <w:highlight w:val="none"/>
          <w:lang w:val="en-US" w:eastAsia="zh-CN"/>
        </w:rPr>
        <w:t>4</w:t>
      </w:r>
      <w:r>
        <w:rPr>
          <w:rFonts w:hint="eastAsia" w:ascii="宋体" w:hAnsi="宋体" w:cs="宋体"/>
          <w:b w:val="0"/>
          <w:bCs w:val="0"/>
          <w:color w:val="auto"/>
          <w:szCs w:val="21"/>
          <w:highlight w:val="none"/>
        </w:rPr>
        <w:t>.本项目</w:t>
      </w:r>
      <w:r>
        <w:rPr>
          <w:rFonts w:hint="eastAsia" w:ascii="宋体" w:hAnsi="宋体" w:eastAsia="宋体" w:cs="宋体"/>
          <w:color w:val="auto"/>
          <w:kern w:val="2"/>
          <w:sz w:val="21"/>
          <w:szCs w:val="21"/>
          <w:highlight w:val="none"/>
          <w:shd w:val="clear" w:color="auto" w:fill="FFFFFF"/>
          <w:lang w:val="en-US" w:eastAsia="zh-CN" w:bidi="ar-SA"/>
        </w:rPr>
        <w:t>不接受联合体投标，禁止转包或分包。</w:t>
      </w:r>
    </w:p>
    <w:p>
      <w:pPr>
        <w:pStyle w:val="26"/>
        <w:widowControl/>
        <w:numPr>
          <w:ilvl w:val="0"/>
          <w:numId w:val="2"/>
        </w:numPr>
        <w:shd w:val="clear" w:color="auto" w:fill="FFFFFF"/>
        <w:spacing w:before="156" w:beforeLines="50" w:beforeAutospacing="0" w:after="0" w:afterAutospacing="0" w:line="360" w:lineRule="auto"/>
        <w:rPr>
          <w:rStyle w:val="33"/>
          <w:rFonts w:hint="eastAsia" w:ascii="宋体" w:hAnsi="宋体" w:eastAsia="宋体" w:cs="宋体"/>
          <w:b/>
          <w:bCs/>
          <w:color w:val="auto"/>
          <w:sz w:val="21"/>
          <w:szCs w:val="21"/>
          <w:highlight w:val="none"/>
          <w:shd w:val="clear" w:color="auto" w:fill="FFFFFF"/>
          <w:lang w:val="en-US" w:eastAsia="zh-CN"/>
        </w:rPr>
      </w:pPr>
      <w:r>
        <w:rPr>
          <w:rStyle w:val="33"/>
          <w:rFonts w:hint="eastAsia" w:ascii="宋体" w:hAnsi="宋体" w:eastAsia="宋体" w:cs="宋体"/>
          <w:b/>
          <w:bCs/>
          <w:color w:val="auto"/>
          <w:sz w:val="21"/>
          <w:szCs w:val="21"/>
          <w:highlight w:val="none"/>
          <w:shd w:val="clear" w:color="auto" w:fill="FFFFFF"/>
          <w:lang w:val="en-US" w:eastAsia="zh-CN"/>
        </w:rPr>
        <w:t>获取（下载）采购文件</w:t>
      </w:r>
    </w:p>
    <w:p>
      <w:pPr>
        <w:pStyle w:val="26"/>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时间：</w:t>
      </w:r>
      <w:r>
        <w:rPr>
          <w:rFonts w:hint="eastAsia" w:ascii="宋体" w:hAnsi="宋体" w:eastAsia="宋体" w:cs="宋体"/>
          <w:color w:val="auto"/>
          <w:sz w:val="21"/>
          <w:szCs w:val="21"/>
          <w:highlight w:val="none"/>
          <w:shd w:val="clear" w:color="auto" w:fill="FFFFFF"/>
          <w:lang w:val="en-US" w:eastAsia="zh-CN"/>
        </w:rPr>
        <w:t>2025年2月19日</w:t>
      </w:r>
      <w:r>
        <w:rPr>
          <w:rFonts w:hint="eastAsia" w:ascii="宋体" w:hAnsi="宋体" w:eastAsia="宋体" w:cs="宋体"/>
          <w:color w:val="auto"/>
          <w:sz w:val="21"/>
          <w:szCs w:val="21"/>
          <w:highlight w:val="none"/>
          <w:shd w:val="clear" w:color="auto" w:fill="FFFFFF"/>
        </w:rPr>
        <w:t>/至2025年3月4日下午14:00时，每天上午00:00至12:00，下午12:00至23:59（北京时间，线上获取法定节假日均可，线下获取文件法定节假日除外）</w:t>
      </w:r>
    </w:p>
    <w:p>
      <w:pPr>
        <w:pStyle w:val="26"/>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地点（网址）：政府采购云平台</w:t>
      </w:r>
      <w:r>
        <w:rPr>
          <w:rFonts w:hint="eastAsia" w:ascii="宋体" w:hAnsi="宋体" w:eastAsia="宋体" w:cs="宋体"/>
          <w:color w:val="auto"/>
          <w:sz w:val="21"/>
          <w:szCs w:val="21"/>
          <w:highlight w:val="none"/>
          <w:u w:val="single"/>
          <w:shd w:val="clear" w:color="auto" w:fill="FFFFFF"/>
        </w:rPr>
        <w:t>http://www.zcygov.cn</w:t>
      </w:r>
      <w:r>
        <w:rPr>
          <w:rFonts w:hint="eastAsia" w:ascii="宋体" w:hAnsi="宋体" w:eastAsia="宋体" w:cs="宋体"/>
          <w:color w:val="auto"/>
          <w:sz w:val="21"/>
          <w:szCs w:val="21"/>
          <w:highlight w:val="none"/>
          <w:shd w:val="clear" w:color="auto" w:fill="FFFFFF"/>
        </w:rPr>
        <w:t>（以下简称“政采云平台”） </w:t>
      </w:r>
    </w:p>
    <w:p>
      <w:pPr>
        <w:pStyle w:val="26"/>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方式：实行“政采云平台”在线获取。</w:t>
      </w:r>
    </w:p>
    <w:p>
      <w:pPr>
        <w:pStyle w:val="26"/>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售价（元）：0</w:t>
      </w:r>
    </w:p>
    <w:p>
      <w:pPr>
        <w:pStyle w:val="26"/>
        <w:widowControl/>
        <w:numPr>
          <w:ilvl w:val="0"/>
          <w:numId w:val="2"/>
        </w:numPr>
        <w:shd w:val="clear" w:color="auto" w:fill="FFFFFF"/>
        <w:spacing w:before="156" w:beforeLines="50" w:beforeAutospacing="0" w:after="0" w:afterAutospacing="0" w:line="360" w:lineRule="auto"/>
        <w:rPr>
          <w:rStyle w:val="33"/>
          <w:rFonts w:hint="eastAsia" w:ascii="宋体" w:hAnsi="宋体" w:eastAsia="宋体" w:cs="宋体"/>
          <w:color w:val="auto"/>
          <w:sz w:val="21"/>
          <w:szCs w:val="21"/>
          <w:highlight w:val="none"/>
          <w:shd w:val="clear" w:color="auto" w:fill="FFFFFF"/>
        </w:rPr>
      </w:pPr>
      <w:r>
        <w:rPr>
          <w:rStyle w:val="33"/>
          <w:rFonts w:hint="eastAsia" w:ascii="宋体" w:hAnsi="宋体" w:eastAsia="宋体" w:cs="宋体"/>
          <w:color w:val="auto"/>
          <w:sz w:val="21"/>
          <w:szCs w:val="21"/>
          <w:highlight w:val="none"/>
          <w:shd w:val="clear" w:color="auto" w:fill="FFFFFF"/>
        </w:rPr>
        <w:t>响应文件提交（上传）</w:t>
      </w:r>
    </w:p>
    <w:p>
      <w:pPr>
        <w:pStyle w:val="26"/>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截止时间： </w:t>
      </w:r>
      <w:r>
        <w:rPr>
          <w:rFonts w:hint="eastAsia" w:ascii="宋体" w:hAnsi="宋体" w:eastAsia="宋体" w:cs="宋体"/>
          <w:color w:val="auto"/>
          <w:sz w:val="21"/>
          <w:szCs w:val="21"/>
          <w:highlight w:val="none"/>
          <w:lang w:eastAsia="zh-CN"/>
        </w:rPr>
        <w:t>2025年3月4日下午14:00时</w:t>
      </w:r>
      <w:r>
        <w:rPr>
          <w:rFonts w:hint="eastAsia" w:ascii="宋体" w:hAnsi="宋体" w:eastAsia="宋体" w:cs="宋体"/>
          <w:color w:val="auto"/>
          <w:sz w:val="21"/>
          <w:szCs w:val="21"/>
          <w:highlight w:val="none"/>
        </w:rPr>
        <w:t>（北京时间）</w:t>
      </w:r>
    </w:p>
    <w:p>
      <w:pPr>
        <w:pStyle w:val="26"/>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地点（网址）：通过“政采云平台（</w:t>
      </w:r>
      <w:r>
        <w:rPr>
          <w:rFonts w:hint="eastAsia" w:ascii="宋体" w:hAnsi="宋体" w:eastAsia="宋体" w:cs="宋体"/>
          <w:color w:val="auto"/>
          <w:sz w:val="21"/>
          <w:szCs w:val="21"/>
          <w:highlight w:val="none"/>
          <w:u w:val="single"/>
          <w:shd w:val="clear" w:color="auto" w:fill="FFFFFF"/>
        </w:rPr>
        <w:t>www.zcygov.cn</w:t>
      </w:r>
      <w:r>
        <w:rPr>
          <w:rFonts w:hint="eastAsia" w:ascii="宋体" w:hAnsi="宋体" w:eastAsia="宋体" w:cs="宋体"/>
          <w:color w:val="auto"/>
          <w:sz w:val="21"/>
          <w:szCs w:val="21"/>
          <w:highlight w:val="none"/>
          <w:shd w:val="clear" w:color="auto" w:fill="FFFFFF"/>
        </w:rPr>
        <w:t>）”在线递交 </w:t>
      </w:r>
    </w:p>
    <w:p>
      <w:pPr>
        <w:pStyle w:val="26"/>
        <w:widowControl/>
        <w:numPr>
          <w:ilvl w:val="0"/>
          <w:numId w:val="2"/>
        </w:numPr>
        <w:shd w:val="clear" w:color="auto" w:fill="FFFFFF"/>
        <w:spacing w:before="156" w:beforeLines="50" w:beforeAutospacing="0" w:after="0" w:afterAutospacing="0" w:line="360" w:lineRule="auto"/>
        <w:rPr>
          <w:rStyle w:val="33"/>
          <w:rFonts w:hint="eastAsia" w:ascii="宋体" w:hAnsi="宋体" w:eastAsia="宋体" w:cs="宋体"/>
          <w:color w:val="auto"/>
          <w:sz w:val="21"/>
          <w:szCs w:val="21"/>
          <w:highlight w:val="none"/>
          <w:shd w:val="clear" w:color="auto" w:fill="FFFFFF"/>
        </w:rPr>
      </w:pPr>
      <w:r>
        <w:rPr>
          <w:rStyle w:val="33"/>
          <w:rFonts w:hint="eastAsia" w:ascii="宋体" w:hAnsi="宋体" w:eastAsia="宋体" w:cs="宋体"/>
          <w:color w:val="auto"/>
          <w:sz w:val="21"/>
          <w:szCs w:val="21"/>
          <w:highlight w:val="none"/>
          <w:shd w:val="clear" w:color="auto" w:fill="FFFFFF"/>
        </w:rPr>
        <w:t>响应文件开启 </w:t>
      </w:r>
    </w:p>
    <w:p>
      <w:pPr>
        <w:pStyle w:val="26"/>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开启时间： </w:t>
      </w:r>
      <w:r>
        <w:rPr>
          <w:rFonts w:hint="eastAsia" w:ascii="宋体" w:hAnsi="宋体" w:eastAsia="宋体" w:cs="宋体"/>
          <w:color w:val="auto"/>
          <w:sz w:val="21"/>
          <w:szCs w:val="21"/>
          <w:highlight w:val="none"/>
          <w:lang w:eastAsia="zh-CN"/>
        </w:rPr>
        <w:t>2025年3月4日下午14:00时</w:t>
      </w:r>
      <w:r>
        <w:rPr>
          <w:rFonts w:hint="eastAsia" w:ascii="宋体" w:hAnsi="宋体" w:eastAsia="宋体" w:cs="宋体"/>
          <w:color w:val="auto"/>
          <w:sz w:val="21"/>
          <w:szCs w:val="21"/>
          <w:highlight w:val="none"/>
        </w:rPr>
        <w:t>（北京时间）</w:t>
      </w:r>
    </w:p>
    <w:p>
      <w:pPr>
        <w:pStyle w:val="26"/>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地点（网址）：通过政采云平台（</w:t>
      </w:r>
      <w:r>
        <w:rPr>
          <w:rFonts w:hint="eastAsia" w:ascii="宋体" w:hAnsi="宋体" w:eastAsia="宋体" w:cs="宋体"/>
          <w:color w:val="auto"/>
          <w:sz w:val="21"/>
          <w:szCs w:val="21"/>
          <w:highlight w:val="none"/>
          <w:u w:val="single"/>
          <w:shd w:val="clear" w:color="auto" w:fill="FFFFFF"/>
        </w:rPr>
        <w:t>www.zcygov.cn</w:t>
      </w:r>
      <w:r>
        <w:rPr>
          <w:rFonts w:hint="eastAsia" w:ascii="宋体" w:hAnsi="宋体" w:eastAsia="宋体" w:cs="宋体"/>
          <w:color w:val="auto"/>
          <w:sz w:val="21"/>
          <w:szCs w:val="21"/>
          <w:highlight w:val="none"/>
          <w:shd w:val="clear" w:color="auto" w:fill="FFFFFF"/>
        </w:rPr>
        <w:t>）在线参加磋商。 </w:t>
      </w:r>
    </w:p>
    <w:p>
      <w:pPr>
        <w:pStyle w:val="26"/>
        <w:widowControl/>
        <w:numPr>
          <w:ilvl w:val="0"/>
          <w:numId w:val="2"/>
        </w:numPr>
        <w:shd w:val="clear" w:color="auto" w:fill="FFFFFF"/>
        <w:spacing w:before="156" w:beforeLines="50" w:beforeAutospacing="0" w:after="0" w:afterAutospacing="0" w:line="360" w:lineRule="auto"/>
        <w:rPr>
          <w:rStyle w:val="33"/>
          <w:rFonts w:hint="eastAsia" w:ascii="宋体" w:hAnsi="宋体" w:eastAsia="宋体" w:cs="宋体"/>
          <w:color w:val="auto"/>
          <w:sz w:val="21"/>
          <w:szCs w:val="21"/>
          <w:highlight w:val="none"/>
          <w:shd w:val="clear" w:color="auto" w:fill="FFFFFF"/>
        </w:rPr>
      </w:pPr>
      <w:r>
        <w:rPr>
          <w:rStyle w:val="33"/>
          <w:rFonts w:hint="eastAsia" w:ascii="宋体" w:hAnsi="宋体" w:eastAsia="宋体" w:cs="宋体"/>
          <w:color w:val="auto"/>
          <w:sz w:val="21"/>
          <w:szCs w:val="21"/>
          <w:highlight w:val="none"/>
          <w:shd w:val="clear" w:color="auto" w:fill="FFFFFF"/>
        </w:rPr>
        <w:t>公告期限</w:t>
      </w:r>
    </w:p>
    <w:p>
      <w:pPr>
        <w:pStyle w:val="26"/>
        <w:shd w:val="clear" w:color="auto" w:fill="FFFFFF"/>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自本公告发布之日起3个工作日。</w:t>
      </w:r>
    </w:p>
    <w:p>
      <w:pPr>
        <w:pStyle w:val="26"/>
        <w:widowControl/>
        <w:numPr>
          <w:ilvl w:val="0"/>
          <w:numId w:val="2"/>
        </w:numPr>
        <w:shd w:val="clear" w:color="auto" w:fill="FFFFFF"/>
        <w:spacing w:before="156" w:beforeLines="50" w:beforeAutospacing="0" w:after="0" w:afterAutospacing="0" w:line="360" w:lineRule="auto"/>
        <w:rPr>
          <w:rStyle w:val="33"/>
          <w:rFonts w:hint="eastAsia" w:ascii="宋体" w:hAnsi="宋体" w:eastAsia="宋体" w:cs="宋体"/>
          <w:color w:val="auto"/>
          <w:sz w:val="21"/>
          <w:szCs w:val="21"/>
          <w:highlight w:val="none"/>
          <w:shd w:val="clear" w:color="auto" w:fill="FFFFFF"/>
        </w:rPr>
      </w:pPr>
      <w:r>
        <w:rPr>
          <w:rStyle w:val="33"/>
          <w:rFonts w:hint="eastAsia" w:ascii="宋体" w:hAnsi="宋体" w:eastAsia="宋体" w:cs="宋体"/>
          <w:color w:val="auto"/>
          <w:sz w:val="21"/>
          <w:szCs w:val="21"/>
          <w:highlight w:val="none"/>
          <w:shd w:val="clear" w:color="auto" w:fill="FFFFFF"/>
        </w:rPr>
        <w:t>其他补充事宜 </w:t>
      </w:r>
    </w:p>
    <w:p>
      <w:pPr>
        <w:pStyle w:val="26"/>
        <w:shd w:val="clear" w:color="auto" w:fill="FFFFFF"/>
        <w:spacing w:before="0" w:beforeAutospacing="0" w:after="0" w:afterAutospacing="0" w:line="360" w:lineRule="auto"/>
        <w:ind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26"/>
        <w:shd w:val="clear" w:color="auto" w:fill="FFFFFF"/>
        <w:spacing w:before="0" w:beforeAutospacing="0" w:after="0" w:afterAutospacing="0" w:line="360" w:lineRule="auto"/>
        <w:ind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2.其他事项：</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shd w:val="clear" w:color="auto" w:fill="FFFFFF"/>
        </w:rPr>
        <w:t>1）书面质疑受理地点及联系人：</w:t>
      </w:r>
      <w:r>
        <w:rPr>
          <w:rFonts w:hint="eastAsia" w:ascii="宋体" w:hAnsi="宋体" w:cs="宋体"/>
          <w:color w:val="auto"/>
          <w:szCs w:val="21"/>
          <w:highlight w:val="none"/>
        </w:rPr>
        <w:t>浙江省安吉县芜园西路169号广都嘉园8幢一单元三楼306室，安吉口碑采购代理服务有限公司，联系人：</w:t>
      </w:r>
      <w:r>
        <w:rPr>
          <w:rFonts w:hint="eastAsia" w:ascii="宋体" w:hAnsi="宋体" w:cs="宋体"/>
          <w:color w:val="auto"/>
          <w:szCs w:val="21"/>
          <w:highlight w:val="none"/>
          <w:u w:val="single"/>
        </w:rPr>
        <w:t>陈玲玲19844128797</w:t>
      </w:r>
      <w:r>
        <w:rPr>
          <w:rFonts w:hint="eastAsia" w:ascii="宋体" w:hAnsi="宋体" w:cs="宋体"/>
          <w:color w:val="auto"/>
          <w:szCs w:val="21"/>
          <w:highlight w:val="none"/>
        </w:rPr>
        <w:t xml:space="preserve"> ,同时将质疑函扫描件以电子邮件形式发送至电子邮箱</w:t>
      </w:r>
      <w:r>
        <w:rPr>
          <w:rFonts w:hint="eastAsia" w:ascii="宋体" w:hAnsi="宋体" w:cs="宋体"/>
          <w:color w:val="auto"/>
          <w:szCs w:val="21"/>
          <w:highlight w:val="none"/>
          <w:u w:val="single"/>
        </w:rPr>
        <w:t xml:space="preserve">anjikbcg@163.com </w:t>
      </w:r>
      <w:r>
        <w:rPr>
          <w:rFonts w:hint="eastAsia" w:ascii="宋体" w:hAnsi="宋体" w:cs="宋体"/>
          <w:color w:val="auto"/>
          <w:szCs w:val="21"/>
          <w:highlight w:val="none"/>
        </w:rPr>
        <w:t>。</w:t>
      </w:r>
    </w:p>
    <w:p>
      <w:pPr>
        <w:pStyle w:val="26"/>
        <w:shd w:val="clear" w:color="auto" w:fill="FFFFFF"/>
        <w:spacing w:before="0" w:beforeAutospacing="0" w:after="0" w:afterAutospacing="0" w:line="360" w:lineRule="auto"/>
        <w:ind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根据《浙江省财政厅关于进一步促进政府采购公平竞争打造最优营商环境的通知》（浙财采监（2021）22号）文件关于“健全行政裁决机制”要求，鼓励供应商在线提起询问，路径为：政采云-项目采购-询问质疑投诉-询问列表</w:t>
      </w:r>
      <w:r>
        <w:rPr>
          <w:rFonts w:hint="eastAsia" w:ascii="宋体" w:hAnsi="宋体" w:eastAsia="宋体" w:cs="宋体"/>
          <w:color w:val="auto"/>
          <w:sz w:val="21"/>
          <w:szCs w:val="21"/>
          <w:highlight w:val="none"/>
          <w:shd w:val="clear" w:color="auto" w:fill="FFFFFF"/>
          <w:lang w:eastAsia="zh-CN"/>
        </w:rPr>
        <w:t>：</w:t>
      </w:r>
      <w:r>
        <w:rPr>
          <w:rFonts w:hint="eastAsia" w:ascii="宋体" w:hAnsi="宋体" w:eastAsia="宋体" w:cs="宋体"/>
          <w:color w:val="auto"/>
          <w:sz w:val="21"/>
          <w:szCs w:val="21"/>
          <w:highlight w:val="none"/>
          <w:shd w:val="clear" w:color="auto" w:fill="FFFFFF"/>
        </w:rPr>
        <w:t>鼓励供应商在线提起质疑，路径为：政采云-项目采购-询问质疑投诉-质疑列表。质疑供应商对在线质疑答复不满意的，可在线提起投诉，路径为：浙江政府服务网-政府采购投诉处理-在线办理。</w:t>
      </w:r>
    </w:p>
    <w:p>
      <w:pPr>
        <w:pStyle w:val="26"/>
        <w:shd w:val="clear" w:color="auto" w:fill="FFFFFF"/>
        <w:spacing w:before="0" w:beforeAutospacing="0" w:after="0" w:afterAutospacing="0" w:line="360" w:lineRule="auto"/>
        <w:ind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2）本项目执行的政府采购政策：《政府采购促进中小企业发展管理办法》（财库﹝2020﹞46 号）； 《财政部、司法部关于政府采购支持监狱企业发展有关问题的通知》（财库〔2014〕68号）； 《国务院办公厅关于建立政府强制采购节能产品制度的通知》（国办发〔2007〕51号）；《财政部发展改革委 生态环境部 市场监管总局关于调整优化节能产品 环境标志产品政府采购执行机制的通知》（财库〔2019〕9 号）；财政部民政部中国残疾人联合会《关于促进残疾人就业政府采购政策的通知》（财库〔2017〕141号）。</w:t>
      </w:r>
    </w:p>
    <w:p>
      <w:pPr>
        <w:pStyle w:val="26"/>
        <w:shd w:val="clear" w:color="auto" w:fill="FFFFFF"/>
        <w:spacing w:before="0" w:beforeAutospacing="0" w:after="0" w:afterAutospacing="0" w:line="360" w:lineRule="auto"/>
        <w:ind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3）资格审查：本项目采用资格后审。</w:t>
      </w:r>
    </w:p>
    <w:p>
      <w:pPr>
        <w:pStyle w:val="26"/>
        <w:shd w:val="clear" w:color="auto" w:fill="FFFFFF"/>
        <w:spacing w:before="0" w:beforeAutospacing="0" w:after="0" w:afterAutospacing="0" w:line="360" w:lineRule="auto"/>
        <w:ind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 xml:space="preserve">4）本次采购有关信息发布媒介：浙江政府采购网 </w:t>
      </w:r>
      <w:r>
        <w:rPr>
          <w:rFonts w:hint="eastAsia" w:ascii="宋体" w:hAnsi="宋体" w:eastAsia="宋体" w:cs="宋体"/>
          <w:color w:val="auto"/>
          <w:sz w:val="21"/>
          <w:szCs w:val="21"/>
          <w:highlight w:val="none"/>
          <w:u w:val="single"/>
          <w:shd w:val="clear" w:color="auto" w:fill="FFFFFF"/>
        </w:rPr>
        <w:t>http://zfcg.czt.zj.gov.cn</w:t>
      </w:r>
      <w:r>
        <w:rPr>
          <w:rFonts w:hint="eastAsia" w:ascii="宋体" w:hAnsi="宋体" w:eastAsia="宋体" w:cs="宋体"/>
          <w:color w:val="auto"/>
          <w:sz w:val="21"/>
          <w:szCs w:val="21"/>
          <w:highlight w:val="none"/>
          <w:shd w:val="clear" w:color="auto" w:fill="FFFFFF"/>
        </w:rPr>
        <w:t xml:space="preserve"> ；安吉县公共资源交易网 </w:t>
      </w:r>
      <w:r>
        <w:rPr>
          <w:rFonts w:ascii="宋体" w:hAnsi="宋体" w:eastAsia="宋体" w:cs="宋体"/>
          <w:color w:val="auto"/>
          <w:sz w:val="21"/>
          <w:szCs w:val="21"/>
          <w:highlight w:val="none"/>
          <w:u w:val="single"/>
          <w:shd w:val="clear" w:color="auto" w:fill="FFFFFF"/>
        </w:rPr>
        <w:t>http://www.anji.gov.cn/col/col1229656840/index.html</w:t>
      </w:r>
    </w:p>
    <w:p>
      <w:pPr>
        <w:pStyle w:val="26"/>
        <w:shd w:val="clear" w:color="auto" w:fill="FFFFFF"/>
        <w:spacing w:before="0" w:beforeAutospacing="0" w:after="0" w:afterAutospacing="0" w:line="360" w:lineRule="auto"/>
        <w:ind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5）采购代理费用由成交供应商支付。</w:t>
      </w:r>
    </w:p>
    <w:p>
      <w:pPr>
        <w:pStyle w:val="26"/>
        <w:shd w:val="clear" w:color="auto" w:fill="FFFFFF"/>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6）本采购项目中标单位与采购单位签订的政府采购合同适用于浙江省政府采购贷款政策，简称“政采贷”，具体内容可参阅《安吉财政“政采贷”办理指引》。网址：</w:t>
      </w:r>
      <w:r>
        <w:rPr>
          <w:rFonts w:hint="eastAsia" w:ascii="宋体" w:hAnsi="宋体" w:eastAsia="宋体" w:cs="宋体"/>
          <w:color w:val="auto"/>
          <w:sz w:val="21"/>
          <w:szCs w:val="21"/>
          <w:highlight w:val="none"/>
          <w:u w:val="single"/>
          <w:shd w:val="clear" w:color="auto" w:fill="FFFFFF"/>
        </w:rPr>
        <w:t>http://www.anji.gov.cn/hzgov/front/s553/zwgk/gggs/20231228/i3691136.html</w:t>
      </w:r>
    </w:p>
    <w:p>
      <w:pPr>
        <w:pStyle w:val="26"/>
        <w:widowControl/>
        <w:numPr>
          <w:ilvl w:val="0"/>
          <w:numId w:val="2"/>
        </w:numPr>
        <w:shd w:val="clear" w:color="auto" w:fill="FFFFFF"/>
        <w:spacing w:before="156" w:beforeLines="50" w:beforeAutospacing="0" w:after="0" w:afterAutospacing="0" w:line="360" w:lineRule="auto"/>
        <w:rPr>
          <w:rStyle w:val="33"/>
          <w:rFonts w:hint="eastAsia" w:ascii="宋体" w:hAnsi="宋体" w:eastAsia="宋体" w:cs="宋体"/>
          <w:color w:val="auto"/>
          <w:sz w:val="21"/>
          <w:szCs w:val="21"/>
          <w:highlight w:val="none"/>
          <w:shd w:val="clear" w:color="auto" w:fill="FFFFFF"/>
        </w:rPr>
      </w:pPr>
      <w:r>
        <w:rPr>
          <w:rStyle w:val="33"/>
          <w:rFonts w:hint="eastAsia" w:ascii="宋体" w:hAnsi="宋体" w:eastAsia="宋体" w:cs="宋体"/>
          <w:color w:val="auto"/>
          <w:sz w:val="21"/>
          <w:szCs w:val="21"/>
          <w:highlight w:val="none"/>
          <w:shd w:val="clear" w:color="auto" w:fill="FFFFFF"/>
        </w:rPr>
        <w:t>凡对本次招标提出询问、质疑、投诉，请按以下方式联系</w:t>
      </w:r>
    </w:p>
    <w:tbl>
      <w:tblPr>
        <w:tblStyle w:val="30"/>
        <w:tblW w:w="0" w:type="auto"/>
        <w:tblInd w:w="474" w:type="dxa"/>
        <w:tblLayout w:type="autofit"/>
        <w:tblCellMar>
          <w:top w:w="0" w:type="dxa"/>
          <w:left w:w="108" w:type="dxa"/>
          <w:bottom w:w="0" w:type="dxa"/>
          <w:right w:w="108" w:type="dxa"/>
        </w:tblCellMar>
      </w:tblPr>
      <w:tblGrid>
        <w:gridCol w:w="9154"/>
      </w:tblGrid>
      <w:tr>
        <w:tblPrEx>
          <w:tblCellMar>
            <w:top w:w="0" w:type="dxa"/>
            <w:left w:w="108" w:type="dxa"/>
            <w:bottom w:w="0" w:type="dxa"/>
            <w:right w:w="108" w:type="dxa"/>
          </w:tblCellMar>
        </w:tblPrEx>
        <w:tc>
          <w:tcPr>
            <w:tcW w:w="9154" w:type="dxa"/>
            <w:noWrap w:val="0"/>
            <w:vAlign w:val="top"/>
          </w:tcPr>
          <w:p>
            <w:pPr>
              <w:pStyle w:val="26"/>
              <w:spacing w:before="0" w:beforeAutospacing="0" w:after="0" w:afterAutospacing="0" w:line="360" w:lineRule="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采购人:</w:t>
            </w:r>
            <w:r>
              <w:rPr>
                <w:rFonts w:hint="eastAsia" w:ascii="宋体" w:hAnsi="宋体" w:eastAsia="宋体" w:cs="宋体"/>
                <w:color w:val="auto"/>
                <w:sz w:val="21"/>
                <w:szCs w:val="21"/>
                <w:highlight w:val="none"/>
                <w:shd w:val="clear" w:color="auto" w:fill="FFFFFF"/>
                <w:lang w:eastAsia="zh-CN"/>
              </w:rPr>
              <w:t>安吉县人民政府灵峰街道办事处（安吉灵峰旅游度假区管理委员会）</w:t>
            </w:r>
          </w:p>
          <w:p>
            <w:pPr>
              <w:pStyle w:val="26"/>
              <w:spacing w:before="0" w:beforeAutospacing="0" w:after="0" w:afterAutospacing="0" w:line="360" w:lineRule="auto"/>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rPr>
              <w:t>项目联系人：方</w:t>
            </w:r>
            <w:r>
              <w:rPr>
                <w:rFonts w:hint="eastAsia" w:ascii="宋体" w:hAnsi="宋体" w:eastAsia="宋体" w:cs="宋体"/>
                <w:color w:val="auto"/>
                <w:sz w:val="21"/>
                <w:szCs w:val="21"/>
                <w:highlight w:val="none"/>
                <w:shd w:val="clear" w:color="auto" w:fill="FFFFFF"/>
                <w:lang w:eastAsia="zh-CN"/>
              </w:rPr>
              <w:t>先生</w:t>
            </w:r>
          </w:p>
          <w:p>
            <w:pPr>
              <w:pStyle w:val="26"/>
              <w:spacing w:before="0" w:beforeAutospacing="0" w:after="0" w:afterAutospacing="0" w:line="360" w:lineRule="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项目联系方式：18357276299</w:t>
            </w:r>
          </w:p>
          <w:p>
            <w:pPr>
              <w:pStyle w:val="26"/>
              <w:spacing w:before="0" w:beforeAutospacing="0" w:after="0" w:afterAutospacing="0" w:line="360" w:lineRule="auto"/>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rPr>
              <w:t>质疑联系人：黄</w:t>
            </w:r>
            <w:r>
              <w:rPr>
                <w:rFonts w:hint="eastAsia" w:ascii="宋体" w:hAnsi="宋体" w:eastAsia="宋体" w:cs="宋体"/>
                <w:color w:val="auto"/>
                <w:sz w:val="21"/>
                <w:szCs w:val="21"/>
                <w:highlight w:val="none"/>
                <w:shd w:val="clear" w:color="auto" w:fill="FFFFFF"/>
                <w:lang w:eastAsia="zh-CN"/>
              </w:rPr>
              <w:t>女士</w:t>
            </w:r>
          </w:p>
          <w:p>
            <w:pPr>
              <w:pStyle w:val="26"/>
              <w:spacing w:before="0" w:beforeAutospacing="0" w:after="0" w:afterAutospacing="0" w:line="360" w:lineRule="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质疑联系方式：13732379380</w:t>
            </w:r>
          </w:p>
        </w:tc>
      </w:tr>
      <w:tr>
        <w:tblPrEx>
          <w:tblCellMar>
            <w:top w:w="0" w:type="dxa"/>
            <w:left w:w="108" w:type="dxa"/>
            <w:bottom w:w="0" w:type="dxa"/>
            <w:right w:w="108" w:type="dxa"/>
          </w:tblCellMar>
        </w:tblPrEx>
        <w:tc>
          <w:tcPr>
            <w:tcW w:w="9154" w:type="dxa"/>
            <w:noWrap w:val="0"/>
            <w:vAlign w:val="top"/>
          </w:tcPr>
          <w:p>
            <w:pPr>
              <w:pStyle w:val="26"/>
              <w:spacing w:before="0" w:beforeAutospacing="0" w:after="0" w:afterAutospacing="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2.采购代理机构信息名称：安吉口碑采购代理服务有限公司 </w:t>
            </w:r>
          </w:p>
          <w:p>
            <w:pPr>
              <w:pStyle w:val="26"/>
              <w:spacing w:before="0" w:beforeAutospacing="0" w:after="0" w:afterAutospacing="0" w:line="360" w:lineRule="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地址：浙江省安吉县芜园西路169号广都嘉园8幢一单元三楼306室</w:t>
            </w:r>
          </w:p>
          <w:p>
            <w:pPr>
              <w:pStyle w:val="26"/>
              <w:spacing w:before="0" w:beforeAutospacing="0" w:after="0" w:afterAutospacing="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shd w:val="clear" w:color="auto" w:fill="FFFFFF"/>
              </w:rPr>
              <w:t>项目联系人（询问）：</w:t>
            </w:r>
            <w:r>
              <w:rPr>
                <w:rFonts w:hint="eastAsia" w:ascii="宋体" w:hAnsi="宋体" w:eastAsia="宋体" w:cs="宋体"/>
                <w:color w:val="auto"/>
                <w:sz w:val="21"/>
                <w:szCs w:val="21"/>
                <w:highlight w:val="none"/>
                <w:shd w:val="clear" w:color="auto" w:fill="FFFFFF"/>
                <w:lang w:eastAsia="zh-CN"/>
              </w:rPr>
              <w:t>姚女士</w:t>
            </w:r>
          </w:p>
          <w:p>
            <w:pPr>
              <w:pStyle w:val="26"/>
              <w:spacing w:before="0" w:beforeAutospacing="0" w:after="0" w:afterAutospacing="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项目联系方式（询问）</w:t>
            </w:r>
            <w:r>
              <w:rPr>
                <w:rFonts w:hint="eastAsia" w:ascii="宋体" w:hAnsi="宋体" w:eastAsia="宋体" w:cs="宋体"/>
                <w:color w:val="auto"/>
                <w:sz w:val="21"/>
                <w:szCs w:val="21"/>
                <w:highlight w:val="none"/>
                <w:shd w:val="clear" w:color="auto" w:fill="FFFFFF"/>
                <w:lang w:eastAsia="zh-CN"/>
              </w:rPr>
              <w:t>：</w:t>
            </w:r>
            <w:bookmarkStart w:id="179" w:name="_GoBack"/>
            <w:bookmarkEnd w:id="179"/>
            <w:r>
              <w:rPr>
                <w:rFonts w:hint="eastAsia" w:ascii="宋体" w:hAnsi="宋体" w:eastAsia="宋体" w:cs="宋体"/>
                <w:color w:val="auto"/>
                <w:sz w:val="21"/>
                <w:szCs w:val="21"/>
                <w:highlight w:val="none"/>
                <w:shd w:val="clear" w:color="auto" w:fill="FFFFFF"/>
              </w:rPr>
              <w:t>0572-5694808</w:t>
            </w:r>
          </w:p>
          <w:p>
            <w:pPr>
              <w:pStyle w:val="26"/>
              <w:spacing w:before="0" w:beforeAutospacing="0" w:after="0" w:afterAutospacing="0" w:line="360" w:lineRule="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质疑联系人：陈玲玲</w:t>
            </w:r>
          </w:p>
          <w:p>
            <w:pPr>
              <w:pStyle w:val="26"/>
              <w:spacing w:before="0" w:beforeAutospacing="0" w:after="0" w:afterAutospacing="0" w:line="360" w:lineRule="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质疑联系方式：19844128797</w:t>
            </w:r>
          </w:p>
        </w:tc>
      </w:tr>
      <w:tr>
        <w:tblPrEx>
          <w:tblCellMar>
            <w:top w:w="0" w:type="dxa"/>
            <w:left w:w="108" w:type="dxa"/>
            <w:bottom w:w="0" w:type="dxa"/>
            <w:right w:w="108" w:type="dxa"/>
          </w:tblCellMar>
        </w:tblPrEx>
        <w:tc>
          <w:tcPr>
            <w:tcW w:w="9154" w:type="dxa"/>
            <w:noWrap w:val="0"/>
            <w:vAlign w:val="top"/>
          </w:tcPr>
          <w:p>
            <w:pPr>
              <w:pStyle w:val="26"/>
              <w:spacing w:before="0" w:beforeAutospacing="0" w:after="0" w:afterAutospacing="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3.同级政府采购监督管理部门名称：安吉县财政局 </w:t>
            </w:r>
          </w:p>
          <w:p>
            <w:pPr>
              <w:pStyle w:val="26"/>
              <w:spacing w:before="0" w:beforeAutospacing="0" w:after="0" w:afterAutospacing="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地址：安吉县凤凰路凤凰五区188号  </w:t>
            </w:r>
          </w:p>
          <w:p>
            <w:pPr>
              <w:pStyle w:val="26"/>
              <w:spacing w:before="0" w:beforeAutospacing="0" w:after="0" w:afterAutospacing="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联系人 ：采监科王庭 </w:t>
            </w:r>
          </w:p>
          <w:p>
            <w:pPr>
              <w:pStyle w:val="26"/>
              <w:spacing w:before="0" w:beforeAutospacing="0" w:after="0" w:afterAutospacing="0" w:line="360" w:lineRule="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监督投诉电话：0572-5807951</w:t>
            </w:r>
          </w:p>
        </w:tc>
      </w:tr>
    </w:tbl>
    <w:p>
      <w:pPr>
        <w:pStyle w:val="26"/>
        <w:spacing w:before="0" w:beforeAutospacing="0" w:after="0" w:afterAutospacing="0" w:line="360" w:lineRule="auto"/>
        <w:rPr>
          <w:rFonts w:hint="eastAsia" w:ascii="宋体" w:hAnsi="宋体" w:eastAsia="宋体" w:cs="宋体"/>
          <w:color w:val="auto"/>
          <w:sz w:val="21"/>
          <w:szCs w:val="21"/>
          <w:highlight w:val="none"/>
          <w:shd w:val="clear" w:color="auto" w:fill="FFFFFF"/>
        </w:rPr>
      </w:pPr>
    </w:p>
    <w:bookmarkEnd w:id="2"/>
    <w:bookmarkEnd w:id="3"/>
    <w:p>
      <w:pPr>
        <w:spacing w:line="360" w:lineRule="auto"/>
        <w:rPr>
          <w:rFonts w:hint="eastAsia" w:ascii="宋体" w:hAnsi="宋体" w:cs="宋体"/>
          <w:color w:val="auto"/>
          <w:szCs w:val="21"/>
          <w:highlight w:val="none"/>
        </w:rPr>
        <w:sectPr>
          <w:headerReference r:id="rId7" w:type="default"/>
          <w:footerReference r:id="rId8" w:type="default"/>
          <w:pgSz w:w="11906" w:h="16838"/>
          <w:pgMar w:top="1247" w:right="1247" w:bottom="1247" w:left="1247" w:header="851" w:footer="992" w:gutter="0"/>
          <w:pgNumType w:start="1"/>
          <w:cols w:space="720" w:num="1"/>
          <w:docGrid w:type="lines" w:linePitch="312" w:charSpace="0"/>
        </w:sectPr>
      </w:pPr>
    </w:p>
    <w:bookmarkEnd w:id="0"/>
    <w:p>
      <w:pPr>
        <w:pStyle w:val="4"/>
        <w:spacing w:before="156" w:after="156"/>
        <w:rPr>
          <w:rFonts w:hint="eastAsia"/>
          <w:color w:val="auto"/>
          <w:highlight w:val="none"/>
        </w:rPr>
      </w:pPr>
      <w:bookmarkStart w:id="4" w:name="_Toc34746015"/>
      <w:r>
        <w:rPr>
          <w:rFonts w:hint="eastAsia"/>
          <w:color w:val="auto"/>
          <w:highlight w:val="none"/>
        </w:rPr>
        <w:t>第二章  供应商须知</w:t>
      </w:r>
      <w:bookmarkEnd w:id="4"/>
    </w:p>
    <w:p>
      <w:pPr>
        <w:jc w:val="center"/>
        <w:rPr>
          <w:rFonts w:hint="eastAsia" w:ascii="宋体" w:hAnsi="宋体" w:cs="宋体"/>
          <w:b/>
          <w:bCs/>
          <w:color w:val="auto"/>
          <w:szCs w:val="21"/>
          <w:highlight w:val="none"/>
        </w:rPr>
      </w:pPr>
      <w:bookmarkStart w:id="5" w:name="_Toc32234"/>
      <w:bookmarkStart w:id="6" w:name="_Toc30213"/>
      <w:r>
        <w:rPr>
          <w:rFonts w:hint="eastAsia" w:ascii="宋体" w:hAnsi="宋体" w:cs="宋体"/>
          <w:b/>
          <w:bCs/>
          <w:color w:val="auto"/>
          <w:szCs w:val="21"/>
          <w:highlight w:val="none"/>
        </w:rPr>
        <w:t>前 附 表</w:t>
      </w:r>
      <w:bookmarkEnd w:id="5"/>
      <w:bookmarkEnd w:id="6"/>
    </w:p>
    <w:tbl>
      <w:tblPr>
        <w:tblStyle w:val="30"/>
        <w:tblpPr w:leftFromText="180" w:rightFromText="180" w:vertAnchor="text" w:tblpXSpec="center" w:tblpY="1"/>
        <w:tblOverlap w:val="never"/>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76"/>
        <w:gridCol w:w="1598"/>
        <w:gridCol w:w="758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序号</w:t>
            </w:r>
          </w:p>
        </w:tc>
        <w:tc>
          <w:tcPr>
            <w:tcW w:w="159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项  目</w:t>
            </w:r>
          </w:p>
        </w:tc>
        <w:tc>
          <w:tcPr>
            <w:tcW w:w="758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内容与要求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159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项目名称</w:t>
            </w:r>
          </w:p>
        </w:tc>
        <w:tc>
          <w:tcPr>
            <w:tcW w:w="758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bCs/>
                <w:color w:val="auto"/>
                <w:spacing w:val="-4"/>
                <w:sz w:val="18"/>
                <w:szCs w:val="18"/>
                <w:highlight w:val="none"/>
                <w:lang w:eastAsia="zh-CN"/>
              </w:rPr>
            </w:pPr>
            <w:r>
              <w:rPr>
                <w:rFonts w:hint="eastAsia" w:ascii="宋体" w:hAnsi="宋体" w:cs="宋体"/>
                <w:color w:val="auto"/>
                <w:kern w:val="0"/>
                <w:sz w:val="18"/>
                <w:szCs w:val="18"/>
                <w:highlight w:val="none"/>
                <w:lang w:eastAsia="zh-CN"/>
              </w:rPr>
              <w:t>安吉县人民政府灵峰街道办事处2025-2026年度土壤污染状况调查服务项目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159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项目编号</w:t>
            </w:r>
          </w:p>
        </w:tc>
        <w:tc>
          <w:tcPr>
            <w:tcW w:w="758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AJKB-CS2025-005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159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磋商内容</w:t>
            </w:r>
          </w:p>
        </w:tc>
        <w:tc>
          <w:tcPr>
            <w:tcW w:w="758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Cs/>
                <w:color w:val="auto"/>
                <w:spacing w:val="-4"/>
                <w:sz w:val="18"/>
                <w:szCs w:val="18"/>
                <w:highlight w:val="none"/>
              </w:rPr>
            </w:pPr>
            <w:r>
              <w:rPr>
                <w:rFonts w:hint="eastAsia" w:ascii="宋体" w:hAnsi="宋体" w:cs="宋体"/>
                <w:color w:val="auto"/>
                <w:sz w:val="18"/>
                <w:szCs w:val="18"/>
                <w:highlight w:val="none"/>
              </w:rPr>
              <w:t>详见磋商需求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159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项目地点</w:t>
            </w:r>
          </w:p>
        </w:tc>
        <w:tc>
          <w:tcPr>
            <w:tcW w:w="758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159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磋商保证金</w:t>
            </w:r>
          </w:p>
        </w:tc>
        <w:tc>
          <w:tcPr>
            <w:tcW w:w="758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c>
          <w:tcPr>
            <w:tcW w:w="15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磋商报价及费用</w:t>
            </w:r>
          </w:p>
          <w:p>
            <w:pPr>
              <w:jc w:val="center"/>
              <w:rPr>
                <w:rFonts w:hint="eastAsia" w:ascii="宋体" w:hAnsi="宋体" w:cs="宋体"/>
                <w:bCs/>
                <w:color w:val="auto"/>
                <w:sz w:val="18"/>
                <w:szCs w:val="18"/>
                <w:highlight w:val="none"/>
              </w:rPr>
            </w:pPr>
            <w:r>
              <w:rPr>
                <w:rFonts w:hint="eastAsia" w:ascii="宋体" w:hAnsi="宋体" w:cs="宋体"/>
                <w:color w:val="auto"/>
                <w:sz w:val="18"/>
                <w:szCs w:val="18"/>
                <w:highlight w:val="none"/>
              </w:rPr>
              <w:t>采购代理费</w:t>
            </w:r>
          </w:p>
        </w:tc>
        <w:tc>
          <w:tcPr>
            <w:tcW w:w="758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 w:val="18"/>
                <w:szCs w:val="18"/>
                <w:highlight w:val="none"/>
              </w:rPr>
            </w:pPr>
            <w:r>
              <w:rPr>
                <w:rFonts w:hint="eastAsia" w:ascii="宋体" w:hAnsi="宋体" w:cs="宋体"/>
                <w:color w:val="auto"/>
                <w:sz w:val="18"/>
                <w:szCs w:val="18"/>
                <w:highlight w:val="none"/>
              </w:rPr>
              <w:t>1、本项目应以人民币报价；</w:t>
            </w:r>
          </w:p>
          <w:p>
            <w:pPr>
              <w:rPr>
                <w:rFonts w:hint="eastAsia" w:ascii="宋体" w:hAnsi="宋体" w:cs="宋体"/>
                <w:color w:val="auto"/>
                <w:sz w:val="18"/>
                <w:szCs w:val="18"/>
                <w:highlight w:val="none"/>
              </w:rPr>
            </w:pPr>
            <w:r>
              <w:rPr>
                <w:rFonts w:hint="eastAsia" w:ascii="宋体" w:hAnsi="宋体" w:cs="宋体"/>
                <w:color w:val="auto"/>
                <w:sz w:val="18"/>
                <w:szCs w:val="18"/>
                <w:highlight w:val="none"/>
              </w:rPr>
              <w:t>2、不论磋商结果如何，供应商均应自行承担所有与磋商有关的全部费用；</w:t>
            </w:r>
          </w:p>
          <w:p>
            <w:pPr>
              <w:rPr>
                <w:rFonts w:ascii="宋体" w:hAnsi="宋体" w:cs="宋体"/>
                <w:color w:val="auto"/>
                <w:sz w:val="18"/>
                <w:szCs w:val="18"/>
                <w:highlight w:val="none"/>
              </w:rPr>
            </w:pPr>
            <w:r>
              <w:rPr>
                <w:rFonts w:hint="eastAsia" w:ascii="宋体" w:hAnsi="宋体" w:cs="宋体"/>
                <w:color w:val="auto"/>
                <w:sz w:val="18"/>
                <w:szCs w:val="18"/>
                <w:highlight w:val="none"/>
              </w:rPr>
              <w:t>3、采购代理费用由成交供应商支付，收费额按照成交总价计算，100万（含）以内的按1.5%，</w:t>
            </w:r>
            <w:r>
              <w:rPr>
                <w:rFonts w:hint="eastAsia" w:ascii="宋体" w:hAnsi="宋体" w:cs="宋体"/>
                <w:color w:val="auto"/>
                <w:sz w:val="18"/>
                <w:szCs w:val="18"/>
                <w:highlight w:val="none"/>
                <w:lang w:eastAsia="zh-CN"/>
              </w:rPr>
              <w:t>100万-500万</w:t>
            </w:r>
            <w:r>
              <w:rPr>
                <w:rFonts w:hint="eastAsia" w:ascii="宋体" w:hAnsi="宋体" w:cs="宋体"/>
                <w:color w:val="auto"/>
                <w:sz w:val="18"/>
                <w:szCs w:val="18"/>
                <w:highlight w:val="none"/>
              </w:rPr>
              <w:t>（含）的按0.8%，差额定律累进法计算。不足5500元按5500元</w:t>
            </w:r>
            <w:r>
              <w:rPr>
                <w:rFonts w:hint="eastAsia" w:ascii="宋体" w:hAnsi="宋体" w:cs="宋体"/>
                <w:color w:val="auto"/>
                <w:sz w:val="18"/>
                <w:szCs w:val="18"/>
                <w:highlight w:val="none"/>
                <w:lang w:eastAsia="zh-CN"/>
              </w:rPr>
              <w:t>计算</w:t>
            </w:r>
            <w:r>
              <w:rPr>
                <w:rFonts w:hint="eastAsia" w:ascii="宋体" w:hAnsi="宋体" w:cs="宋体"/>
                <w:color w:val="auto"/>
                <w:sz w:val="18"/>
                <w:szCs w:val="18"/>
                <w:highlight w:val="none"/>
              </w:rPr>
              <w:t>。</w:t>
            </w:r>
          </w:p>
          <w:p>
            <w:pPr>
              <w:rPr>
                <w:rFonts w:hint="eastAsia" w:ascii="宋体" w:hAnsi="宋体" w:cs="宋体"/>
                <w:color w:val="auto"/>
                <w:sz w:val="18"/>
                <w:szCs w:val="18"/>
                <w:highlight w:val="none"/>
              </w:rPr>
            </w:pPr>
            <w:r>
              <w:rPr>
                <w:rFonts w:hint="eastAsia" w:ascii="宋体" w:hAnsi="宋体" w:cs="宋体"/>
                <w:color w:val="auto"/>
                <w:sz w:val="18"/>
                <w:szCs w:val="18"/>
                <w:highlight w:val="none"/>
              </w:rPr>
              <w:t>账户名称：安吉口碑采购代理服务有限公司</w:t>
            </w:r>
          </w:p>
          <w:p>
            <w:pP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开户银行：浙江安吉农村商业银行股份有限公司城西支行</w:t>
            </w:r>
          </w:p>
          <w:p>
            <w:pPr>
              <w:rPr>
                <w:rFonts w:hint="eastAsia" w:ascii="宋体" w:hAnsi="宋体" w:cs="宋体"/>
                <w:bCs/>
                <w:color w:val="auto"/>
                <w:sz w:val="18"/>
                <w:szCs w:val="18"/>
                <w:highlight w:val="none"/>
              </w:rPr>
            </w:pPr>
            <w:r>
              <w:rPr>
                <w:rFonts w:hint="eastAsia" w:ascii="宋体" w:hAnsi="宋体" w:cs="宋体"/>
                <w:color w:val="auto"/>
                <w:kern w:val="0"/>
                <w:sz w:val="18"/>
                <w:szCs w:val="18"/>
                <w:highlight w:val="none"/>
              </w:rPr>
              <w:t>账户号码：2010 0035 8391 487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7</w:t>
            </w:r>
          </w:p>
        </w:tc>
        <w:tc>
          <w:tcPr>
            <w:tcW w:w="159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质疑及投诉</w:t>
            </w:r>
          </w:p>
        </w:tc>
        <w:tc>
          <w:tcPr>
            <w:tcW w:w="758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spacing w:line="3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质疑和投诉需按照《政府采购质疑和投诉办法》（财政部令第94号）规定，范本在浙江政府采购网中“下载专区”内下载，质疑时供应商需在法定质疑期内一次性提出针对同一采购环节的质疑。供应商为自然人的，应当由本人签字；供应商为法人或者其他组织的，应当由法定代表人、主要负责人，或者其授权代表签字或者盖章，并加盖公章。</w:t>
            </w:r>
          </w:p>
          <w:p>
            <w:pPr>
              <w:spacing w:line="3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w:t>
            </w:r>
            <w:r>
              <w:rPr>
                <w:rFonts w:hint="eastAsia" w:ascii="宋体" w:hAnsi="宋体" w:cs="宋体"/>
                <w:color w:val="auto"/>
                <w:kern w:val="0"/>
                <w:sz w:val="18"/>
                <w:szCs w:val="18"/>
                <w:highlight w:val="none"/>
                <w:lang w:val="zh-CN"/>
              </w:rPr>
              <w:t>质疑受理：1、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159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响应文件的制作和组成</w:t>
            </w:r>
          </w:p>
        </w:tc>
        <w:tc>
          <w:tcPr>
            <w:tcW w:w="758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kern w:val="0"/>
                <w:sz w:val="18"/>
                <w:szCs w:val="18"/>
                <w:highlight w:val="none"/>
                <w:lang w:val="zh-CN"/>
              </w:rPr>
            </w:pPr>
            <w:r>
              <w:rPr>
                <w:rFonts w:hint="eastAsia" w:ascii="宋体" w:hAnsi="宋体" w:cs="宋体"/>
                <w:color w:val="auto"/>
                <w:kern w:val="0"/>
                <w:sz w:val="18"/>
                <w:szCs w:val="18"/>
                <w:highlight w:val="none"/>
              </w:rPr>
              <w:t>1)响应</w:t>
            </w:r>
            <w:r>
              <w:rPr>
                <w:rFonts w:hint="eastAsia" w:ascii="宋体" w:hAnsi="宋体" w:cs="宋体"/>
                <w:color w:val="auto"/>
                <w:kern w:val="0"/>
                <w:sz w:val="18"/>
                <w:szCs w:val="18"/>
                <w:highlight w:val="none"/>
                <w:lang w:val="zh-CN"/>
              </w:rPr>
              <w:t>文件组成：</w:t>
            </w:r>
          </w:p>
          <w:p>
            <w:pPr>
              <w:spacing w:line="340" w:lineRule="exact"/>
              <w:rPr>
                <w:rFonts w:hint="eastAsia" w:ascii="宋体" w:hAnsi="宋体" w:cs="宋体"/>
                <w:color w:val="auto"/>
                <w:kern w:val="0"/>
                <w:sz w:val="18"/>
                <w:szCs w:val="18"/>
                <w:highlight w:val="none"/>
                <w:lang w:val="zh-CN"/>
              </w:rPr>
            </w:pPr>
            <w:r>
              <w:rPr>
                <w:rFonts w:hint="eastAsia" w:ascii="宋体" w:hAnsi="宋体" w:cs="宋体"/>
                <w:color w:val="auto"/>
                <w:kern w:val="0"/>
                <w:sz w:val="18"/>
                <w:szCs w:val="18"/>
                <w:highlight w:val="none"/>
              </w:rPr>
              <w:t>资格证明文件、</w:t>
            </w:r>
            <w:r>
              <w:rPr>
                <w:rFonts w:hint="eastAsia" w:ascii="宋体" w:hAnsi="宋体" w:cs="宋体"/>
                <w:color w:val="auto"/>
                <w:kern w:val="0"/>
                <w:sz w:val="18"/>
                <w:szCs w:val="18"/>
                <w:highlight w:val="none"/>
                <w:lang w:val="zh-CN"/>
              </w:rPr>
              <w:t>技术商务文件、</w:t>
            </w:r>
            <w:r>
              <w:rPr>
                <w:rFonts w:hint="eastAsia" w:ascii="宋体" w:hAnsi="宋体" w:cs="宋体"/>
                <w:color w:val="auto"/>
                <w:kern w:val="0"/>
                <w:sz w:val="18"/>
                <w:szCs w:val="18"/>
                <w:highlight w:val="none"/>
              </w:rPr>
              <w:t>报价文件</w:t>
            </w:r>
            <w:r>
              <w:rPr>
                <w:rFonts w:hint="eastAsia" w:ascii="宋体" w:hAnsi="宋体" w:cs="宋体"/>
                <w:color w:val="auto"/>
                <w:kern w:val="0"/>
                <w:sz w:val="18"/>
                <w:szCs w:val="18"/>
                <w:highlight w:val="none"/>
                <w:lang w:eastAsia="zh-CN"/>
              </w:rPr>
              <w:t>。</w:t>
            </w:r>
          </w:p>
          <w:p>
            <w:pPr>
              <w:spacing w:line="3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(2)响应文件编制：</w:t>
            </w:r>
          </w:p>
          <w:p>
            <w:pPr>
              <w:spacing w:line="3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供应商应先安装“政采云电子交易客户端”，并按照本采购文件和“政采云平台”的要求，通过“政采云电子交易客户端”编制并加密响应文件。</w:t>
            </w:r>
          </w:p>
          <w:p>
            <w:pPr>
              <w:spacing w:line="3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(3)响应文件的形式：</w:t>
            </w:r>
          </w:p>
          <w:p>
            <w:pPr>
              <w:spacing w:line="3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☑电子响应文件（包括“电子加密响应文件”和“备份响应文件”，在响应文件编制完成后同时生成）。</w:t>
            </w:r>
          </w:p>
          <w:p>
            <w:pPr>
              <w:spacing w:line="3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电子加密响应文件”是指通过“政采云电子交易客户端”完成响应文件编制后生成并加密的数据电文形式的响应文件；“备份响应文件”是指与“电子加密响应文件”同时生成的数据电文形式的电子文件，其他方式编制的备份响应文件无效。</w:t>
            </w:r>
          </w:p>
          <w:p>
            <w:pPr>
              <w:spacing w:line="3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(4)响应文件份数：</w:t>
            </w:r>
          </w:p>
          <w:p>
            <w:pPr>
              <w:spacing w:line="340" w:lineRule="exact"/>
              <w:rPr>
                <w:rFonts w:hint="eastAsia" w:ascii="宋体" w:hAnsi="宋体" w:cs="宋体"/>
                <w:color w:val="auto"/>
                <w:kern w:val="0"/>
                <w:sz w:val="18"/>
                <w:szCs w:val="18"/>
                <w:highlight w:val="none"/>
                <w:lang w:val="zh-CN"/>
              </w:rPr>
            </w:pPr>
            <w:r>
              <w:rPr>
                <w:rFonts w:hint="eastAsia" w:ascii="宋体" w:hAnsi="宋体" w:cs="宋体"/>
                <w:color w:val="auto"/>
                <w:kern w:val="0"/>
                <w:sz w:val="18"/>
                <w:szCs w:val="18"/>
                <w:highlight w:val="none"/>
              </w:rPr>
              <w:t>“电子加密响应文件”(必须提交）：在线上传递交一份。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9</w:t>
            </w:r>
          </w:p>
        </w:tc>
        <w:tc>
          <w:tcPr>
            <w:tcW w:w="159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响应文件的上传和递交</w:t>
            </w:r>
          </w:p>
        </w:tc>
        <w:tc>
          <w:tcPr>
            <w:tcW w:w="758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（1）“电子加密响应文件”的上传、递交：</w:t>
            </w:r>
          </w:p>
          <w:p>
            <w:pPr>
              <w:spacing w:line="3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供应商应在响应文件递交截止时间前将“电子加密响应文件”成功上传递交至“政采云平台”，否则响应文件无效。</w:t>
            </w:r>
          </w:p>
          <w:p>
            <w:pPr>
              <w:spacing w:line="3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“电子加密响应文件”成功上传递交后，供应商可自行打印响应文件接收回执。</w:t>
            </w:r>
          </w:p>
          <w:p>
            <w:pPr>
              <w:spacing w:line="3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（2）“备份响应文件”的密封包装、递交：</w:t>
            </w:r>
          </w:p>
          <w:p>
            <w:pPr>
              <w:spacing w:line="3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供应商在“政采云平台”完成“电子加密响应文件”的上传递交后，还可以在响应文件递交截止时间前递交以介质（U盘）存储的 “备份响应文件”（一份）；</w:t>
            </w:r>
          </w:p>
          <w:p>
            <w:pPr>
              <w:spacing w:line="3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“备份响应文件”应当密封包装，并在包装上标注投标项目名称、投标单位名称并加盖公章。没有密封包装或者逾期送达的“备份响应文件”无效；</w:t>
            </w:r>
          </w:p>
          <w:p>
            <w:pPr>
              <w:spacing w:line="3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通过“政府采购云平台”成功上传递交的“电子加密响应文件”已按时解密的，“备份响应文件”自动失效。响应文件递交截止时间前，供应商仅递交了“备份响应文件”而未将“电子加密响应文件”成功上传至“政采云平台”的，其响应文件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11</w:t>
            </w:r>
          </w:p>
        </w:tc>
        <w:tc>
          <w:tcPr>
            <w:tcW w:w="15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磋商响应文件提交截止时间</w:t>
            </w:r>
          </w:p>
        </w:tc>
        <w:tc>
          <w:tcPr>
            <w:tcW w:w="7581" w:type="dxa"/>
            <w:tcBorders>
              <w:top w:val="single" w:color="auto" w:sz="4" w:space="0"/>
              <w:left w:val="single" w:color="auto" w:sz="4" w:space="0"/>
              <w:bottom w:val="single" w:color="auto" w:sz="4" w:space="0"/>
              <w:right w:val="single" w:color="auto" w:sz="4" w:space="0"/>
            </w:tcBorders>
            <w:noWrap w:val="0"/>
            <w:vAlign w:val="center"/>
          </w:tcPr>
          <w:p>
            <w:pPr>
              <w:pStyle w:val="26"/>
              <w:spacing w:before="0" w:beforeAutospacing="0" w:after="0" w:afterAutospacing="0" w:line="360" w:lineRule="auto"/>
              <w:ind w:firstLine="360" w:firstLineChars="200"/>
              <w:rPr>
                <w:rFonts w:hint="eastAsia" w:ascii="宋体" w:hAnsi="宋体" w:cs="宋体"/>
                <w:color w:val="auto"/>
                <w:kern w:val="0"/>
                <w:sz w:val="18"/>
                <w:szCs w:val="18"/>
                <w:highlight w:val="none"/>
              </w:rPr>
            </w:pPr>
            <w:r>
              <w:rPr>
                <w:rFonts w:hint="eastAsia" w:ascii="宋体" w:hAnsi="宋体" w:eastAsia="宋体" w:cs="宋体"/>
                <w:color w:val="auto"/>
                <w:kern w:val="0"/>
                <w:sz w:val="18"/>
                <w:szCs w:val="18"/>
                <w:highlight w:val="none"/>
                <w:lang w:eastAsia="zh-CN"/>
              </w:rPr>
              <w:t>2025年3月4日下午14:00时</w:t>
            </w:r>
            <w:r>
              <w:rPr>
                <w:rFonts w:hint="eastAsia" w:ascii="宋体" w:hAnsi="宋体" w:eastAsia="宋体" w:cs="宋体"/>
                <w:color w:val="auto"/>
                <w:sz w:val="18"/>
                <w:szCs w:val="18"/>
                <w:highlight w:val="none"/>
              </w:rPr>
              <w:t>（北京时间）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12</w:t>
            </w:r>
          </w:p>
        </w:tc>
        <w:tc>
          <w:tcPr>
            <w:tcW w:w="15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磋商响应文件提交地点</w:t>
            </w:r>
          </w:p>
        </w:tc>
        <w:tc>
          <w:tcPr>
            <w:tcW w:w="758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“政府采购云平台（www.zcygov.cn）”在线响应及评审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13</w:t>
            </w:r>
          </w:p>
        </w:tc>
        <w:tc>
          <w:tcPr>
            <w:tcW w:w="15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磋商时间（磋商截止时间）</w:t>
            </w:r>
          </w:p>
        </w:tc>
        <w:tc>
          <w:tcPr>
            <w:tcW w:w="7581" w:type="dxa"/>
            <w:tcBorders>
              <w:top w:val="single" w:color="auto" w:sz="4" w:space="0"/>
              <w:left w:val="single" w:color="auto" w:sz="4" w:space="0"/>
              <w:bottom w:val="single" w:color="auto" w:sz="4" w:space="0"/>
              <w:right w:val="single" w:color="auto" w:sz="4" w:space="0"/>
            </w:tcBorders>
            <w:noWrap w:val="0"/>
            <w:vAlign w:val="center"/>
          </w:tcPr>
          <w:p>
            <w:pPr>
              <w:pStyle w:val="26"/>
              <w:spacing w:before="0" w:beforeAutospacing="0" w:after="0" w:afterAutospacing="0" w:line="360" w:lineRule="auto"/>
              <w:ind w:firstLine="360" w:firstLineChars="200"/>
              <w:rPr>
                <w:rFonts w:hint="eastAsia" w:ascii="宋体" w:hAnsi="宋体" w:cs="宋体"/>
                <w:color w:val="auto"/>
                <w:kern w:val="0"/>
                <w:sz w:val="18"/>
                <w:szCs w:val="18"/>
                <w:highlight w:val="none"/>
              </w:rPr>
            </w:pPr>
            <w:r>
              <w:rPr>
                <w:rFonts w:hint="eastAsia" w:ascii="宋体" w:hAnsi="宋体" w:eastAsia="宋体" w:cs="宋体"/>
                <w:color w:val="auto"/>
                <w:kern w:val="0"/>
                <w:sz w:val="18"/>
                <w:szCs w:val="18"/>
                <w:highlight w:val="none"/>
              </w:rPr>
              <w:t xml:space="preserve"> </w:t>
            </w:r>
            <w:r>
              <w:rPr>
                <w:rFonts w:hint="eastAsia" w:ascii="宋体" w:hAnsi="宋体" w:eastAsia="宋体" w:cs="宋体"/>
                <w:color w:val="auto"/>
                <w:kern w:val="0"/>
                <w:sz w:val="18"/>
                <w:szCs w:val="18"/>
                <w:highlight w:val="none"/>
                <w:lang w:eastAsia="zh-CN"/>
              </w:rPr>
              <w:t>2025年3月4日下午14:00时</w:t>
            </w:r>
            <w:r>
              <w:rPr>
                <w:rFonts w:hint="eastAsia" w:ascii="宋体" w:hAnsi="宋体" w:eastAsia="宋体" w:cs="宋体"/>
                <w:color w:val="auto"/>
                <w:sz w:val="18"/>
                <w:szCs w:val="18"/>
                <w:highlight w:val="none"/>
              </w:rPr>
              <w:t>（北京时间）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14</w:t>
            </w:r>
          </w:p>
        </w:tc>
        <w:tc>
          <w:tcPr>
            <w:tcW w:w="15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磋商地点</w:t>
            </w:r>
          </w:p>
        </w:tc>
        <w:tc>
          <w:tcPr>
            <w:tcW w:w="758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“政府采购云平台（www.zcygov.cn）”在线响应及评审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15</w:t>
            </w:r>
          </w:p>
        </w:tc>
        <w:tc>
          <w:tcPr>
            <w:tcW w:w="159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电子加密响应文件的解密和异常情况处理</w:t>
            </w:r>
          </w:p>
        </w:tc>
        <w:tc>
          <w:tcPr>
            <w:tcW w:w="758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（1）磋商响应截止时间后，采购组织机构将向各供应商发出“电子加密响应文件”的解密通知，各供应商代表应当在接到解密通知后30分钟内自行完成“电子加密响应文件”的在线解密。</w:t>
            </w:r>
          </w:p>
          <w:p>
            <w:pPr>
              <w:spacing w:line="3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通过“政采云平台”成功上传递交的“电子加密响应文件”无法按时解密的，供应商如按规定递交了“备份响应文件”的，以“备份响应文件”为依据（由采购组织机构按“政采云平台”操作规范将“备份响应文件”上传至“政采云平台”，上传成功后，“电子加密响应文件”自动失效），否则视为响应文件撤回。</w:t>
            </w:r>
          </w:p>
          <w:p>
            <w:pPr>
              <w:spacing w:line="3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（3）磋商截止时间前，供应商仅递交了“备份响应文件”而未将电子加密响应文件上传至“政府采购云平台”的，磋商无效。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1598" w:type="dxa"/>
            <w:tcBorders>
              <w:top w:val="single" w:color="auto" w:sz="4" w:space="0"/>
              <w:left w:val="single" w:color="auto" w:sz="4" w:space="0"/>
              <w:bottom w:val="single" w:color="auto" w:sz="4" w:space="0"/>
              <w:right w:val="single" w:color="auto" w:sz="4" w:space="0"/>
            </w:tcBorders>
            <w:noWrap w:val="0"/>
            <w:vAlign w:val="center"/>
          </w:tcPr>
          <w:p>
            <w:pPr>
              <w:pStyle w:val="6"/>
              <w:spacing w:line="240" w:lineRule="auto"/>
              <w:ind w:left="0" w:firstLine="0"/>
              <w:jc w:val="center"/>
              <w:rPr>
                <w:rFonts w:hint="eastAsia" w:ascii="宋体" w:hAnsi="宋体" w:eastAsia="宋体" w:cs="宋体"/>
                <w:color w:val="auto"/>
                <w:sz w:val="18"/>
                <w:szCs w:val="18"/>
                <w:highlight w:val="none"/>
              </w:rPr>
            </w:pPr>
            <w:r>
              <w:rPr>
                <w:rFonts w:hint="eastAsia" w:ascii="宋体" w:hAnsi="宋体" w:eastAsia="宋体" w:cs="宋体"/>
                <w:b w:val="0"/>
                <w:color w:val="auto"/>
                <w:sz w:val="18"/>
                <w:szCs w:val="18"/>
                <w:highlight w:val="none"/>
              </w:rPr>
              <w:t>可中止电子交易活动的情形</w:t>
            </w:r>
          </w:p>
        </w:tc>
        <w:tc>
          <w:tcPr>
            <w:tcW w:w="7581" w:type="dxa"/>
            <w:tcBorders>
              <w:top w:val="single" w:color="auto" w:sz="4" w:space="0"/>
              <w:left w:val="single" w:color="auto" w:sz="4" w:space="0"/>
              <w:bottom w:val="single" w:color="auto" w:sz="4" w:space="0"/>
              <w:right w:val="single" w:color="auto" w:sz="4" w:space="0"/>
            </w:tcBorders>
            <w:noWrap w:val="0"/>
            <w:vAlign w:val="center"/>
          </w:tcPr>
          <w:p>
            <w:pPr>
              <w:ind w:firstLine="360" w:firstLineChars="200"/>
              <w:rPr>
                <w:rFonts w:hint="eastAsia" w:ascii="宋体" w:hAnsi="宋体" w:cs="宋体"/>
                <w:color w:val="auto"/>
                <w:sz w:val="18"/>
                <w:szCs w:val="18"/>
                <w:highlight w:val="none"/>
              </w:rPr>
            </w:pPr>
            <w:r>
              <w:rPr>
                <w:rFonts w:hint="eastAsia" w:ascii="宋体" w:hAnsi="宋体" w:cs="宋体"/>
                <w:color w:val="auto"/>
                <w:sz w:val="18"/>
                <w:szCs w:val="18"/>
                <w:highlight w:val="none"/>
              </w:rPr>
              <w:t>采购过程中出现以下情形，导致电子交易平台无法正常运行，或者无法保证电子交易的公平、公正和安全时，采购组织机构可中止电子交易活动：</w:t>
            </w:r>
          </w:p>
          <w:p>
            <w:pPr>
              <w:ind w:firstLine="180" w:firstLineChars="100"/>
              <w:rPr>
                <w:rFonts w:hint="eastAsia" w:ascii="宋体" w:hAnsi="宋体" w:cs="宋体"/>
                <w:color w:val="auto"/>
                <w:sz w:val="18"/>
                <w:szCs w:val="18"/>
                <w:highlight w:val="none"/>
              </w:rPr>
            </w:pPr>
            <w:r>
              <w:rPr>
                <w:rFonts w:hint="eastAsia" w:ascii="宋体" w:hAnsi="宋体" w:cs="宋体"/>
                <w:color w:val="auto"/>
                <w:sz w:val="18"/>
                <w:szCs w:val="18"/>
                <w:highlight w:val="none"/>
              </w:rPr>
              <w:t>（1）电子交易平台发生故障而无法登录访问的；</w:t>
            </w:r>
          </w:p>
          <w:p>
            <w:pPr>
              <w:ind w:firstLine="180" w:firstLineChars="100"/>
              <w:rPr>
                <w:rFonts w:hint="eastAsia" w:ascii="宋体" w:hAnsi="宋体" w:cs="宋体"/>
                <w:color w:val="auto"/>
                <w:sz w:val="18"/>
                <w:szCs w:val="18"/>
                <w:highlight w:val="none"/>
              </w:rPr>
            </w:pPr>
            <w:r>
              <w:rPr>
                <w:rFonts w:hint="eastAsia" w:ascii="宋体" w:hAnsi="宋体" w:cs="宋体"/>
                <w:color w:val="auto"/>
                <w:sz w:val="18"/>
                <w:szCs w:val="18"/>
                <w:highlight w:val="none"/>
              </w:rPr>
              <w:t>（2）电子交易平台应用或数据库出现错误，不能进行正常操作的；</w:t>
            </w:r>
          </w:p>
          <w:p>
            <w:pPr>
              <w:ind w:firstLine="180" w:firstLineChars="100"/>
              <w:rPr>
                <w:rFonts w:hint="eastAsia" w:ascii="宋体" w:hAnsi="宋体" w:cs="宋体"/>
                <w:color w:val="auto"/>
                <w:sz w:val="18"/>
                <w:szCs w:val="18"/>
                <w:highlight w:val="none"/>
              </w:rPr>
            </w:pPr>
            <w:r>
              <w:rPr>
                <w:rFonts w:hint="eastAsia" w:ascii="宋体" w:hAnsi="宋体" w:cs="宋体"/>
                <w:color w:val="auto"/>
                <w:sz w:val="18"/>
                <w:szCs w:val="18"/>
                <w:highlight w:val="none"/>
              </w:rPr>
              <w:t>（3）电子交易平台发现严重安全漏洞，有潜在泄密危险的；</w:t>
            </w:r>
          </w:p>
          <w:p>
            <w:pPr>
              <w:ind w:firstLine="180" w:firstLineChars="100"/>
              <w:rPr>
                <w:rFonts w:hint="eastAsia" w:ascii="宋体" w:hAnsi="宋体" w:cs="宋体"/>
                <w:color w:val="auto"/>
                <w:sz w:val="18"/>
                <w:szCs w:val="18"/>
                <w:highlight w:val="none"/>
              </w:rPr>
            </w:pPr>
            <w:r>
              <w:rPr>
                <w:rFonts w:hint="eastAsia" w:ascii="宋体" w:hAnsi="宋体" w:cs="宋体"/>
                <w:color w:val="auto"/>
                <w:sz w:val="18"/>
                <w:szCs w:val="18"/>
                <w:highlight w:val="none"/>
              </w:rPr>
              <w:t>（4）病毒发作导致不能进行正常操作的；</w:t>
            </w:r>
          </w:p>
          <w:p>
            <w:pPr>
              <w:ind w:firstLine="180" w:firstLineChars="100"/>
              <w:rPr>
                <w:rFonts w:hint="eastAsia" w:ascii="宋体" w:hAnsi="宋体" w:cs="宋体"/>
                <w:color w:val="auto"/>
                <w:sz w:val="18"/>
                <w:szCs w:val="18"/>
                <w:highlight w:val="none"/>
              </w:rPr>
            </w:pPr>
            <w:r>
              <w:rPr>
                <w:rFonts w:hint="eastAsia" w:ascii="宋体" w:hAnsi="宋体" w:cs="宋体"/>
                <w:color w:val="auto"/>
                <w:sz w:val="18"/>
                <w:szCs w:val="18"/>
                <w:highlight w:val="none"/>
              </w:rPr>
              <w:t>（5）其他无法保证电子交易的公平、公正和安全的情况。</w:t>
            </w:r>
          </w:p>
          <w:p>
            <w:pPr>
              <w:ind w:firstLine="360" w:firstLineChars="200"/>
              <w:rPr>
                <w:rFonts w:hint="eastAsia" w:ascii="宋体" w:hAnsi="宋体" w:cs="宋体"/>
                <w:color w:val="auto"/>
                <w:sz w:val="18"/>
                <w:szCs w:val="18"/>
                <w:highlight w:val="none"/>
                <w:lang w:bidi="ar"/>
              </w:rPr>
            </w:pPr>
            <w:r>
              <w:rPr>
                <w:rFonts w:hint="eastAsia" w:ascii="宋体" w:hAnsi="宋体" w:cs="宋体"/>
                <w:color w:val="auto"/>
                <w:sz w:val="18"/>
                <w:szCs w:val="18"/>
                <w:highlight w:val="none"/>
              </w:rPr>
              <w:t>出现上述情形，不影响采购公平、公正性的，采购组织机构可以待上述情形消除后继续组织电子交易活动，也可以决定某些环节以纸质形式进行；影响或可能影响采购公平、公正性的，应当重新采购。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17</w:t>
            </w:r>
          </w:p>
        </w:tc>
        <w:tc>
          <w:tcPr>
            <w:tcW w:w="15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评审办法</w:t>
            </w:r>
          </w:p>
        </w:tc>
        <w:tc>
          <w:tcPr>
            <w:tcW w:w="758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详见本磋商文件第四章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18</w:t>
            </w:r>
          </w:p>
        </w:tc>
        <w:tc>
          <w:tcPr>
            <w:tcW w:w="159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textAlignment w:val="bottom"/>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成交公告及成交通知书</w:t>
            </w:r>
          </w:p>
        </w:tc>
        <w:tc>
          <w:tcPr>
            <w:tcW w:w="758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rPr>
                <w:rFonts w:hint="eastAsia" w:ascii="宋体" w:hAnsi="宋体" w:cs="宋体"/>
                <w:color w:val="auto"/>
                <w:sz w:val="18"/>
                <w:szCs w:val="18"/>
                <w:highlight w:val="none"/>
              </w:rPr>
            </w:pPr>
            <w:r>
              <w:rPr>
                <w:rFonts w:hint="eastAsia" w:ascii="宋体" w:hAnsi="宋体" w:cs="宋体"/>
                <w:color w:val="auto"/>
                <w:sz w:val="18"/>
                <w:szCs w:val="18"/>
                <w:highlight w:val="none"/>
              </w:rPr>
              <w:t>　　采购人依法确定成交供应商2个工作日内，发出成交通知书。</w:t>
            </w:r>
          </w:p>
          <w:p>
            <w:pP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　　同时成交公告发布于浙江政府采购网  (</w:t>
            </w:r>
            <w:r>
              <w:rPr>
                <w:rFonts w:hint="eastAsia" w:ascii="宋体" w:hAnsi="宋体" w:cs="宋体"/>
                <w:color w:val="auto"/>
                <w:sz w:val="18"/>
                <w:szCs w:val="18"/>
                <w:highlight w:val="none"/>
                <w:u w:val="single"/>
              </w:rPr>
              <w:t>http://zfcg.czt.zj.gov.cn/</w:t>
            </w:r>
            <w:r>
              <w:rPr>
                <w:rFonts w:hint="eastAsia" w:ascii="宋体" w:hAnsi="宋体" w:cs="宋体"/>
                <w:color w:val="auto"/>
                <w:sz w:val="18"/>
                <w:szCs w:val="18"/>
                <w:highlight w:val="none"/>
              </w:rPr>
              <w:t>)、安吉县公共资源交易网（</w:t>
            </w:r>
            <w:r>
              <w:rPr>
                <w:rFonts w:ascii="宋体" w:hAnsi="宋体" w:cs="宋体"/>
                <w:color w:val="auto"/>
                <w:sz w:val="18"/>
                <w:szCs w:val="18"/>
                <w:highlight w:val="none"/>
                <w:u w:val="single"/>
              </w:rPr>
              <w:t xml:space="preserve"> http://www.anji.gov.cn/col/col1229656840/index.html</w:t>
            </w:r>
            <w:r>
              <w:rPr>
                <w:rFonts w:hint="eastAsia" w:ascii="宋体" w:hAnsi="宋体" w:cs="宋体"/>
                <w:color w:val="auto"/>
                <w:sz w:val="18"/>
                <w:szCs w:val="18"/>
                <w:highlight w:val="none"/>
              </w:rPr>
              <w:t>），成交公告期限为1个工作日。成交供应商的《中小企业声明函》（如有）随成交结果同时公告。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b/>
                <w:color w:val="auto"/>
                <w:kern w:val="0"/>
                <w:sz w:val="18"/>
                <w:szCs w:val="18"/>
                <w:highlight w:val="none"/>
              </w:rPr>
            </w:pPr>
            <w:r>
              <w:rPr>
                <w:rFonts w:hint="eastAsia" w:ascii="宋体" w:hAnsi="宋体" w:cs="宋体"/>
                <w:bCs/>
                <w:color w:val="auto"/>
                <w:kern w:val="0"/>
                <w:sz w:val="18"/>
                <w:szCs w:val="18"/>
                <w:highlight w:val="none"/>
              </w:rPr>
              <w:t>19</w:t>
            </w:r>
          </w:p>
        </w:tc>
        <w:tc>
          <w:tcPr>
            <w:tcW w:w="159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textAlignment w:val="bottom"/>
              <w:rPr>
                <w:rFonts w:hint="eastAsia" w:ascii="宋体" w:hAnsi="宋体" w:cs="宋体"/>
                <w:b/>
                <w:color w:val="auto"/>
                <w:sz w:val="18"/>
                <w:szCs w:val="18"/>
                <w:highlight w:val="none"/>
              </w:rPr>
            </w:pPr>
            <w:r>
              <w:rPr>
                <w:rFonts w:hint="eastAsia" w:ascii="宋体" w:hAnsi="宋体" w:cs="宋体"/>
                <w:bCs/>
                <w:color w:val="auto"/>
                <w:sz w:val="18"/>
                <w:szCs w:val="18"/>
                <w:highlight w:val="none"/>
              </w:rPr>
              <w:t>履约保证金</w:t>
            </w:r>
          </w:p>
        </w:tc>
        <w:tc>
          <w:tcPr>
            <w:tcW w:w="75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360" w:firstLineChars="200"/>
              <w:rPr>
                <w:rFonts w:hint="eastAsia"/>
                <w:b/>
                <w:color w:val="auto"/>
                <w:sz w:val="18"/>
                <w:szCs w:val="18"/>
                <w:highlight w:val="none"/>
              </w:rPr>
            </w:pPr>
            <w:r>
              <w:rPr>
                <w:rFonts w:hint="eastAsia"/>
                <w:bCs/>
                <w:color w:val="auto"/>
                <w:sz w:val="18"/>
                <w:szCs w:val="18"/>
                <w:highlight w:val="none"/>
              </w:rPr>
              <w:t>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w:t>
            </w:r>
          </w:p>
        </w:tc>
        <w:tc>
          <w:tcPr>
            <w:tcW w:w="15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签订合同</w:t>
            </w:r>
          </w:p>
        </w:tc>
        <w:tc>
          <w:tcPr>
            <w:tcW w:w="7581" w:type="dxa"/>
            <w:tcBorders>
              <w:top w:val="single" w:color="auto" w:sz="4" w:space="0"/>
              <w:left w:val="single" w:color="auto" w:sz="4" w:space="0"/>
              <w:bottom w:val="single" w:color="auto" w:sz="4" w:space="0"/>
              <w:right w:val="single" w:color="auto" w:sz="4" w:space="0"/>
            </w:tcBorders>
            <w:noWrap w:val="0"/>
            <w:vAlign w:val="center"/>
          </w:tcPr>
          <w:p>
            <w:pPr>
              <w:ind w:firstLine="360" w:firstLineChars="200"/>
              <w:rPr>
                <w:rFonts w:ascii="宋体" w:hAnsi="宋体" w:cs="宋体"/>
                <w:color w:val="auto"/>
                <w:sz w:val="18"/>
                <w:szCs w:val="18"/>
                <w:highlight w:val="none"/>
              </w:rPr>
            </w:pPr>
            <w:r>
              <w:rPr>
                <w:rFonts w:hint="eastAsia" w:ascii="宋体" w:hAnsi="宋体" w:cs="宋体"/>
                <w:color w:val="auto"/>
                <w:sz w:val="18"/>
                <w:szCs w:val="18"/>
                <w:highlight w:val="none"/>
              </w:rPr>
              <w:t>成交通知书发出后30天内，成交供应商和采购人签订政府采购合同。享受政府采购支持中小企业扶持政策成交的供应商，小微企业不得将合同分包给大中型企业，中型企业不得将合同分包给大型企业。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21</w:t>
            </w:r>
          </w:p>
        </w:tc>
        <w:tc>
          <w:tcPr>
            <w:tcW w:w="15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信用记录查询</w:t>
            </w:r>
          </w:p>
        </w:tc>
        <w:tc>
          <w:tcPr>
            <w:tcW w:w="758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 w:val="18"/>
                <w:szCs w:val="18"/>
                <w:highlight w:val="none"/>
              </w:rPr>
            </w:pPr>
            <w:r>
              <w:rPr>
                <w:rFonts w:hint="eastAsia" w:ascii="宋体" w:hAnsi="宋体" w:cs="宋体"/>
                <w:color w:val="auto"/>
                <w:sz w:val="18"/>
                <w:szCs w:val="18"/>
                <w:highlight w:val="none"/>
              </w:rPr>
              <w:t>依据财库[2016]125号文件执行。</w:t>
            </w:r>
          </w:p>
          <w:p>
            <w:pPr>
              <w:rPr>
                <w:rFonts w:hint="eastAsia" w:ascii="宋体" w:hAnsi="宋体" w:cs="宋体"/>
                <w:color w:val="auto"/>
                <w:sz w:val="18"/>
                <w:szCs w:val="18"/>
                <w:highlight w:val="none"/>
              </w:rPr>
            </w:pPr>
            <w:r>
              <w:rPr>
                <w:rFonts w:hint="eastAsia" w:ascii="宋体" w:hAnsi="宋体" w:cs="宋体"/>
                <w:color w:val="auto"/>
                <w:sz w:val="18"/>
                <w:szCs w:val="18"/>
                <w:highlight w:val="none"/>
              </w:rPr>
              <w:t>查询渠道：信用中国（</w:t>
            </w:r>
            <w:r>
              <w:rPr>
                <w:rFonts w:hint="eastAsia" w:ascii="宋体" w:hAnsi="宋体" w:cs="宋体"/>
                <w:color w:val="auto"/>
                <w:sz w:val="18"/>
                <w:szCs w:val="18"/>
                <w:highlight w:val="none"/>
                <w:u w:val="single"/>
              </w:rPr>
              <w:t>www.creditchina.gov.cn</w:t>
            </w:r>
            <w:r>
              <w:rPr>
                <w:rFonts w:hint="eastAsia" w:ascii="宋体" w:hAnsi="宋体" w:cs="宋体"/>
                <w:color w:val="auto"/>
                <w:sz w:val="18"/>
                <w:szCs w:val="18"/>
                <w:highlight w:val="none"/>
              </w:rPr>
              <w:t>）、中国政府采购网（</w:t>
            </w:r>
            <w:r>
              <w:rPr>
                <w:rFonts w:hint="eastAsia" w:ascii="宋体" w:hAnsi="宋体" w:cs="宋体"/>
                <w:color w:val="auto"/>
                <w:sz w:val="18"/>
                <w:szCs w:val="18"/>
                <w:highlight w:val="none"/>
                <w:u w:val="single"/>
              </w:rPr>
              <w:t>www.ccgp.gov.cn</w:t>
            </w:r>
            <w:r>
              <w:rPr>
                <w:rFonts w:hint="eastAsia" w:ascii="宋体" w:hAnsi="宋体" w:cs="宋体"/>
                <w:color w:val="auto"/>
                <w:sz w:val="18"/>
                <w:szCs w:val="18"/>
                <w:highlight w:val="none"/>
              </w:rPr>
              <w:t>）；</w:t>
            </w:r>
          </w:p>
          <w:p>
            <w:pPr>
              <w:rPr>
                <w:rFonts w:hint="eastAsia" w:ascii="宋体" w:hAnsi="宋体" w:cs="宋体"/>
                <w:color w:val="auto"/>
                <w:sz w:val="18"/>
                <w:szCs w:val="18"/>
                <w:highlight w:val="none"/>
              </w:rPr>
            </w:pPr>
            <w:r>
              <w:rPr>
                <w:rFonts w:hint="eastAsia" w:ascii="宋体" w:hAnsi="宋体" w:cs="宋体"/>
                <w:color w:val="auto"/>
                <w:sz w:val="18"/>
                <w:szCs w:val="18"/>
                <w:highlight w:val="none"/>
              </w:rPr>
              <w:t>时间：提交首次响应文件截止时间前3年内；</w:t>
            </w:r>
          </w:p>
          <w:p>
            <w:pPr>
              <w:rPr>
                <w:rFonts w:hint="eastAsia" w:ascii="宋体" w:hAnsi="宋体" w:cs="宋体"/>
                <w:color w:val="auto"/>
                <w:sz w:val="18"/>
                <w:szCs w:val="18"/>
                <w:highlight w:val="none"/>
              </w:rPr>
            </w:pPr>
            <w:r>
              <w:rPr>
                <w:rFonts w:hint="eastAsia" w:ascii="宋体" w:hAnsi="宋体" w:cs="宋体"/>
                <w:color w:val="auto"/>
                <w:sz w:val="18"/>
                <w:szCs w:val="18"/>
                <w:highlight w:val="none"/>
              </w:rPr>
              <w:t>查询记录和证据的留存：网站查询，打印留存。</w:t>
            </w:r>
          </w:p>
          <w:p>
            <w:pPr>
              <w:rPr>
                <w:rFonts w:hint="eastAsia" w:ascii="宋体" w:hAnsi="宋体" w:cs="宋体"/>
                <w:color w:val="auto"/>
                <w:sz w:val="18"/>
                <w:szCs w:val="18"/>
                <w:highlight w:val="none"/>
              </w:rPr>
            </w:pPr>
            <w:r>
              <w:rPr>
                <w:rFonts w:hint="eastAsia" w:ascii="宋体" w:hAnsi="宋体" w:cs="宋体"/>
                <w:color w:val="auto"/>
                <w:sz w:val="18"/>
                <w:szCs w:val="18"/>
                <w:highlight w:val="none"/>
              </w:rPr>
              <w:t>使用规则：被列入失信被执行人、重大税收违法案件当事人名单、政府采购严重违法失信行为记录名单</w:t>
            </w:r>
            <w:r>
              <w:rPr>
                <w:rFonts w:hint="eastAsia" w:ascii="宋体" w:hAnsi="宋体" w:cs="宋体"/>
                <w:color w:val="auto"/>
                <w:sz w:val="18"/>
                <w:szCs w:val="18"/>
                <w:highlight w:val="none"/>
                <w:lang w:eastAsia="zh-CN"/>
              </w:rPr>
              <w:t>及其他</w:t>
            </w:r>
            <w:r>
              <w:rPr>
                <w:rFonts w:hint="eastAsia" w:ascii="宋体" w:hAnsi="宋体" w:cs="宋体"/>
                <w:color w:val="auto"/>
                <w:sz w:val="18"/>
                <w:szCs w:val="18"/>
                <w:highlight w:val="none"/>
              </w:rPr>
              <w:t>不符合《中华人民共和国政府采购法》第二十二条规定条件的，其资格审查不通过。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22</w:t>
            </w:r>
          </w:p>
        </w:tc>
        <w:tc>
          <w:tcPr>
            <w:tcW w:w="15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政府采购政策执行</w:t>
            </w:r>
          </w:p>
        </w:tc>
        <w:tc>
          <w:tcPr>
            <w:tcW w:w="7581" w:type="dxa"/>
            <w:tcBorders>
              <w:top w:val="single" w:color="auto" w:sz="4" w:space="0"/>
              <w:left w:val="single" w:color="auto" w:sz="4" w:space="0"/>
              <w:bottom w:val="single" w:color="auto" w:sz="4" w:space="0"/>
              <w:right w:val="single" w:color="auto" w:sz="4" w:space="0"/>
            </w:tcBorders>
            <w:noWrap w:val="0"/>
            <w:vAlign w:val="center"/>
          </w:tcPr>
          <w:p>
            <w:pPr>
              <w:ind w:firstLine="360" w:firstLineChars="200"/>
              <w:rPr>
                <w:rFonts w:hint="eastAsia" w:ascii="宋体" w:hAnsi="宋体" w:cs="宋体"/>
                <w:color w:val="auto"/>
                <w:sz w:val="18"/>
                <w:szCs w:val="18"/>
                <w:highlight w:val="none"/>
              </w:rPr>
            </w:pPr>
            <w:r>
              <w:rPr>
                <w:rFonts w:hint="eastAsia" w:ascii="宋体" w:hAnsi="宋体" w:cs="宋体"/>
                <w:color w:val="auto"/>
                <w:sz w:val="18"/>
                <w:szCs w:val="18"/>
                <w:highlight w:val="none"/>
              </w:rPr>
              <w:t>本项目中小企业政策执行以下第1）条。</w:t>
            </w:r>
          </w:p>
          <w:p>
            <w:pPr>
              <w:ind w:firstLine="361" w:firstLineChars="200"/>
              <w:rPr>
                <w:rFonts w:hint="eastAsia" w:ascii="宋体" w:hAnsi="宋体" w:cs="宋体"/>
                <w:color w:val="auto"/>
                <w:sz w:val="18"/>
                <w:szCs w:val="18"/>
                <w:highlight w:val="none"/>
              </w:rPr>
            </w:pPr>
            <w:r>
              <w:rPr>
                <w:rFonts w:hint="eastAsia" w:ascii="宋体" w:hAnsi="宋体" w:cs="宋体"/>
                <w:b/>
                <w:bCs/>
                <w:color w:val="auto"/>
                <w:sz w:val="18"/>
                <w:szCs w:val="18"/>
                <w:highlight w:val="none"/>
              </w:rPr>
              <w:sym w:font="Wingdings 2" w:char="0052"/>
            </w:r>
            <w:r>
              <w:rPr>
                <w:rFonts w:hint="eastAsia" w:ascii="宋体" w:hAnsi="宋体" w:cs="宋体"/>
                <w:b/>
                <w:bCs/>
                <w:color w:val="auto"/>
                <w:sz w:val="18"/>
                <w:szCs w:val="18"/>
                <w:highlight w:val="none"/>
              </w:rPr>
              <w:t xml:space="preserve"> </w:t>
            </w:r>
            <w:r>
              <w:rPr>
                <w:rFonts w:hint="eastAsia" w:ascii="宋体" w:hAnsi="宋体" w:cs="宋体"/>
                <w:color w:val="auto"/>
                <w:sz w:val="18"/>
                <w:szCs w:val="18"/>
                <w:highlight w:val="none"/>
              </w:rPr>
              <w:t>1）本项目为专门面向中小企业采购，提供服务的供应商非中小企业的，资格审查不通过；符合上述条件的中小微型企业应按照磋商文件附件的格式要求在资格文件中提供《中小企业声明函》；</w:t>
            </w:r>
          </w:p>
          <w:p>
            <w:pPr>
              <w:ind w:firstLine="361" w:firstLineChars="200"/>
              <w:rPr>
                <w:rFonts w:hint="eastAsia" w:ascii="宋体" w:hAnsi="宋体" w:cs="宋体"/>
                <w:color w:val="auto"/>
                <w:sz w:val="18"/>
                <w:szCs w:val="18"/>
                <w:highlight w:val="none"/>
              </w:rPr>
            </w:pPr>
            <w:r>
              <w:rPr>
                <w:rFonts w:hint="eastAsia" w:ascii="宋体" w:hAnsi="宋体" w:cs="宋体"/>
                <w:b/>
                <w:bCs/>
                <w:color w:val="auto"/>
                <w:sz w:val="18"/>
                <w:szCs w:val="18"/>
                <w:highlight w:val="none"/>
              </w:rPr>
              <w:sym w:font="Wingdings 2" w:char="00A3"/>
            </w:r>
            <w:r>
              <w:rPr>
                <w:rFonts w:hint="eastAsia" w:ascii="宋体" w:hAnsi="宋体" w:cs="宋体"/>
                <w:color w:val="auto"/>
                <w:sz w:val="18"/>
                <w:szCs w:val="18"/>
                <w:highlight w:val="none"/>
              </w:rPr>
              <w:t>2）本项目非专门面向中小企业采购，根据财政部发布的《政府采购促进中小企业发展暂行办法》规定，对于非专门面向此类企业的项目，对小型和微型企业产品和服务的投标价格给予10%的扣除，用扣除后的价格参与评审。小型、微型企业与大中型企业和其他自然人、法人或者其他组织组成联合体共同参加非专门面向中小企业的政府采购活动。联合协议中约定，小型、微型企业的协议合同金额占到联合体协议合同总金额30%以上的，可给予联合体6%的投标价格扣除。联合体各方均为小型、微型企业的，联合体视同为小型、微型企业。</w:t>
            </w:r>
          </w:p>
          <w:p>
            <w:pPr>
              <w:ind w:firstLine="360" w:firstLineChars="200"/>
              <w:rPr>
                <w:rFonts w:hint="eastAsia" w:ascii="宋体" w:hAnsi="宋体" w:cs="宋体"/>
                <w:color w:val="auto"/>
                <w:sz w:val="18"/>
                <w:szCs w:val="18"/>
                <w:highlight w:val="none"/>
              </w:rPr>
            </w:pPr>
            <w:r>
              <w:rPr>
                <w:rFonts w:hint="eastAsia" w:ascii="宋体" w:hAnsi="宋体" w:cs="宋体"/>
                <w:color w:val="auto"/>
                <w:sz w:val="18"/>
                <w:szCs w:val="18"/>
                <w:highlight w:val="none"/>
              </w:rPr>
              <w:t>符合上述条件的中小微型企业应按照采购文件附件的格式要求提供《中小企业声明函》。符合《关于促进残疾人就业政府采购政策的通知》（财库〔2018〕141号）规定的条件并提供《残疾人福利性单位声明函》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ind w:firstLine="360" w:firstLineChars="200"/>
              <w:rPr>
                <w:rFonts w:hint="eastAsia" w:ascii="宋体" w:hAnsi="宋体" w:cs="宋体"/>
                <w:color w:val="auto"/>
                <w:sz w:val="18"/>
                <w:szCs w:val="18"/>
                <w:highlight w:val="none"/>
              </w:rPr>
            </w:pPr>
            <w:r>
              <w:rPr>
                <w:rFonts w:hint="eastAsia" w:ascii="宋体" w:hAnsi="宋体" w:cs="宋体"/>
                <w:color w:val="auto"/>
                <w:sz w:val="18"/>
                <w:szCs w:val="18"/>
                <w:highlight w:val="none"/>
              </w:rPr>
              <w:t>根据工信部等部委发布的《关于印发中小企业划型标准规定的通知》（工信部联企业〔2011〕300号），根据具体品目确定相应标准。为本项目提供服务的企业按照《关于印发中小企业划型标准规定的通知》（工信部联企业〔2011〕300 号）的所属行业分类为</w:t>
            </w:r>
            <w:r>
              <w:rPr>
                <w:rFonts w:hint="eastAsia" w:ascii="宋体" w:hAnsi="宋体" w:cs="仿宋_GB2312"/>
                <w:color w:val="auto"/>
                <w:kern w:val="0"/>
                <w:sz w:val="24"/>
                <w:szCs w:val="24"/>
                <w:highlight w:val="none"/>
                <w:u w:val="single"/>
              </w:rPr>
              <w:t>其他未列明行业</w:t>
            </w:r>
            <w:r>
              <w:rPr>
                <w:rFonts w:hint="eastAsia" w:ascii="宋体" w:hAnsi="宋体" w:cs="宋体"/>
                <w:b/>
                <w:bCs/>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23</w:t>
            </w:r>
          </w:p>
        </w:tc>
        <w:tc>
          <w:tcPr>
            <w:tcW w:w="159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磋商注意事项</w:t>
            </w:r>
          </w:p>
        </w:tc>
        <w:tc>
          <w:tcPr>
            <w:tcW w:w="758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ind w:firstLine="360" w:firstLineChars="200"/>
              <w:rPr>
                <w:rFonts w:hint="eastAsia" w:ascii="宋体" w:hAnsi="宋体" w:cs="宋体"/>
                <w:color w:val="auto"/>
                <w:sz w:val="18"/>
                <w:szCs w:val="18"/>
                <w:highlight w:val="none"/>
                <w:lang w:bidi="ar"/>
              </w:rPr>
            </w:pPr>
            <w:r>
              <w:rPr>
                <w:rFonts w:hint="eastAsia" w:ascii="宋体" w:hAnsi="宋体" w:cs="宋体"/>
                <w:color w:val="auto"/>
                <w:sz w:val="18"/>
                <w:szCs w:val="18"/>
                <w:highlight w:val="none"/>
                <w:lang w:bidi="ar"/>
              </w:rPr>
              <w:t>（1）成交后，供应商拒绝签订合同的，采购人可以依法按照评审报告推荐的成交候选人名单排序，确定下一候选人为成交供应商，也可以重新开展政府采购活动。供应商成交后拒绝签订合同的，应按预算金额的2%对采购人进行赔偿；赔偿金额不足以弥补采购人损失的，供应商应继续承担超过部分的损失。</w:t>
            </w:r>
          </w:p>
          <w:p>
            <w:pPr>
              <w:autoSpaceDE w:val="0"/>
              <w:autoSpaceDN w:val="0"/>
              <w:ind w:firstLine="360" w:firstLineChars="200"/>
              <w:rPr>
                <w:rFonts w:hint="eastAsia" w:ascii="宋体" w:hAnsi="宋体" w:cs="宋体"/>
                <w:color w:val="auto"/>
                <w:sz w:val="18"/>
                <w:szCs w:val="18"/>
                <w:highlight w:val="none"/>
                <w:lang w:bidi="ar"/>
              </w:rPr>
            </w:pPr>
            <w:r>
              <w:rPr>
                <w:rFonts w:hint="eastAsia" w:ascii="宋体" w:hAnsi="宋体" w:cs="宋体"/>
                <w:color w:val="auto"/>
                <w:sz w:val="18"/>
                <w:szCs w:val="18"/>
                <w:highlight w:val="none"/>
                <w:lang w:bidi="ar"/>
              </w:rPr>
              <w:t>（2）存在下列行为的，采购人将其失信行为上报政府采购主管部门，由主管部门按有关规定对其违法失信行为记录进行公开：</w:t>
            </w:r>
          </w:p>
          <w:p>
            <w:pPr>
              <w:autoSpaceDE w:val="0"/>
              <w:autoSpaceDN w:val="0"/>
              <w:ind w:firstLine="360" w:firstLineChars="200"/>
              <w:rPr>
                <w:rFonts w:hint="eastAsia" w:ascii="宋体" w:hAnsi="宋体" w:cs="宋体"/>
                <w:color w:val="auto"/>
                <w:sz w:val="18"/>
                <w:szCs w:val="18"/>
                <w:highlight w:val="none"/>
                <w:lang w:bidi="ar"/>
              </w:rPr>
            </w:pPr>
            <w:r>
              <w:rPr>
                <w:rFonts w:hint="eastAsia" w:ascii="宋体" w:hAnsi="宋体" w:cs="宋体"/>
                <w:color w:val="auto"/>
                <w:sz w:val="18"/>
                <w:szCs w:val="18"/>
                <w:highlight w:val="none"/>
                <w:lang w:bidi="ar"/>
              </w:rPr>
              <w:t>中标或者成交后，拒绝签订政府采购合同的；</w:t>
            </w:r>
          </w:p>
          <w:p>
            <w:pPr>
              <w:ind w:firstLine="360" w:firstLineChars="200"/>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响应文件有效期内撤销响应文件的。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24</w:t>
            </w:r>
          </w:p>
        </w:tc>
        <w:tc>
          <w:tcPr>
            <w:tcW w:w="15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响应文件有效期</w:t>
            </w:r>
          </w:p>
        </w:tc>
        <w:tc>
          <w:tcPr>
            <w:tcW w:w="7581" w:type="dxa"/>
            <w:tcBorders>
              <w:top w:val="single" w:color="auto" w:sz="4" w:space="0"/>
              <w:left w:val="single" w:color="auto" w:sz="4" w:space="0"/>
              <w:bottom w:val="single" w:color="auto" w:sz="4" w:space="0"/>
              <w:right w:val="single" w:color="auto" w:sz="4" w:space="0"/>
            </w:tcBorders>
            <w:noWrap w:val="0"/>
            <w:vAlign w:val="center"/>
          </w:tcPr>
          <w:p>
            <w:pPr>
              <w:ind w:firstLine="360" w:firstLineChars="200"/>
              <w:rPr>
                <w:rFonts w:hint="eastAsia" w:ascii="宋体" w:hAnsi="宋体" w:cs="宋体"/>
                <w:color w:val="auto"/>
                <w:sz w:val="18"/>
                <w:szCs w:val="18"/>
                <w:highlight w:val="none"/>
              </w:rPr>
            </w:pPr>
            <w:r>
              <w:rPr>
                <w:rFonts w:hint="eastAsia" w:ascii="宋体" w:hAnsi="宋体" w:cs="宋体"/>
                <w:color w:val="auto"/>
                <w:sz w:val="18"/>
                <w:szCs w:val="18"/>
                <w:highlight w:val="none"/>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25</w:t>
            </w:r>
          </w:p>
        </w:tc>
        <w:tc>
          <w:tcPr>
            <w:tcW w:w="15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shd w:val="clear" w:color="auto" w:fill="FFFFFF"/>
              </w:rPr>
              <w:t>纸质版投标文件（响应文件）的提供</w:t>
            </w:r>
          </w:p>
        </w:tc>
        <w:tc>
          <w:tcPr>
            <w:tcW w:w="7581" w:type="dxa"/>
            <w:tcBorders>
              <w:top w:val="single" w:color="auto" w:sz="4" w:space="0"/>
              <w:left w:val="single" w:color="auto" w:sz="4" w:space="0"/>
              <w:bottom w:val="single" w:color="auto" w:sz="4" w:space="0"/>
              <w:right w:val="single" w:color="auto" w:sz="4" w:space="0"/>
            </w:tcBorders>
            <w:noWrap w:val="0"/>
            <w:vAlign w:val="center"/>
          </w:tcPr>
          <w:p>
            <w:pPr>
              <w:ind w:firstLine="360" w:firstLineChars="200"/>
              <w:rPr>
                <w:rFonts w:hint="eastAsia" w:ascii="宋体" w:hAnsi="宋体" w:cs="宋体"/>
                <w:color w:val="auto"/>
                <w:sz w:val="18"/>
                <w:szCs w:val="18"/>
                <w:highlight w:val="none"/>
                <w:shd w:val="clear" w:color="auto" w:fill="FFFFFF"/>
              </w:rPr>
            </w:pPr>
            <w:r>
              <w:rPr>
                <w:rFonts w:hint="eastAsia" w:ascii="宋体" w:hAnsi="宋体" w:cs="宋体"/>
                <w:color w:val="auto"/>
                <w:sz w:val="18"/>
                <w:szCs w:val="18"/>
                <w:highlight w:val="none"/>
                <w:shd w:val="clear" w:color="auto" w:fill="FFFFFF"/>
              </w:rPr>
              <w:t>中标（成交）供应商应在中标（成交）公告发出后三天内提供与在线投标（响应）文件一致的纸质版响应文件及在线询标答复函、最终报价表等，共一式三套。具有电子签章或单位公章，提交给采购代理机构作为各单位资料存档使用。中标（成交）供应商应确保纸质版资料与在线电子版资料的一致性，否则导致后期纠纷的责任由中标（成交）供应商自行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26</w:t>
            </w:r>
          </w:p>
        </w:tc>
        <w:tc>
          <w:tcPr>
            <w:tcW w:w="159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right="69"/>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特别说明</w:t>
            </w:r>
          </w:p>
        </w:tc>
        <w:tc>
          <w:tcPr>
            <w:tcW w:w="7581" w:type="dxa"/>
            <w:tcBorders>
              <w:top w:val="single" w:color="auto" w:sz="4" w:space="0"/>
              <w:left w:val="single" w:color="auto" w:sz="4" w:space="0"/>
              <w:bottom w:val="single" w:color="auto" w:sz="4" w:space="0"/>
              <w:right w:val="single" w:color="auto" w:sz="4" w:space="0"/>
            </w:tcBorders>
            <w:noWrap w:val="0"/>
            <w:vAlign w:val="center"/>
          </w:tcPr>
          <w:p>
            <w:pPr>
              <w:ind w:firstLine="360" w:firstLineChars="200"/>
              <w:rPr>
                <w:rFonts w:hint="eastAsia" w:ascii="宋体" w:hAnsi="宋体" w:cs="宋体"/>
                <w:color w:val="auto"/>
                <w:sz w:val="18"/>
                <w:szCs w:val="18"/>
                <w:highlight w:val="none"/>
              </w:rPr>
            </w:pPr>
            <w:r>
              <w:rPr>
                <w:rFonts w:hint="eastAsia" w:ascii="宋体" w:hAnsi="宋体" w:cs="宋体"/>
                <w:color w:val="auto"/>
                <w:sz w:val="18"/>
                <w:szCs w:val="18"/>
                <w:highlight w:val="none"/>
              </w:rPr>
              <w:t>本表与采购文件其他部分内容不一致的，以本表为准。本采购文件的解释权属于采购人和采购代理机构。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27</w:t>
            </w:r>
          </w:p>
        </w:tc>
        <w:tc>
          <w:tcPr>
            <w:tcW w:w="159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解释</w:t>
            </w:r>
          </w:p>
        </w:tc>
        <w:tc>
          <w:tcPr>
            <w:tcW w:w="758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本磋商文件的解释权属于招标采购单位</w:t>
            </w:r>
          </w:p>
        </w:tc>
      </w:tr>
    </w:tbl>
    <w:p>
      <w:pPr>
        <w:spacing w:before="156" w:beforeLines="50" w:line="360" w:lineRule="auto"/>
        <w:rPr>
          <w:rFonts w:hint="eastAsia" w:ascii="宋体" w:hAnsi="宋体" w:cs="宋体"/>
          <w:b/>
          <w:color w:val="auto"/>
          <w:szCs w:val="21"/>
          <w:highlight w:val="none"/>
        </w:rPr>
      </w:pPr>
      <w:bookmarkStart w:id="7" w:name="_Toc282640696"/>
      <w:bookmarkStart w:id="8" w:name="_Toc15998"/>
      <w:bookmarkStart w:id="9" w:name="_Toc23399"/>
      <w:r>
        <w:rPr>
          <w:rFonts w:hint="eastAsia" w:ascii="宋体" w:hAnsi="宋体" w:cs="宋体"/>
          <w:b/>
          <w:color w:val="auto"/>
          <w:szCs w:val="21"/>
          <w:highlight w:val="none"/>
        </w:rPr>
        <w:t>一、适用范围</w:t>
      </w:r>
      <w:bookmarkEnd w:id="7"/>
      <w:bookmarkEnd w:id="8"/>
      <w:bookmarkEnd w:id="9"/>
    </w:p>
    <w:p>
      <w:pPr>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 xml:space="preserve">   仅适用于本次竞争性磋商采购所叙述的工程、货物和服务。</w:t>
      </w:r>
      <w:bookmarkStart w:id="10" w:name="_Toc282640697"/>
    </w:p>
    <w:p>
      <w:pPr>
        <w:spacing w:before="156" w:beforeLines="50" w:line="360" w:lineRule="auto"/>
        <w:rPr>
          <w:rFonts w:hint="eastAsia" w:ascii="宋体" w:hAnsi="宋体" w:cs="宋体"/>
          <w:b/>
          <w:color w:val="auto"/>
          <w:szCs w:val="21"/>
          <w:highlight w:val="none"/>
        </w:rPr>
      </w:pPr>
      <w:r>
        <w:rPr>
          <w:rFonts w:hint="eastAsia" w:ascii="宋体" w:hAnsi="宋体" w:cs="宋体"/>
          <w:b/>
          <w:color w:val="auto"/>
          <w:szCs w:val="21"/>
          <w:highlight w:val="none"/>
        </w:rPr>
        <w:t>二、定义</w:t>
      </w:r>
      <w:bookmarkEnd w:id="10"/>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1、“采购人”系指</w:t>
      </w:r>
      <w:r>
        <w:rPr>
          <w:rFonts w:hint="eastAsia" w:ascii="宋体" w:hAnsi="宋体" w:cs="宋体"/>
          <w:bCs/>
          <w:color w:val="auto"/>
          <w:szCs w:val="21"/>
          <w:highlight w:val="none"/>
          <w:lang w:eastAsia="zh-CN"/>
        </w:rPr>
        <w:t>安吉县人民政府灵峰街道办事处（安吉灵峰旅游度假区管理委员会）</w:t>
      </w:r>
      <w:r>
        <w:rPr>
          <w:rFonts w:hint="eastAsia" w:ascii="宋体" w:hAnsi="宋体" w:cs="宋体"/>
          <w:bCs/>
          <w:color w:val="auto"/>
          <w:szCs w:val="21"/>
          <w:highlight w:val="none"/>
        </w:rPr>
        <w:t>。</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2、“采购代理机构”系指安吉口碑采购代理服务有限公司。</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3、“供应商”系指向采购代理机构提交磋商响应文件的供应商。</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4、“服务”系指按竞争性磋商文件要求提供的本项目所有工作内容。</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5、“招标采购单位”系指组织本次磋商的“采购代理机构”和“采购人”</w:t>
      </w:r>
    </w:p>
    <w:p>
      <w:pPr>
        <w:spacing w:before="156" w:beforeLines="50" w:line="360" w:lineRule="auto"/>
        <w:rPr>
          <w:rFonts w:hint="eastAsia" w:ascii="宋体" w:hAnsi="宋体" w:cs="宋体"/>
          <w:b/>
          <w:color w:val="auto"/>
          <w:szCs w:val="21"/>
          <w:highlight w:val="none"/>
        </w:rPr>
      </w:pPr>
      <w:bookmarkStart w:id="11" w:name="_Toc31441"/>
      <w:bookmarkStart w:id="12" w:name="_Toc282640698"/>
      <w:bookmarkStart w:id="13" w:name="_Toc2086"/>
      <w:r>
        <w:rPr>
          <w:rFonts w:hint="eastAsia" w:ascii="宋体" w:hAnsi="宋体" w:cs="宋体"/>
          <w:b/>
          <w:color w:val="auto"/>
          <w:szCs w:val="21"/>
          <w:highlight w:val="none"/>
        </w:rPr>
        <w:t>三、供应商的资格要求</w:t>
      </w:r>
      <w:bookmarkEnd w:id="11"/>
      <w:bookmarkEnd w:id="12"/>
      <w:bookmarkEnd w:id="13"/>
    </w:p>
    <w:p>
      <w:pPr>
        <w:spacing w:line="360" w:lineRule="auto"/>
        <w:rPr>
          <w:rFonts w:hint="eastAsia" w:ascii="宋体" w:hAnsi="宋体" w:cs="宋体"/>
          <w:bCs/>
          <w:color w:val="auto"/>
          <w:szCs w:val="21"/>
          <w:highlight w:val="none"/>
        </w:rPr>
      </w:pPr>
      <w:bookmarkStart w:id="14" w:name="_Toc282640699"/>
      <w:r>
        <w:rPr>
          <w:rFonts w:hint="eastAsia" w:ascii="宋体" w:hAnsi="宋体" w:cs="宋体"/>
          <w:bCs/>
          <w:color w:val="auto"/>
          <w:szCs w:val="21"/>
          <w:highlight w:val="none"/>
        </w:rPr>
        <w:t xml:space="preserve">    符合竞争性磋商公告第二条供应商资格要求。</w:t>
      </w:r>
    </w:p>
    <w:p>
      <w:pPr>
        <w:spacing w:before="156" w:beforeLines="50" w:line="360" w:lineRule="auto"/>
        <w:rPr>
          <w:rFonts w:hint="eastAsia" w:ascii="宋体" w:hAnsi="宋体" w:cs="宋体"/>
          <w:b/>
          <w:color w:val="auto"/>
          <w:szCs w:val="21"/>
          <w:highlight w:val="none"/>
        </w:rPr>
      </w:pPr>
      <w:bookmarkStart w:id="15" w:name="_Toc19212"/>
      <w:bookmarkStart w:id="16" w:name="_Toc12662"/>
      <w:r>
        <w:rPr>
          <w:rFonts w:hint="eastAsia" w:ascii="宋体" w:hAnsi="宋体" w:cs="宋体"/>
          <w:b/>
          <w:color w:val="auto"/>
          <w:szCs w:val="21"/>
          <w:highlight w:val="none"/>
        </w:rPr>
        <w:t>四、磋商费用</w:t>
      </w:r>
      <w:bookmarkEnd w:id="14"/>
      <w:bookmarkEnd w:id="15"/>
      <w:bookmarkEnd w:id="16"/>
    </w:p>
    <w:p>
      <w:pPr>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 xml:space="preserve">    无论竞争性磋商过程和结果如何，供应商自行承担与磋商响应有关的全部费用。</w:t>
      </w:r>
    </w:p>
    <w:p>
      <w:pPr>
        <w:spacing w:before="156" w:beforeLines="50" w:line="360" w:lineRule="auto"/>
        <w:rPr>
          <w:rFonts w:hint="eastAsia" w:ascii="宋体" w:hAnsi="宋体" w:cs="宋体"/>
          <w:b/>
          <w:color w:val="auto"/>
          <w:szCs w:val="21"/>
          <w:highlight w:val="none"/>
        </w:rPr>
      </w:pPr>
      <w:bookmarkStart w:id="17" w:name="_Toc26958"/>
      <w:bookmarkStart w:id="18" w:name="_Toc282640700"/>
      <w:bookmarkStart w:id="19" w:name="_Toc14194"/>
      <w:bookmarkStart w:id="20" w:name="_Toc282640701"/>
      <w:r>
        <w:rPr>
          <w:rFonts w:hint="eastAsia" w:ascii="宋体" w:hAnsi="宋体" w:cs="宋体"/>
          <w:b/>
          <w:color w:val="auto"/>
          <w:szCs w:val="21"/>
          <w:highlight w:val="none"/>
        </w:rPr>
        <w:t>五、</w:t>
      </w:r>
      <w:bookmarkEnd w:id="17"/>
      <w:bookmarkEnd w:id="18"/>
      <w:bookmarkEnd w:id="19"/>
      <w:r>
        <w:rPr>
          <w:rFonts w:hint="eastAsia" w:ascii="宋体" w:hAnsi="宋体" w:cs="宋体"/>
          <w:b/>
          <w:color w:val="auto"/>
          <w:szCs w:val="21"/>
          <w:highlight w:val="none"/>
        </w:rPr>
        <w:t>▲竞争性磋商报价</w:t>
      </w:r>
    </w:p>
    <w:bookmarkEnd w:id="20"/>
    <w:p>
      <w:pPr>
        <w:spacing w:line="360" w:lineRule="auto"/>
        <w:ind w:firstLine="420" w:firstLineChars="200"/>
        <w:rPr>
          <w:rFonts w:hint="eastAsia" w:ascii="宋体" w:hAnsi="宋体" w:cs="宋体"/>
          <w:color w:val="auto"/>
          <w:szCs w:val="21"/>
          <w:highlight w:val="none"/>
        </w:rPr>
      </w:pPr>
      <w:bookmarkStart w:id="21" w:name="_Toc31890"/>
      <w:bookmarkStart w:id="22" w:name="_Toc27409"/>
      <w:r>
        <w:rPr>
          <w:rFonts w:hint="eastAsia" w:ascii="宋体" w:hAnsi="宋体" w:cs="宋体"/>
          <w:color w:val="auto"/>
          <w:szCs w:val="21"/>
          <w:highlight w:val="none"/>
        </w:rPr>
        <w:t>1.竞争性磋商报价以人民币为结算货币。</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2.磋商报价应按竞争性磋商文件中相关附表格式填写。</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▲3.磋商响应文件中只允许有一个报价，有选择的或有条件的报价将不予接受。</w:t>
      </w:r>
    </w:p>
    <w:p>
      <w:pPr>
        <w:spacing w:line="360" w:lineRule="auto"/>
        <w:ind w:firstLine="422" w:firstLineChars="200"/>
        <w:jc w:val="left"/>
        <w:rPr>
          <w:rFonts w:hint="eastAsia" w:ascii="宋体" w:hAnsi="宋体" w:cs="宋体"/>
          <w:b/>
          <w:bCs/>
          <w:color w:val="auto"/>
          <w:szCs w:val="21"/>
          <w:highlight w:val="none"/>
        </w:rPr>
      </w:pPr>
      <w:r>
        <w:rPr>
          <w:rFonts w:hint="eastAsia" w:ascii="宋体" w:hAnsi="宋体" w:cs="宋体"/>
          <w:b/>
          <w:bCs/>
          <w:color w:val="auto"/>
          <w:szCs w:val="21"/>
          <w:highlight w:val="none"/>
        </w:rPr>
        <w:t>▲4.磋商报价分二轮或三轮进行，首次报价在响应文件中体现；最终报价由各供应商在规定的时间内在政采云平台在线完成；政采云平台在线报价操作失败的，供应商应及时联系采购代理机构，通过指定的电子邮箱提供（最终报价表格式见附件，指定邮箱：</w:t>
      </w:r>
      <w:r>
        <w:rPr>
          <w:rFonts w:hint="eastAsia" w:ascii="宋体" w:hAnsi="宋体" w:cs="宋体"/>
          <w:b/>
          <w:bCs/>
          <w:color w:val="auto"/>
          <w:szCs w:val="21"/>
          <w:highlight w:val="none"/>
        </w:rPr>
        <w:fldChar w:fldCharType="begin"/>
      </w:r>
      <w:r>
        <w:rPr>
          <w:rFonts w:hint="eastAsia" w:ascii="宋体" w:hAnsi="宋体" w:cs="宋体"/>
          <w:b/>
          <w:bCs/>
          <w:color w:val="auto"/>
          <w:szCs w:val="21"/>
          <w:highlight w:val="none"/>
        </w:rPr>
        <w:instrText xml:space="preserve"> HYPERLINK "mailto:？？？@qq.com）。" </w:instrText>
      </w:r>
      <w:r>
        <w:rPr>
          <w:rFonts w:hint="eastAsia" w:ascii="宋体" w:hAnsi="宋体" w:cs="宋体"/>
          <w:b/>
          <w:bCs/>
          <w:color w:val="auto"/>
          <w:szCs w:val="21"/>
          <w:highlight w:val="none"/>
        </w:rPr>
        <w:fldChar w:fldCharType="separate"/>
      </w:r>
      <w:r>
        <w:rPr>
          <w:rFonts w:hint="eastAsia" w:ascii="宋体" w:hAnsi="宋体" w:cs="宋体"/>
          <w:b/>
          <w:bCs/>
          <w:color w:val="auto"/>
          <w:szCs w:val="21"/>
          <w:highlight w:val="none"/>
        </w:rPr>
        <w:t>anjikbcg@163.com）</w:t>
      </w:r>
      <w:r>
        <w:rPr>
          <w:rStyle w:val="36"/>
          <w:rFonts w:hint="eastAsia" w:ascii="宋体" w:hAnsi="宋体" w:cs="宋体"/>
          <w:b/>
          <w:bCs/>
          <w:color w:val="auto"/>
          <w:szCs w:val="21"/>
          <w:highlight w:val="none"/>
        </w:rPr>
        <w:t>。</w:t>
      </w:r>
      <w:r>
        <w:rPr>
          <w:rFonts w:hint="eastAsia" w:ascii="宋体" w:hAnsi="宋体" w:cs="宋体"/>
          <w:b/>
          <w:bCs/>
          <w:color w:val="auto"/>
          <w:szCs w:val="21"/>
          <w:highlight w:val="none"/>
        </w:rPr>
        <w:fldChar w:fldCharType="end"/>
      </w:r>
    </w:p>
    <w:p>
      <w:pPr>
        <w:spacing w:line="360" w:lineRule="auto"/>
        <w:ind w:firstLine="420" w:firstLineChars="200"/>
        <w:rPr>
          <w:rFonts w:hint="eastAsia" w:ascii="宋体" w:hAnsi="宋体" w:cs="宋体"/>
          <w:b/>
          <w:color w:val="auto"/>
          <w:kern w:val="0"/>
          <w:szCs w:val="21"/>
          <w:highlight w:val="none"/>
        </w:rPr>
      </w:pPr>
      <w:r>
        <w:rPr>
          <w:rFonts w:hint="eastAsia" w:ascii="宋体" w:hAnsi="宋体" w:cs="宋体"/>
          <w:color w:val="auto"/>
          <w:kern w:val="0"/>
          <w:szCs w:val="21"/>
          <w:highlight w:val="none"/>
        </w:rPr>
        <w:t>5.供应商应按竞争性磋商文件的要求认真填写相应材料，磋商响应文件的大写金额和小写金额不一致的，以大写金额为准；总价金额与按单价汇总金额不一致的，以单价金额计算结果为准；单价金额小数点有明显错位的，应以总价为准，并修改单价。</w:t>
      </w:r>
    </w:p>
    <w:p>
      <w:pPr>
        <w:spacing w:line="360" w:lineRule="auto"/>
        <w:ind w:firstLine="422" w:firstLineChars="200"/>
        <w:jc w:val="left"/>
        <w:rPr>
          <w:rFonts w:hint="eastAsia" w:ascii="宋体" w:hAnsi="宋体" w:cs="宋体"/>
          <w:b/>
          <w:color w:val="auto"/>
          <w:kern w:val="0"/>
          <w:szCs w:val="21"/>
          <w:highlight w:val="none"/>
        </w:rPr>
      </w:pPr>
      <w:r>
        <w:rPr>
          <w:rFonts w:hint="eastAsia" w:ascii="宋体" w:hAnsi="宋体" w:cs="宋体"/>
          <w:b/>
          <w:color w:val="auto"/>
          <w:kern w:val="0"/>
          <w:szCs w:val="21"/>
          <w:highlight w:val="none"/>
        </w:rPr>
        <w:t>6.供应商应充分考虑因各种原因可能发生的费用。对没有填报的费用，采购人认为所有费用已包含在总价中，除合同条款另有规定外，不得进行调整。</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7、供应商对竞争性磋商文件里有关磋商报价的全部内容应仔细确认，若有个别异议，应在磋商前提出修改意见，否则视同全部确认。</w:t>
      </w:r>
    </w:p>
    <w:bookmarkEnd w:id="21"/>
    <w:bookmarkEnd w:id="22"/>
    <w:p>
      <w:pPr>
        <w:spacing w:before="156" w:beforeLines="50" w:line="360" w:lineRule="auto"/>
        <w:rPr>
          <w:rFonts w:hint="eastAsia" w:ascii="宋体" w:hAnsi="宋体" w:cs="宋体"/>
          <w:b/>
          <w:color w:val="auto"/>
          <w:szCs w:val="21"/>
          <w:highlight w:val="none"/>
        </w:rPr>
      </w:pPr>
      <w:bookmarkStart w:id="23" w:name="_Toc30243"/>
      <w:bookmarkStart w:id="24" w:name="_Toc11127"/>
      <w:bookmarkStart w:id="25" w:name="_Toc18074"/>
      <w:bookmarkStart w:id="26" w:name="_Toc34746016"/>
      <w:r>
        <w:rPr>
          <w:rFonts w:hint="eastAsia" w:ascii="宋体" w:hAnsi="宋体" w:cs="宋体"/>
          <w:b/>
          <w:color w:val="auto"/>
          <w:szCs w:val="21"/>
          <w:highlight w:val="none"/>
        </w:rPr>
        <w:t>六、保证金</w:t>
      </w:r>
      <w:bookmarkEnd w:id="23"/>
      <w:bookmarkEnd w:id="24"/>
      <w:bookmarkEnd w:id="25"/>
    </w:p>
    <w:p>
      <w:pPr>
        <w:spacing w:before="156" w:beforeLines="50"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不收取。</w:t>
      </w:r>
    </w:p>
    <w:p>
      <w:pPr>
        <w:spacing w:before="156" w:beforeLines="50" w:line="360" w:lineRule="auto"/>
        <w:rPr>
          <w:rFonts w:hint="eastAsia" w:ascii="宋体" w:hAnsi="宋体" w:cs="宋体"/>
          <w:b/>
          <w:color w:val="auto"/>
          <w:szCs w:val="21"/>
          <w:highlight w:val="none"/>
        </w:rPr>
      </w:pPr>
      <w:bookmarkStart w:id="27" w:name="_Toc493761840"/>
      <w:bookmarkStart w:id="28" w:name="_Toc14479"/>
      <w:bookmarkStart w:id="29" w:name="_Toc5093"/>
      <w:bookmarkStart w:id="30" w:name="_Toc1223"/>
      <w:r>
        <w:rPr>
          <w:rFonts w:hint="eastAsia" w:ascii="宋体" w:hAnsi="宋体" w:cs="宋体"/>
          <w:b/>
          <w:color w:val="auto"/>
          <w:szCs w:val="21"/>
          <w:highlight w:val="none"/>
        </w:rPr>
        <w:t>七、履约保</w:t>
      </w:r>
      <w:bookmarkEnd w:id="27"/>
      <w:bookmarkEnd w:id="28"/>
      <w:bookmarkEnd w:id="29"/>
      <w:bookmarkEnd w:id="30"/>
      <w:r>
        <w:rPr>
          <w:rFonts w:hint="eastAsia" w:ascii="宋体" w:hAnsi="宋体" w:cs="宋体"/>
          <w:b/>
          <w:color w:val="auto"/>
          <w:szCs w:val="21"/>
          <w:highlight w:val="none"/>
        </w:rPr>
        <w:t>证金</w:t>
      </w:r>
    </w:p>
    <w:p>
      <w:pPr>
        <w:spacing w:line="360" w:lineRule="auto"/>
        <w:ind w:firstLine="420" w:firstLineChars="200"/>
        <w:rPr>
          <w:rFonts w:hint="eastAsia" w:ascii="宋体" w:hAnsi="宋体" w:cs="宋体"/>
          <w:color w:val="auto"/>
          <w:szCs w:val="21"/>
          <w:highlight w:val="none"/>
        </w:rPr>
      </w:pPr>
      <w:bookmarkStart w:id="31" w:name="_Toc177870543"/>
      <w:bookmarkStart w:id="32" w:name="_Toc26404"/>
      <w:bookmarkStart w:id="33" w:name="_Toc31835"/>
      <w:bookmarkStart w:id="34" w:name="_Toc31922"/>
      <w:bookmarkStart w:id="35" w:name="_Toc22213"/>
      <w:r>
        <w:rPr>
          <w:rFonts w:hint="eastAsia" w:ascii="宋体" w:hAnsi="宋体" w:cs="宋体"/>
          <w:color w:val="auto"/>
          <w:szCs w:val="21"/>
          <w:highlight w:val="none"/>
        </w:rPr>
        <w:t>不收取。</w:t>
      </w:r>
    </w:p>
    <w:p>
      <w:pPr>
        <w:spacing w:before="156" w:beforeLines="50" w:line="360" w:lineRule="auto"/>
        <w:rPr>
          <w:rFonts w:hint="eastAsia" w:ascii="宋体" w:hAnsi="宋体" w:cs="宋体"/>
          <w:b/>
          <w:color w:val="auto"/>
          <w:szCs w:val="21"/>
          <w:highlight w:val="none"/>
        </w:rPr>
      </w:pPr>
      <w:r>
        <w:rPr>
          <w:rFonts w:hint="eastAsia" w:ascii="宋体" w:hAnsi="宋体" w:cs="宋体"/>
          <w:b/>
          <w:color w:val="auto"/>
          <w:szCs w:val="21"/>
          <w:highlight w:val="none"/>
        </w:rPr>
        <w:t>八、质疑</w:t>
      </w:r>
      <w:bookmarkEnd w:id="31"/>
      <w:r>
        <w:rPr>
          <w:rFonts w:hint="eastAsia" w:ascii="宋体" w:hAnsi="宋体" w:cs="宋体"/>
          <w:b/>
          <w:color w:val="auto"/>
          <w:szCs w:val="21"/>
          <w:highlight w:val="none"/>
        </w:rPr>
        <w:t>和投诉</w:t>
      </w:r>
      <w:bookmarkEnd w:id="32"/>
      <w:bookmarkEnd w:id="33"/>
      <w:bookmarkEnd w:id="34"/>
      <w:bookmarkEnd w:id="35"/>
    </w:p>
    <w:p>
      <w:pPr>
        <w:spacing w:line="360" w:lineRule="auto"/>
        <w:ind w:firstLine="420" w:firstLineChars="200"/>
        <w:jc w:val="left"/>
        <w:outlineLvl w:val="0"/>
        <w:rPr>
          <w:rFonts w:hint="eastAsia" w:ascii="宋体" w:hAnsi="宋体" w:cs="宋体"/>
          <w:color w:val="auto"/>
          <w:szCs w:val="21"/>
          <w:highlight w:val="none"/>
        </w:rPr>
      </w:pPr>
      <w:r>
        <w:rPr>
          <w:rFonts w:hint="eastAsia" w:ascii="宋体" w:hAnsi="宋体" w:cs="宋体"/>
          <w:color w:val="auto"/>
          <w:szCs w:val="21"/>
          <w:highlight w:val="none"/>
        </w:rPr>
        <w:t>根据《中华人民共和国政府采购法》和《政府采购质疑和投诉办法》(财政部令第94号)的规定，供应商对政府采购活动事项有疑问的，可以向采购人和采购代理机构提出询问，采购人和采购代理机构应当及时作出答复，但答复的内容不得涉及商业秘密。</w:t>
      </w:r>
    </w:p>
    <w:p>
      <w:pPr>
        <w:snapToGrid w:val="0"/>
        <w:spacing w:line="360" w:lineRule="auto"/>
        <w:ind w:firstLine="420" w:firstLineChars="200"/>
        <w:rPr>
          <w:rFonts w:hint="eastAsia" w:ascii="宋体" w:hAnsi="宋体" w:cs="宋体"/>
          <w:color w:val="auto"/>
          <w:highlight w:val="none"/>
        </w:rPr>
      </w:pPr>
      <w:r>
        <w:rPr>
          <w:rFonts w:hint="eastAsia" w:ascii="宋体" w:hAnsi="宋体" w:cs="宋体"/>
          <w:snapToGrid w:val="0"/>
          <w:color w:val="auto"/>
          <w:kern w:val="0"/>
          <w:highlight w:val="none"/>
        </w:rPr>
        <w:t>1.</w:t>
      </w:r>
      <w:r>
        <w:rPr>
          <w:rFonts w:hint="eastAsia" w:ascii="宋体" w:hAnsi="宋体" w:cs="宋体"/>
          <w:color w:val="auto"/>
          <w:highlight w:val="none"/>
        </w:rPr>
        <w:t>供应商认为采购文件、采购过程和成交结果使自己的权益受到损害的，应当在知道或者应知其权益受到损害之日起七个工作日内，以书面形式向采购人、采购代理机构提出质疑。质疑起算日期如下：</w:t>
      </w:r>
    </w:p>
    <w:p>
      <w:pPr>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（1）对可以质疑的采购文件提出质疑的，为收到采购文件之日或者采购文件公告期限届满之日</w:t>
      </w:r>
      <w:r>
        <w:rPr>
          <w:rFonts w:hint="eastAsia" w:ascii="宋体" w:hAnsi="宋体" w:cs="宋体"/>
          <w:color w:val="auto"/>
          <w:szCs w:val="21"/>
          <w:highlight w:val="none"/>
        </w:rPr>
        <w:t>（公告期限届满后获取采购文件的，以公告期限届满之日为准）</w:t>
      </w:r>
      <w:r>
        <w:rPr>
          <w:rFonts w:hint="eastAsia" w:ascii="宋体" w:hAnsi="宋体" w:cs="宋体"/>
          <w:color w:val="auto"/>
          <w:highlight w:val="none"/>
        </w:rPr>
        <w:t>；</w:t>
      </w:r>
    </w:p>
    <w:p>
      <w:pPr>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（2）对采购过程提出质疑的，为各采购程序环节结束之日；</w:t>
      </w:r>
    </w:p>
    <w:p>
      <w:pPr>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（3）对成交结果提出质疑的，为成交结果公告期限届满之日。</w:t>
      </w:r>
    </w:p>
    <w:p>
      <w:pPr>
        <w:shd w:val="clear" w:color="auto" w:fill="FFFFFF"/>
        <w:snapToGrid w:val="0"/>
        <w:spacing w:line="360" w:lineRule="auto"/>
        <w:ind w:firstLine="420" w:firstLineChars="200"/>
        <w:rPr>
          <w:rFonts w:hint="eastAsia" w:ascii="宋体" w:hAnsi="宋体" w:cs="宋体"/>
          <w:color w:val="auto"/>
          <w:highlight w:val="none"/>
        </w:rPr>
      </w:pPr>
      <w:r>
        <w:rPr>
          <w:rFonts w:hint="eastAsia" w:ascii="宋体" w:hAnsi="宋体" w:cs="宋体"/>
          <w:snapToGrid w:val="0"/>
          <w:color w:val="auto"/>
          <w:kern w:val="0"/>
          <w:highlight w:val="none"/>
        </w:rPr>
        <w:t>2.</w:t>
      </w:r>
      <w:r>
        <w:rPr>
          <w:rFonts w:hint="eastAsia" w:ascii="宋体" w:hAnsi="宋体" w:cs="宋体"/>
          <w:color w:val="auto"/>
          <w:highlight w:val="none"/>
        </w:rPr>
        <w:t>质疑供应商对采购人、采购代理机构的答复不满意或者采购人、采购代理机构未在规定时间内作出答复的，可以在答复期满后十五个工作日内向同级政府采购监管部门投诉。</w:t>
      </w:r>
    </w:p>
    <w:p>
      <w:pPr>
        <w:shd w:val="clear" w:color="auto" w:fill="FFFFFF"/>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质疑和投诉需按照《政府采购质疑和投诉办法》（财政部令第94号）规定，范本在浙江政府采购网中“下载专区”内下载，质疑时供应商需在法定质疑期内一次性提出针对同一采购环节的质疑。供应商为自然人的，应当由本人签字；供应商为法人或者其他组织的，应当由法定代表人、主要负责人，或者其授权代表签字或者盖章，并加盖公章。</w:t>
      </w:r>
    </w:p>
    <w:p>
      <w:pPr>
        <w:shd w:val="clear" w:color="auto" w:fill="FFFFFF"/>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质疑书、投诉书均应明确阐述采购文件、采购过程和成交结果中使自己合法权益受到损害的实质性内容，提供相关事实、依据和证据及其来源或线索，便于有关单位调查、答复和处理。</w:t>
      </w:r>
    </w:p>
    <w:p>
      <w:pPr>
        <w:adjustRightInd w:val="0"/>
        <w:snapToGrid w:val="0"/>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4.供应商一旦递交了响应文件，即被视为接受了本采购文件的所有内容，对采购文件无任何异议。</w:t>
      </w:r>
    </w:p>
    <w:p>
      <w:pPr>
        <w:spacing w:before="156" w:beforeLines="50" w:line="360" w:lineRule="auto"/>
        <w:jc w:val="left"/>
        <w:outlineLvl w:val="0"/>
        <w:rPr>
          <w:rFonts w:hint="eastAsia" w:ascii="宋体" w:hAnsi="宋体" w:cs="宋体"/>
          <w:b/>
          <w:color w:val="auto"/>
          <w:szCs w:val="21"/>
          <w:highlight w:val="none"/>
        </w:rPr>
      </w:pPr>
      <w:bookmarkStart w:id="36" w:name="_Toc25273"/>
      <w:bookmarkStart w:id="37" w:name="_Toc22636"/>
      <w:bookmarkStart w:id="38" w:name="_Toc23736"/>
      <w:bookmarkStart w:id="39" w:name="_Toc13401"/>
      <w:r>
        <w:rPr>
          <w:rFonts w:hint="eastAsia" w:ascii="宋体" w:hAnsi="宋体" w:cs="宋体"/>
          <w:b/>
          <w:color w:val="auto"/>
          <w:szCs w:val="21"/>
          <w:highlight w:val="none"/>
        </w:rPr>
        <w:t>九、采购文件的澄清与修改</w:t>
      </w:r>
      <w:bookmarkEnd w:id="36"/>
      <w:bookmarkEnd w:id="37"/>
      <w:bookmarkEnd w:id="38"/>
      <w:bookmarkEnd w:id="39"/>
      <w:r>
        <w:rPr>
          <w:rFonts w:hint="eastAsia" w:ascii="宋体" w:hAnsi="宋体" w:cs="宋体"/>
          <w:b/>
          <w:color w:val="auto"/>
          <w:szCs w:val="21"/>
          <w:highlight w:val="none"/>
        </w:rPr>
        <w:t xml:space="preserve"> </w:t>
      </w:r>
    </w:p>
    <w:p>
      <w:pPr>
        <w:spacing w:line="360" w:lineRule="auto"/>
        <w:ind w:firstLine="420" w:firstLineChars="200"/>
        <w:jc w:val="left"/>
        <w:outlineLvl w:val="0"/>
        <w:rPr>
          <w:rFonts w:hint="eastAsia" w:ascii="宋体" w:hAnsi="宋体" w:cs="宋体"/>
          <w:color w:val="auto"/>
          <w:highlight w:val="none"/>
        </w:rPr>
      </w:pPr>
      <w:bookmarkStart w:id="40" w:name="_Toc32320"/>
      <w:bookmarkStart w:id="41" w:name="_Toc1539"/>
      <w:bookmarkStart w:id="42" w:name="_Toc21454"/>
      <w:bookmarkStart w:id="43" w:name="_Toc3056"/>
      <w:r>
        <w:rPr>
          <w:rFonts w:hint="eastAsia" w:ascii="宋体" w:hAnsi="宋体" w:cs="宋体"/>
          <w:color w:val="auto"/>
          <w:highlight w:val="none"/>
        </w:rPr>
        <w:t>提交响应文件截止之日前，采购人、采购代理机构或者磋商小组可以对已发出的采购文件进行必要的澄清或修改，澄清或者修改的内容作为采购文件的组成部分。澄清或者修改的内容可能影响响应文件编制的，采购人、采购代理机构应当在提交响应文件截止时间至少5日前，以书面形式通知所有获取采购文件的供应商；不足5日的，采购人、采购代理机构应当顺延提交响应文件截止时间。</w:t>
      </w:r>
    </w:p>
    <w:p>
      <w:pPr>
        <w:spacing w:before="156" w:beforeLines="50" w:line="360" w:lineRule="auto"/>
        <w:jc w:val="left"/>
        <w:outlineLvl w:val="0"/>
        <w:rPr>
          <w:rFonts w:hint="eastAsia" w:ascii="宋体" w:hAnsi="宋体" w:cs="宋体"/>
          <w:b/>
          <w:color w:val="auto"/>
          <w:szCs w:val="21"/>
          <w:highlight w:val="none"/>
        </w:rPr>
      </w:pPr>
      <w:r>
        <w:rPr>
          <w:rFonts w:hint="eastAsia" w:ascii="宋体" w:hAnsi="宋体" w:cs="宋体"/>
          <w:b/>
          <w:color w:val="auto"/>
          <w:szCs w:val="21"/>
          <w:highlight w:val="none"/>
        </w:rPr>
        <w:t>十、响应文件有效期</w:t>
      </w:r>
      <w:bookmarkEnd w:id="40"/>
      <w:bookmarkEnd w:id="41"/>
      <w:bookmarkEnd w:id="42"/>
      <w:bookmarkEnd w:id="43"/>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1.响应文件从磋商之日起，有效期为90天。</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2.特殊情况下，采购人可与供应商协商延缓响应文件的有效期，这种要求和答复均以书面形式进行。</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3.响应文件有效期内，供应商撤销其响应文件的，</w:t>
      </w:r>
      <w:r>
        <w:rPr>
          <w:rFonts w:hint="eastAsia" w:ascii="宋体" w:hAnsi="宋体" w:cs="宋体"/>
          <w:color w:val="auto"/>
          <w:szCs w:val="21"/>
          <w:highlight w:val="none"/>
          <w:lang w:bidi="ar"/>
        </w:rPr>
        <w:t>采购人将其失信行为上报政府采购主管部门，由主管部门按有关规定对其违法失信行为记录进行公开</w:t>
      </w:r>
      <w:r>
        <w:rPr>
          <w:rFonts w:hint="eastAsia" w:ascii="宋体" w:hAnsi="宋体" w:cs="宋体"/>
          <w:color w:val="auto"/>
          <w:szCs w:val="21"/>
          <w:highlight w:val="none"/>
        </w:rPr>
        <w:t>。</w:t>
      </w:r>
    </w:p>
    <w:p>
      <w:pPr>
        <w:spacing w:before="156" w:beforeLines="50" w:line="360" w:lineRule="auto"/>
        <w:jc w:val="left"/>
        <w:outlineLvl w:val="0"/>
        <w:rPr>
          <w:rFonts w:hint="eastAsia" w:ascii="宋体" w:hAnsi="宋体" w:cs="宋体"/>
          <w:b/>
          <w:color w:val="auto"/>
          <w:szCs w:val="21"/>
          <w:highlight w:val="none"/>
        </w:rPr>
      </w:pPr>
      <w:bookmarkStart w:id="44" w:name="_Toc21151"/>
      <w:bookmarkStart w:id="45" w:name="_Toc493761842"/>
      <w:bookmarkStart w:id="46" w:name="_Toc8167"/>
      <w:bookmarkStart w:id="47" w:name="_Toc790"/>
      <w:r>
        <w:rPr>
          <w:rFonts w:hint="eastAsia" w:ascii="宋体" w:hAnsi="宋体" w:cs="宋体"/>
          <w:b/>
          <w:color w:val="auto"/>
          <w:szCs w:val="21"/>
          <w:highlight w:val="none"/>
        </w:rPr>
        <w:t>十一、响应文件的组成</w:t>
      </w:r>
      <w:bookmarkEnd w:id="44"/>
      <w:bookmarkEnd w:id="45"/>
      <w:bookmarkEnd w:id="46"/>
      <w:bookmarkEnd w:id="47"/>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应仔细阅读竞争性磋商文件中的所有内容，按照磋商文件及采购要求，详细编制响应文件，并对磋商文件的要求做出实质上的响应。未实质上响应的响应文件将可能导致被拒绝，但允许报价在满足并优于采购要求的前提下出现的微小差异。</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供应商必须按竞争性磋商文件的要求提供相关技术文件、资料，包括采用的计量单位，并保证响应文件的正确性和真实性，响应文件全部内容应保持一致，否则可能导致不利于其磋商的评定甚至被拒绝。技术和商务如有偏离均应填写偏离表。</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3.响应文件的组成</w:t>
      </w:r>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3.1资格证明文件</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1、磋商申请函 （格式见附件）；</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cs="宋体"/>
          <w:color w:val="auto"/>
          <w:szCs w:val="21"/>
          <w:highlight w:val="none"/>
        </w:rPr>
        <w:t>2、</w:t>
      </w:r>
      <w:r>
        <w:rPr>
          <w:rFonts w:hint="eastAsia" w:ascii="宋体" w:hAnsi="宋体" w:cs="宋体"/>
          <w:bCs/>
          <w:color w:val="auto"/>
          <w:szCs w:val="21"/>
          <w:highlight w:val="none"/>
        </w:rPr>
        <w:t>法人营业执照副本、组织机构代码证副本及税务登记证副本或“三证合一”的营业执照或“五证合一”的</w:t>
      </w:r>
      <w:r>
        <w:rPr>
          <w:rFonts w:hint="eastAsia" w:ascii="宋体" w:hAnsi="宋体" w:eastAsia="宋体" w:cs="宋体"/>
          <w:bCs/>
          <w:color w:val="auto"/>
          <w:szCs w:val="21"/>
          <w:highlight w:val="none"/>
        </w:rPr>
        <w:t>营业执照副本复印件；</w:t>
      </w:r>
    </w:p>
    <w:p>
      <w:pPr>
        <w:spacing w:line="360" w:lineRule="auto"/>
        <w:ind w:firstLine="420" w:firstLineChars="2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3、法定代表人身份证明书和授权委托书（格式见附件）</w:t>
      </w:r>
      <w:r>
        <w:rPr>
          <w:rFonts w:hint="eastAsia" w:ascii="宋体" w:hAnsi="宋体" w:eastAsia="宋体" w:cs="宋体"/>
          <w:bCs/>
          <w:color w:val="auto"/>
          <w:szCs w:val="21"/>
          <w:highlight w:val="none"/>
          <w:lang w:eastAsia="zh-CN"/>
        </w:rPr>
        <w:t>；</w:t>
      </w:r>
    </w:p>
    <w:p>
      <w:pPr>
        <w:spacing w:line="360" w:lineRule="auto"/>
        <w:ind w:firstLine="420" w:firstLineChars="200"/>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4、中小企业声明函（注：本项目为专门面向中小企业采购，投标供应商非中小企业的，资格审查不通过；符合上述条件的中小微型企业应按照磋商文件附件的格式要求在资格证明文件中提供《中小企业声明函》）。</w:t>
      </w:r>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 xml:space="preserve">3.2商务/技术文件 </w:t>
      </w:r>
    </w:p>
    <w:p>
      <w:pPr>
        <w:numPr>
          <w:ilvl w:val="0"/>
          <w:numId w:val="4"/>
        </w:numPr>
        <w:adjustRightInd w:val="0"/>
        <w:snapToGrid w:val="0"/>
        <w:spacing w:line="360" w:lineRule="exact"/>
        <w:ind w:left="425"/>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法定代表人身份证明书和授权委托书（格式见第六章）；</w:t>
      </w:r>
    </w:p>
    <w:p>
      <w:pPr>
        <w:numPr>
          <w:ilvl w:val="0"/>
          <w:numId w:val="4"/>
        </w:numPr>
        <w:adjustRightInd w:val="0"/>
        <w:snapToGrid w:val="0"/>
        <w:spacing w:line="360" w:lineRule="exact"/>
        <w:ind w:left="425"/>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供应商情况表（格式见第六章）；</w:t>
      </w:r>
    </w:p>
    <w:p>
      <w:pPr>
        <w:numPr>
          <w:ilvl w:val="0"/>
          <w:numId w:val="4"/>
        </w:numPr>
        <w:adjustRightInd w:val="0"/>
        <w:snapToGrid w:val="0"/>
        <w:spacing w:line="360" w:lineRule="exact"/>
        <w:ind w:left="425"/>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项目总体要求的理解及思路；</w:t>
      </w:r>
    </w:p>
    <w:p>
      <w:pPr>
        <w:numPr>
          <w:ilvl w:val="0"/>
          <w:numId w:val="4"/>
        </w:numPr>
        <w:adjustRightInd w:val="0"/>
        <w:snapToGrid w:val="0"/>
        <w:spacing w:line="360" w:lineRule="exact"/>
        <w:ind w:left="425"/>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工作总体技术方案；</w:t>
      </w:r>
    </w:p>
    <w:p>
      <w:pPr>
        <w:numPr>
          <w:ilvl w:val="0"/>
          <w:numId w:val="4"/>
        </w:numPr>
        <w:adjustRightInd w:val="0"/>
        <w:snapToGrid w:val="0"/>
        <w:spacing w:line="360" w:lineRule="exact"/>
        <w:ind w:left="425"/>
        <w:jc w:val="left"/>
        <w:rPr>
          <w:rFonts w:hint="eastAsia" w:asciiTheme="minorEastAsia" w:hAnsiTheme="minorEastAsia" w:eastAsiaTheme="minorEastAsia" w:cstheme="minorEastAsia"/>
          <w:color w:val="auto"/>
          <w:kern w:val="2"/>
          <w:sz w:val="21"/>
          <w:szCs w:val="24"/>
          <w:highlight w:val="none"/>
          <w:lang w:val="en-US" w:eastAsia="zh-CN" w:bidi="ar-SA"/>
        </w:rPr>
      </w:pPr>
      <w:r>
        <w:rPr>
          <w:rFonts w:hint="eastAsia" w:asciiTheme="minorEastAsia" w:hAnsiTheme="minorEastAsia" w:eastAsiaTheme="minorEastAsia" w:cstheme="minorEastAsia"/>
          <w:color w:val="auto"/>
          <w:highlight w:val="none"/>
        </w:rPr>
        <w:t>现场布点采样方案</w:t>
      </w:r>
      <w:r>
        <w:rPr>
          <w:rFonts w:hint="eastAsia" w:asciiTheme="minorEastAsia" w:hAnsiTheme="minorEastAsia" w:eastAsiaTheme="minorEastAsia" w:cstheme="minorEastAsia"/>
          <w:color w:val="auto"/>
          <w:highlight w:val="none"/>
          <w:lang w:eastAsia="zh-CN"/>
        </w:rPr>
        <w:t>；</w:t>
      </w:r>
    </w:p>
    <w:p>
      <w:pPr>
        <w:numPr>
          <w:ilvl w:val="0"/>
          <w:numId w:val="4"/>
        </w:numPr>
        <w:adjustRightInd w:val="0"/>
        <w:snapToGrid w:val="0"/>
        <w:spacing w:line="360" w:lineRule="exact"/>
        <w:ind w:left="425"/>
        <w:jc w:val="left"/>
        <w:rPr>
          <w:rFonts w:hint="eastAsia" w:asciiTheme="minorEastAsia" w:hAnsiTheme="minorEastAsia" w:eastAsiaTheme="minorEastAsia" w:cstheme="minorEastAsia"/>
          <w:color w:val="auto"/>
          <w:kern w:val="2"/>
          <w:sz w:val="21"/>
          <w:szCs w:val="24"/>
          <w:highlight w:val="none"/>
          <w:lang w:val="en-US" w:eastAsia="zh-CN" w:bidi="ar-SA"/>
        </w:rPr>
      </w:pPr>
      <w:r>
        <w:rPr>
          <w:rFonts w:hint="eastAsia" w:asciiTheme="minorEastAsia" w:hAnsiTheme="minorEastAsia" w:eastAsiaTheme="minorEastAsia" w:cstheme="minorEastAsia"/>
          <w:color w:val="auto"/>
          <w:kern w:val="2"/>
          <w:sz w:val="21"/>
          <w:szCs w:val="24"/>
          <w:highlight w:val="none"/>
          <w:lang w:val="en-US" w:eastAsia="zh-CN" w:bidi="ar-SA"/>
        </w:rPr>
        <w:t>调查评估方案</w:t>
      </w:r>
    </w:p>
    <w:p>
      <w:pPr>
        <w:numPr>
          <w:ilvl w:val="0"/>
          <w:numId w:val="4"/>
        </w:numPr>
        <w:adjustRightInd w:val="0"/>
        <w:snapToGrid w:val="0"/>
        <w:spacing w:line="360" w:lineRule="exact"/>
        <w:ind w:left="425"/>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项目进度控制措施；</w:t>
      </w:r>
    </w:p>
    <w:p>
      <w:pPr>
        <w:numPr>
          <w:ilvl w:val="0"/>
          <w:numId w:val="4"/>
        </w:numPr>
        <w:adjustRightInd w:val="0"/>
        <w:snapToGrid w:val="0"/>
        <w:spacing w:line="360" w:lineRule="exact"/>
        <w:ind w:left="425"/>
        <w:jc w:val="left"/>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rPr>
        <w:t>质量保证与质量控制措施；</w:t>
      </w:r>
    </w:p>
    <w:p>
      <w:pPr>
        <w:numPr>
          <w:ilvl w:val="0"/>
          <w:numId w:val="4"/>
        </w:numPr>
        <w:adjustRightInd w:val="0"/>
        <w:snapToGrid w:val="0"/>
        <w:spacing w:line="360" w:lineRule="exact"/>
        <w:ind w:left="425"/>
        <w:jc w:val="left"/>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rPr>
        <w:t>相关资料收集情况；</w:t>
      </w:r>
    </w:p>
    <w:p>
      <w:pPr>
        <w:numPr>
          <w:ilvl w:val="0"/>
          <w:numId w:val="4"/>
        </w:numPr>
        <w:adjustRightInd w:val="0"/>
        <w:snapToGrid w:val="0"/>
        <w:spacing w:line="360" w:lineRule="exact"/>
        <w:ind w:left="425"/>
        <w:jc w:val="left"/>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rPr>
        <w:t>合理化建议和改进措施；</w:t>
      </w:r>
    </w:p>
    <w:p>
      <w:pPr>
        <w:numPr>
          <w:ilvl w:val="0"/>
          <w:numId w:val="4"/>
        </w:numPr>
        <w:adjustRightInd w:val="0"/>
        <w:snapToGrid w:val="0"/>
        <w:spacing w:line="360" w:lineRule="exact"/>
        <w:ind w:left="425"/>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highlight w:val="none"/>
          <w:lang w:eastAsia="zh-CN"/>
        </w:rPr>
        <w:t>项目实施人员</w:t>
      </w:r>
      <w:r>
        <w:rPr>
          <w:rFonts w:hint="eastAsia" w:asciiTheme="minorEastAsia" w:hAnsiTheme="minorEastAsia" w:eastAsiaTheme="minorEastAsia" w:cstheme="minorEastAsia"/>
          <w:color w:val="auto"/>
          <w:highlight w:val="none"/>
        </w:rPr>
        <w:t>（项目实施人员技术力量）一览表（格式见附件）；</w:t>
      </w:r>
    </w:p>
    <w:p>
      <w:pPr>
        <w:numPr>
          <w:ilvl w:val="0"/>
          <w:numId w:val="4"/>
        </w:numPr>
        <w:adjustRightInd w:val="0"/>
        <w:snapToGrid w:val="0"/>
        <w:spacing w:line="360" w:lineRule="exact"/>
        <w:ind w:left="425"/>
        <w:jc w:val="left"/>
        <w:rPr>
          <w:rFonts w:hint="eastAsia" w:asciiTheme="minorEastAsia" w:hAnsiTheme="minorEastAsia" w:eastAsiaTheme="minorEastAsia" w:cstheme="minorEastAsia"/>
          <w:color w:val="auto"/>
          <w:highlight w:val="none"/>
          <w:lang w:val="en-US" w:eastAsia="en-US"/>
        </w:rPr>
      </w:pPr>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highlight w:val="none"/>
        </w:rPr>
        <w:t>售后服务方案；</w:t>
      </w:r>
    </w:p>
    <w:p>
      <w:pPr>
        <w:numPr>
          <w:ilvl w:val="0"/>
          <w:numId w:val="4"/>
        </w:numPr>
        <w:adjustRightInd w:val="0"/>
        <w:snapToGrid w:val="0"/>
        <w:spacing w:line="360" w:lineRule="exact"/>
        <w:ind w:left="425"/>
        <w:jc w:val="left"/>
        <w:rPr>
          <w:rFonts w:hint="eastAsia" w:asciiTheme="minorEastAsia" w:hAnsiTheme="minorEastAsia" w:eastAsiaTheme="minorEastAsia" w:cstheme="minorEastAsia"/>
          <w:color w:val="auto"/>
          <w:highlight w:val="none"/>
          <w:lang w:val="zh-CN" w:eastAsia="zh-CN"/>
        </w:rPr>
      </w:pPr>
      <w:r>
        <w:rPr>
          <w:rFonts w:hint="eastAsia" w:asciiTheme="minorEastAsia" w:hAnsiTheme="minorEastAsia" w:eastAsiaTheme="minorEastAsia" w:cstheme="minorEastAsia"/>
          <w:color w:val="auto"/>
          <w:highlight w:val="none"/>
          <w:lang w:val="en-US" w:eastAsia="zh-CN"/>
        </w:rPr>
        <w:t xml:space="preserve"> 同类项目（成功案例及</w:t>
      </w:r>
      <w:r>
        <w:rPr>
          <w:rFonts w:hint="eastAsia" w:asciiTheme="minorEastAsia" w:hAnsiTheme="minorEastAsia" w:eastAsiaTheme="minorEastAsia" w:cstheme="minorEastAsia"/>
          <w:color w:val="auto"/>
          <w:highlight w:val="none"/>
        </w:rPr>
        <w:t>业绩）实施情况一览表（格式见附件）</w:t>
      </w:r>
      <w:r>
        <w:rPr>
          <w:rFonts w:hint="eastAsia" w:asciiTheme="minorEastAsia" w:hAnsiTheme="minorEastAsia" w:eastAsiaTheme="minorEastAsia" w:cstheme="minorEastAsia"/>
          <w:color w:val="auto"/>
          <w:highlight w:val="none"/>
          <w:lang w:eastAsia="zh-CN"/>
        </w:rPr>
        <w:t>；</w:t>
      </w:r>
    </w:p>
    <w:p>
      <w:pPr>
        <w:numPr>
          <w:ilvl w:val="0"/>
          <w:numId w:val="4"/>
        </w:numPr>
        <w:adjustRightInd w:val="0"/>
        <w:snapToGrid w:val="0"/>
        <w:spacing w:line="360" w:lineRule="exact"/>
        <w:ind w:left="425"/>
        <w:jc w:val="left"/>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highlight w:val="none"/>
        </w:rPr>
        <w:t>权威认证；</w:t>
      </w:r>
    </w:p>
    <w:p>
      <w:pPr>
        <w:numPr>
          <w:ilvl w:val="0"/>
          <w:numId w:val="4"/>
        </w:numPr>
        <w:adjustRightInd w:val="0"/>
        <w:snapToGrid w:val="0"/>
        <w:spacing w:line="360" w:lineRule="exact"/>
        <w:ind w:left="425"/>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highlight w:val="none"/>
        </w:rPr>
        <w:t>技术响应表（格式见第六章）；</w:t>
      </w:r>
    </w:p>
    <w:p>
      <w:pPr>
        <w:numPr>
          <w:ilvl w:val="0"/>
          <w:numId w:val="4"/>
        </w:numPr>
        <w:adjustRightInd w:val="0"/>
        <w:snapToGrid w:val="0"/>
        <w:spacing w:line="360" w:lineRule="exact"/>
        <w:ind w:left="425"/>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highlight w:val="none"/>
        </w:rPr>
        <w:t>供应商认为需要提供的其他技术资料。</w:t>
      </w:r>
    </w:p>
    <w:p>
      <w:pPr>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3.3报价文件包括：</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1）初次报价表（格式见附件）；</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2）报价明细表（格式见附件）；</w:t>
      </w:r>
    </w:p>
    <w:p>
      <w:pPr>
        <w:adjustRightInd w:val="0"/>
        <w:snapToGrid w:val="0"/>
        <w:spacing w:line="360" w:lineRule="auto"/>
        <w:ind w:firstLine="420" w:firstLineChars="200"/>
        <w:jc w:val="left"/>
        <w:rPr>
          <w:rFonts w:hint="eastAsia" w:ascii="宋体" w:hAnsi="宋体" w:cs="宋体"/>
          <w:bCs/>
          <w:color w:val="auto"/>
          <w:szCs w:val="21"/>
          <w:highlight w:val="none"/>
        </w:rPr>
      </w:pPr>
      <w:r>
        <w:rPr>
          <w:rFonts w:hint="eastAsia" w:ascii="宋体" w:hAnsi="宋体" w:cs="宋体"/>
          <w:color w:val="auto"/>
          <w:szCs w:val="21"/>
          <w:highlight w:val="none"/>
        </w:rPr>
        <w:t>3）供应商针对报价需要说明的其他文件和说明</w:t>
      </w:r>
      <w:r>
        <w:rPr>
          <w:rFonts w:hint="eastAsia" w:ascii="宋体" w:hAnsi="宋体" w:cs="宋体"/>
          <w:bCs/>
          <w:color w:val="auto"/>
          <w:szCs w:val="21"/>
          <w:highlight w:val="none"/>
        </w:rPr>
        <w:t>。</w:t>
      </w:r>
    </w:p>
    <w:p>
      <w:pPr>
        <w:autoSpaceDE w:val="0"/>
        <w:autoSpaceDN w:val="0"/>
        <w:snapToGrid w:val="0"/>
        <w:spacing w:line="360" w:lineRule="auto"/>
        <w:ind w:firstLine="420" w:firstLineChars="200"/>
        <w:textAlignment w:val="bottom"/>
        <w:rPr>
          <w:rFonts w:hint="eastAsia" w:ascii="宋体" w:hAnsi="宋体" w:cs="宋体"/>
          <w:b/>
          <w:bCs/>
          <w:color w:val="auto"/>
          <w:kern w:val="0"/>
          <w:szCs w:val="21"/>
          <w:highlight w:val="none"/>
        </w:rPr>
      </w:pPr>
      <w:r>
        <w:rPr>
          <w:rFonts w:hint="eastAsia" w:ascii="宋体" w:hAnsi="宋体" w:cs="宋体"/>
          <w:bCs/>
          <w:color w:val="auto"/>
          <w:szCs w:val="21"/>
          <w:highlight w:val="none"/>
        </w:rPr>
        <w:t>供应商可根据评分表及项目需求情况，自行添加相关表格及资料。</w:t>
      </w:r>
      <w:r>
        <w:rPr>
          <w:rFonts w:hint="eastAsia" w:ascii="宋体" w:hAnsi="宋体" w:cs="宋体"/>
          <w:color w:val="auto"/>
          <w:kern w:val="0"/>
          <w:szCs w:val="21"/>
          <w:highlight w:val="none"/>
        </w:rPr>
        <w:t>以上组成内容中的复印件均须加盖供应商</w:t>
      </w:r>
      <w:r>
        <w:rPr>
          <w:rFonts w:hint="eastAsia" w:ascii="宋体" w:hAnsi="宋体" w:cs="宋体"/>
          <w:b/>
          <w:bCs/>
          <w:color w:val="auto"/>
          <w:kern w:val="0"/>
          <w:szCs w:val="21"/>
          <w:highlight w:val="none"/>
        </w:rPr>
        <w:t>公章。</w:t>
      </w:r>
    </w:p>
    <w:p>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4.响应文件内容填写及说明</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供应商应按照3.1、3.2、3.3所列出的（内容及格式仅供参考）逐一组成响应文件并制作成册(商务文件与技术文件可以合并制作)。</w:t>
      </w:r>
    </w:p>
    <w:p>
      <w:pPr>
        <w:spacing w:line="360" w:lineRule="auto"/>
        <w:ind w:firstLine="420" w:firstLineChars="200"/>
        <w:rPr>
          <w:rFonts w:hint="eastAsia" w:ascii="宋体" w:hAnsi="宋体" w:cs="宋体"/>
          <w:color w:val="auto"/>
          <w:szCs w:val="21"/>
          <w:highlight w:val="none"/>
        </w:rPr>
      </w:pPr>
      <w:r>
        <w:rPr>
          <w:rFonts w:hint="eastAsia" w:ascii="宋体" w:hAnsi="宋体" w:cs="宋体"/>
          <w:bCs/>
          <w:color w:val="auto"/>
          <w:szCs w:val="21"/>
          <w:highlight w:val="none"/>
        </w:rPr>
        <w:t>以上涉及所有资料复印件真实性由供应商自负，如发现弄虚作假，将取消磋商资格，已成交的取消成交资格，并按有关规定处罚。</w:t>
      </w:r>
    </w:p>
    <w:p>
      <w:pPr>
        <w:spacing w:before="156" w:beforeLines="50" w:line="360" w:lineRule="auto"/>
        <w:jc w:val="left"/>
        <w:outlineLvl w:val="0"/>
        <w:rPr>
          <w:rFonts w:hint="eastAsia" w:ascii="宋体" w:hAnsi="宋体" w:cs="宋体"/>
          <w:b/>
          <w:color w:val="auto"/>
          <w:szCs w:val="21"/>
          <w:highlight w:val="none"/>
        </w:rPr>
      </w:pPr>
      <w:bookmarkStart w:id="48" w:name="_Toc282640705"/>
      <w:bookmarkStart w:id="49" w:name="_Toc493761843"/>
      <w:bookmarkStart w:id="50" w:name="_Toc31587"/>
      <w:bookmarkStart w:id="51" w:name="_Toc13566"/>
      <w:bookmarkStart w:id="52" w:name="_Toc24680"/>
      <w:r>
        <w:rPr>
          <w:rFonts w:hint="eastAsia" w:ascii="宋体" w:hAnsi="宋体" w:cs="宋体"/>
          <w:b/>
          <w:color w:val="auto"/>
          <w:szCs w:val="21"/>
          <w:highlight w:val="none"/>
        </w:rPr>
        <w:t>十二、</w:t>
      </w:r>
      <w:bookmarkEnd w:id="48"/>
      <w:bookmarkEnd w:id="49"/>
      <w:bookmarkStart w:id="53" w:name="_Toc14127"/>
      <w:r>
        <w:rPr>
          <w:rFonts w:hint="eastAsia" w:ascii="宋体" w:hAnsi="宋体" w:cs="宋体"/>
          <w:b/>
          <w:color w:val="auto"/>
          <w:szCs w:val="21"/>
          <w:highlight w:val="none"/>
        </w:rPr>
        <w:t>响应文件编制（电子交易）</w:t>
      </w:r>
      <w:bookmarkEnd w:id="50"/>
      <w:bookmarkEnd w:id="51"/>
      <w:bookmarkEnd w:id="52"/>
      <w:bookmarkEnd w:id="53"/>
    </w:p>
    <w:p>
      <w:pPr>
        <w:spacing w:line="360" w:lineRule="auto"/>
        <w:ind w:firstLine="420" w:firstLineChars="200"/>
        <w:rPr>
          <w:rFonts w:hint="eastAsia" w:ascii="宋体" w:hAnsi="宋体" w:cs="宋体"/>
          <w:color w:val="auto"/>
          <w:highlight w:val="none"/>
        </w:rPr>
      </w:pPr>
      <w:r>
        <w:rPr>
          <w:rFonts w:hint="eastAsia" w:ascii="宋体" w:hAnsi="宋体" w:cs="宋体"/>
          <w:color w:val="auto"/>
          <w:kern w:val="0"/>
          <w:highlight w:val="none"/>
        </w:rPr>
        <w:t>1、</w:t>
      </w:r>
      <w:r>
        <w:rPr>
          <w:rFonts w:hint="eastAsia" w:ascii="宋体" w:hAnsi="宋体" w:cs="宋体"/>
          <w:color w:val="auto"/>
          <w:highlight w:val="none"/>
        </w:rPr>
        <w:t>本项目通过“政采云平台（</w:t>
      </w:r>
      <w:r>
        <w:rPr>
          <w:rFonts w:hint="eastAsia" w:ascii="宋体" w:hAnsi="宋体" w:cs="宋体"/>
          <w:color w:val="auto"/>
          <w:highlight w:val="none"/>
          <w:u w:val="single"/>
        </w:rPr>
        <w:t>www.zcygov.cn</w:t>
      </w:r>
      <w:r>
        <w:rPr>
          <w:rFonts w:hint="eastAsia" w:ascii="宋体" w:hAnsi="宋体" w:cs="宋体"/>
          <w:color w:val="auto"/>
          <w:highlight w:val="none"/>
        </w:rPr>
        <w:t>）”实行在线响应（电子交易）。供应商应通过“政采云电子交易客户端”，并按照本采购文件和“政府采购云平台”的要求编制并加密响应文件。</w:t>
      </w:r>
    </w:p>
    <w:p>
      <w:pPr>
        <w:spacing w:line="360"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2、供应商应当按照本章节 “响应文件的组成”规定的内容及顺序在“政采云电子交易客户端”编制响应文件。</w:t>
      </w:r>
    </w:p>
    <w:p>
      <w:pPr>
        <w:spacing w:line="360"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3、本采购文件中有提供格式的，供应商须参照格式进行编制（格式中要求提供相关证明材料的或采购文件要求提供相关证明的，还需后附相关证明材料），未提供格式的，请各供应商自行拟定格式，加盖单位公章并由法定代表人或其授权代表签署（签字或盖章），否则视为未提供。</w:t>
      </w:r>
    </w:p>
    <w:p>
      <w:pPr>
        <w:spacing w:line="360"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4、响应文件内容不完整、编排混乱导致响应文件被误读、漏读或者查找不到相关内容的，是供应商的责任。</w:t>
      </w:r>
    </w:p>
    <w:p>
      <w:pPr>
        <w:spacing w:line="360"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5、响应文件因字迹潦草或表达不清所引起的后果由供应商负责。</w:t>
      </w:r>
    </w:p>
    <w:p>
      <w:pPr>
        <w:tabs>
          <w:tab w:val="left" w:pos="720"/>
        </w:tabs>
        <w:spacing w:line="360"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6、供应商没有按照本采购文件内 “响应文件的组成”要求提供全部资料，或者没有仔细阅读采购文件，或者没有对采购文件在各方面的要求作出实质性响应是供应商的风险，由此造成的一切后果由供应商自行承担。</w:t>
      </w:r>
    </w:p>
    <w:p>
      <w:pPr>
        <w:tabs>
          <w:tab w:val="left" w:pos="720"/>
        </w:tabs>
        <w:spacing w:line="360"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7、响应文件的签章</w:t>
      </w:r>
    </w:p>
    <w:p>
      <w:pPr>
        <w:spacing w:line="360"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7.1 响应文件的签章见《前附表》；</w:t>
      </w:r>
    </w:p>
    <w:p>
      <w:pPr>
        <w:spacing w:line="360"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7.2 响应文件应由供应商法定代表人或其授权代表签字（或盖章），并加盖供应商公章。</w:t>
      </w:r>
    </w:p>
    <w:p>
      <w:pPr>
        <w:spacing w:line="360" w:lineRule="auto"/>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7.3 参与在线响应时如遇平台技术问题详询400-881-7190。</w:t>
      </w:r>
    </w:p>
    <w:p>
      <w:pPr>
        <w:tabs>
          <w:tab w:val="left" w:pos="720"/>
        </w:tabs>
        <w:spacing w:line="360"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8、响应文件的形式</w:t>
      </w:r>
    </w:p>
    <w:p>
      <w:pPr>
        <w:spacing w:line="360" w:lineRule="auto"/>
        <w:ind w:firstLine="420" w:firstLineChars="200"/>
        <w:rPr>
          <w:rFonts w:hint="eastAsia" w:ascii="宋体" w:hAnsi="宋体" w:cs="宋体"/>
          <w:color w:val="auto"/>
          <w:highlight w:val="none"/>
        </w:rPr>
      </w:pPr>
      <w:r>
        <w:rPr>
          <w:rFonts w:hint="eastAsia" w:ascii="宋体" w:hAnsi="宋体" w:cs="宋体"/>
          <w:color w:val="auto"/>
          <w:kern w:val="0"/>
          <w:highlight w:val="none"/>
        </w:rPr>
        <w:t xml:space="preserve">8.1 </w:t>
      </w:r>
      <w:r>
        <w:rPr>
          <w:rFonts w:hint="eastAsia" w:ascii="宋体" w:hAnsi="宋体" w:cs="宋体"/>
          <w:color w:val="auto"/>
          <w:highlight w:val="none"/>
        </w:rPr>
        <w:t>响应文件的形式：</w:t>
      </w:r>
      <w:r>
        <w:rPr>
          <w:rFonts w:hint="eastAsia" w:ascii="宋体" w:hAnsi="宋体" w:cs="宋体"/>
          <w:color w:val="auto"/>
          <w:kern w:val="0"/>
          <w:highlight w:val="none"/>
        </w:rPr>
        <w:t>见《前附表》；</w:t>
      </w:r>
    </w:p>
    <w:p>
      <w:pPr>
        <w:spacing w:line="360" w:lineRule="auto"/>
        <w:ind w:firstLine="420" w:firstLineChars="200"/>
        <w:rPr>
          <w:rFonts w:hint="eastAsia" w:ascii="宋体" w:hAnsi="宋体" w:cs="宋体"/>
          <w:color w:val="auto"/>
          <w:highlight w:val="none"/>
        </w:rPr>
      </w:pPr>
      <w:r>
        <w:rPr>
          <w:rFonts w:hint="eastAsia" w:ascii="宋体" w:hAnsi="宋体" w:cs="宋体"/>
          <w:color w:val="auto"/>
          <w:kern w:val="0"/>
          <w:highlight w:val="none"/>
        </w:rPr>
        <w:t xml:space="preserve">8.2 </w:t>
      </w:r>
      <w:r>
        <w:rPr>
          <w:rFonts w:hint="eastAsia" w:ascii="宋体" w:hAnsi="宋体" w:cs="宋体"/>
          <w:color w:val="auto"/>
          <w:highlight w:val="none"/>
        </w:rPr>
        <w:t>“电子加密响应文件”：“电子加密响应文件”是指通过“政采云电子交易客户端”完成响应文件编制后生成并加密的数据电文形式的响应文件。</w:t>
      </w:r>
    </w:p>
    <w:p>
      <w:pPr>
        <w:spacing w:line="360" w:lineRule="auto"/>
        <w:ind w:firstLine="420" w:firstLineChars="200"/>
        <w:rPr>
          <w:rFonts w:hint="eastAsia" w:ascii="宋体" w:hAnsi="宋体" w:cs="宋体"/>
          <w:color w:val="auto"/>
          <w:highlight w:val="none"/>
        </w:rPr>
      </w:pPr>
      <w:r>
        <w:rPr>
          <w:rFonts w:hint="eastAsia" w:ascii="宋体" w:hAnsi="宋体" w:cs="宋体"/>
          <w:color w:val="auto"/>
          <w:kern w:val="0"/>
          <w:highlight w:val="none"/>
        </w:rPr>
        <w:t xml:space="preserve">8.3 </w:t>
      </w:r>
      <w:r>
        <w:rPr>
          <w:rFonts w:hint="eastAsia" w:ascii="宋体" w:hAnsi="宋体" w:cs="宋体"/>
          <w:color w:val="auto"/>
          <w:highlight w:val="none"/>
        </w:rPr>
        <w:t>“备份响应文件”：“备份响应文件”是指与“电子加密响应文件”同时生成的数据电文形式的电子文件（备份标书），其他方式编制的“备份响应文件”视为无效的“备份响应文件”。</w:t>
      </w:r>
    </w:p>
    <w:p>
      <w:pPr>
        <w:tabs>
          <w:tab w:val="left" w:pos="720"/>
        </w:tabs>
        <w:spacing w:line="360"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9、响应文件的份数</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highlight w:val="none"/>
        </w:rPr>
        <w:t>响应文件的份数：</w:t>
      </w:r>
      <w:r>
        <w:rPr>
          <w:rFonts w:hint="eastAsia" w:ascii="宋体" w:hAnsi="宋体" w:cs="宋体"/>
          <w:color w:val="auto"/>
          <w:kern w:val="0"/>
          <w:highlight w:val="none"/>
        </w:rPr>
        <w:t>见《前附表》</w:t>
      </w:r>
      <w:r>
        <w:rPr>
          <w:rFonts w:hint="eastAsia" w:ascii="宋体" w:hAnsi="宋体" w:cs="宋体"/>
          <w:color w:val="auto"/>
          <w:highlight w:val="none"/>
        </w:rPr>
        <w:t>。</w:t>
      </w:r>
    </w:p>
    <w:p>
      <w:pPr>
        <w:spacing w:before="156" w:beforeLines="50" w:line="360" w:lineRule="auto"/>
        <w:jc w:val="left"/>
        <w:outlineLvl w:val="0"/>
        <w:rPr>
          <w:rFonts w:hint="eastAsia" w:ascii="宋体" w:hAnsi="宋体" w:cs="宋体"/>
          <w:b/>
          <w:color w:val="auto"/>
          <w:szCs w:val="21"/>
          <w:highlight w:val="none"/>
        </w:rPr>
      </w:pPr>
      <w:bookmarkStart w:id="54" w:name="_Toc4134"/>
      <w:bookmarkStart w:id="55" w:name="_Toc282640709"/>
      <w:bookmarkStart w:id="56" w:name="_Toc4168"/>
      <w:bookmarkStart w:id="57" w:name="_Toc22695"/>
      <w:bookmarkStart w:id="58" w:name="_Toc493761844"/>
      <w:r>
        <w:rPr>
          <w:rFonts w:hint="eastAsia" w:ascii="宋体" w:hAnsi="宋体" w:cs="宋体"/>
          <w:b/>
          <w:color w:val="auto"/>
          <w:szCs w:val="21"/>
          <w:highlight w:val="none"/>
        </w:rPr>
        <w:t>十三、响应文件的递交</w:t>
      </w:r>
      <w:bookmarkEnd w:id="54"/>
      <w:bookmarkEnd w:id="55"/>
      <w:bookmarkEnd w:id="56"/>
      <w:bookmarkEnd w:id="57"/>
      <w:bookmarkEnd w:id="58"/>
    </w:p>
    <w:p>
      <w:pPr>
        <w:spacing w:line="360" w:lineRule="auto"/>
        <w:ind w:firstLine="420" w:firstLineChars="200"/>
        <w:rPr>
          <w:rFonts w:hint="eastAsia" w:ascii="宋体" w:hAnsi="宋体" w:cs="宋体"/>
          <w:color w:val="auto"/>
          <w:kern w:val="0"/>
          <w:highlight w:val="none"/>
        </w:rPr>
      </w:pPr>
      <w:bookmarkStart w:id="59" w:name="_Toc282640710"/>
      <w:bookmarkStart w:id="60" w:name="_Toc493761845"/>
      <w:r>
        <w:rPr>
          <w:rFonts w:hint="eastAsia" w:ascii="宋体" w:hAnsi="宋体" w:cs="宋体"/>
          <w:color w:val="auto"/>
          <w:kern w:val="0"/>
          <w:highlight w:val="none"/>
        </w:rPr>
        <w:t>1、</w:t>
      </w:r>
      <w:r>
        <w:rPr>
          <w:rFonts w:hint="eastAsia" w:ascii="宋体" w:hAnsi="宋体" w:cs="宋体"/>
          <w:color w:val="auto"/>
          <w:kern w:val="0"/>
          <w:highlight w:val="none"/>
          <w:lang w:bidi="ar"/>
        </w:rPr>
        <w:t>响应文件的上传、递交</w:t>
      </w:r>
      <w:r>
        <w:rPr>
          <w:rFonts w:hint="eastAsia" w:ascii="宋体" w:hAnsi="宋体" w:cs="宋体"/>
          <w:color w:val="auto"/>
          <w:kern w:val="0"/>
          <w:highlight w:val="none"/>
        </w:rPr>
        <w:t>响应文件”的上传、递交：见《前附表》。</w:t>
      </w:r>
    </w:p>
    <w:p>
      <w:pPr>
        <w:tabs>
          <w:tab w:val="left" w:pos="720"/>
        </w:tabs>
        <w:spacing w:line="360"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2、“电子加密响应文件”解密和异常情况处理“电子加密响应文件”解密：见《前附表》。</w:t>
      </w:r>
    </w:p>
    <w:p>
      <w:pPr>
        <w:tabs>
          <w:tab w:val="left" w:pos="720"/>
        </w:tabs>
        <w:spacing w:line="360"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3、响应文件的补充、修改或撤回。</w:t>
      </w:r>
    </w:p>
    <w:p>
      <w:pPr>
        <w:spacing w:line="360"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3.1 供应商应当在响应截止时间前完成响应文件的上传、递交，并可以补充、修改或者撤回响应文件。补充或者修改响应文件的，应当先行撤回原文件，补充、修改后重新上传、递交。响应截止时间前未完成上传、递交的，视为撤回响应文件。响应截止时间后递交的响应文件，“政采云平台”将予以拒收。</w:t>
      </w:r>
    </w:p>
    <w:p>
      <w:pPr>
        <w:spacing w:line="360"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3.2 响应截止时间后，供应商不得撤回、修改《响应文件》。</w:t>
      </w:r>
    </w:p>
    <w:p>
      <w:pPr>
        <w:tabs>
          <w:tab w:val="left" w:pos="720"/>
        </w:tabs>
        <w:spacing w:line="360"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4、响应文件的备选方案</w:t>
      </w:r>
    </w:p>
    <w:p>
      <w:pPr>
        <w:spacing w:line="360"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供应商不得递交任何的备选（替代）方案，否则其响应文件将作无效处理。与“电子加密响应文件”同时生成的“备份响应文件”不是备选方案。</w:t>
      </w:r>
    </w:p>
    <w:p>
      <w:pPr>
        <w:spacing w:line="360" w:lineRule="auto"/>
        <w:ind w:firstLine="420" w:firstLineChars="200"/>
        <w:rPr>
          <w:rFonts w:hint="eastAsia" w:ascii="宋体" w:hAnsi="宋体" w:cs="宋体"/>
          <w:color w:val="auto"/>
          <w:kern w:val="0"/>
          <w:highlight w:val="none"/>
        </w:rPr>
      </w:pPr>
      <w:bookmarkStart w:id="61" w:name="_Toc177870552"/>
      <w:r>
        <w:rPr>
          <w:rFonts w:hint="eastAsia" w:ascii="宋体" w:hAnsi="宋体" w:cs="宋体"/>
          <w:color w:val="auto"/>
          <w:kern w:val="0"/>
          <w:highlight w:val="none"/>
        </w:rPr>
        <w:t>5、响应截止期</w:t>
      </w:r>
    </w:p>
    <w:p>
      <w:pPr>
        <w:spacing w:line="360"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5.1供应商应按前附表规定的时间、地点将“电子加密响应文件”上传至“政采云平台”，响应截止时间后递交的“电子加密响应文件”，“政采云平台”将予以拒收。</w:t>
      </w:r>
    </w:p>
    <w:p>
      <w:pPr>
        <w:spacing w:line="360"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5.2供应商应按前附表规定的时间、地点将“备份响应文件”递交给采购代理机构，采购代理机构将拒绝接受逾期送达的“备份响应文件”。</w:t>
      </w:r>
    </w:p>
    <w:p>
      <w:pPr>
        <w:spacing w:line="360" w:lineRule="auto"/>
        <w:ind w:firstLine="420" w:firstLineChars="200"/>
        <w:jc w:val="left"/>
        <w:rPr>
          <w:rFonts w:hint="eastAsia" w:ascii="宋体" w:hAnsi="宋体" w:cs="宋体"/>
          <w:b/>
          <w:color w:val="auto"/>
          <w:sz w:val="24"/>
          <w:highlight w:val="none"/>
        </w:rPr>
      </w:pPr>
      <w:r>
        <w:rPr>
          <w:rFonts w:hint="eastAsia" w:ascii="宋体" w:hAnsi="宋体" w:cs="宋体"/>
          <w:color w:val="auto"/>
          <w:kern w:val="0"/>
          <w:highlight w:val="none"/>
        </w:rPr>
        <w:t>5.3采购人可以按本须知规定以补充通知的方式，酌情延长递交响应文件的截止日期。在上述情况下，采购人与供应商以前在响应截止期方面的全部权利、责任和义务，将适用于延长至新的响应截止期。</w:t>
      </w:r>
      <w:bookmarkEnd w:id="61"/>
    </w:p>
    <w:p>
      <w:pPr>
        <w:spacing w:before="156" w:beforeLines="50" w:line="360" w:lineRule="auto"/>
        <w:jc w:val="left"/>
        <w:outlineLvl w:val="0"/>
        <w:rPr>
          <w:rFonts w:hint="eastAsia" w:ascii="宋体" w:hAnsi="宋体" w:cs="宋体"/>
          <w:b/>
          <w:color w:val="auto"/>
          <w:szCs w:val="21"/>
          <w:highlight w:val="none"/>
        </w:rPr>
      </w:pPr>
      <w:bookmarkStart w:id="62" w:name="_Toc2615"/>
      <w:bookmarkStart w:id="63" w:name="_Toc17958"/>
      <w:bookmarkStart w:id="64" w:name="_Toc13357"/>
      <w:r>
        <w:rPr>
          <w:rFonts w:hint="eastAsia" w:ascii="宋体" w:hAnsi="宋体" w:cs="宋体"/>
          <w:b/>
          <w:color w:val="auto"/>
          <w:szCs w:val="21"/>
          <w:highlight w:val="none"/>
        </w:rPr>
        <w:t>十四、无效响应文件</w:t>
      </w:r>
      <w:bookmarkEnd w:id="59"/>
      <w:bookmarkEnd w:id="60"/>
      <w:bookmarkEnd w:id="62"/>
      <w:bookmarkEnd w:id="63"/>
      <w:bookmarkEnd w:id="64"/>
    </w:p>
    <w:p>
      <w:pPr>
        <w:spacing w:line="360" w:lineRule="auto"/>
        <w:ind w:firstLine="422" w:firstLineChars="200"/>
        <w:jc w:val="left"/>
        <w:rPr>
          <w:rFonts w:hint="eastAsia" w:ascii="宋体" w:hAnsi="宋体" w:cs="宋体"/>
          <w:color w:val="auto"/>
          <w:szCs w:val="21"/>
          <w:highlight w:val="none"/>
        </w:rPr>
      </w:pPr>
      <w:bookmarkStart w:id="65" w:name="_Toc282640720"/>
      <w:bookmarkStart w:id="66" w:name="_Toc493761846"/>
      <w:r>
        <w:rPr>
          <w:rFonts w:hint="eastAsia" w:ascii="宋体" w:hAnsi="宋体" w:cs="宋体"/>
          <w:b/>
          <w:color w:val="auto"/>
          <w:szCs w:val="21"/>
          <w:highlight w:val="none"/>
        </w:rPr>
        <w:t>发生下列情况之一的响应文件被视为无效：</w:t>
      </w:r>
    </w:p>
    <w:p>
      <w:pPr>
        <w:spacing w:line="360" w:lineRule="auto"/>
        <w:ind w:firstLine="420" w:firstLineChars="200"/>
        <w:jc w:val="left"/>
        <w:rPr>
          <w:rFonts w:hint="eastAsia" w:ascii="宋体" w:hAnsi="宋体" w:cs="宋体"/>
          <w:color w:val="auto"/>
          <w:szCs w:val="21"/>
          <w:highlight w:val="none"/>
        </w:rPr>
      </w:pPr>
      <w:bookmarkStart w:id="67" w:name="_Toc282640711"/>
      <w:bookmarkStart w:id="68" w:name="_Toc414960356"/>
      <w:r>
        <w:rPr>
          <w:rFonts w:hint="eastAsia" w:ascii="宋体" w:hAnsi="宋体" w:cs="宋体"/>
          <w:color w:val="auto"/>
          <w:szCs w:val="21"/>
          <w:highlight w:val="none"/>
        </w:rPr>
        <w:t>1、在采购文件规定的递交截止时间以后送达的响应文件；</w:t>
      </w:r>
      <w:bookmarkEnd w:id="67"/>
      <w:bookmarkEnd w:id="68"/>
      <w:bookmarkStart w:id="69" w:name="_Toc282640712"/>
    </w:p>
    <w:bookmarkEnd w:id="69"/>
    <w:p>
      <w:pPr>
        <w:spacing w:line="360" w:lineRule="auto"/>
        <w:ind w:firstLine="420" w:firstLineChars="200"/>
        <w:jc w:val="left"/>
        <w:rPr>
          <w:rFonts w:hint="eastAsia" w:ascii="宋体" w:hAnsi="宋体" w:cs="宋体"/>
          <w:color w:val="auto"/>
          <w:szCs w:val="21"/>
          <w:highlight w:val="none"/>
        </w:rPr>
      </w:pPr>
      <w:bookmarkStart w:id="70" w:name="_Toc414960357"/>
      <w:bookmarkStart w:id="71" w:name="_Toc282640713"/>
      <w:r>
        <w:rPr>
          <w:rFonts w:hint="eastAsia" w:ascii="宋体" w:hAnsi="宋体" w:cs="宋体"/>
          <w:color w:val="auto"/>
          <w:szCs w:val="21"/>
          <w:highlight w:val="none"/>
        </w:rPr>
        <w:t>2、</w:t>
      </w:r>
      <w:r>
        <w:rPr>
          <w:rFonts w:hint="eastAsia" w:ascii="宋体" w:hAnsi="宋体" w:cs="宋体"/>
          <w:color w:val="auto"/>
          <w:szCs w:val="21"/>
          <w:highlight w:val="none"/>
          <w:lang w:bidi="ar"/>
        </w:rPr>
        <w:t>响应文件递交截止时间前，供应商仅递交了“备份响应文件”而未将电子加密响应文件上传至“政府采购云平台”的，响应文件无效。</w:t>
      </w:r>
      <w:bookmarkEnd w:id="70"/>
      <w:bookmarkEnd w:id="71"/>
      <w:bookmarkStart w:id="72" w:name="_Toc282640715"/>
    </w:p>
    <w:p>
      <w:pPr>
        <w:spacing w:line="360" w:lineRule="auto"/>
        <w:ind w:firstLine="420" w:firstLineChars="200"/>
        <w:jc w:val="left"/>
        <w:rPr>
          <w:rFonts w:hint="eastAsia" w:ascii="宋体" w:hAnsi="宋体" w:cs="宋体"/>
          <w:color w:val="auto"/>
          <w:szCs w:val="21"/>
          <w:highlight w:val="none"/>
        </w:rPr>
      </w:pPr>
      <w:bookmarkStart w:id="73" w:name="_Toc414960358"/>
      <w:r>
        <w:rPr>
          <w:rFonts w:hint="eastAsia" w:ascii="宋体" w:hAnsi="宋体" w:cs="宋体"/>
          <w:color w:val="auto"/>
          <w:szCs w:val="21"/>
          <w:highlight w:val="none"/>
        </w:rPr>
        <w:t>3、与采购文件有重大偏离的响应文件；</w:t>
      </w:r>
      <w:bookmarkEnd w:id="72"/>
      <w:bookmarkEnd w:id="73"/>
      <w:bookmarkStart w:id="74" w:name="_Toc282640716"/>
    </w:p>
    <w:p>
      <w:pPr>
        <w:spacing w:line="360" w:lineRule="auto"/>
        <w:ind w:firstLine="420" w:firstLineChars="200"/>
        <w:jc w:val="left"/>
        <w:rPr>
          <w:rFonts w:hint="eastAsia" w:ascii="宋体" w:hAnsi="宋体" w:cs="宋体"/>
          <w:color w:val="auto"/>
          <w:szCs w:val="21"/>
          <w:highlight w:val="none"/>
        </w:rPr>
      </w:pPr>
      <w:bookmarkStart w:id="75" w:name="_Toc414960359"/>
      <w:r>
        <w:rPr>
          <w:rFonts w:hint="eastAsia" w:ascii="宋体" w:hAnsi="宋体" w:cs="宋体"/>
          <w:color w:val="auto"/>
          <w:szCs w:val="21"/>
          <w:highlight w:val="none"/>
        </w:rPr>
        <w:t>4、</w:t>
      </w:r>
      <w:bookmarkEnd w:id="74"/>
      <w:bookmarkEnd w:id="75"/>
      <w:bookmarkStart w:id="76" w:name="_Toc282640718"/>
      <w:bookmarkStart w:id="77" w:name="_Toc414960361"/>
      <w:r>
        <w:rPr>
          <w:rFonts w:hint="eastAsia" w:ascii="宋体" w:hAnsi="宋体" w:cs="宋体"/>
          <w:color w:val="auto"/>
          <w:szCs w:val="21"/>
          <w:highlight w:val="none"/>
        </w:rPr>
        <w:t>磋商时供应商法定代表人（或授权代表）未在线参加磋商的；</w:t>
      </w:r>
      <w:bookmarkEnd w:id="76"/>
      <w:bookmarkEnd w:id="77"/>
      <w:bookmarkStart w:id="78" w:name="_Toc282640719"/>
    </w:p>
    <w:p>
      <w:pPr>
        <w:spacing w:line="360" w:lineRule="auto"/>
        <w:ind w:firstLine="420" w:firstLineChars="200"/>
        <w:jc w:val="left"/>
        <w:rPr>
          <w:rFonts w:hint="eastAsia" w:ascii="宋体" w:hAnsi="宋体" w:cs="宋体"/>
          <w:color w:val="auto"/>
          <w:szCs w:val="21"/>
          <w:highlight w:val="none"/>
        </w:rPr>
      </w:pPr>
      <w:bookmarkStart w:id="79" w:name="_Toc414960362"/>
      <w:r>
        <w:rPr>
          <w:rFonts w:hint="eastAsia" w:ascii="宋体" w:hAnsi="宋体" w:cs="宋体"/>
          <w:color w:val="auto"/>
          <w:szCs w:val="21"/>
          <w:highlight w:val="none"/>
        </w:rPr>
        <w:t>5、不具备磋商文件中规定的资格条件要求的；</w:t>
      </w:r>
      <w:bookmarkEnd w:id="79"/>
    </w:p>
    <w:p>
      <w:pPr>
        <w:spacing w:line="360" w:lineRule="auto"/>
        <w:ind w:firstLine="420" w:firstLineChars="200"/>
        <w:rPr>
          <w:rFonts w:hint="eastAsia" w:ascii="宋体" w:hAnsi="宋体" w:cs="宋体"/>
          <w:color w:val="auto"/>
          <w:szCs w:val="21"/>
          <w:highlight w:val="none"/>
        </w:rPr>
      </w:pPr>
      <w:bookmarkStart w:id="80" w:name="_Toc414960363"/>
      <w:r>
        <w:rPr>
          <w:rFonts w:hint="eastAsia" w:ascii="宋体" w:hAnsi="宋体" w:cs="宋体"/>
          <w:color w:val="auto"/>
          <w:szCs w:val="21"/>
          <w:highlight w:val="none"/>
        </w:rPr>
        <w:t>6、不符合法律、法规和本采购文件规定的其他实质性要求的。</w:t>
      </w:r>
      <w:bookmarkEnd w:id="78"/>
      <w:bookmarkEnd w:id="80"/>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参与同一个采购包(标段)的供应商存在下列情形之一的其投标(响应)文件无效:(1)不同供应商的电子投标(响应)文件上传计算机的网卡MAC地址、CPU序列号和硬盘序本系统别号等硬件信息相同的；(2)上传的电子投标(响应)文件若出现使用本项目其他投标(响应)供应商的数字证书加密的，或者加盖本项目其他投标(响应)供应商的电子印章的；(3)不同供应商的投标(响应)文件的内容存在三处(含)以上错误一致，且无法合理解释的；(4)不同供应商联系人为同一人或不同联系人的联系电话一致，且无法合理解释的。</w:t>
      </w:r>
    </w:p>
    <w:p>
      <w:pPr>
        <w:spacing w:before="156" w:beforeLines="50" w:line="360" w:lineRule="auto"/>
        <w:jc w:val="left"/>
        <w:outlineLvl w:val="0"/>
        <w:rPr>
          <w:rFonts w:hint="eastAsia" w:ascii="宋体" w:hAnsi="宋体" w:cs="宋体"/>
          <w:b/>
          <w:color w:val="auto"/>
          <w:szCs w:val="21"/>
          <w:highlight w:val="none"/>
        </w:rPr>
      </w:pPr>
      <w:bookmarkStart w:id="81" w:name="_Toc1484"/>
      <w:bookmarkStart w:id="82" w:name="_Toc22869"/>
      <w:bookmarkStart w:id="83" w:name="_Toc8331"/>
      <w:r>
        <w:rPr>
          <w:rFonts w:hint="eastAsia" w:ascii="宋体" w:hAnsi="宋体" w:cs="宋体"/>
          <w:b/>
          <w:color w:val="auto"/>
          <w:szCs w:val="21"/>
          <w:highlight w:val="none"/>
        </w:rPr>
        <w:t>十五、</w:t>
      </w:r>
      <w:bookmarkEnd w:id="65"/>
      <w:bookmarkEnd w:id="66"/>
      <w:bookmarkStart w:id="84" w:name="_Toc386"/>
      <w:bookmarkStart w:id="85" w:name="_Toc16217"/>
      <w:bookmarkStart w:id="86" w:name="_Toc18971"/>
      <w:bookmarkStart w:id="87" w:name="_Toc11107"/>
      <w:bookmarkStart w:id="88" w:name="_Toc6687"/>
      <w:r>
        <w:rPr>
          <w:rFonts w:hint="eastAsia" w:ascii="宋体" w:hAnsi="宋体" w:cs="宋体"/>
          <w:b/>
          <w:color w:val="auto"/>
          <w:szCs w:val="21"/>
          <w:highlight w:val="none"/>
        </w:rPr>
        <w:t>确定成交供应商方法</w:t>
      </w:r>
      <w:bookmarkEnd w:id="81"/>
      <w:bookmarkEnd w:id="82"/>
      <w:bookmarkEnd w:id="83"/>
      <w:bookmarkEnd w:id="84"/>
      <w:bookmarkEnd w:id="85"/>
      <w:bookmarkEnd w:id="86"/>
      <w:bookmarkEnd w:id="87"/>
      <w:bookmarkEnd w:id="88"/>
    </w:p>
    <w:p>
      <w:pPr>
        <w:autoSpaceDE w:val="0"/>
        <w:autoSpaceDN w:val="0"/>
        <w:adjustRightInd w:val="0"/>
        <w:spacing w:line="360" w:lineRule="auto"/>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在质量与服务均能满足采购项目要求的前提下，以综合得分由高到低的原则确定成交供应商，</w:t>
      </w:r>
      <w:r>
        <w:rPr>
          <w:rFonts w:hint="eastAsia" w:ascii="宋体" w:hAnsi="宋体" w:cs="宋体"/>
          <w:color w:val="auto"/>
          <w:kern w:val="0"/>
          <w:szCs w:val="21"/>
          <w:highlight w:val="none"/>
        </w:rPr>
        <w:t xml:space="preserve"> </w:t>
      </w:r>
      <w:r>
        <w:rPr>
          <w:rFonts w:hint="eastAsia" w:ascii="宋体" w:hAnsi="宋体" w:cs="宋体"/>
          <w:b/>
          <w:color w:val="auto"/>
          <w:szCs w:val="21"/>
          <w:highlight w:val="none"/>
        </w:rPr>
        <w:t>详细的磋商程序见竞争性磋商文件第四章内容。</w:t>
      </w:r>
    </w:p>
    <w:p>
      <w:pPr>
        <w:spacing w:before="156" w:beforeLines="50" w:line="360" w:lineRule="auto"/>
        <w:jc w:val="left"/>
        <w:outlineLvl w:val="0"/>
        <w:rPr>
          <w:rFonts w:hint="eastAsia" w:ascii="宋体" w:hAnsi="宋体" w:cs="宋体"/>
          <w:b/>
          <w:color w:val="auto"/>
          <w:szCs w:val="21"/>
          <w:highlight w:val="none"/>
        </w:rPr>
      </w:pPr>
      <w:bookmarkStart w:id="89" w:name="_Toc493761847"/>
      <w:bookmarkStart w:id="90" w:name="_Toc282640721"/>
      <w:bookmarkStart w:id="91" w:name="_Toc19856"/>
      <w:bookmarkStart w:id="92" w:name="_Toc1195"/>
      <w:bookmarkStart w:id="93" w:name="_Toc25551"/>
      <w:r>
        <w:rPr>
          <w:rFonts w:hint="eastAsia" w:ascii="宋体" w:hAnsi="宋体" w:cs="宋体"/>
          <w:b/>
          <w:color w:val="auto"/>
          <w:szCs w:val="21"/>
          <w:highlight w:val="none"/>
        </w:rPr>
        <w:t>十六、</w:t>
      </w:r>
      <w:bookmarkEnd w:id="89"/>
      <w:bookmarkEnd w:id="90"/>
      <w:bookmarkStart w:id="94" w:name="_Toc25091"/>
      <w:bookmarkStart w:id="95" w:name="_Toc18112"/>
      <w:bookmarkStart w:id="96" w:name="_Toc8051"/>
      <w:bookmarkStart w:id="97" w:name="_Toc25586"/>
      <w:bookmarkStart w:id="98" w:name="_Toc3687"/>
      <w:r>
        <w:rPr>
          <w:rFonts w:hint="eastAsia" w:ascii="宋体" w:hAnsi="宋体" w:cs="宋体"/>
          <w:b/>
          <w:color w:val="auto"/>
          <w:szCs w:val="21"/>
          <w:highlight w:val="none"/>
        </w:rPr>
        <w:t>授予合同</w:t>
      </w:r>
      <w:bookmarkEnd w:id="91"/>
      <w:bookmarkEnd w:id="92"/>
      <w:bookmarkEnd w:id="93"/>
      <w:bookmarkEnd w:id="94"/>
      <w:bookmarkEnd w:id="95"/>
      <w:bookmarkEnd w:id="96"/>
      <w:bookmarkEnd w:id="97"/>
      <w:bookmarkEnd w:id="98"/>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1、授予合同的依据</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招标采购单位签发的成交通知书；</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磋商文件、磋商文件的修改及补充通知（函）；</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响应文件和磋商时供应商作出的书面澄清、说明、纠正、承诺等；</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2、合同签订</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2.1 采购人与成交供应商应当在成交通知书发出之日起30日内签订合同。同时，采购代理机构对合同内容进行审查，如发现成交结果和磋商承诺内容不一致的，应予以纠正。</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2.2 成交供应商有拖延、拒签合同的或有弄虚作假情况的，将被取消成交资格，给采购人造成的损失应予以赔偿，同时采购人可以与根据评审报告推荐的顺序与排位在成交供应商之后下一成交候选供应商签订合同，以此类推。</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3.采购人如不与成交供应商订立合同，或者采购人、成交供应商订立背离合同实质性内容的协议，由政府有关部门责令改正，同时依法承担相应法律责任。</w:t>
      </w:r>
    </w:p>
    <w:p>
      <w:pPr>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szCs w:val="21"/>
          <w:highlight w:val="none"/>
        </w:rPr>
        <w:t>4.签订合同后2个工作日内，采购人应及时在政采云平台进行合同备案。</w:t>
      </w:r>
    </w:p>
    <w:p>
      <w:pPr>
        <w:spacing w:before="156" w:beforeLines="50" w:line="360" w:lineRule="auto"/>
        <w:jc w:val="left"/>
        <w:outlineLvl w:val="0"/>
        <w:rPr>
          <w:rFonts w:hint="eastAsia" w:ascii="宋体" w:hAnsi="宋体" w:cs="宋体"/>
          <w:b/>
          <w:color w:val="auto"/>
          <w:szCs w:val="21"/>
          <w:highlight w:val="none"/>
        </w:rPr>
      </w:pPr>
      <w:bookmarkStart w:id="99" w:name="_Toc493761848"/>
      <w:bookmarkStart w:id="100" w:name="_Toc16248"/>
      <w:bookmarkStart w:id="101" w:name="_Toc3930"/>
      <w:bookmarkStart w:id="102" w:name="_Toc3043"/>
      <w:r>
        <w:rPr>
          <w:rFonts w:hint="eastAsia" w:ascii="宋体" w:hAnsi="宋体" w:cs="宋体"/>
          <w:b/>
          <w:color w:val="auto"/>
          <w:szCs w:val="21"/>
          <w:highlight w:val="none"/>
        </w:rPr>
        <w:t>十七、</w:t>
      </w:r>
      <w:bookmarkEnd w:id="99"/>
      <w:bookmarkStart w:id="103" w:name="_Toc1831"/>
      <w:r>
        <w:rPr>
          <w:rFonts w:hint="eastAsia" w:ascii="宋体" w:hAnsi="宋体" w:cs="宋体"/>
          <w:b/>
          <w:color w:val="auto"/>
          <w:szCs w:val="21"/>
          <w:highlight w:val="none"/>
        </w:rPr>
        <w:t>可中止电子交易活动的情形</w:t>
      </w:r>
      <w:bookmarkEnd w:id="100"/>
      <w:bookmarkEnd w:id="101"/>
      <w:bookmarkEnd w:id="102"/>
      <w:bookmarkEnd w:id="103"/>
    </w:p>
    <w:p>
      <w:pPr>
        <w:spacing w:line="360" w:lineRule="auto"/>
        <w:ind w:firstLine="422" w:firstLineChars="200"/>
        <w:rPr>
          <w:rFonts w:hint="eastAsia" w:ascii="宋体" w:hAnsi="宋体" w:cs="宋体"/>
          <w:color w:val="auto"/>
          <w:highlight w:val="none"/>
        </w:rPr>
      </w:pPr>
      <w:r>
        <w:rPr>
          <w:rFonts w:hint="eastAsia" w:ascii="宋体" w:hAnsi="宋体" w:cs="宋体"/>
          <w:b/>
          <w:color w:val="auto"/>
          <w:highlight w:val="none"/>
        </w:rPr>
        <w:t>采购过程中出现以下情形，导致电子交易平台无法正常运行，或者无法保证电子交易的公平、公正和安全时，采购组织机构可中止电子交易活动：</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1、电子交易平台发生故障而无法登录访问的；</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2、电子交易平台应用或数据库出现错误，不能进行正常操作的；</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3、电子交易平台发现严重安全漏洞，有潜在泄密危险的；</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4、病毒发作导致不能进行正常操作的；</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5、其他无法保证电子交易的公平、公正和安全的情况。</w:t>
      </w:r>
    </w:p>
    <w:p>
      <w:pPr>
        <w:spacing w:line="360" w:lineRule="auto"/>
        <w:ind w:firstLine="422" w:firstLineChars="200"/>
        <w:rPr>
          <w:rFonts w:hint="eastAsia" w:ascii="宋体" w:hAnsi="宋体" w:cs="宋体"/>
          <w:b/>
          <w:color w:val="auto"/>
          <w:highlight w:val="none"/>
        </w:rPr>
      </w:pPr>
      <w:r>
        <w:rPr>
          <w:rFonts w:hint="eastAsia" w:ascii="宋体" w:hAnsi="宋体" w:cs="宋体"/>
          <w:b/>
          <w:color w:val="auto"/>
          <w:highlight w:val="none"/>
        </w:rPr>
        <w:t>出现上述情形，不影响采购公平、公正性的，采购组织机构可以待上述情形消除后继续组织电子交易活动；影响或可能影响采购公平、公正性的，应当重新采购。</w:t>
      </w:r>
    </w:p>
    <w:p>
      <w:pPr>
        <w:spacing w:before="156" w:beforeLines="50" w:line="360" w:lineRule="auto"/>
        <w:jc w:val="left"/>
        <w:outlineLvl w:val="0"/>
        <w:rPr>
          <w:rFonts w:hint="eastAsia" w:ascii="宋体" w:hAnsi="宋体" w:cs="宋体"/>
          <w:b/>
          <w:color w:val="auto"/>
          <w:szCs w:val="21"/>
          <w:highlight w:val="none"/>
        </w:rPr>
      </w:pPr>
      <w:bookmarkStart w:id="104" w:name="_Toc20710"/>
      <w:bookmarkStart w:id="105" w:name="_Toc9895"/>
      <w:bookmarkStart w:id="106" w:name="_Toc29352"/>
      <w:bookmarkStart w:id="107" w:name="_Toc8366"/>
      <w:r>
        <w:rPr>
          <w:rFonts w:hint="eastAsia" w:ascii="宋体" w:hAnsi="宋体" w:cs="宋体"/>
          <w:b/>
          <w:color w:val="auto"/>
          <w:szCs w:val="21"/>
          <w:highlight w:val="none"/>
        </w:rPr>
        <w:t>十八、终止采购活动</w:t>
      </w:r>
      <w:bookmarkEnd w:id="104"/>
      <w:bookmarkEnd w:id="105"/>
      <w:bookmarkEnd w:id="106"/>
      <w:bookmarkEnd w:id="107"/>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出现下列情形之一的，采购人或者采购代理机构应当终止竞争性磋商采购活动，发布项目终止公告并说明原因，重新开展采购活动：</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1、因情况变化，不再符合规定的竞争性磋商采购方式适用情形的；</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2、出现影响采购公正的违法、违规行为的；</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3、除相关规定情形外，在采购过程中符合要求的供应商或者报价未超过采购预算的供应商不足3家的。</w:t>
      </w:r>
    </w:p>
    <w:p>
      <w:pPr>
        <w:rPr>
          <w:rFonts w:hint="eastAsia"/>
          <w:color w:val="auto"/>
          <w:highlight w:val="none"/>
        </w:rPr>
      </w:pPr>
      <w:r>
        <w:rPr>
          <w:rFonts w:hint="eastAsia"/>
          <w:color w:val="auto"/>
          <w:highlight w:val="none"/>
        </w:rPr>
        <w:br w:type="page"/>
      </w:r>
    </w:p>
    <w:p>
      <w:pPr>
        <w:pStyle w:val="4"/>
        <w:spacing w:before="156" w:after="156"/>
        <w:rPr>
          <w:rFonts w:hint="eastAsia"/>
          <w:color w:val="auto"/>
          <w:highlight w:val="none"/>
        </w:rPr>
      </w:pPr>
      <w:r>
        <w:rPr>
          <w:rFonts w:hint="eastAsia"/>
          <w:color w:val="auto"/>
          <w:highlight w:val="none"/>
        </w:rPr>
        <w:t>第三章  磋商项目服务内容及要求</w:t>
      </w:r>
      <w:bookmarkEnd w:id="26"/>
    </w:p>
    <w:p>
      <w:pPr>
        <w:snapToGrid w:val="0"/>
        <w:spacing w:line="320" w:lineRule="atLeast"/>
        <w:ind w:firstLine="420" w:firstLineChars="200"/>
        <w:rPr>
          <w:rFonts w:hint="eastAsia" w:ascii="宋体" w:hAnsi="宋体" w:cs="宋体"/>
          <w:color w:val="auto"/>
          <w:kern w:val="0"/>
          <w:sz w:val="24"/>
          <w:szCs w:val="24"/>
          <w:highlight w:val="none"/>
        </w:rPr>
      </w:pPr>
      <w:r>
        <w:rPr>
          <w:rFonts w:hint="eastAsia" w:ascii="宋体" w:hAnsi="宋体" w:cs="宋体"/>
          <w:color w:val="auto"/>
          <w:highlight w:val="none"/>
        </w:rPr>
        <w:t>本章要求适用于</w:t>
      </w:r>
      <w:r>
        <w:rPr>
          <w:rFonts w:hint="eastAsia" w:ascii="宋体" w:hAnsi="宋体" w:cs="宋体"/>
          <w:b/>
          <w:color w:val="auto"/>
          <w:highlight w:val="none"/>
          <w:u w:val="single"/>
          <w:lang w:eastAsia="zh-CN"/>
        </w:rPr>
        <w:t>安吉县人民政府灵峰街道办事处2025-2026年度土壤污染状况调查服务项目</w:t>
      </w:r>
      <w:r>
        <w:rPr>
          <w:rFonts w:hint="eastAsia" w:ascii="宋体" w:hAnsi="宋体" w:cs="宋体"/>
          <w:color w:val="auto"/>
          <w:highlight w:val="none"/>
        </w:rPr>
        <w:t>的采购，是采购人为该项目的供应商提出的技术规范要求，为供应商完成响应文件的依据。本章所提出的内容为本项目的最低要求，供应商必须认真阅读以下内容，以免造成磋商损失。</w:t>
      </w:r>
      <w:bookmarkStart w:id="108" w:name="_Toc282640725"/>
      <w:bookmarkStart w:id="109" w:name="_Toc3686"/>
      <w:bookmarkStart w:id="110" w:name="_Toc19431"/>
      <w:bookmarkStart w:id="111" w:name="_Toc22750"/>
      <w:bookmarkStart w:id="112" w:name="_Toc31569"/>
    </w:p>
    <w:bookmarkEnd w:id="108"/>
    <w:bookmarkEnd w:id="109"/>
    <w:bookmarkEnd w:id="110"/>
    <w:bookmarkEnd w:id="111"/>
    <w:bookmarkEnd w:id="112"/>
    <w:p>
      <w:pPr>
        <w:pStyle w:val="5"/>
        <w:keepLines w:val="0"/>
        <w:spacing w:before="0" w:after="0" w:line="400" w:lineRule="exact"/>
        <w:jc w:val="left"/>
        <w:rPr>
          <w:rFonts w:hint="eastAsia" w:ascii="宋体" w:hAnsi="宋体" w:eastAsia="宋体" w:cs="宋体"/>
          <w:b/>
          <w:bCs/>
          <w:color w:val="auto"/>
          <w:kern w:val="0"/>
          <w:sz w:val="24"/>
          <w:szCs w:val="24"/>
          <w:highlight w:val="none"/>
          <w:lang w:val="en-US" w:eastAsia="zh-CN" w:bidi="ar"/>
        </w:rPr>
      </w:pPr>
      <w:bookmarkStart w:id="113" w:name="_Toc19518"/>
      <w:bookmarkStart w:id="114" w:name="_Toc3371"/>
      <w:bookmarkStart w:id="115" w:name="_Toc71190163"/>
      <w:bookmarkStart w:id="116" w:name="_Toc71190162"/>
      <w:bookmarkStart w:id="117" w:name="_Toc31899"/>
      <w:bookmarkStart w:id="118" w:name="_Toc16640"/>
      <w:bookmarkStart w:id="119" w:name="_Toc8094"/>
      <w:bookmarkStart w:id="120" w:name="_Toc5671"/>
      <w:bookmarkStart w:id="121" w:name="_Toc28690"/>
      <w:bookmarkStart w:id="122" w:name="_Toc20488"/>
      <w:bookmarkStart w:id="123" w:name="_Toc386810515"/>
      <w:bookmarkStart w:id="124" w:name="_Toc21821"/>
      <w:bookmarkStart w:id="125" w:name="_Toc12868"/>
      <w:r>
        <w:rPr>
          <w:rFonts w:hint="eastAsia" w:ascii="宋体" w:hAnsi="宋体" w:eastAsia="宋体" w:cs="宋体"/>
          <w:b/>
          <w:bCs/>
          <w:color w:val="auto"/>
          <w:kern w:val="0"/>
          <w:sz w:val="24"/>
          <w:szCs w:val="24"/>
          <w:highlight w:val="none"/>
          <w:lang w:val="en-US" w:eastAsia="zh-CN" w:bidi="ar"/>
        </w:rPr>
        <w:t>一、服务内容</w:t>
      </w:r>
      <w:bookmarkEnd w:id="113"/>
      <w:bookmarkEnd w:id="114"/>
    </w:p>
    <w:p>
      <w:pPr>
        <w:pStyle w:val="10"/>
        <w:spacing w:before="116"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工作任务以服务期内业主提供的地块清单为准，具体工作内容包括但不限于对相关地块进行勘察，确定场地的历史和现状，科学制定方案，进行土样水样采集分析化验，综合分析后编制土壤环境初步调查报告并通过专家评审。</w:t>
      </w:r>
    </w:p>
    <w:p>
      <w:pPr>
        <w:pStyle w:val="10"/>
        <w:spacing w:before="160" w:after="4" w:line="360" w:lineRule="auto"/>
        <w:jc w:val="center"/>
        <w:rPr>
          <w:rFonts w:hint="eastAsia" w:ascii="宋体" w:hAnsi="宋体" w:cs="宋体"/>
          <w:b/>
          <w:bCs/>
          <w:color w:val="auto"/>
          <w:szCs w:val="28"/>
          <w:highlight w:val="none"/>
        </w:rPr>
      </w:pPr>
      <w:r>
        <w:rPr>
          <w:rFonts w:hint="eastAsia" w:ascii="宋体" w:hAnsi="宋体" w:cs="宋体"/>
          <w:b/>
          <w:bCs/>
          <w:color w:val="auto"/>
          <w:szCs w:val="28"/>
          <w:highlight w:val="none"/>
        </w:rPr>
        <w:t>标项一及标项二最高限价表</w:t>
      </w:r>
    </w:p>
    <w:tbl>
      <w:tblPr>
        <w:tblStyle w:val="30"/>
        <w:tblW w:w="92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3957"/>
        <w:gridCol w:w="1545"/>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5" w:type="dxa"/>
            <w:noWrap w:val="0"/>
            <w:vAlign w:val="center"/>
          </w:tcPr>
          <w:p>
            <w:pPr>
              <w:pStyle w:val="66"/>
              <w:spacing w:before="1"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957" w:type="dxa"/>
            <w:noWrap w:val="0"/>
            <w:vAlign w:val="center"/>
          </w:tcPr>
          <w:p>
            <w:pPr>
              <w:pStyle w:val="66"/>
              <w:spacing w:before="1"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地块面积</w:t>
            </w:r>
          </w:p>
        </w:tc>
        <w:tc>
          <w:tcPr>
            <w:tcW w:w="1545" w:type="dxa"/>
            <w:noWrap w:val="0"/>
            <w:vAlign w:val="center"/>
          </w:tcPr>
          <w:p>
            <w:pPr>
              <w:pStyle w:val="66"/>
              <w:spacing w:before="1"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2965" w:type="dxa"/>
            <w:noWrap w:val="0"/>
            <w:vAlign w:val="center"/>
          </w:tcPr>
          <w:p>
            <w:pPr>
              <w:pStyle w:val="66"/>
              <w:spacing w:before="1"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无工业地块单价最高限价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5" w:type="dxa"/>
            <w:noWrap w:val="0"/>
            <w:vAlign w:val="center"/>
          </w:tcPr>
          <w:p>
            <w:pPr>
              <w:pStyle w:val="66"/>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w w:val="99"/>
                <w:sz w:val="24"/>
                <w:szCs w:val="24"/>
                <w:highlight w:val="none"/>
              </w:rPr>
              <w:t>1</w:t>
            </w:r>
          </w:p>
        </w:tc>
        <w:tc>
          <w:tcPr>
            <w:tcW w:w="3957" w:type="dxa"/>
            <w:noWrap w:val="0"/>
            <w:vAlign w:val="center"/>
          </w:tcPr>
          <w:p>
            <w:pPr>
              <w:pStyle w:val="66"/>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 亩</w:t>
            </w:r>
          </w:p>
        </w:tc>
        <w:tc>
          <w:tcPr>
            <w:tcW w:w="1545" w:type="dxa"/>
            <w:noWrap w:val="0"/>
            <w:vAlign w:val="center"/>
          </w:tcPr>
          <w:p>
            <w:pPr>
              <w:pStyle w:val="66"/>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万</w:t>
            </w:r>
            <w:r>
              <w:rPr>
                <w:rFonts w:hint="eastAsia" w:ascii="宋体" w:hAnsi="宋体" w:eastAsia="宋体" w:cs="宋体"/>
                <w:color w:val="auto"/>
                <w:sz w:val="24"/>
                <w:szCs w:val="24"/>
                <w:highlight w:val="none"/>
              </w:rPr>
              <w:t>元/地块</w:t>
            </w:r>
          </w:p>
        </w:tc>
        <w:tc>
          <w:tcPr>
            <w:tcW w:w="2965" w:type="dxa"/>
            <w:noWrap w:val="0"/>
            <w:vAlign w:val="center"/>
          </w:tcPr>
          <w:p>
            <w:pPr>
              <w:pStyle w:val="66"/>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5" w:type="dxa"/>
            <w:noWrap w:val="0"/>
            <w:vAlign w:val="center"/>
          </w:tcPr>
          <w:p>
            <w:pPr>
              <w:pStyle w:val="66"/>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w w:val="99"/>
                <w:sz w:val="24"/>
                <w:szCs w:val="24"/>
                <w:highlight w:val="none"/>
              </w:rPr>
              <w:t>2</w:t>
            </w:r>
          </w:p>
        </w:tc>
        <w:tc>
          <w:tcPr>
            <w:tcW w:w="3957" w:type="dxa"/>
            <w:noWrap w:val="0"/>
            <w:vAlign w:val="center"/>
          </w:tcPr>
          <w:p>
            <w:pPr>
              <w:pStyle w:val="66"/>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 亩＜单个地块面积≤20 亩</w:t>
            </w:r>
          </w:p>
        </w:tc>
        <w:tc>
          <w:tcPr>
            <w:tcW w:w="1545"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万元/地块</w:t>
            </w:r>
          </w:p>
        </w:tc>
        <w:tc>
          <w:tcPr>
            <w:tcW w:w="2965" w:type="dxa"/>
            <w:noWrap w:val="0"/>
            <w:vAlign w:val="center"/>
          </w:tcPr>
          <w:p>
            <w:pPr>
              <w:pStyle w:val="66"/>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5" w:type="dxa"/>
            <w:noWrap w:val="0"/>
            <w:vAlign w:val="center"/>
          </w:tcPr>
          <w:p>
            <w:pPr>
              <w:pStyle w:val="66"/>
              <w:spacing w:before="1"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w w:val="99"/>
                <w:sz w:val="24"/>
                <w:szCs w:val="24"/>
                <w:highlight w:val="none"/>
              </w:rPr>
              <w:t>3</w:t>
            </w:r>
          </w:p>
        </w:tc>
        <w:tc>
          <w:tcPr>
            <w:tcW w:w="3957" w:type="dxa"/>
            <w:noWrap w:val="0"/>
            <w:vAlign w:val="center"/>
          </w:tcPr>
          <w:p>
            <w:pPr>
              <w:pStyle w:val="66"/>
              <w:spacing w:before="1"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 亩＜单个地块面积≤30 亩</w:t>
            </w:r>
          </w:p>
        </w:tc>
        <w:tc>
          <w:tcPr>
            <w:tcW w:w="1545" w:type="dxa"/>
            <w:noWrap w:val="0"/>
            <w:vAlign w:val="center"/>
          </w:tcPr>
          <w:p>
            <w:pPr>
              <w:spacing w:before="1"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万元/地块</w:t>
            </w:r>
          </w:p>
        </w:tc>
        <w:tc>
          <w:tcPr>
            <w:tcW w:w="2965" w:type="dxa"/>
            <w:noWrap w:val="0"/>
            <w:vAlign w:val="center"/>
          </w:tcPr>
          <w:p>
            <w:pPr>
              <w:pStyle w:val="66"/>
              <w:spacing w:before="1"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5" w:type="dxa"/>
            <w:noWrap w:val="0"/>
            <w:vAlign w:val="center"/>
          </w:tcPr>
          <w:p>
            <w:pPr>
              <w:pStyle w:val="66"/>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w w:val="99"/>
                <w:sz w:val="24"/>
                <w:szCs w:val="24"/>
                <w:highlight w:val="none"/>
              </w:rPr>
              <w:t>4</w:t>
            </w:r>
          </w:p>
        </w:tc>
        <w:tc>
          <w:tcPr>
            <w:tcW w:w="3957" w:type="dxa"/>
            <w:noWrap w:val="0"/>
            <w:vAlign w:val="center"/>
          </w:tcPr>
          <w:p>
            <w:pPr>
              <w:pStyle w:val="66"/>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0 亩＜单个地块面积≤60 亩</w:t>
            </w:r>
          </w:p>
        </w:tc>
        <w:tc>
          <w:tcPr>
            <w:tcW w:w="1545"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万元/地块</w:t>
            </w:r>
          </w:p>
        </w:tc>
        <w:tc>
          <w:tcPr>
            <w:tcW w:w="2965" w:type="dxa"/>
            <w:noWrap w:val="0"/>
            <w:vAlign w:val="center"/>
          </w:tcPr>
          <w:p>
            <w:pPr>
              <w:pStyle w:val="66"/>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5" w:type="dxa"/>
            <w:noWrap w:val="0"/>
            <w:vAlign w:val="center"/>
          </w:tcPr>
          <w:p>
            <w:pPr>
              <w:pStyle w:val="66"/>
              <w:spacing w:line="360" w:lineRule="auto"/>
              <w:jc w:val="center"/>
              <w:rPr>
                <w:rFonts w:hint="eastAsia" w:ascii="宋体" w:hAnsi="宋体" w:eastAsia="宋体" w:cs="宋体"/>
                <w:color w:val="auto"/>
                <w:w w:val="99"/>
                <w:sz w:val="24"/>
                <w:szCs w:val="24"/>
                <w:highlight w:val="none"/>
                <w:lang w:val="en-US" w:eastAsia="zh-CN"/>
              </w:rPr>
            </w:pPr>
            <w:r>
              <w:rPr>
                <w:rFonts w:hint="eastAsia" w:ascii="宋体" w:hAnsi="宋体" w:eastAsia="宋体" w:cs="宋体"/>
                <w:color w:val="auto"/>
                <w:w w:val="99"/>
                <w:sz w:val="24"/>
                <w:szCs w:val="24"/>
                <w:highlight w:val="none"/>
                <w:lang w:val="en-US" w:eastAsia="zh-CN"/>
              </w:rPr>
              <w:t>5</w:t>
            </w:r>
          </w:p>
        </w:tc>
        <w:tc>
          <w:tcPr>
            <w:tcW w:w="3957" w:type="dxa"/>
            <w:noWrap w:val="0"/>
            <w:vAlign w:val="center"/>
          </w:tcPr>
          <w:p>
            <w:pPr>
              <w:pStyle w:val="66"/>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单个地块面积＞90 亩</w:t>
            </w:r>
          </w:p>
        </w:tc>
        <w:tc>
          <w:tcPr>
            <w:tcW w:w="1545"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万元/地块</w:t>
            </w:r>
          </w:p>
        </w:tc>
        <w:tc>
          <w:tcPr>
            <w:tcW w:w="2965" w:type="dxa"/>
            <w:noWrap w:val="0"/>
            <w:vAlign w:val="center"/>
          </w:tcPr>
          <w:p>
            <w:pPr>
              <w:pStyle w:val="66"/>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r>
    </w:tbl>
    <w:p>
      <w:pPr>
        <w:pStyle w:val="10"/>
        <w:keepNext w:val="0"/>
        <w:keepLines w:val="0"/>
        <w:pageBreakBefore w:val="0"/>
        <w:widowControl w:val="0"/>
        <w:kinsoku/>
        <w:wordWrap/>
        <w:overflowPunct/>
        <w:topLinePunct w:val="0"/>
        <w:autoSpaceDE/>
        <w:autoSpaceDN/>
        <w:bidi w:val="0"/>
        <w:adjustRightInd/>
        <w:snapToGrid/>
        <w:spacing w:before="85" w:line="360" w:lineRule="auto"/>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注：1、本项目分两个标项，地块数量最终以实际发生量为准。</w:t>
      </w:r>
    </w:p>
    <w:p>
      <w:pPr>
        <w:pStyle w:val="10"/>
        <w:keepNext w:val="0"/>
        <w:keepLines w:val="0"/>
        <w:pageBreakBefore w:val="0"/>
        <w:widowControl w:val="0"/>
        <w:kinsoku/>
        <w:wordWrap/>
        <w:overflowPunct/>
        <w:topLinePunct w:val="0"/>
        <w:autoSpaceDE/>
        <w:autoSpaceDN/>
        <w:bidi w:val="0"/>
        <w:adjustRightInd/>
        <w:snapToGrid/>
        <w:spacing w:before="85" w:line="360" w:lineRule="auto"/>
        <w:ind w:firstLine="420" w:firstLineChars="200"/>
        <w:textAlignment w:val="auto"/>
        <w:rPr>
          <w:rFonts w:hint="eastAsia" w:eastAsia="宋体"/>
          <w:b/>
          <w:bCs w:val="0"/>
          <w:color w:val="auto"/>
          <w:sz w:val="21"/>
          <w:szCs w:val="21"/>
          <w:highlight w:val="none"/>
          <w:lang w:eastAsia="zh-CN"/>
        </w:rPr>
      </w:pP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本项目</w:t>
      </w:r>
      <w:r>
        <w:rPr>
          <w:rFonts w:hint="eastAsia" w:ascii="宋体" w:hAnsi="宋体" w:cs="宋体"/>
          <w:color w:val="auto"/>
          <w:sz w:val="21"/>
          <w:szCs w:val="21"/>
          <w:highlight w:val="none"/>
          <w:lang w:val="en-US" w:eastAsia="zh-CN"/>
        </w:rPr>
        <w:t>(2个标项）</w:t>
      </w:r>
      <w:r>
        <w:rPr>
          <w:rFonts w:hint="eastAsia" w:ascii="宋体" w:hAnsi="宋体" w:cs="宋体"/>
          <w:color w:val="auto"/>
          <w:sz w:val="21"/>
          <w:szCs w:val="21"/>
          <w:highlight w:val="none"/>
        </w:rPr>
        <w:t>总预算价为100万元，服务期限为两年。以服务价格总量或者服务期限其中之一先到</w:t>
      </w:r>
      <w:r>
        <w:rPr>
          <w:rFonts w:hint="eastAsia" w:ascii="宋体" w:hAnsi="宋体" w:cs="宋体"/>
          <w:color w:val="auto"/>
          <w:sz w:val="21"/>
          <w:szCs w:val="21"/>
          <w:highlight w:val="none"/>
          <w:lang w:eastAsia="zh-CN"/>
        </w:rPr>
        <w:t>终</w:t>
      </w:r>
      <w:r>
        <w:rPr>
          <w:rFonts w:hint="eastAsia" w:ascii="宋体" w:hAnsi="宋体" w:cs="宋体"/>
          <w:color w:val="auto"/>
          <w:sz w:val="21"/>
          <w:szCs w:val="21"/>
          <w:highlight w:val="none"/>
        </w:rPr>
        <w:t>止合同。</w:t>
      </w:r>
    </w:p>
    <w:p>
      <w:pPr>
        <w:pStyle w:val="10"/>
        <w:keepNext w:val="0"/>
        <w:keepLines w:val="0"/>
        <w:pageBreakBefore w:val="0"/>
        <w:widowControl w:val="0"/>
        <w:numPr>
          <w:ilvl w:val="0"/>
          <w:numId w:val="0"/>
        </w:numPr>
        <w:kinsoku/>
        <w:wordWrap/>
        <w:overflowPunct/>
        <w:topLinePunct w:val="0"/>
        <w:autoSpaceDE/>
        <w:autoSpaceDN/>
        <w:bidi w:val="0"/>
        <w:adjustRightInd/>
        <w:snapToGrid/>
        <w:spacing w:before="85" w:line="360" w:lineRule="auto"/>
        <w:ind w:firstLine="420" w:firstLineChars="200"/>
        <w:textAlignment w:val="auto"/>
        <w:rPr>
          <w:rFonts w:hint="eastAsia" w:eastAsia="宋体"/>
          <w:b/>
          <w:bCs w:val="0"/>
          <w:color w:val="auto"/>
          <w:sz w:val="21"/>
          <w:szCs w:val="21"/>
          <w:highlight w:val="none"/>
          <w:lang w:eastAsia="zh-CN"/>
        </w:rPr>
      </w:pP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最终</w:t>
      </w:r>
      <w:r>
        <w:rPr>
          <w:rFonts w:hint="eastAsia" w:ascii="宋体" w:hAnsi="宋体" w:cs="宋体"/>
          <w:color w:val="auto"/>
          <w:sz w:val="21"/>
          <w:szCs w:val="21"/>
          <w:highlight w:val="none"/>
          <w:lang w:eastAsia="zh-CN"/>
        </w:rPr>
        <w:t>价格</w:t>
      </w:r>
      <w:r>
        <w:rPr>
          <w:rFonts w:hint="eastAsia" w:ascii="宋体" w:hAnsi="宋体" w:cs="宋体"/>
          <w:color w:val="auto"/>
          <w:sz w:val="21"/>
          <w:szCs w:val="21"/>
          <w:highlight w:val="none"/>
        </w:rPr>
        <w:t>=预算价*折扣率，本项目按折扣率报价。</w:t>
      </w:r>
      <w:r>
        <w:rPr>
          <w:rFonts w:hint="eastAsia" w:ascii="宋体" w:hAnsi="宋体" w:cs="宋体"/>
          <w:color w:val="auto"/>
          <w:sz w:val="21"/>
          <w:szCs w:val="21"/>
          <w:highlight w:val="none"/>
          <w:lang w:eastAsia="zh-CN"/>
        </w:rPr>
        <w:t>（最终价格</w:t>
      </w:r>
      <w:r>
        <w:rPr>
          <w:rFonts w:hint="eastAsia" w:ascii="宋体" w:hAnsi="宋体" w:cs="宋体"/>
          <w:color w:val="auto"/>
          <w:sz w:val="21"/>
          <w:szCs w:val="21"/>
          <w:highlight w:val="none"/>
        </w:rPr>
        <w:t>包括两年服务期限内为完成所有包含土壤环境调查评估各环节所需的全部费用，包括人工费、差旅费、交通费、快速检测费、会议费、专家费、材料费、管理费、利润、税金、招标代理费及不可预见费用（如突击工作费，人工增加费，设施维护费及其它等）等一切费用</w:t>
      </w:r>
      <w:r>
        <w:rPr>
          <w:rFonts w:hint="eastAsia" w:ascii="宋体" w:hAnsi="宋体" w:cs="宋体"/>
          <w:color w:val="auto"/>
          <w:sz w:val="21"/>
          <w:szCs w:val="21"/>
          <w:highlight w:val="none"/>
          <w:lang w:eastAsia="zh-CN"/>
        </w:rPr>
        <w:t>。）</w:t>
      </w:r>
    </w:p>
    <w:p>
      <w:pPr>
        <w:pStyle w:val="10"/>
        <w:keepNext w:val="0"/>
        <w:keepLines w:val="0"/>
        <w:pageBreakBefore w:val="0"/>
        <w:widowControl w:val="0"/>
        <w:numPr>
          <w:ilvl w:val="0"/>
          <w:numId w:val="0"/>
        </w:numPr>
        <w:kinsoku/>
        <w:wordWrap/>
        <w:overflowPunct/>
        <w:topLinePunct w:val="0"/>
        <w:autoSpaceDE/>
        <w:autoSpaceDN/>
        <w:bidi w:val="0"/>
        <w:adjustRightInd/>
        <w:snapToGrid/>
        <w:spacing w:before="85"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本次招标均为无工业地块，若涉及有工业企业地块，后期另行单独招标。</w:t>
      </w:r>
    </w:p>
    <w:p>
      <w:pPr>
        <w:pStyle w:val="10"/>
        <w:keepNext w:val="0"/>
        <w:keepLines w:val="0"/>
        <w:pageBreakBefore w:val="0"/>
        <w:widowControl w:val="0"/>
        <w:numPr>
          <w:ilvl w:val="0"/>
          <w:numId w:val="0"/>
        </w:numPr>
        <w:kinsoku/>
        <w:wordWrap/>
        <w:overflowPunct/>
        <w:topLinePunct w:val="0"/>
        <w:autoSpaceDE/>
        <w:autoSpaceDN/>
        <w:bidi w:val="0"/>
        <w:adjustRightInd/>
        <w:snapToGrid/>
        <w:spacing w:before="85"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本项目的二个标项，供应商可兼投不可兼中。</w:t>
      </w:r>
    </w:p>
    <w:bookmarkEnd w:id="115"/>
    <w:bookmarkEnd w:id="116"/>
    <w:p>
      <w:pPr>
        <w:pStyle w:val="58"/>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中标人必须严格遵守国家法律、法规，严格按照国家标准、技术规范开展审核工作，保证和维护审核工作的科学性、公正性、诚实性、保密性，确保高质量地完成审核任务。</w:t>
      </w:r>
    </w:p>
    <w:p>
      <w:pPr>
        <w:pStyle w:val="5"/>
        <w:keepLines w:val="0"/>
        <w:spacing w:before="0" w:after="0" w:line="400" w:lineRule="exact"/>
        <w:jc w:val="left"/>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二、项目技术人员等配备要求</w:t>
      </w:r>
    </w:p>
    <w:p>
      <w:pPr>
        <w:keepNext w:val="0"/>
        <w:keepLines w:val="0"/>
        <w:pageBreakBefore w:val="0"/>
        <w:tabs>
          <w:tab w:val="left" w:pos="1260"/>
        </w:tabs>
        <w:kinsoku/>
        <w:wordWrap/>
        <w:overflowPunct/>
        <w:topLinePunct w:val="0"/>
        <w:autoSpaceDE/>
        <w:autoSpaceDN/>
        <w:bidi w:val="0"/>
        <w:spacing w:line="440" w:lineRule="exact"/>
        <w:ind w:firstLine="420" w:firstLineChars="200"/>
        <w:jc w:val="left"/>
        <w:textAlignment w:val="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1"/>
          <w:szCs w:val="21"/>
          <w:highlight w:val="none"/>
          <w:lang w:val="en-US" w:eastAsia="zh-CN"/>
        </w:rPr>
        <w:t>从事技术评估服务工作的技术人员需熟悉土壤法、建设用地土壤和地下水污染状况调查风险评估、风险管控及修复效果评估报告评审指南等的相关法律法规及要求，项目组至少应有1名项目负责人，2名项目组成员。</w:t>
      </w:r>
    </w:p>
    <w:p>
      <w:pPr>
        <w:pStyle w:val="5"/>
        <w:keepLines w:val="0"/>
        <w:spacing w:before="0" w:after="0" w:line="400" w:lineRule="exact"/>
        <w:jc w:val="left"/>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三、资料档案及保密要求</w:t>
      </w:r>
    </w:p>
    <w:p>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1、中标人应当对全部作业情况建立完整的电子档案资料，在项目完成，并经采购人验收合格后10个工作日内全部移交给采购人。</w:t>
      </w:r>
    </w:p>
    <w:p>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2、与本项目有关的资料及数据中涉及国家保密的内容，均要求按照《国家保密法》及相关法律法规执行。</w:t>
      </w:r>
    </w:p>
    <w:p>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3、中标人应遵守相关保密法律、法规，确保采购人及项目建设方和排污单位方的信息安全。</w:t>
      </w:r>
    </w:p>
    <w:p>
      <w:pPr>
        <w:pStyle w:val="5"/>
        <w:keepLines w:val="0"/>
        <w:spacing w:before="0" w:after="0" w:line="400" w:lineRule="exact"/>
        <w:jc w:val="left"/>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四、服务考核</w:t>
      </w:r>
    </w:p>
    <w:p>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val="en-US" w:eastAsia="zh-CN"/>
        </w:rPr>
        <w:t>采购单位将依据相关法律法规不定期对合同的履约情况进行检查，发现弄虚作假，达不到国家、行业有关标准和技术文件规定的，一经查实，采购人将视情况扣除相应的合同金额或终止合同。给采购人造成损失的，中标人须承担赔偿责任。</w:t>
      </w:r>
    </w:p>
    <w:p>
      <w:pPr>
        <w:rPr>
          <w:rFonts w:hint="eastAsia"/>
          <w:color w:val="auto"/>
          <w:sz w:val="21"/>
          <w:szCs w:val="21"/>
          <w:highlight w:val="none"/>
          <w:lang w:val="en-US" w:eastAsia="zh-CN"/>
        </w:rPr>
      </w:pPr>
    </w:p>
    <w:p>
      <w:pPr>
        <w:pStyle w:val="5"/>
        <w:keepLines w:val="0"/>
        <w:spacing w:before="0" w:after="0" w:line="400" w:lineRule="exact"/>
        <w:jc w:val="left"/>
        <w:rPr>
          <w:rFonts w:hint="eastAsia" w:ascii="宋体" w:hAnsi="宋体" w:eastAsia="宋体" w:cs="宋体"/>
          <w:b/>
          <w:bCs/>
          <w:color w:val="auto"/>
          <w:kern w:val="0"/>
          <w:sz w:val="24"/>
          <w:szCs w:val="24"/>
          <w:highlight w:val="none"/>
          <w:lang w:val="en-US" w:eastAsia="zh-CN" w:bidi="ar"/>
        </w:rPr>
      </w:pPr>
      <w:bookmarkStart w:id="126" w:name="_Toc30659"/>
      <w:bookmarkStart w:id="127" w:name="_Toc24507"/>
      <w:r>
        <w:rPr>
          <w:rFonts w:hint="eastAsia" w:ascii="宋体" w:hAnsi="宋体" w:eastAsia="宋体" w:cs="宋体"/>
          <w:b/>
          <w:bCs/>
          <w:color w:val="auto"/>
          <w:kern w:val="0"/>
          <w:sz w:val="24"/>
          <w:szCs w:val="24"/>
          <w:highlight w:val="none"/>
          <w:lang w:val="en-US" w:eastAsia="zh-CN" w:bidi="ar"/>
        </w:rPr>
        <w:t>五、商务要求表</w:t>
      </w:r>
      <w:bookmarkEnd w:id="126"/>
      <w:bookmarkEnd w:id="127"/>
    </w:p>
    <w:tbl>
      <w:tblPr>
        <w:tblStyle w:val="30"/>
        <w:tblW w:w="908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1"/>
        <w:gridCol w:w="71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1981" w:type="dxa"/>
            <w:noWrap w:val="0"/>
            <w:vAlign w:val="center"/>
          </w:tcPr>
          <w:p>
            <w:pPr>
              <w:pStyle w:val="66"/>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▲服务期限</w:t>
            </w:r>
          </w:p>
        </w:tc>
        <w:tc>
          <w:tcPr>
            <w:tcW w:w="7103" w:type="dxa"/>
            <w:noWrap w:val="0"/>
            <w:vAlign w:val="top"/>
          </w:tcPr>
          <w:p>
            <w:pPr>
              <w:pStyle w:val="66"/>
              <w:spacing w:line="360" w:lineRule="auto"/>
              <w:ind w:left="10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1981" w:type="dxa"/>
            <w:noWrap w:val="0"/>
            <w:vAlign w:val="center"/>
          </w:tcPr>
          <w:p>
            <w:pPr>
              <w:pStyle w:val="66"/>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服务地点</w:t>
            </w:r>
          </w:p>
        </w:tc>
        <w:tc>
          <w:tcPr>
            <w:tcW w:w="7103" w:type="dxa"/>
            <w:noWrap w:val="0"/>
            <w:vAlign w:val="top"/>
          </w:tcPr>
          <w:p>
            <w:pPr>
              <w:pStyle w:val="66"/>
              <w:spacing w:before="109" w:line="360" w:lineRule="auto"/>
              <w:ind w:left="10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采购人指定的各标项区域范围。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1981" w:type="dxa"/>
            <w:noWrap w:val="0"/>
            <w:vAlign w:val="center"/>
          </w:tcPr>
          <w:p>
            <w:pPr>
              <w:pStyle w:val="66"/>
              <w:spacing w:before="1" w:line="360" w:lineRule="auto"/>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响应要求</w:t>
            </w:r>
          </w:p>
        </w:tc>
        <w:tc>
          <w:tcPr>
            <w:tcW w:w="7103" w:type="dxa"/>
            <w:noWrap w:val="0"/>
            <w:vAlign w:val="top"/>
          </w:tcPr>
          <w:p>
            <w:pPr>
              <w:pStyle w:val="66"/>
              <w:spacing w:before="108" w:line="360" w:lineRule="auto"/>
              <w:ind w:left="108"/>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成交供应商在取得地块规划红线图一个月内出具评估报告，并取得环保部门的土壤鉴定合格的证明文件。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1981" w:type="dxa"/>
            <w:noWrap w:val="0"/>
            <w:vAlign w:val="center"/>
          </w:tcPr>
          <w:p>
            <w:pPr>
              <w:pStyle w:val="66"/>
              <w:spacing w:before="1" w:line="360" w:lineRule="auto"/>
              <w:ind w:left="112"/>
              <w:jc w:val="center"/>
              <w:rPr>
                <w:rFonts w:hint="eastAsia" w:ascii="宋体" w:hAnsi="宋体" w:eastAsia="宋体" w:cs="宋体"/>
                <w:b/>
                <w:color w:val="auto"/>
                <w:sz w:val="21"/>
                <w:szCs w:val="21"/>
                <w:highlight w:val="none"/>
              </w:rPr>
            </w:pPr>
          </w:p>
          <w:p>
            <w:pPr>
              <w:pStyle w:val="66"/>
              <w:spacing w:before="1"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▲付款条件及方式</w:t>
            </w:r>
          </w:p>
        </w:tc>
        <w:tc>
          <w:tcPr>
            <w:tcW w:w="7103" w:type="dxa"/>
            <w:noWrap w:val="0"/>
            <w:vAlign w:val="top"/>
          </w:tcPr>
          <w:p>
            <w:pPr>
              <w:pStyle w:val="66"/>
              <w:spacing w:before="108" w:line="360" w:lineRule="auto"/>
              <w:ind w:left="10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在完成采购人指定的单个地块的土壤环境初步调查，并提交报告后一次性支付</w:t>
            </w:r>
            <w:r>
              <w:rPr>
                <w:rFonts w:hint="eastAsia" w:ascii="宋体" w:hAnsi="宋体" w:eastAsia="宋体" w:cs="宋体"/>
                <w:color w:val="auto"/>
                <w:sz w:val="21"/>
                <w:szCs w:val="21"/>
                <w:highlight w:val="none"/>
                <w:lang w:eastAsia="zh-CN"/>
              </w:rPr>
              <w:t>该</w:t>
            </w:r>
            <w:r>
              <w:rPr>
                <w:rFonts w:hint="eastAsia" w:ascii="宋体" w:hAnsi="宋体" w:eastAsia="宋体" w:cs="宋体"/>
                <w:color w:val="auto"/>
                <w:sz w:val="21"/>
                <w:szCs w:val="21"/>
                <w:highlight w:val="none"/>
              </w:rPr>
              <w:t>地块</w:t>
            </w:r>
            <w:r>
              <w:rPr>
                <w:rFonts w:hint="eastAsia" w:ascii="宋体" w:hAnsi="宋体" w:eastAsia="宋体" w:cs="宋体"/>
                <w:color w:val="auto"/>
                <w:sz w:val="21"/>
                <w:szCs w:val="21"/>
                <w:highlight w:val="none"/>
                <w:lang w:eastAsia="zh-CN"/>
              </w:rPr>
              <w:t>费用。</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单个地块结算费用以供应商折扣率结算）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1981" w:type="dxa"/>
            <w:noWrap w:val="0"/>
            <w:vAlign w:val="center"/>
          </w:tcPr>
          <w:p>
            <w:pPr>
              <w:pStyle w:val="66"/>
              <w:spacing w:before="1" w:line="360" w:lineRule="auto"/>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报价要求</w:t>
            </w:r>
          </w:p>
        </w:tc>
        <w:tc>
          <w:tcPr>
            <w:tcW w:w="7103" w:type="dxa"/>
            <w:noWrap w:val="0"/>
            <w:vAlign w:val="center"/>
          </w:tcPr>
          <w:p>
            <w:pPr>
              <w:spacing w:line="360" w:lineRule="auto"/>
              <w:jc w:val="both"/>
              <w:rPr>
                <w:rFonts w:hint="eastAsia" w:ascii="宋体" w:hAnsi="宋体" w:cs="宋体"/>
                <w:color w:val="auto"/>
                <w:sz w:val="21"/>
                <w:szCs w:val="21"/>
                <w:highlight w:val="none"/>
              </w:rPr>
            </w:pPr>
            <w:r>
              <w:rPr>
                <w:rFonts w:hint="eastAsia" w:ascii="宋体" w:hAnsi="宋体" w:cs="宋体"/>
                <w:color w:val="auto"/>
                <w:sz w:val="21"/>
                <w:szCs w:val="21"/>
                <w:highlight w:val="none"/>
              </w:rPr>
              <w:t>本项目按折扣率报价。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1981" w:type="dxa"/>
            <w:noWrap w:val="0"/>
            <w:vAlign w:val="center"/>
          </w:tcPr>
          <w:p>
            <w:pPr>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安全责任</w:t>
            </w:r>
          </w:p>
        </w:tc>
        <w:tc>
          <w:tcPr>
            <w:tcW w:w="7103" w:type="dxa"/>
            <w:noWrap w:val="0"/>
            <w:vAlign w:val="center"/>
          </w:tcPr>
          <w:p>
            <w:pPr>
              <w:spacing w:line="36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中标供应商应自行承担项目实施过程</w:t>
            </w:r>
            <w:r>
              <w:rPr>
                <w:rFonts w:hint="eastAsia" w:ascii="宋体" w:hAnsi="宋体" w:cs="宋体"/>
                <w:color w:val="auto"/>
                <w:kern w:val="2"/>
                <w:sz w:val="21"/>
                <w:szCs w:val="21"/>
                <w:highlight w:val="none"/>
                <w:lang w:val="en-US" w:eastAsia="zh-CN" w:bidi="ar-SA"/>
              </w:rPr>
              <w:t>中的</w:t>
            </w:r>
            <w:r>
              <w:rPr>
                <w:rFonts w:hint="eastAsia" w:ascii="宋体" w:hAnsi="宋体" w:eastAsia="宋体" w:cs="宋体"/>
                <w:color w:val="auto"/>
                <w:kern w:val="2"/>
                <w:sz w:val="21"/>
                <w:szCs w:val="21"/>
                <w:highlight w:val="none"/>
                <w:lang w:val="en-US" w:eastAsia="zh-CN" w:bidi="ar-SA"/>
              </w:rPr>
              <w:t>安全责任，采购人及使用单位在任何情况下均不承担因此产生的任何法律责任和经济责任。</w:t>
            </w:r>
          </w:p>
        </w:tc>
      </w:tr>
    </w:tbl>
    <w:p>
      <w:pP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lang w:eastAsia="zh-CN" w:bidi="ar"/>
        </w:rPr>
        <w:t>六</w:t>
      </w:r>
      <w:r>
        <w:rPr>
          <w:rFonts w:hint="eastAsia" w:ascii="宋体" w:hAnsi="宋体" w:cs="宋体"/>
          <w:b/>
          <w:bCs/>
          <w:color w:val="auto"/>
          <w:kern w:val="0"/>
          <w:sz w:val="24"/>
          <w:szCs w:val="24"/>
          <w:highlight w:val="none"/>
          <w:lang w:bidi="ar"/>
        </w:rPr>
        <w:t>、</w:t>
      </w:r>
      <w:bookmarkEnd w:id="117"/>
      <w:r>
        <w:rPr>
          <w:rFonts w:hint="eastAsia" w:ascii="宋体" w:hAnsi="宋体" w:cs="宋体"/>
          <w:b/>
          <w:bCs/>
          <w:color w:val="auto"/>
          <w:kern w:val="0"/>
          <w:sz w:val="24"/>
          <w:szCs w:val="24"/>
          <w:highlight w:val="none"/>
          <w:lang w:bidi="ar"/>
        </w:rPr>
        <w:t>注意</w:t>
      </w:r>
      <w:r>
        <w:rPr>
          <w:rFonts w:hint="eastAsia" w:ascii="宋体" w:hAnsi="宋体" w:cs="宋体"/>
          <w:b/>
          <w:bCs/>
          <w:color w:val="auto"/>
          <w:kern w:val="0"/>
          <w:sz w:val="24"/>
          <w:szCs w:val="24"/>
          <w:highlight w:val="none"/>
        </w:rPr>
        <w:t xml:space="preserve"> </w:t>
      </w:r>
    </w:p>
    <w:bookmarkEnd w:id="118"/>
    <w:bookmarkEnd w:id="119"/>
    <w:bookmarkEnd w:id="120"/>
    <w:bookmarkEnd w:id="121"/>
    <w:bookmarkEnd w:id="122"/>
    <w:bookmarkEnd w:id="123"/>
    <w:bookmarkEnd w:id="124"/>
    <w:bookmarkEnd w:id="125"/>
    <w:p>
      <w:pPr>
        <w:widowControl/>
        <w:autoSpaceDE w:val="0"/>
        <w:autoSpaceDN w:val="0"/>
        <w:adjustRightInd w:val="0"/>
        <w:spacing w:line="360" w:lineRule="exact"/>
        <w:ind w:firstLine="420" w:firstLineChars="200"/>
        <w:jc w:val="left"/>
        <w:rPr>
          <w:rFonts w:hint="eastAsia" w:ascii="宋体" w:hAnsi="宋体" w:cs="宋体"/>
          <w:color w:val="auto"/>
          <w:highlight w:val="none"/>
          <w:lang w:val="zh-CN"/>
        </w:rPr>
      </w:pPr>
      <w:r>
        <w:rPr>
          <w:rFonts w:hint="eastAsia" w:ascii="宋体" w:hAnsi="宋体" w:cs="宋体"/>
          <w:color w:val="auto"/>
          <w:highlight w:val="none"/>
          <w:lang w:val="zh-CN"/>
        </w:rPr>
        <w:t>1、标“▲”条款是实质性条款，供应商必须全部响应，否则磋商响应无效。</w:t>
      </w:r>
    </w:p>
    <w:p>
      <w:pPr>
        <w:snapToGrid w:val="0"/>
        <w:spacing w:line="360" w:lineRule="auto"/>
        <w:rPr>
          <w:rStyle w:val="39"/>
          <w:rFonts w:hint="eastAsia"/>
          <w:color w:val="auto"/>
          <w:highlight w:val="none"/>
        </w:rPr>
      </w:pPr>
      <w:r>
        <w:rPr>
          <w:rFonts w:hint="eastAsia" w:ascii="宋体" w:hAnsi="宋体" w:cs="宋体"/>
          <w:color w:val="auto"/>
          <w:highlight w:val="none"/>
          <w:lang w:val="zh-CN"/>
        </w:rPr>
        <w:t>2、为了更好地实现采购目标，磋商小组可以修改竞争性磋商文件，对采购需求、合同草案作出实质性变动，并以书面形式通知所有参加磋商的供应商。供应商收到修改采购文件的通知后，可以决定是否继续参加磋商活动</w:t>
      </w:r>
      <w:bookmarkStart w:id="128" w:name="_Toc34746017"/>
      <w:bookmarkStart w:id="129" w:name="_Toc402872203"/>
      <w:r>
        <w:rPr>
          <w:rFonts w:hint="eastAsia" w:ascii="宋体" w:hAnsi="宋体" w:cs="宋体"/>
          <w:color w:val="auto"/>
          <w:highlight w:val="none"/>
          <w:lang w:val="zh-CN"/>
        </w:rPr>
        <w:t>。</w:t>
      </w:r>
    </w:p>
    <w:p>
      <w:pPr>
        <w:autoSpaceDE w:val="0"/>
        <w:autoSpaceDN w:val="0"/>
        <w:adjustRightInd w:val="0"/>
        <w:snapToGrid w:val="0"/>
        <w:spacing w:before="156" w:beforeLines="50" w:after="156" w:afterLines="50" w:line="360" w:lineRule="auto"/>
        <w:jc w:val="center"/>
        <w:textAlignment w:val="bottom"/>
        <w:rPr>
          <w:rFonts w:hint="eastAsia"/>
          <w:color w:val="auto"/>
          <w:highlight w:val="none"/>
        </w:rPr>
      </w:pPr>
      <w:r>
        <w:rPr>
          <w:rStyle w:val="39"/>
          <w:rFonts w:hint="eastAsia"/>
          <w:color w:val="auto"/>
          <w:highlight w:val="none"/>
        </w:rPr>
        <w:br w:type="page"/>
      </w:r>
      <w:r>
        <w:rPr>
          <w:rStyle w:val="39"/>
          <w:rFonts w:hint="eastAsia"/>
          <w:color w:val="auto"/>
          <w:highlight w:val="none"/>
        </w:rPr>
        <w:t>第四章  磋商原则和程序</w:t>
      </w:r>
      <w:bookmarkEnd w:id="128"/>
      <w:bookmarkEnd w:id="129"/>
    </w:p>
    <w:p>
      <w:pPr>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 xml:space="preserve">    </w:t>
      </w:r>
      <w:bookmarkStart w:id="130" w:name="_Toc6985"/>
      <w:bookmarkStart w:id="131" w:name="_Toc17438"/>
      <w:r>
        <w:rPr>
          <w:rFonts w:hint="eastAsia" w:ascii="宋体" w:hAnsi="宋体" w:cs="宋体"/>
          <w:bCs/>
          <w:color w:val="auto"/>
          <w:szCs w:val="21"/>
          <w:highlight w:val="none"/>
        </w:rPr>
        <w:t>根据《中华人民共和国政府采购法》、《政府采购竞争性磋商采购方式管理暂行办法》等要求，遵循公开、公平、公正、科学、择优原则和诚实、信誉、效率的服务原则，制定本评审办法。</w:t>
      </w:r>
      <w:bookmarkEnd w:id="130"/>
      <w:bookmarkEnd w:id="131"/>
    </w:p>
    <w:p>
      <w:pPr>
        <w:spacing w:before="156" w:beforeLines="50" w:line="360" w:lineRule="auto"/>
        <w:rPr>
          <w:rFonts w:hint="eastAsia" w:ascii="宋体" w:hAnsi="宋体" w:cs="宋体"/>
          <w:b/>
          <w:color w:val="auto"/>
          <w:szCs w:val="21"/>
          <w:highlight w:val="none"/>
        </w:rPr>
      </w:pPr>
      <w:bookmarkStart w:id="132" w:name="_Toc5294"/>
      <w:bookmarkStart w:id="133" w:name="_Toc14739"/>
      <w:bookmarkStart w:id="134" w:name="_Toc282640741"/>
      <w:bookmarkStart w:id="135" w:name="_Toc402872204"/>
      <w:r>
        <w:rPr>
          <w:rFonts w:hint="eastAsia" w:ascii="宋体" w:hAnsi="宋体" w:cs="宋体"/>
          <w:b/>
          <w:color w:val="auto"/>
          <w:szCs w:val="21"/>
          <w:highlight w:val="none"/>
        </w:rPr>
        <w:t>一、</w:t>
      </w:r>
      <w:bookmarkEnd w:id="132"/>
      <w:bookmarkEnd w:id="133"/>
      <w:bookmarkEnd w:id="134"/>
      <w:bookmarkEnd w:id="135"/>
      <w:r>
        <w:rPr>
          <w:rFonts w:hint="eastAsia" w:ascii="宋体" w:hAnsi="宋体" w:cs="宋体"/>
          <w:b/>
          <w:color w:val="auto"/>
          <w:szCs w:val="21"/>
          <w:highlight w:val="none"/>
        </w:rPr>
        <w:t>磋商准备</w:t>
      </w:r>
      <w:bookmarkStart w:id="136" w:name="_Toc282640744"/>
      <w:bookmarkStart w:id="137" w:name="_Toc10100"/>
      <w:bookmarkStart w:id="138" w:name="_Toc21671"/>
      <w:bookmarkStart w:id="139" w:name="_Toc402872205"/>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采购组织机构按照响应文件规定的时间通过“政府采购云平台”组织开启响应文件，所有供应商均应当准时在线参加。供应商如不参加磋商大会的，视同认可磋商结果，事后不得对采购相关人员、磋商过程和磋商结果提出异议，同时供应商因未在线参加磋商而导致响应文件无法按时解密等一切后果由供应商自己承担。</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若磋商供应商在规定时间内无法解密或解密失败，采购代理机构将开启磋商供应商递交的以介质存储的数据电文形式的备份响应文件，上传至政采云平台项目采购模块，以完成磋商，电子加密响应文件自动失效。</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3、所有二次报价询标流程，均在线上完成，请各供应商务必不要离开电脑太久，并留意手机短信。（请提前检查“政采云”内，关于‘项目采购’的岗位权限是否已勾选上。如有问题，请致电400-881-7190）。</w:t>
      </w:r>
    </w:p>
    <w:p>
      <w:pPr>
        <w:spacing w:before="156" w:beforeLines="50" w:line="360" w:lineRule="auto"/>
        <w:rPr>
          <w:rFonts w:hint="eastAsia" w:ascii="宋体" w:hAnsi="宋体" w:cs="宋体"/>
          <w:b/>
          <w:color w:val="auto"/>
          <w:szCs w:val="21"/>
          <w:highlight w:val="none"/>
        </w:rPr>
      </w:pPr>
      <w:r>
        <w:rPr>
          <w:rFonts w:hint="eastAsia" w:ascii="宋体" w:hAnsi="宋体" w:cs="宋体"/>
          <w:b/>
          <w:color w:val="auto"/>
          <w:szCs w:val="21"/>
          <w:highlight w:val="none"/>
        </w:rPr>
        <w:t>二、磋商小组</w:t>
      </w:r>
      <w:bookmarkEnd w:id="136"/>
      <w:bookmarkEnd w:id="137"/>
      <w:bookmarkEnd w:id="138"/>
      <w:bookmarkEnd w:id="139"/>
    </w:p>
    <w:p>
      <w:pPr>
        <w:spacing w:line="360" w:lineRule="auto"/>
        <w:ind w:firstLine="420" w:firstLineChars="200"/>
        <w:rPr>
          <w:rFonts w:hint="eastAsia" w:ascii="宋体" w:hAnsi="宋体" w:cs="宋体"/>
          <w:bCs/>
          <w:color w:val="auto"/>
          <w:szCs w:val="21"/>
          <w:highlight w:val="none"/>
        </w:rPr>
      </w:pPr>
      <w:bookmarkStart w:id="140" w:name="_Toc282640745"/>
      <w:bookmarkStart w:id="141" w:name="_Toc414960376"/>
      <w:r>
        <w:rPr>
          <w:rFonts w:hint="eastAsia" w:ascii="宋体" w:hAnsi="宋体" w:cs="宋体"/>
          <w:bCs/>
          <w:color w:val="auto"/>
          <w:szCs w:val="21"/>
          <w:highlight w:val="none"/>
        </w:rPr>
        <w:t>1、本项目磋商小组依法由3人（含）以上奇数的人员组成，磋商小组对响应文件进行审查、质疑、评估和比较。</w:t>
      </w:r>
      <w:bookmarkEnd w:id="140"/>
      <w:bookmarkEnd w:id="141"/>
    </w:p>
    <w:p>
      <w:pPr>
        <w:spacing w:line="360" w:lineRule="auto"/>
        <w:ind w:firstLine="420" w:firstLineChars="200"/>
        <w:rPr>
          <w:rFonts w:hint="eastAsia" w:ascii="宋体" w:hAnsi="宋体" w:cs="宋体"/>
          <w:bCs/>
          <w:color w:val="auto"/>
          <w:szCs w:val="21"/>
          <w:highlight w:val="none"/>
        </w:rPr>
      </w:pPr>
      <w:bookmarkStart w:id="142" w:name="_Toc414960377"/>
      <w:r>
        <w:rPr>
          <w:rFonts w:hint="eastAsia" w:ascii="宋体" w:hAnsi="宋体" w:cs="宋体"/>
          <w:bCs/>
          <w:color w:val="auto"/>
          <w:szCs w:val="21"/>
          <w:highlight w:val="none"/>
        </w:rPr>
        <w:t>2、磋商期间，供应商法人代表或授权委托人必须在线，负责解答有关事宜。</w:t>
      </w:r>
      <w:bookmarkEnd w:id="142"/>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3、磋商过程应严格保密，磋商小组及有关工作人员应严格遵守纪律，不得泄露任何磋商信息。</w:t>
      </w:r>
    </w:p>
    <w:p>
      <w:pPr>
        <w:spacing w:before="156" w:beforeLines="50" w:line="360" w:lineRule="auto"/>
        <w:rPr>
          <w:rFonts w:hint="eastAsia" w:ascii="宋体" w:hAnsi="宋体" w:cs="宋体"/>
          <w:b/>
          <w:color w:val="auto"/>
          <w:szCs w:val="21"/>
          <w:highlight w:val="none"/>
        </w:rPr>
      </w:pPr>
      <w:bookmarkStart w:id="143" w:name="_Toc20285"/>
      <w:bookmarkStart w:id="144" w:name="_Toc1211"/>
      <w:bookmarkStart w:id="145" w:name="_Toc402872206"/>
      <w:r>
        <w:rPr>
          <w:rFonts w:hint="eastAsia" w:ascii="宋体" w:hAnsi="宋体" w:cs="宋体"/>
          <w:b/>
          <w:color w:val="auto"/>
          <w:szCs w:val="21"/>
          <w:highlight w:val="none"/>
        </w:rPr>
        <w:t>三、竞争性磋商原则与方法</w:t>
      </w:r>
      <w:bookmarkEnd w:id="143"/>
      <w:bookmarkEnd w:id="144"/>
      <w:bookmarkEnd w:id="145"/>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1、磋商小组将遵循公开、公平、公正的原则，对供应商提供工程、货物或服务的价格、技术性能、工期、安装实施方案、售后服务、培训计划、公司基本情况、履约能力等进行综合分析考评。</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2、磋商小组应客观、公正</w:t>
      </w:r>
      <w:r>
        <w:rPr>
          <w:rFonts w:hint="eastAsia" w:ascii="宋体" w:hAnsi="宋体" w:cs="宋体"/>
          <w:bCs/>
          <w:color w:val="auto"/>
          <w:szCs w:val="21"/>
          <w:highlight w:val="none"/>
          <w:lang w:eastAsia="zh-CN"/>
        </w:rPr>
        <w:t>地</w:t>
      </w:r>
      <w:r>
        <w:rPr>
          <w:rFonts w:hint="eastAsia" w:ascii="宋体" w:hAnsi="宋体" w:cs="宋体"/>
          <w:bCs/>
          <w:color w:val="auto"/>
          <w:szCs w:val="21"/>
          <w:highlight w:val="none"/>
        </w:rPr>
        <w:t>对待所有供应商，对所有响应文件评价，均采用相同的程序和标准。</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3、在磋商期间，供应商不得向磋商小组成员询问磋商情况，不得进行旨在影响磋商结果的活动，否则将废除其磋商资格。</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4、在磋商过程中，磋商小组成员不得与供应商私下交换意见，在竞争性磋商工作结束后，凡与磋商情况有接触的人不得将磋商情况扩散出磋商小组成员之外。</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5、招标采购单位不向未成交供应商解释未成交原因，不退还响应文件。</w:t>
      </w:r>
    </w:p>
    <w:p>
      <w:pPr>
        <w:spacing w:before="156" w:beforeLines="50" w:line="360" w:lineRule="auto"/>
        <w:rPr>
          <w:rFonts w:hint="eastAsia" w:ascii="宋体" w:hAnsi="宋体" w:cs="宋体"/>
          <w:b/>
          <w:color w:val="auto"/>
          <w:szCs w:val="21"/>
          <w:highlight w:val="none"/>
        </w:rPr>
      </w:pPr>
      <w:bookmarkStart w:id="146" w:name="_Toc15794"/>
      <w:bookmarkStart w:id="147" w:name="_Toc282640747"/>
      <w:bookmarkStart w:id="148" w:name="_Toc32595"/>
      <w:bookmarkStart w:id="149" w:name="_Toc402872207"/>
      <w:r>
        <w:rPr>
          <w:rFonts w:hint="eastAsia" w:ascii="宋体" w:hAnsi="宋体" w:cs="宋体"/>
          <w:b/>
          <w:color w:val="auto"/>
          <w:szCs w:val="21"/>
          <w:highlight w:val="none"/>
        </w:rPr>
        <w:t>四、磋商程序</w:t>
      </w:r>
      <w:bookmarkEnd w:id="146"/>
      <w:bookmarkEnd w:id="147"/>
      <w:bookmarkEnd w:id="148"/>
      <w:bookmarkEnd w:id="149"/>
    </w:p>
    <w:p>
      <w:pPr>
        <w:spacing w:line="360" w:lineRule="auto"/>
        <w:ind w:firstLine="420" w:firstLineChars="200"/>
        <w:rPr>
          <w:rFonts w:hint="eastAsia" w:ascii="宋体" w:hAnsi="宋体" w:cs="宋体"/>
          <w:bCs/>
          <w:color w:val="auto"/>
          <w:szCs w:val="21"/>
          <w:highlight w:val="none"/>
        </w:rPr>
      </w:pPr>
      <w:bookmarkStart w:id="150" w:name="_Toc16129"/>
      <w:bookmarkStart w:id="151" w:name="_Toc282640735"/>
      <w:bookmarkStart w:id="152" w:name="_Toc402872208"/>
      <w:bookmarkStart w:id="153" w:name="_Toc30295"/>
      <w:r>
        <w:rPr>
          <w:rFonts w:hint="eastAsia" w:ascii="宋体" w:hAnsi="宋体" w:cs="宋体"/>
          <w:bCs/>
          <w:color w:val="auto"/>
          <w:szCs w:val="21"/>
          <w:highlight w:val="none"/>
        </w:rPr>
        <w:t>1、磋商会由采购代理机构主持，磋商响应截止时间后，供应商登录政采云平台，用“项目采购-开标评标”功能对电子响应文件进行在线解密，各供应商代表在收到解密通知后30分钟内自行完成“电子加密响应文件”的在线解密。</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2、响应文件解密结束，开启响应文件，采购人及采购代理机构依法对供应商的资格进行审查，资格审查结束后磋商小组对商务技术响应文件进行评审；</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3、供应商按签到的前后顺序决定磋商的顺序，就价格、服务等认为需要磋商的内容进行磋商，供应商逐家回答磋商小组的提问，响应人作出最终承诺和最终报价。</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4、在系统上公开资格和商务技术评审结果；</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5、在系统上录入最终报价情况；</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6、磋商小组对报价情况进行评审；</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7、在系统上公布评审结果。</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特别说明：政采云平台如对电子化开标及评审程序有调整的，按调整后的程序操作。</w:t>
      </w:r>
    </w:p>
    <w:p>
      <w:pPr>
        <w:spacing w:before="156" w:beforeLines="50" w:line="360" w:lineRule="auto"/>
        <w:rPr>
          <w:rFonts w:hint="eastAsia" w:ascii="宋体" w:hAnsi="宋体" w:cs="宋体"/>
          <w:b/>
          <w:color w:val="auto"/>
          <w:szCs w:val="21"/>
          <w:highlight w:val="none"/>
        </w:rPr>
      </w:pPr>
      <w:r>
        <w:rPr>
          <w:rFonts w:hint="eastAsia" w:ascii="宋体" w:hAnsi="宋体" w:cs="宋体"/>
          <w:b/>
          <w:color w:val="auto"/>
          <w:szCs w:val="21"/>
          <w:highlight w:val="none"/>
        </w:rPr>
        <w:t>五、磋商文件的澄清</w:t>
      </w:r>
      <w:bookmarkEnd w:id="150"/>
      <w:bookmarkEnd w:id="151"/>
      <w:bookmarkEnd w:id="152"/>
      <w:bookmarkEnd w:id="153"/>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1、供应商对磋商文件如有疑义的，应在规定的答疑时间内以书面形式告知采购人，以便及时对磋商文件作出澄清。</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对响应文件中含义不明确、同类问题表述不一致或者有明显文字和计算错误的内容，磋商小组应当以书面形式要求供应商作出必要的澄清、说明或者纠正。供应商应派授权代表和有关专业人员通过政采云线上或指定的电子邮箱、传真号码等书面形式提交并加盖公章，或者由法定代表人或其授权的代表签字，作出澄清、说明或者补正。但澄清或者说明不得超过响应文件的范围或者改变响应文件的实质性内容。</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3、对在澄清中涉及到的商业秘密，磋商小组成员及参加磋商的有关工作人员负有保密责任。</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4、磋商小组以书面形式对磋商文件作出的修改或补充，与磋商文件具有同等法律效力。</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5、评审中需要供应商对响应文件作出澄清、说明或者补正的，磋商小组给予供应商提交澄清、说明或补正的时间不得少于半小时，供应商已经明确表示澄清、说明或补正完毕的除外。</w:t>
      </w:r>
    </w:p>
    <w:p>
      <w:pPr>
        <w:spacing w:before="156" w:beforeLines="50" w:line="360" w:lineRule="auto"/>
        <w:rPr>
          <w:rFonts w:hint="eastAsia" w:ascii="宋体" w:hAnsi="宋体" w:cs="宋体"/>
          <w:b/>
          <w:color w:val="auto"/>
          <w:szCs w:val="21"/>
          <w:highlight w:val="none"/>
        </w:rPr>
      </w:pPr>
      <w:bookmarkStart w:id="154" w:name="_Toc16835"/>
      <w:bookmarkStart w:id="155" w:name="_Toc24587"/>
      <w:bookmarkStart w:id="156" w:name="_Toc402872209"/>
      <w:r>
        <w:rPr>
          <w:rFonts w:hint="eastAsia" w:ascii="宋体" w:hAnsi="宋体" w:cs="宋体"/>
          <w:b/>
          <w:color w:val="auto"/>
          <w:szCs w:val="21"/>
          <w:highlight w:val="none"/>
        </w:rPr>
        <w:t>六、确定供应商办法</w:t>
      </w:r>
      <w:bookmarkEnd w:id="154"/>
      <w:bookmarkEnd w:id="155"/>
      <w:bookmarkEnd w:id="156"/>
    </w:p>
    <w:p>
      <w:pPr>
        <w:spacing w:line="360" w:lineRule="auto"/>
        <w:ind w:firstLine="420" w:firstLineChars="200"/>
        <w:rPr>
          <w:rFonts w:hint="eastAsia" w:ascii="宋体" w:hAnsi="宋体" w:cs="宋体"/>
          <w:bCs/>
          <w:color w:val="auto"/>
          <w:szCs w:val="21"/>
          <w:highlight w:val="none"/>
        </w:rPr>
      </w:pPr>
      <w:bookmarkStart w:id="157" w:name="_Toc402872210"/>
      <w:bookmarkStart w:id="158" w:name="_Toc282640748"/>
      <w:bookmarkStart w:id="159" w:name="_Toc389216170"/>
      <w:r>
        <w:rPr>
          <w:rFonts w:hint="eastAsia" w:ascii="宋体" w:hAnsi="宋体" w:cs="宋体"/>
          <w:bCs/>
          <w:color w:val="auto"/>
          <w:szCs w:val="21"/>
          <w:highlight w:val="none"/>
        </w:rPr>
        <w:t>本项目由采购人授权磋商小组直接确定成交供应商。</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本次评审采用综合评分法，即按照在质量和服务均能满足竞争性磋商文件实质性要求且综合得分由高到低的原则确定成交供应商。</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磋商结束后，磋商小组拟制评审报告。</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采购代理机构在评审结束后2个工作日内在相关网站上发布成交公告，同时发出成交通知书。</w:t>
      </w:r>
    </w:p>
    <w:p>
      <w:pPr>
        <w:spacing w:line="360" w:lineRule="auto"/>
        <w:ind w:firstLine="420" w:firstLineChars="200"/>
        <w:rPr>
          <w:rFonts w:hint="eastAsia" w:ascii="宋体" w:hAnsi="宋体" w:cs="宋体"/>
          <w:bCs/>
          <w:color w:val="auto"/>
          <w:szCs w:val="21"/>
          <w:highlight w:val="none"/>
        </w:rPr>
      </w:pPr>
    </w:p>
    <w:p>
      <w:pPr>
        <w:spacing w:before="156" w:beforeLines="50" w:line="360" w:lineRule="auto"/>
        <w:rPr>
          <w:rFonts w:hint="eastAsia" w:ascii="宋体" w:hAnsi="宋体" w:cs="宋体"/>
          <w:b/>
          <w:color w:val="auto"/>
          <w:szCs w:val="21"/>
          <w:highlight w:val="none"/>
        </w:rPr>
      </w:pPr>
      <w:bookmarkStart w:id="160" w:name="_Toc18677"/>
      <w:bookmarkStart w:id="161" w:name="_Toc17287"/>
      <w:r>
        <w:rPr>
          <w:rFonts w:hint="eastAsia" w:ascii="宋体" w:hAnsi="宋体" w:cs="宋体"/>
          <w:b/>
          <w:color w:val="auto"/>
          <w:szCs w:val="21"/>
          <w:highlight w:val="none"/>
        </w:rPr>
        <w:t>七、综合评分法</w:t>
      </w:r>
      <w:bookmarkEnd w:id="157"/>
      <w:bookmarkEnd w:id="158"/>
      <w:bookmarkEnd w:id="159"/>
      <w:bookmarkEnd w:id="160"/>
      <w:bookmarkEnd w:id="161"/>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为公正、公平、科学地选择成交供应商，根据《中华人民共和国政府采购法》等有关法律法规的规定，并结合本项目的实际，制定本办法。</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（一）总则</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本次评标采用综合评分法，总分为100分，其中价格分</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0分、技术资信商务分</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0分。合格供应商的评标得分为各项目汇总得分，成交候选供应商资格按评标总分由高到低顺序排列，评标总分相同的，按照最后报价由低到高的顺序推荐。评标总分且最后报价相同的，按照技术指标优劣顺序推荐。综合得分排名第一的供应商为第一成交候选供应商，综合排名第二的供应商为第二成交候选供应商，其他供应商的成交候选资格以此类推，</w:t>
      </w:r>
      <w:r>
        <w:rPr>
          <w:rFonts w:hint="eastAsia" w:ascii="宋体" w:hAnsi="宋体" w:cs="宋体"/>
          <w:bCs/>
          <w:color w:val="auto"/>
          <w:szCs w:val="21"/>
          <w:highlight w:val="none"/>
        </w:rPr>
        <w:t>评分过程中采用四舍五入法，并保留小数2位。</w:t>
      </w:r>
    </w:p>
    <w:p>
      <w:pPr>
        <w:spacing w:line="480" w:lineRule="exact"/>
        <w:ind w:firstLine="482" w:firstLineChars="200"/>
        <w:rPr>
          <w:rFonts w:hint="eastAsia"/>
          <w:color w:val="auto"/>
          <w:highlight w:val="none"/>
        </w:rPr>
      </w:pPr>
      <w:r>
        <w:rPr>
          <w:rFonts w:hint="eastAsia" w:ascii="宋体" w:hAnsi="宋体" w:eastAsia="宋体" w:cs="宋体"/>
          <w:b/>
          <w:bCs/>
          <w:color w:val="auto"/>
          <w:sz w:val="24"/>
          <w:szCs w:val="24"/>
          <w:highlight w:val="none"/>
          <w:lang w:val="en-US" w:eastAsia="zh-CN"/>
        </w:rPr>
        <w:t>注：本项目共</w:t>
      </w:r>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val="en-US" w:eastAsia="zh-CN"/>
        </w:rPr>
        <w:t>个标项，每个标项确定1家中标供应商，供应商可以自行选择参与的标项（即可以同时参与</w:t>
      </w:r>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val="en-US" w:eastAsia="zh-CN"/>
        </w:rPr>
        <w:t>个标项的投标，也可以选择其中任意标项投标），但不允许同时中标，同一供应商只能中一个标项。标项1已中标供应商不再推荐为标项2的中标供应商，但其投标文件仍然进入对应标项的评审，但不再推荐为其他标项的中标供应商。第一中标候选人放弃中标资格的, 则由采购人按该标项中标候选人排序依次选取。</w:t>
      </w:r>
    </w:p>
    <w:p>
      <w:pPr>
        <w:numPr>
          <w:ilvl w:val="0"/>
          <w:numId w:val="5"/>
        </w:num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计算方法：</w:t>
      </w:r>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1、价格分：</w:t>
      </w: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0分</w:t>
      </w:r>
      <w:r>
        <w:rPr>
          <w:rFonts w:hint="eastAsia" w:ascii="宋体" w:hAnsi="宋体" w:cs="宋体"/>
          <w:b/>
          <w:color w:val="auto"/>
          <w:highlight w:val="none"/>
        </w:rPr>
        <w:t>（各标项通用）</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价格分采用低价优先法计算，即满足采购文件要求且价格最低的磋商折扣率为磋商基准折扣率，其他供应商的价格分按照下列公式计算：</w:t>
      </w:r>
    </w:p>
    <w:p>
      <w:pPr>
        <w:widowControl/>
        <w:spacing w:line="360" w:lineRule="auto"/>
        <w:ind w:firstLine="420" w:firstLineChars="200"/>
        <w:jc w:val="center"/>
        <w:rPr>
          <w:rFonts w:hint="eastAsia" w:ascii="宋体" w:hAnsi="宋体" w:cs="宋体"/>
          <w:color w:val="auto"/>
          <w:szCs w:val="21"/>
          <w:highlight w:val="none"/>
          <w:u w:val="single"/>
        </w:rPr>
      </w:pPr>
      <w:r>
        <w:rPr>
          <w:rFonts w:hint="eastAsia" w:ascii="宋体" w:hAnsi="宋体" w:cs="宋体"/>
          <w:color w:val="auto"/>
          <w:szCs w:val="21"/>
          <w:highlight w:val="none"/>
          <w:u w:val="single"/>
        </w:rPr>
        <w:t>价格分=（磋商基准折扣率/磋商折扣率）×</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u w:val="single"/>
        </w:rPr>
        <w:t>0%×100（保留两位小数）</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以最终报价为准，报价不得超限价，否则投标无效。</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2、供应商的投标报价超过采购人给定的预算金额及最高限价的，作无效标处理。</w:t>
      </w:r>
    </w:p>
    <w:p>
      <w:pPr>
        <w:spacing w:line="360" w:lineRule="auto"/>
        <w:ind w:firstLine="422" w:firstLineChars="200"/>
        <w:rPr>
          <w:rFonts w:ascii="宋体" w:hAnsi="宋体"/>
          <w:b/>
          <w:bCs/>
          <w:color w:val="auto"/>
          <w:szCs w:val="21"/>
          <w:highlight w:val="none"/>
        </w:rPr>
      </w:pPr>
      <w:r>
        <w:rPr>
          <w:rFonts w:hint="eastAsia" w:ascii="宋体" w:hAnsi="宋体"/>
          <w:b/>
          <w:bCs/>
          <w:color w:val="auto"/>
          <w:szCs w:val="21"/>
          <w:highlight w:val="none"/>
        </w:rPr>
        <w:t>3、</w:t>
      </w:r>
      <w:r>
        <w:rPr>
          <w:rFonts w:hint="eastAsia" w:ascii="宋体" w:hAnsi="宋体"/>
          <w:b/>
          <w:bCs/>
          <w:color w:val="auto"/>
          <w:szCs w:val="21"/>
          <w:highlight w:val="none"/>
          <w:lang w:val="zh-TW" w:eastAsia="zh-TW"/>
        </w:rPr>
        <w:t>评审时评标委员会认为</w:t>
      </w:r>
      <w:r>
        <w:rPr>
          <w:rFonts w:hint="eastAsia" w:ascii="宋体" w:hAnsi="宋体"/>
          <w:b/>
          <w:bCs/>
          <w:color w:val="auto"/>
          <w:szCs w:val="21"/>
          <w:highlight w:val="none"/>
          <w:lang w:val="zh-TW"/>
        </w:rPr>
        <w:t>供应商</w:t>
      </w:r>
      <w:r>
        <w:rPr>
          <w:rFonts w:hint="eastAsia" w:ascii="宋体" w:hAnsi="宋体"/>
          <w:b/>
          <w:bCs/>
          <w:color w:val="auto"/>
          <w:szCs w:val="21"/>
          <w:highlight w:val="none"/>
          <w:lang w:val="zh-TW" w:eastAsia="zh-TW"/>
        </w:rPr>
        <w:t>的报价明显低于其他通过符合性审查</w:t>
      </w:r>
      <w:r>
        <w:rPr>
          <w:rFonts w:hint="eastAsia" w:ascii="宋体" w:hAnsi="宋体"/>
          <w:b/>
          <w:bCs/>
          <w:color w:val="auto"/>
          <w:szCs w:val="21"/>
          <w:highlight w:val="none"/>
          <w:lang w:val="zh-TW"/>
        </w:rPr>
        <w:t>供应商</w:t>
      </w:r>
      <w:r>
        <w:rPr>
          <w:rFonts w:hint="eastAsia" w:ascii="宋体" w:hAnsi="宋体"/>
          <w:b/>
          <w:bCs/>
          <w:color w:val="auto"/>
          <w:szCs w:val="21"/>
          <w:highlight w:val="none"/>
          <w:lang w:val="zh-TW" w:eastAsia="zh-TW"/>
        </w:rPr>
        <w:t>的报价，有可能影响产品质量或者不能诚信履约的，</w:t>
      </w:r>
      <w:r>
        <w:rPr>
          <w:rFonts w:hint="eastAsia" w:ascii="宋体" w:hAnsi="宋体"/>
          <w:b/>
          <w:bCs/>
          <w:color w:val="auto"/>
          <w:szCs w:val="21"/>
          <w:highlight w:val="none"/>
          <w:lang w:val="zh-TW"/>
        </w:rPr>
        <w:t>供应商</w:t>
      </w:r>
      <w:r>
        <w:rPr>
          <w:rFonts w:hint="eastAsia" w:ascii="宋体" w:hAnsi="宋体"/>
          <w:b/>
          <w:bCs/>
          <w:color w:val="auto"/>
          <w:szCs w:val="21"/>
          <w:highlight w:val="none"/>
          <w:lang w:val="zh-TW" w:eastAsia="zh-TW"/>
        </w:rPr>
        <w:t>在评标现场合理的时间内提供书面说明，必要时提交相关证明材料；</w:t>
      </w:r>
      <w:r>
        <w:rPr>
          <w:rFonts w:hint="eastAsia" w:ascii="宋体" w:hAnsi="宋体"/>
          <w:b/>
          <w:bCs/>
          <w:color w:val="auto"/>
          <w:szCs w:val="21"/>
          <w:highlight w:val="none"/>
          <w:lang w:val="zh-TW"/>
        </w:rPr>
        <w:t>供应商</w:t>
      </w:r>
      <w:r>
        <w:rPr>
          <w:rFonts w:hint="eastAsia" w:ascii="宋体" w:hAnsi="宋体"/>
          <w:b/>
          <w:bCs/>
          <w:color w:val="auto"/>
          <w:szCs w:val="21"/>
          <w:highlight w:val="none"/>
          <w:lang w:val="zh-TW" w:eastAsia="zh-TW"/>
        </w:rPr>
        <w:t>不能证明其报价合理性的，评标委员会应当将其作为无效投标处理</w:t>
      </w:r>
      <w:r>
        <w:rPr>
          <w:rFonts w:hint="eastAsia" w:ascii="宋体" w:hAnsi="宋体"/>
          <w:b/>
          <w:bCs/>
          <w:color w:val="auto"/>
          <w:szCs w:val="21"/>
          <w:highlight w:val="none"/>
        </w:rPr>
        <w:t>。</w:t>
      </w:r>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4、技术部分：</w:t>
      </w:r>
      <w:r>
        <w:rPr>
          <w:rFonts w:hint="eastAsia" w:ascii="宋体" w:hAnsi="宋体" w:cs="宋体"/>
          <w:b/>
          <w:color w:val="auto"/>
          <w:szCs w:val="21"/>
          <w:highlight w:val="none"/>
          <w:lang w:val="en-US" w:eastAsia="zh-CN"/>
        </w:rPr>
        <w:t>8</w:t>
      </w:r>
      <w:r>
        <w:rPr>
          <w:rFonts w:hint="eastAsia" w:ascii="宋体" w:hAnsi="宋体" w:cs="宋体"/>
          <w:b/>
          <w:color w:val="auto"/>
          <w:szCs w:val="21"/>
          <w:highlight w:val="none"/>
        </w:rPr>
        <w:t>0分</w:t>
      </w:r>
      <w:r>
        <w:rPr>
          <w:rFonts w:hint="eastAsia" w:ascii="宋体" w:hAnsi="宋体" w:cs="宋体"/>
          <w:b/>
          <w:color w:val="auto"/>
          <w:highlight w:val="none"/>
        </w:rPr>
        <w:t>（各标项通用）</w:t>
      </w:r>
    </w:p>
    <w:tbl>
      <w:tblPr>
        <w:tblStyle w:val="30"/>
        <w:tblW w:w="4866"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88"/>
        <w:gridCol w:w="1097"/>
        <w:gridCol w:w="1222"/>
        <w:gridCol w:w="5049"/>
        <w:gridCol w:w="12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420" w:type="pct"/>
            <w:noWrap w:val="0"/>
            <w:vAlign w:val="center"/>
          </w:tcPr>
          <w:p>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1235" w:type="pct"/>
            <w:gridSpan w:val="2"/>
            <w:noWrap w:val="0"/>
            <w:vAlign w:val="center"/>
          </w:tcPr>
          <w:p>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评审项目</w:t>
            </w:r>
          </w:p>
        </w:tc>
        <w:tc>
          <w:tcPr>
            <w:tcW w:w="2689" w:type="pct"/>
            <w:noWrap w:val="0"/>
            <w:vAlign w:val="center"/>
          </w:tcPr>
          <w:p>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评审标准</w:t>
            </w:r>
          </w:p>
        </w:tc>
        <w:tc>
          <w:tcPr>
            <w:tcW w:w="655" w:type="pct"/>
            <w:noWrap w:val="0"/>
            <w:vAlign w:val="center"/>
          </w:tcPr>
          <w:p>
            <w:pPr>
              <w:widowControl/>
              <w:spacing w:line="360" w:lineRule="auto"/>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cs="宋体"/>
                <w:b/>
                <w:bCs/>
                <w:color w:val="auto"/>
                <w:kern w:val="0"/>
                <w:sz w:val="21"/>
                <w:szCs w:val="21"/>
                <w:highlight w:val="none"/>
                <w:lang w:eastAsia="zh-CN"/>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420" w:type="pct"/>
            <w:noWrap w:val="0"/>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p>
        </w:tc>
        <w:tc>
          <w:tcPr>
            <w:tcW w:w="584" w:type="pct"/>
            <w:vMerge w:val="restart"/>
            <w:noWrap w:val="0"/>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项目总体方案46分</w:t>
            </w:r>
          </w:p>
        </w:tc>
        <w:tc>
          <w:tcPr>
            <w:tcW w:w="651" w:type="pct"/>
            <w:noWrap w:val="0"/>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项目总体要求的理解及思路</w:t>
            </w:r>
          </w:p>
        </w:tc>
        <w:tc>
          <w:tcPr>
            <w:tcW w:w="2689" w:type="pct"/>
            <w:noWrap w:val="0"/>
            <w:vAlign w:val="center"/>
          </w:tcPr>
          <w:p>
            <w:pPr>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根据供应商对土壤污染初步调查工作总体思路的把握情况综合评议。</w:t>
            </w:r>
          </w:p>
          <w:p>
            <w:pPr>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总体思路清晰，符合项目实际情况的，得10分；总体思路较清晰，基本符合项目实际情况的，得7分；有一定总体思路但不够清晰，能够有一定内容符合项目实际情况的得4分；未提供不得分。</w:t>
            </w:r>
          </w:p>
        </w:tc>
        <w:tc>
          <w:tcPr>
            <w:tcW w:w="655" w:type="pct"/>
            <w:noWrap w:val="0"/>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主观分（</w:t>
            </w:r>
            <w:r>
              <w:rPr>
                <w:rFonts w:hint="eastAsia" w:ascii="宋体" w:hAnsi="宋体" w:eastAsia="宋体" w:cs="宋体"/>
                <w:color w:val="auto"/>
                <w:sz w:val="21"/>
                <w:szCs w:val="21"/>
                <w:highlight w:val="none"/>
                <w:lang w:val="en-US" w:eastAsia="zh-CN"/>
              </w:rPr>
              <w:t>10</w:t>
            </w:r>
            <w:r>
              <w:rPr>
                <w:rFonts w:hint="eastAsia" w:ascii="宋体" w:hAnsi="宋体" w:cs="宋体"/>
                <w:color w:val="auto"/>
                <w:sz w:val="21"/>
                <w:szCs w:val="21"/>
                <w:highlight w:val="none"/>
                <w:lang w:val="en-US" w:eastAsia="zh-CN"/>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420" w:type="pct"/>
            <w:noWrap w:val="0"/>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p>
        </w:tc>
        <w:tc>
          <w:tcPr>
            <w:tcW w:w="584" w:type="pct"/>
            <w:vMerge w:val="continue"/>
            <w:noWrap w:val="0"/>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p>
        </w:tc>
        <w:tc>
          <w:tcPr>
            <w:tcW w:w="651" w:type="pct"/>
            <w:noWrap w:val="0"/>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工作总体技术方案</w:t>
            </w:r>
          </w:p>
        </w:tc>
        <w:tc>
          <w:tcPr>
            <w:tcW w:w="2689" w:type="pct"/>
            <w:noWrap w:val="0"/>
            <w:vAlign w:val="center"/>
          </w:tcPr>
          <w:p>
            <w:pPr>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针对本项目实施方案的完整性、工作流程、计划安排合理性、工作方法和工作手段综合评议。</w:t>
            </w:r>
          </w:p>
          <w:p>
            <w:pPr>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内容充实，工作计划安排合理，工作方法和手段有可操作性的，得10分；方案内容较充实，工作计划安排较合理，工作方法和手段具有一定可操作性的，基本7分；方案内容一般，工作计划安排不够合理，工作方法和手段可操作性较低的，得4分；未提供不得分。</w:t>
            </w:r>
          </w:p>
        </w:tc>
        <w:tc>
          <w:tcPr>
            <w:tcW w:w="655" w:type="pct"/>
            <w:noWrap w:val="0"/>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主观分（</w:t>
            </w:r>
            <w:r>
              <w:rPr>
                <w:rFonts w:hint="eastAsia" w:ascii="宋体" w:hAnsi="宋体" w:eastAsia="宋体" w:cs="宋体"/>
                <w:color w:val="auto"/>
                <w:sz w:val="21"/>
                <w:szCs w:val="21"/>
                <w:highlight w:val="none"/>
                <w:lang w:val="en-US" w:eastAsia="zh-CN"/>
              </w:rPr>
              <w:t>10</w:t>
            </w:r>
            <w:r>
              <w:rPr>
                <w:rFonts w:hint="eastAsia" w:ascii="宋体" w:hAnsi="宋体" w:cs="宋体"/>
                <w:color w:val="auto"/>
                <w:sz w:val="21"/>
                <w:szCs w:val="21"/>
                <w:highlight w:val="none"/>
                <w:lang w:val="en-US" w:eastAsia="zh-CN"/>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420" w:type="pct"/>
            <w:noWrap w:val="0"/>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w:t>
            </w:r>
          </w:p>
        </w:tc>
        <w:tc>
          <w:tcPr>
            <w:tcW w:w="584" w:type="pct"/>
            <w:vMerge w:val="continue"/>
            <w:noWrap w:val="0"/>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p>
        </w:tc>
        <w:tc>
          <w:tcPr>
            <w:tcW w:w="651" w:type="pct"/>
            <w:noWrap w:val="0"/>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现场布点采样方案</w:t>
            </w:r>
          </w:p>
        </w:tc>
        <w:tc>
          <w:tcPr>
            <w:tcW w:w="2689" w:type="pct"/>
            <w:noWrap w:val="0"/>
            <w:vAlign w:val="center"/>
          </w:tcPr>
          <w:p>
            <w:pPr>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综合考虑代表性和经济可行性原则，对初步调查阶段和详细调查阶段出具科学合理的布点采样实施方案、调查报告大纲内容(包括土壤点位布设位置、数量、检测因子；地下水点位布设位置、数量、检测因子；样品采集；保存运输等)是否详细、全面，具有可操作性等进行综合评议：实施方案详细、措施全面的得8分；实施方案较详细、措施较全面的得6分；实施方案有欠缺、措施不得力的得3分；未提供不得分。</w:t>
            </w:r>
          </w:p>
        </w:tc>
        <w:tc>
          <w:tcPr>
            <w:tcW w:w="655" w:type="pct"/>
            <w:noWrap w:val="0"/>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主观分（8分）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420" w:type="pct"/>
            <w:noWrap w:val="0"/>
            <w:vAlign w:val="center"/>
          </w:tcPr>
          <w:p>
            <w:pPr>
              <w:spacing w:line="36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4</w:t>
            </w:r>
          </w:p>
        </w:tc>
        <w:tc>
          <w:tcPr>
            <w:tcW w:w="584" w:type="pct"/>
            <w:vMerge w:val="continue"/>
            <w:noWrap w:val="0"/>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p>
        </w:tc>
        <w:tc>
          <w:tcPr>
            <w:tcW w:w="651" w:type="pct"/>
            <w:noWrap w:val="0"/>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调查评估方案</w:t>
            </w:r>
          </w:p>
        </w:tc>
        <w:tc>
          <w:tcPr>
            <w:tcW w:w="2689" w:type="pct"/>
            <w:noWrap w:val="0"/>
            <w:vAlign w:val="center"/>
          </w:tcPr>
          <w:p>
            <w:pPr>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根据供应商对土壤污染状况调查评估不同类型工作的熟悉程度进行综合评议，具体类型包括：土壤污染状况调查、土壤污染风险评估</w:t>
            </w:r>
            <w:r>
              <w:rPr>
                <w:rFonts w:hint="eastAsia" w:ascii="宋体" w:hAnsi="宋体" w:cs="宋体"/>
                <w:color w:val="auto"/>
                <w:szCs w:val="21"/>
                <w:highlight w:val="none"/>
                <w:lang w:val="en-US" w:eastAsia="zh-CN"/>
              </w:rPr>
              <w:t>予以3分、2分、1分</w:t>
            </w:r>
            <w:r>
              <w:rPr>
                <w:rFonts w:hint="eastAsia" w:ascii="宋体" w:hAnsi="宋体" w:eastAsia="宋体" w:cs="宋体"/>
                <w:color w:val="auto"/>
                <w:sz w:val="21"/>
                <w:szCs w:val="21"/>
                <w:highlight w:val="none"/>
                <w:lang w:val="en-US" w:eastAsia="zh-CN"/>
              </w:rPr>
              <w:t>及管控方案/修复方案、管控效果评估/修复效果评估</w:t>
            </w:r>
            <w:r>
              <w:rPr>
                <w:rFonts w:hint="eastAsia" w:ascii="宋体" w:hAnsi="宋体" w:cs="宋体"/>
                <w:color w:val="auto"/>
                <w:szCs w:val="21"/>
                <w:highlight w:val="none"/>
                <w:lang w:val="en-US" w:eastAsia="zh-CN"/>
              </w:rPr>
              <w:t>予以3分、2分、1分</w:t>
            </w:r>
            <w:r>
              <w:rPr>
                <w:rFonts w:hint="eastAsia" w:ascii="宋体" w:hAnsi="宋体" w:eastAsia="宋体" w:cs="宋体"/>
                <w:color w:val="auto"/>
                <w:sz w:val="21"/>
                <w:szCs w:val="21"/>
                <w:highlight w:val="none"/>
                <w:lang w:val="en-US" w:eastAsia="zh-CN"/>
              </w:rPr>
              <w:t>。</w:t>
            </w:r>
          </w:p>
        </w:tc>
        <w:tc>
          <w:tcPr>
            <w:tcW w:w="655" w:type="pct"/>
            <w:noWrap w:val="0"/>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主观分（6分）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420" w:type="pct"/>
            <w:noWrap w:val="0"/>
            <w:vAlign w:val="center"/>
          </w:tcPr>
          <w:p>
            <w:pPr>
              <w:spacing w:line="36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5</w:t>
            </w:r>
          </w:p>
        </w:tc>
        <w:tc>
          <w:tcPr>
            <w:tcW w:w="584" w:type="pct"/>
            <w:vMerge w:val="continue"/>
            <w:noWrap w:val="0"/>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p>
        </w:tc>
        <w:tc>
          <w:tcPr>
            <w:tcW w:w="651" w:type="pct"/>
            <w:noWrap w:val="0"/>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项目进度控制措施</w:t>
            </w:r>
          </w:p>
        </w:tc>
        <w:tc>
          <w:tcPr>
            <w:tcW w:w="2689" w:type="pct"/>
            <w:noWrap w:val="0"/>
            <w:vAlign w:val="center"/>
          </w:tcPr>
          <w:p>
            <w:pPr>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根据项目进度控制工作措施科学合理，符合土壤污染调查项目进度规定，能够提出项目开展过程中进度方面的关键点和难点以及针对上述关键点、难点提出合理化建议和相应解决措施综合评议。</w:t>
            </w:r>
          </w:p>
          <w:p>
            <w:p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满足工作进度要求、进度保证措施可行的，得6分；工作进度保证措施基本可行的，得4分；工作进度保证措施部分可行的，得2分；未提供不得分。</w:t>
            </w:r>
          </w:p>
        </w:tc>
        <w:tc>
          <w:tcPr>
            <w:tcW w:w="655" w:type="pct"/>
            <w:noWrap w:val="0"/>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主观分（6分）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420" w:type="pct"/>
            <w:noWrap w:val="0"/>
            <w:vAlign w:val="center"/>
          </w:tcPr>
          <w:p>
            <w:pPr>
              <w:spacing w:line="36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w:t>
            </w:r>
          </w:p>
        </w:tc>
        <w:tc>
          <w:tcPr>
            <w:tcW w:w="584" w:type="pct"/>
            <w:vMerge w:val="continue"/>
            <w:noWrap w:val="0"/>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p>
        </w:tc>
        <w:tc>
          <w:tcPr>
            <w:tcW w:w="651" w:type="pct"/>
            <w:noWrap w:val="0"/>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质量保证与质量控制措施</w:t>
            </w:r>
          </w:p>
        </w:tc>
        <w:tc>
          <w:tcPr>
            <w:tcW w:w="2689" w:type="pct"/>
            <w:noWrap w:val="0"/>
            <w:vAlign w:val="center"/>
          </w:tcPr>
          <w:p>
            <w:pPr>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根据质量控制工作措施科学合理，符合土壤污染调查质量保证与质量控制技术规定，能够提出质控过程中的关键点和难点以及针对上述关键点、难点提出合理化建议和相应解决措施综合评议。</w:t>
            </w:r>
          </w:p>
          <w:p>
            <w:pPr>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满足工作质量要求、质量保证措施可行的，得6分；工作质量保证措施基本可行的，得4分；工作质量保证措施部分可行的，得2分；未提供不得分。</w:t>
            </w:r>
          </w:p>
        </w:tc>
        <w:tc>
          <w:tcPr>
            <w:tcW w:w="655" w:type="pct"/>
            <w:noWrap w:val="0"/>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主观分（6分）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420" w:type="pct"/>
            <w:noWrap w:val="0"/>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w:t>
            </w:r>
          </w:p>
        </w:tc>
        <w:tc>
          <w:tcPr>
            <w:tcW w:w="1235" w:type="pct"/>
            <w:gridSpan w:val="2"/>
            <w:noWrap w:val="0"/>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相关资料收集情况</w:t>
            </w:r>
          </w:p>
        </w:tc>
        <w:tc>
          <w:tcPr>
            <w:tcW w:w="2689" w:type="pct"/>
            <w:noWrap w:val="0"/>
            <w:vAlign w:val="center"/>
          </w:tcPr>
          <w:p>
            <w:pPr>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供应商针对本项目土壤污染调查收集的相关资料全面、系统且具有针对性得8分；收集的相关资料较充足、</w:t>
            </w:r>
            <w:r>
              <w:rPr>
                <w:rFonts w:hint="eastAsia" w:ascii="宋体" w:hAnsi="宋体" w:cs="宋体"/>
                <w:color w:val="auto"/>
                <w:sz w:val="21"/>
                <w:szCs w:val="21"/>
                <w:highlight w:val="none"/>
                <w:lang w:val="en-US" w:eastAsia="zh-CN"/>
              </w:rPr>
              <w:t>具有代表性得</w:t>
            </w:r>
            <w:r>
              <w:rPr>
                <w:rFonts w:hint="eastAsia" w:ascii="宋体" w:hAnsi="宋体" w:eastAsia="宋体" w:cs="宋体"/>
                <w:color w:val="auto"/>
                <w:sz w:val="21"/>
                <w:szCs w:val="21"/>
                <w:highlight w:val="none"/>
                <w:lang w:val="en-US" w:eastAsia="zh-CN"/>
              </w:rPr>
              <w:t>6分；收集的资料有欠缺、信息较少得3分；未提供不得分。</w:t>
            </w:r>
          </w:p>
        </w:tc>
        <w:tc>
          <w:tcPr>
            <w:tcW w:w="655" w:type="pct"/>
            <w:noWrap w:val="0"/>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主观分（8分）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420" w:type="pct"/>
            <w:noWrap w:val="0"/>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w:t>
            </w:r>
          </w:p>
        </w:tc>
        <w:tc>
          <w:tcPr>
            <w:tcW w:w="1235" w:type="pct"/>
            <w:gridSpan w:val="2"/>
            <w:noWrap w:val="0"/>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合理化建议</w:t>
            </w:r>
          </w:p>
        </w:tc>
        <w:tc>
          <w:tcPr>
            <w:tcW w:w="2689" w:type="pct"/>
            <w:noWrap w:val="0"/>
            <w:vAlign w:val="center"/>
          </w:tcPr>
          <w:p>
            <w:pPr>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根据供应商依据本项目服务要求、实际需求提出的合理的、具有改进意义的建议，每条得1分，最高得3分。</w:t>
            </w:r>
          </w:p>
        </w:tc>
        <w:tc>
          <w:tcPr>
            <w:tcW w:w="655" w:type="pct"/>
            <w:noWrap w:val="0"/>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主观分（3分）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420" w:type="pct"/>
            <w:noWrap w:val="0"/>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9</w:t>
            </w:r>
          </w:p>
        </w:tc>
        <w:tc>
          <w:tcPr>
            <w:tcW w:w="1235" w:type="pct"/>
            <w:gridSpan w:val="2"/>
            <w:noWrap w:val="0"/>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项目实施人员</w:t>
            </w:r>
          </w:p>
        </w:tc>
        <w:tc>
          <w:tcPr>
            <w:tcW w:w="2689" w:type="pct"/>
            <w:noWrap w:val="0"/>
            <w:vAlign w:val="center"/>
          </w:tcPr>
          <w:p>
            <w:p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ab/>
            </w:r>
            <w:r>
              <w:rPr>
                <w:rFonts w:hint="eastAsia" w:ascii="宋体" w:hAnsi="宋体" w:eastAsia="宋体" w:cs="宋体"/>
                <w:color w:val="auto"/>
                <w:sz w:val="21"/>
                <w:szCs w:val="21"/>
                <w:highlight w:val="none"/>
                <w:lang w:val="en-US" w:eastAsia="zh-CN"/>
              </w:rPr>
              <w:t>(1)拟派项目负责人(1人)：7分</w:t>
            </w:r>
          </w:p>
          <w:p>
            <w:pPr>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A、项目负责人具有注册环评工程师或注册环保工程师资格证书，且具有高级及以上职称的，得4分；</w:t>
            </w:r>
          </w:p>
          <w:p>
            <w:pPr>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B、项目负责人自2022年1月1日以来(以合同签订时间为准)具有与本项目类似的项目承接经验的，得3分。</w:t>
            </w:r>
          </w:p>
          <w:p>
            <w:pPr>
              <w:spacing w:line="360" w:lineRule="auto"/>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注：提供项目负责人的资格证书、项目合同(合同无法体现项目负责人信息的，须</w:t>
            </w:r>
            <w:r>
              <w:rPr>
                <w:rFonts w:hint="eastAsia" w:ascii="宋体" w:hAnsi="宋体" w:cs="宋体"/>
                <w:b/>
                <w:bCs/>
                <w:color w:val="auto"/>
                <w:sz w:val="21"/>
                <w:szCs w:val="21"/>
                <w:highlight w:val="none"/>
                <w:lang w:val="en-US" w:eastAsia="zh-CN"/>
              </w:rPr>
              <w:t>另外</w:t>
            </w:r>
            <w:r>
              <w:rPr>
                <w:rFonts w:hint="eastAsia" w:ascii="宋体" w:hAnsi="宋体" w:eastAsia="宋体" w:cs="宋体"/>
                <w:b/>
                <w:bCs/>
                <w:color w:val="auto"/>
                <w:sz w:val="21"/>
                <w:szCs w:val="21"/>
                <w:highlight w:val="none"/>
                <w:lang w:val="en-US" w:eastAsia="zh-CN"/>
              </w:rPr>
              <w:t>提供甲方书面证明)清晰扫描件及供应商在磋商截止时间前三个月中任意一个月为其缴纳的社保费证明。</w:t>
            </w:r>
          </w:p>
          <w:p>
            <w:pPr>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(2)拟派团队其他成员(不含项目负责人)：7分</w:t>
            </w:r>
          </w:p>
          <w:p>
            <w:p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项目组成员(不含项目负责人)具有与本项目相关专业的高级职称的，每人得2分，最高得4分；项目组成员具有与本项目相关专业的中级职称的，每个得1分，最高得3分。本项最高得7分。</w:t>
            </w:r>
          </w:p>
          <w:p>
            <w:p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注：提供人员相关证书清晰扫描件及供应商在磋商截止时间前三个月中任意一个月为其缴纳的社保费证明。</w:t>
            </w:r>
          </w:p>
        </w:tc>
        <w:tc>
          <w:tcPr>
            <w:tcW w:w="655" w:type="pct"/>
            <w:noWrap w:val="0"/>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客观分（14分）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420" w:type="pct"/>
            <w:noWrap w:val="0"/>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w:t>
            </w:r>
          </w:p>
        </w:tc>
        <w:tc>
          <w:tcPr>
            <w:tcW w:w="1235" w:type="pct"/>
            <w:gridSpan w:val="2"/>
            <w:noWrap w:val="0"/>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售后服务方案</w:t>
            </w:r>
          </w:p>
        </w:tc>
        <w:tc>
          <w:tcPr>
            <w:tcW w:w="2689" w:type="pct"/>
            <w:noWrap w:val="0"/>
            <w:vAlign w:val="center"/>
          </w:tcPr>
          <w:p>
            <w:pPr>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根据供应商对后续服务的工作安排、实质性优惠措施及是否能快速响应采购人要求，是否能提供便捷的响应服务等进行综合评议。</w:t>
            </w:r>
          </w:p>
          <w:p>
            <w:pPr>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工作安排到位，优惠措施得力的得5分；工作安排考虑全面、有一定优惠举措的得3分；工作安排合理、优惠措施不给力的得1分；未提供不得分。</w:t>
            </w:r>
          </w:p>
          <w:p>
            <w:p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注：提供服务优惠承诺、工作安排及售后服务机构营业执照等证明。</w:t>
            </w:r>
          </w:p>
        </w:tc>
        <w:tc>
          <w:tcPr>
            <w:tcW w:w="655" w:type="pct"/>
            <w:noWrap w:val="0"/>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主观分（5分）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420" w:type="pct"/>
            <w:noWrap w:val="0"/>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w:t>
            </w:r>
          </w:p>
        </w:tc>
        <w:tc>
          <w:tcPr>
            <w:tcW w:w="1235" w:type="pct"/>
            <w:gridSpan w:val="2"/>
            <w:noWrap w:val="0"/>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同类项目业绩</w:t>
            </w:r>
          </w:p>
        </w:tc>
        <w:tc>
          <w:tcPr>
            <w:tcW w:w="2689" w:type="pct"/>
            <w:noWrap w:val="0"/>
            <w:vAlign w:val="center"/>
          </w:tcPr>
          <w:p>
            <w:pPr>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供应商自2022年1月1日以来(以合同签订日期为准)具有同类项目成功实施经验并通过环保评审的，每个得0.5分，最高得1分。</w:t>
            </w:r>
          </w:p>
          <w:p>
            <w:p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注：提供项目合同和生态环境或环保主管部门出具的评审意见清晰扫描件。</w:t>
            </w:r>
          </w:p>
        </w:tc>
        <w:tc>
          <w:tcPr>
            <w:tcW w:w="655" w:type="pct"/>
            <w:noWrap w:val="0"/>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客观分（1分）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6" w:hRule="atLeast"/>
          <w:jc w:val="center"/>
        </w:trPr>
        <w:tc>
          <w:tcPr>
            <w:tcW w:w="420" w:type="pct"/>
            <w:noWrap w:val="0"/>
            <w:vAlign w:val="center"/>
          </w:tcPr>
          <w:p>
            <w:pPr>
              <w:spacing w:line="36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r>
              <w:rPr>
                <w:rFonts w:hint="eastAsia" w:ascii="宋体" w:hAnsi="宋体" w:cs="宋体"/>
                <w:color w:val="auto"/>
                <w:kern w:val="2"/>
                <w:sz w:val="21"/>
                <w:szCs w:val="21"/>
                <w:highlight w:val="none"/>
                <w:lang w:val="en-US" w:eastAsia="zh-CN" w:bidi="ar-SA"/>
              </w:rPr>
              <w:t>2</w:t>
            </w:r>
          </w:p>
        </w:tc>
        <w:tc>
          <w:tcPr>
            <w:tcW w:w="1235" w:type="pct"/>
            <w:gridSpan w:val="2"/>
            <w:noWrap w:val="0"/>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权威认证</w:t>
            </w:r>
          </w:p>
        </w:tc>
        <w:tc>
          <w:tcPr>
            <w:tcW w:w="2689" w:type="pct"/>
            <w:noWrap w:val="0"/>
            <w:vAlign w:val="center"/>
          </w:tcPr>
          <w:p>
            <w:pPr>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供应商具有质量管理体系认证证书、环境管理体系认证证书、职业健康安全管理体系认证证书的，且认证范围中包含土壤治理等相关内容的每个得1分，最高得3分。</w:t>
            </w:r>
          </w:p>
          <w:p>
            <w:p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注：提供有效的证书清晰扫描件和国家认证认可监督管理委员会官方网站上相关证书有效的网页截图或网站打印页。</w:t>
            </w:r>
          </w:p>
        </w:tc>
        <w:tc>
          <w:tcPr>
            <w:tcW w:w="655" w:type="pct"/>
            <w:noWrap w:val="0"/>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客观分（3分）</w:t>
            </w:r>
          </w:p>
        </w:tc>
      </w:tr>
    </w:tbl>
    <w:p>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注：以上证明文件复印件均需CA签章，附在响应文件中；提供材料不真实、不完整或伪造证明材料的，后果自负。</w:t>
      </w:r>
    </w:p>
    <w:p>
      <w:pPr>
        <w:spacing w:line="360" w:lineRule="auto"/>
        <w:ind w:firstLine="420" w:firstLineChars="200"/>
        <w:rPr>
          <w:rFonts w:hint="eastAsia" w:ascii="宋体" w:hAnsi="宋体" w:cs="宋体"/>
          <w:b/>
          <w:color w:val="auto"/>
          <w:szCs w:val="21"/>
          <w:highlight w:val="none"/>
        </w:rPr>
      </w:pPr>
      <w:r>
        <w:rPr>
          <w:rFonts w:hint="eastAsia" w:ascii="宋体" w:hAnsi="宋体" w:cs="宋体"/>
          <w:bCs/>
          <w:color w:val="auto"/>
          <w:szCs w:val="21"/>
          <w:highlight w:val="none"/>
        </w:rPr>
        <w:t>（三）技术、商务分的计算</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技术、商务分按照磋商小组成员的独立评分结果汇总数算术平均分计算，计算公式为：</w:t>
      </w:r>
    </w:p>
    <w:p>
      <w:pPr>
        <w:spacing w:line="360" w:lineRule="auto"/>
        <w:ind w:firstLine="420" w:firstLineChars="200"/>
        <w:jc w:val="center"/>
        <w:rPr>
          <w:rFonts w:hint="eastAsia" w:ascii="宋体" w:hAnsi="宋体" w:cs="宋体"/>
          <w:bCs/>
          <w:color w:val="auto"/>
          <w:szCs w:val="21"/>
          <w:highlight w:val="none"/>
          <w:u w:val="single"/>
        </w:rPr>
      </w:pPr>
      <w:r>
        <w:rPr>
          <w:rFonts w:hint="eastAsia" w:ascii="宋体" w:hAnsi="宋体" w:cs="宋体"/>
          <w:bCs/>
          <w:color w:val="auto"/>
          <w:szCs w:val="21"/>
          <w:highlight w:val="none"/>
          <w:u w:val="single"/>
        </w:rPr>
        <w:t>技术、商务分=（磋商小组成员评分合计数）/（磋商小组组成人员数）</w:t>
      </w:r>
    </w:p>
    <w:p>
      <w:pPr>
        <w:spacing w:line="360" w:lineRule="auto"/>
        <w:ind w:firstLine="420" w:firstLineChars="200"/>
        <w:rPr>
          <w:rFonts w:hint="eastAsia" w:ascii="宋体" w:hAnsi="宋体" w:cs="宋体"/>
          <w:b/>
          <w:color w:val="auto"/>
          <w:szCs w:val="21"/>
          <w:highlight w:val="none"/>
        </w:rPr>
      </w:pPr>
      <w:r>
        <w:rPr>
          <w:rFonts w:hint="eastAsia" w:ascii="宋体" w:hAnsi="宋体" w:cs="宋体"/>
          <w:bCs/>
          <w:color w:val="auto"/>
          <w:szCs w:val="21"/>
          <w:highlight w:val="none"/>
        </w:rPr>
        <w:t>（四）评审方法</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磋商小组根据磋商情况及各供应商完工时间、服务条款响应情况、技术方案、提供服务的质量、付款方式、供应商综合实力、资信情况、承诺的售后服务等多方面进行评审。确定进入最终报价的供应商名单。</w:t>
      </w:r>
    </w:p>
    <w:p>
      <w:pPr>
        <w:spacing w:line="360" w:lineRule="auto"/>
        <w:ind w:firstLine="420" w:firstLineChars="200"/>
        <w:rPr>
          <w:rFonts w:hint="eastAsia" w:ascii="宋体" w:hAnsi="宋体" w:cs="宋体"/>
          <w:b/>
          <w:color w:val="auto"/>
          <w:szCs w:val="21"/>
          <w:highlight w:val="none"/>
        </w:rPr>
      </w:pPr>
      <w:r>
        <w:rPr>
          <w:rFonts w:hint="eastAsia" w:ascii="宋体" w:hAnsi="宋体" w:cs="宋体"/>
          <w:bCs/>
          <w:color w:val="auto"/>
          <w:szCs w:val="21"/>
          <w:highlight w:val="none"/>
        </w:rPr>
        <w:t>（五）推荐成交供应商</w:t>
      </w:r>
    </w:p>
    <w:p>
      <w:pPr>
        <w:spacing w:line="360" w:lineRule="auto"/>
        <w:ind w:firstLine="422" w:firstLineChars="200"/>
        <w:rPr>
          <w:rFonts w:hint="eastAsia" w:ascii="宋体" w:hAnsi="宋体" w:cs="宋体"/>
          <w:b/>
          <w:bCs/>
          <w:color w:val="auto"/>
          <w:szCs w:val="21"/>
          <w:highlight w:val="none"/>
        </w:rPr>
      </w:pPr>
      <w:bookmarkStart w:id="162" w:name="_Toc282640736"/>
      <w:bookmarkStart w:id="163" w:name="_Toc29138"/>
      <w:bookmarkStart w:id="164" w:name="_Toc14678"/>
      <w:bookmarkStart w:id="165" w:name="_Toc402872211"/>
      <w:r>
        <w:rPr>
          <w:rFonts w:hint="eastAsia" w:ascii="宋体" w:hAnsi="宋体" w:cs="宋体"/>
          <w:b/>
          <w:bCs/>
          <w:color w:val="auto"/>
          <w:szCs w:val="21"/>
          <w:highlight w:val="none"/>
        </w:rPr>
        <w:t>磋商小组推荐综合得分第一名的为成交供应商，第二名、第三名的为候补成交候选供应商……依次类推。总分相同的，按照最后报价由低到高的顺序推荐，总分且最后报价相同的，按照技术指标优劣顺序推荐</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并编写评审报告。</w:t>
      </w:r>
    </w:p>
    <w:p>
      <w:pPr>
        <w:spacing w:line="360" w:lineRule="auto"/>
        <w:ind w:left="422" w:hanging="422" w:hangingChars="200"/>
        <w:rPr>
          <w:rFonts w:hint="eastAsia" w:ascii="宋体" w:hAnsi="宋体" w:cs="宋体"/>
          <w:b/>
          <w:color w:val="auto"/>
          <w:szCs w:val="21"/>
          <w:highlight w:val="none"/>
        </w:rPr>
      </w:pPr>
      <w:r>
        <w:rPr>
          <w:rFonts w:hint="eastAsia" w:ascii="宋体" w:hAnsi="宋体" w:cs="宋体"/>
          <w:b/>
          <w:color w:val="auto"/>
          <w:szCs w:val="21"/>
          <w:highlight w:val="none"/>
        </w:rPr>
        <w:t>八、资格</w:t>
      </w:r>
      <w:bookmarkEnd w:id="162"/>
      <w:r>
        <w:rPr>
          <w:rFonts w:hint="eastAsia" w:ascii="宋体" w:hAnsi="宋体" w:cs="宋体"/>
          <w:b/>
          <w:color w:val="auto"/>
          <w:szCs w:val="21"/>
          <w:highlight w:val="none"/>
        </w:rPr>
        <w:t>审查</w:t>
      </w:r>
      <w:bookmarkEnd w:id="163"/>
      <w:bookmarkEnd w:id="164"/>
      <w:bookmarkEnd w:id="165"/>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1、磋商小组将对所选择的成交候选人是否有资格或能力圆满地履行合同做出进一步确认。</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2、如果供应商被确定为不具备履行合同的能力，磋商小组有权拒绝签发成交通知书。在该情况下，磋商小组将考虑按同样的程序审查下一位成交候选人。</w:t>
      </w:r>
    </w:p>
    <w:p>
      <w:pPr>
        <w:spacing w:line="360" w:lineRule="auto"/>
        <w:ind w:left="422" w:hanging="422" w:hangingChars="200"/>
        <w:rPr>
          <w:rFonts w:hint="eastAsia" w:ascii="宋体" w:hAnsi="宋体" w:cs="宋体"/>
          <w:b/>
          <w:color w:val="auto"/>
          <w:szCs w:val="21"/>
          <w:highlight w:val="none"/>
        </w:rPr>
      </w:pPr>
      <w:bookmarkStart w:id="166" w:name="_Toc5918"/>
      <w:bookmarkStart w:id="167" w:name="_Toc20293"/>
      <w:bookmarkStart w:id="168" w:name="_Toc402872212"/>
      <w:r>
        <w:rPr>
          <w:rFonts w:hint="eastAsia" w:ascii="宋体" w:hAnsi="宋体" w:cs="宋体"/>
          <w:b/>
          <w:color w:val="auto"/>
          <w:szCs w:val="21"/>
          <w:highlight w:val="none"/>
        </w:rPr>
        <w:t>九、 成交通知、授予合同</w:t>
      </w:r>
      <w:bookmarkEnd w:id="166"/>
      <w:bookmarkEnd w:id="167"/>
      <w:bookmarkEnd w:id="168"/>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1、经磋商小组审查，确定成交候选人，发出成交通知书。</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2、成交供应商凭成交通知书在30天内签订合同。</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3、成交供应商在规定的时间内不履行合同，按违约处理，并按有关规定承担违约责任。</w:t>
      </w:r>
    </w:p>
    <w:p>
      <w:pPr>
        <w:keepNext w:val="0"/>
        <w:keepLines w:val="0"/>
        <w:pageBreakBefore w:val="0"/>
        <w:kinsoku/>
        <w:wordWrap/>
        <w:overflowPunct/>
        <w:topLinePunct w:val="0"/>
        <w:autoSpaceDE/>
        <w:autoSpaceDN/>
        <w:bidi w:val="0"/>
        <w:spacing w:before="156" w:beforeLines="50" w:after="156" w:afterLines="50" w:line="560" w:lineRule="exact"/>
        <w:jc w:val="center"/>
        <w:textAlignment w:val="auto"/>
        <w:rPr>
          <w:rFonts w:hint="eastAsia" w:ascii="宋体" w:hAnsi="宋体" w:cs="宋体"/>
          <w:color w:val="auto"/>
          <w:sz w:val="32"/>
          <w:szCs w:val="32"/>
          <w:highlight w:val="none"/>
        </w:rPr>
      </w:pPr>
      <w:r>
        <w:rPr>
          <w:rFonts w:hint="eastAsia" w:ascii="宋体" w:hAnsi="宋体" w:cs="宋体"/>
          <w:bCs/>
          <w:color w:val="auto"/>
          <w:szCs w:val="21"/>
          <w:highlight w:val="none"/>
        </w:rPr>
        <w:br w:type="page"/>
      </w:r>
      <w:bookmarkStart w:id="169" w:name="_Toc34746018"/>
      <w:r>
        <w:rPr>
          <w:rStyle w:val="39"/>
          <w:rFonts w:hint="eastAsia"/>
          <w:color w:val="auto"/>
          <w:sz w:val="32"/>
          <w:szCs w:val="32"/>
          <w:highlight w:val="none"/>
        </w:rPr>
        <w:t>第五章 合同主要条款</w:t>
      </w:r>
      <w:bookmarkEnd w:id="169"/>
    </w:p>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cs="宋体"/>
          <w:b/>
          <w:color w:val="auto"/>
          <w:sz w:val="32"/>
          <w:szCs w:val="32"/>
          <w:highlight w:val="none"/>
        </w:rPr>
      </w:pPr>
    </w:p>
    <w:p>
      <w:pPr>
        <w:keepNext w:val="0"/>
        <w:keepLines w:val="0"/>
        <w:pageBreakBefore w:val="0"/>
        <w:kinsoku/>
        <w:wordWrap/>
        <w:overflowPunct/>
        <w:topLinePunct w:val="0"/>
        <w:autoSpaceDE/>
        <w:autoSpaceDN/>
        <w:bidi w:val="0"/>
        <w:spacing w:line="560" w:lineRule="exact"/>
        <w:ind w:firstLine="1"/>
        <w:jc w:val="center"/>
        <w:textAlignment w:val="auto"/>
        <w:rPr>
          <w:rFonts w:hint="eastAsia" w:ascii="宋体" w:hAnsi="宋体" w:cs="宋体"/>
          <w:b/>
          <w:color w:val="auto"/>
          <w:sz w:val="32"/>
          <w:szCs w:val="32"/>
          <w:highlight w:val="none"/>
        </w:rPr>
      </w:pPr>
      <w:r>
        <w:rPr>
          <w:rFonts w:hint="eastAsia" w:ascii="宋体" w:hAnsi="宋体" w:cs="宋体"/>
          <w:b/>
          <w:color w:val="auto"/>
          <w:sz w:val="32"/>
          <w:szCs w:val="32"/>
          <w:highlight w:val="none"/>
        </w:rPr>
        <w:t>采购合同书（仅供参考</w:t>
      </w:r>
      <w:r>
        <w:rPr>
          <w:rFonts w:hint="eastAsia" w:ascii="宋体" w:hAnsi="宋体" w:cs="宋体"/>
          <w:b/>
          <w:color w:val="auto"/>
          <w:sz w:val="32"/>
          <w:szCs w:val="32"/>
          <w:highlight w:val="none"/>
          <w:lang w:eastAsia="zh-CN"/>
        </w:rPr>
        <w:t>，</w:t>
      </w:r>
      <w:r>
        <w:rPr>
          <w:rFonts w:hint="eastAsia" w:ascii="宋体" w:hAnsi="宋体" w:cs="宋体"/>
          <w:b/>
          <w:color w:val="auto"/>
          <w:sz w:val="32"/>
          <w:szCs w:val="32"/>
          <w:highlight w:val="none"/>
          <w:lang w:val="en-US" w:eastAsia="zh-CN"/>
        </w:rPr>
        <w:t>以最终合同为准</w:t>
      </w:r>
      <w:r>
        <w:rPr>
          <w:rFonts w:hint="eastAsia" w:ascii="宋体" w:hAnsi="宋体" w:cs="宋体"/>
          <w:b/>
          <w:color w:val="auto"/>
          <w:sz w:val="32"/>
          <w:szCs w:val="32"/>
          <w:highlight w:val="none"/>
        </w:rPr>
        <w:t>）</w:t>
      </w:r>
    </w:p>
    <w:p>
      <w:pPr>
        <w:keepNext w:val="0"/>
        <w:keepLines w:val="0"/>
        <w:pageBreakBefore w:val="0"/>
        <w:kinsoku/>
        <w:wordWrap/>
        <w:overflowPunct/>
        <w:topLinePunct w:val="0"/>
        <w:autoSpaceDE/>
        <w:autoSpaceDN/>
        <w:bidi w:val="0"/>
        <w:spacing w:line="560" w:lineRule="exact"/>
        <w:textAlignment w:val="auto"/>
        <w:rPr>
          <w:rFonts w:hint="eastAsia" w:ascii="宋体" w:hAnsi="宋体" w:cs="宋体"/>
          <w:color w:val="auto"/>
          <w:sz w:val="32"/>
          <w:szCs w:val="32"/>
          <w:highlight w:val="none"/>
        </w:rPr>
      </w:pP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项目名称：                                  </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项目编号： </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甲方：                              乙方：</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甲乙双方关于              的结果，甲乙双方本着既严格执行国家有关政策，又兼顾双方利益的原则，经协商，特签订本合同书。</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一、服务内容</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二、合同金额</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本合同金额为（大写）：（￥：元）人民币。</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三、技术资料</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1.乙方应按招标文件规定的时间向甲方提供使用货物的有关技术资料。</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四、知识产权</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乙方应保证所提供的货物或其任何一部分均不会侵犯任何第三方的知识产权。</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五、产权担保</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乙方保证所交付的货物的所有权完全属于乙方且无任何抵押、查封等产权瑕疵。</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七、转包或分包</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1.本合同范围的服务范围，应由乙方直接负责，不得转让他人；</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2.除非得到甲方的书面同意，乙方不得将本合同范围的货物全部或部分分包给他人供应；</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3.如有转让和未经甲方同意的分包行为，甲方有权解除合同，追究乙方的违约责任。</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八、服务期限：</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1.服务期限： </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2.服务方式： </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3.服务地点： </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九、货款支付</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1. 付款方式： </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2.当采购要求与实际操作不一致时，乙方应根据实际使用量服务，合同的最终结算金额按实际使用量乘以成交单价进行计算。</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十、税费</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本合同执行中相关的一切税费均由乙方负担。</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十一、质量保证及后续服务</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1、乙方应按招标文件规定向甲方提供服务。</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2、乙方提供的服务成果在服务质量保证期内发生故障，乙方应负责免费提供后续服务。对达不到要求者，根据实际情况，经双方协商，可按照以下办法处理：</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1）重做：由乙方承担所发生的全部费用。</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2）贬值处理：由甲乙双方合议定价。</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3）解除合同。</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3、如在使用过程中发生问题，乙方接到甲方通知后在  小时内到达甲方现场。</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4、在服务质量保证期内，乙方应对出现的质量问题和安全问题负责处理并承担一切费用。</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十二、验收标准</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十三、违约责任</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 甲方无正当理由拒收服务计划，甲方向乙方偿付拒收服务总值的百分之五违约金。</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 甲方无故逾期验收和办理服务期限支付手续的,甲方应按逾期付款总额每日万分之五向乙方支付违约金。</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3. 乙方逾期履约服务计划，乙方应按逾期服务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4. 乙方所提供的服务质量不符合合同规定及招标文件规定标准的，甲方有权拒收该继续服务，乙方愿意调整服务质量，按乙方悔约行为处理。乙方拒绝改进服务的，甲方可单方面解除合同。</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十四、不可抗力事件处理</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 在合同有效期内，任何一方因不可抗力事件导致不能履行合同，则合同履行期可延长，其延长期与不可抗力影响期相同。</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 不可抗力事件发生后，应立即通知对方，并寄送有关权威机构出具的证明。</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3. 不可抗力事件延续120天以上，双方应通过友好协商，确定是否继续履行合同。</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十五、诉讼</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双方在执行合同中所发生的一切争议，应通过协商解决。如协商不成，可向甲</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方所在地法院起诉。</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十六、合同生效及其它</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 合同经双方法定代表人或授权代表签字并加盖单位公章后生效。</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2.合同执行中涉及采购资金和采购内容修改或补充的，须经财政部门审批，并</w:t>
      </w:r>
      <w:r>
        <w:rPr>
          <w:rFonts w:hint="eastAsia" w:ascii="宋体" w:hAnsi="宋体" w:cs="宋体"/>
          <w:color w:val="auto"/>
          <w:szCs w:val="21"/>
          <w:highlight w:val="none"/>
          <w:lang w:eastAsia="zh-CN"/>
        </w:rPr>
        <w:t>签订</w:t>
      </w:r>
      <w:r>
        <w:rPr>
          <w:rFonts w:hint="eastAsia" w:ascii="宋体" w:hAnsi="宋体" w:cs="宋体"/>
          <w:color w:val="auto"/>
          <w:szCs w:val="21"/>
          <w:highlight w:val="none"/>
        </w:rPr>
        <w:t>书面补充协议报采购代理机构及安吉县政府采购管理部门备案，方可作为主合同不可分割的一部分。</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3.本合同未尽事宜，遵照《民法典》有关条文执行。</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4.本合同正本一式四份，具有同等法律效力，甲乙双方各执一份；采购代理机构及安吉县政府采购管理部门各执一份。</w:t>
      </w:r>
    </w:p>
    <w:p>
      <w:pPr>
        <w:spacing w:line="360" w:lineRule="auto"/>
        <w:rPr>
          <w:rFonts w:hint="eastAsia" w:ascii="宋体" w:hAnsi="宋体" w:cs="宋体"/>
          <w:color w:val="auto"/>
          <w:szCs w:val="21"/>
          <w:highlight w:val="none"/>
        </w:rPr>
      </w:pPr>
    </w:p>
    <w:p>
      <w:pPr>
        <w:spacing w:line="360" w:lineRule="auto"/>
        <w:rPr>
          <w:rFonts w:hint="eastAsia" w:ascii="宋体" w:hAnsi="宋体" w:cs="宋体"/>
          <w:color w:val="auto"/>
          <w:szCs w:val="21"/>
          <w:highlight w:val="none"/>
        </w:rPr>
      </w:pPr>
    </w:p>
    <w:p>
      <w:pPr>
        <w:spacing w:line="360" w:lineRule="auto"/>
        <w:rPr>
          <w:rFonts w:hint="eastAsia" w:ascii="宋体" w:hAnsi="宋体" w:cs="宋体"/>
          <w:color w:val="auto"/>
          <w:szCs w:val="21"/>
          <w:highlight w:val="none"/>
        </w:rPr>
      </w:pPr>
    </w:p>
    <w:p>
      <w:pPr>
        <w:spacing w:line="360" w:lineRule="auto"/>
        <w:rPr>
          <w:rFonts w:hint="eastAsia" w:ascii="宋体" w:hAnsi="宋体" w:cs="宋体"/>
          <w:color w:val="auto"/>
          <w:szCs w:val="21"/>
          <w:highlight w:val="none"/>
        </w:rPr>
      </w:pP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甲方：                                   乙方： </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地址：                                   地址： </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法定（授权）代表人：                     法定（授权）代表人：</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签字日期：      年  月  日               签字日期：      年  月  </w:t>
      </w:r>
    </w:p>
    <w:p>
      <w:pPr>
        <w:pStyle w:val="15"/>
        <w:keepNext w:val="0"/>
        <w:keepLines w:val="0"/>
        <w:pageBreakBefore w:val="0"/>
        <w:shd w:val="clear" w:color="auto" w:fill="auto"/>
        <w:kinsoku/>
        <w:wordWrap/>
        <w:overflowPunct/>
        <w:topLinePunct w:val="0"/>
        <w:autoSpaceDE/>
        <w:autoSpaceDN/>
        <w:bidi w:val="0"/>
        <w:adjustRightInd w:val="0"/>
        <w:snapToGrid w:val="0"/>
        <w:spacing w:before="0" w:beforeLines="0" w:after="0" w:afterLines="0" w:line="560" w:lineRule="exact"/>
        <w:ind w:left="2" w:leftChars="1" w:firstLine="643" w:firstLineChars="200"/>
        <w:textAlignment w:val="auto"/>
        <w:rPr>
          <w:rFonts w:hint="eastAsia" w:hAnsi="宋体" w:eastAsia="宋体" w:cs="宋体"/>
          <w:b/>
          <w:bCs/>
          <w:snapToGrid w:val="0"/>
          <w:color w:val="auto"/>
          <w:kern w:val="0"/>
          <w:sz w:val="32"/>
          <w:szCs w:val="32"/>
          <w:highlight w:val="none"/>
        </w:rPr>
      </w:pPr>
    </w:p>
    <w:p>
      <w:pPr>
        <w:pStyle w:val="15"/>
        <w:keepNext w:val="0"/>
        <w:keepLines w:val="0"/>
        <w:pageBreakBefore w:val="0"/>
        <w:shd w:val="clear" w:color="auto" w:fill="auto"/>
        <w:kinsoku/>
        <w:wordWrap/>
        <w:overflowPunct/>
        <w:topLinePunct w:val="0"/>
        <w:autoSpaceDE/>
        <w:autoSpaceDN/>
        <w:bidi w:val="0"/>
        <w:adjustRightInd w:val="0"/>
        <w:snapToGrid w:val="0"/>
        <w:spacing w:before="0" w:beforeLines="0" w:after="0" w:afterLines="0" w:line="560" w:lineRule="exact"/>
        <w:ind w:left="2" w:leftChars="1" w:firstLine="562" w:firstLineChars="200"/>
        <w:textAlignment w:val="auto"/>
        <w:rPr>
          <w:rFonts w:hint="eastAsia" w:hAnsi="宋体" w:eastAsia="宋体" w:cs="宋体"/>
          <w:b/>
          <w:bCs/>
          <w:snapToGrid w:val="0"/>
          <w:color w:val="auto"/>
          <w:kern w:val="0"/>
          <w:sz w:val="28"/>
          <w:szCs w:val="28"/>
          <w:highlight w:val="none"/>
        </w:rPr>
      </w:pPr>
    </w:p>
    <w:p>
      <w:pPr>
        <w:pStyle w:val="15"/>
        <w:keepNext w:val="0"/>
        <w:keepLines w:val="0"/>
        <w:pageBreakBefore w:val="0"/>
        <w:shd w:val="clear" w:color="auto" w:fill="auto"/>
        <w:kinsoku/>
        <w:wordWrap/>
        <w:overflowPunct/>
        <w:topLinePunct w:val="0"/>
        <w:autoSpaceDE/>
        <w:autoSpaceDN/>
        <w:bidi w:val="0"/>
        <w:adjustRightInd w:val="0"/>
        <w:snapToGrid w:val="0"/>
        <w:spacing w:before="0" w:beforeLines="0" w:after="0" w:afterLines="0" w:line="560" w:lineRule="exact"/>
        <w:ind w:left="2" w:leftChars="1" w:firstLine="562" w:firstLineChars="200"/>
        <w:textAlignment w:val="auto"/>
        <w:rPr>
          <w:rFonts w:hint="eastAsia" w:hAnsi="宋体" w:eastAsia="宋体" w:cs="宋体"/>
          <w:b/>
          <w:bCs/>
          <w:snapToGrid w:val="0"/>
          <w:color w:val="auto"/>
          <w:kern w:val="0"/>
          <w:sz w:val="28"/>
          <w:szCs w:val="28"/>
          <w:highlight w:val="none"/>
        </w:rPr>
      </w:pPr>
      <w:r>
        <w:rPr>
          <w:rFonts w:hint="eastAsia" w:hAnsi="宋体" w:eastAsia="宋体" w:cs="宋体"/>
          <w:b/>
          <w:bCs/>
          <w:snapToGrid w:val="0"/>
          <w:color w:val="auto"/>
          <w:kern w:val="0"/>
          <w:sz w:val="28"/>
          <w:szCs w:val="28"/>
          <w:highlight w:val="none"/>
        </w:rPr>
        <w:t>注：本合同作为示范文本，具体以采购人与成交供应商所签定正式合同为准。</w:t>
      </w:r>
    </w:p>
    <w:p>
      <w:pPr>
        <w:pStyle w:val="15"/>
        <w:shd w:val="clear" w:color="auto" w:fill="auto"/>
        <w:adjustRightInd w:val="0"/>
        <w:snapToGrid w:val="0"/>
        <w:spacing w:before="0" w:beforeLines="0" w:after="0" w:afterLines="0" w:line="280" w:lineRule="exact"/>
        <w:ind w:left="2" w:leftChars="1" w:firstLine="422" w:firstLineChars="200"/>
        <w:rPr>
          <w:rFonts w:hint="eastAsia" w:hAnsi="宋体" w:eastAsia="宋体" w:cs="宋体"/>
          <w:b/>
          <w:bCs/>
          <w:snapToGrid w:val="0"/>
          <w:color w:val="auto"/>
          <w:kern w:val="0"/>
          <w:sz w:val="21"/>
          <w:highlight w:val="none"/>
        </w:rPr>
      </w:pPr>
    </w:p>
    <w:p>
      <w:pPr>
        <w:spacing w:line="320" w:lineRule="exact"/>
        <w:rPr>
          <w:rFonts w:hint="eastAsia" w:ascii="宋体" w:hAnsi="宋体" w:cs="宋体"/>
          <w:color w:val="auto"/>
          <w:szCs w:val="21"/>
          <w:highlight w:val="none"/>
        </w:rPr>
      </w:pPr>
    </w:p>
    <w:p>
      <w:pPr>
        <w:pStyle w:val="4"/>
        <w:spacing w:before="156" w:after="156"/>
        <w:rPr>
          <w:rFonts w:hint="eastAsia"/>
          <w:color w:val="auto"/>
          <w:highlight w:val="none"/>
        </w:rPr>
      </w:pPr>
      <w:bookmarkStart w:id="170" w:name="_Toc34746019"/>
      <w:r>
        <w:rPr>
          <w:rFonts w:hint="eastAsia"/>
          <w:color w:val="auto"/>
          <w:highlight w:val="none"/>
        </w:rPr>
        <w:br w:type="page"/>
      </w:r>
      <w:r>
        <w:rPr>
          <w:rFonts w:hint="eastAsia"/>
          <w:color w:val="auto"/>
          <w:highlight w:val="none"/>
        </w:rPr>
        <w:t>第六章  响应文件格式</w:t>
      </w:r>
      <w:bookmarkEnd w:id="170"/>
    </w:p>
    <w:p>
      <w:pPr>
        <w:widowControl/>
        <w:autoSpaceDE w:val="0"/>
        <w:autoSpaceDN w:val="0"/>
        <w:snapToGrid w:val="0"/>
        <w:spacing w:line="360" w:lineRule="auto"/>
        <w:ind w:firstLine="420" w:firstLineChars="200"/>
        <w:jc w:val="left"/>
        <w:textAlignment w:val="bottom"/>
        <w:rPr>
          <w:rFonts w:hint="eastAsia" w:ascii="宋体" w:hAnsi="宋体" w:cs="宋体"/>
          <w:bCs/>
          <w:color w:val="auto"/>
          <w:szCs w:val="21"/>
          <w:highlight w:val="none"/>
        </w:rPr>
      </w:pPr>
      <w:r>
        <w:rPr>
          <w:rFonts w:hint="eastAsia" w:ascii="宋体" w:hAnsi="宋体" w:cs="宋体"/>
          <w:bCs/>
          <w:color w:val="auto"/>
          <w:szCs w:val="21"/>
          <w:highlight w:val="none"/>
        </w:rPr>
        <w:t>本章节内容提供部分响应文件格式，磋商文件中要求，但未提供格式的，须由供应商自行制作。</w:t>
      </w:r>
    </w:p>
    <w:p>
      <w:pPr>
        <w:spacing w:line="360" w:lineRule="auto"/>
        <w:ind w:firstLine="570"/>
        <w:jc w:val="center"/>
        <w:rPr>
          <w:rFonts w:hint="eastAsia" w:ascii="宋体" w:hAnsi="宋体" w:cs="宋体"/>
          <w:color w:val="auto"/>
          <w:szCs w:val="21"/>
          <w:highlight w:val="none"/>
        </w:rPr>
      </w:pPr>
      <w:r>
        <w:rPr>
          <w:rFonts w:hint="eastAsia" w:ascii="宋体" w:hAnsi="宋体" w:cs="宋体"/>
          <w:b/>
          <w:color w:val="auto"/>
          <w:szCs w:val="21"/>
          <w:highlight w:val="none"/>
        </w:rPr>
        <w:t>一、资格证明文件格式</w:t>
      </w:r>
    </w:p>
    <w:p>
      <w:pPr>
        <w:ind w:firstLine="570"/>
        <w:rPr>
          <w:rFonts w:hint="eastAsia" w:ascii="宋体" w:hAnsi="宋体" w:cs="宋体"/>
          <w:color w:val="auto"/>
          <w:szCs w:val="21"/>
          <w:highlight w:val="none"/>
        </w:rPr>
      </w:pPr>
    </w:p>
    <w:p>
      <w:pPr>
        <w:ind w:firstLine="420" w:firstLineChars="200"/>
        <w:outlineLvl w:val="1"/>
        <w:rPr>
          <w:rFonts w:hint="eastAsia" w:ascii="宋体" w:hAnsi="宋体" w:cs="宋体"/>
          <w:color w:val="auto"/>
          <w:szCs w:val="21"/>
          <w:highlight w:val="none"/>
        </w:rPr>
      </w:pPr>
      <w:r>
        <w:rPr>
          <w:rFonts w:hint="eastAsia" w:ascii="宋体" w:hAnsi="宋体" w:cs="宋体"/>
          <w:color w:val="auto"/>
          <w:szCs w:val="21"/>
          <w:highlight w:val="none"/>
        </w:rPr>
        <w:t>1、资格证明文件的封面格式：</w:t>
      </w:r>
    </w:p>
    <w:p>
      <w:pPr>
        <w:keepNext/>
        <w:keepLines/>
        <w:spacing w:line="579" w:lineRule="auto"/>
        <w:rPr>
          <w:rFonts w:hint="eastAsia" w:ascii="宋体" w:hAnsi="宋体" w:cs="宋体"/>
          <w:color w:val="auto"/>
          <w:szCs w:val="21"/>
          <w:highlight w:val="none"/>
        </w:rPr>
      </w:pPr>
    </w:p>
    <w:p>
      <w:pPr>
        <w:ind w:firstLine="570"/>
        <w:jc w:val="center"/>
        <w:rPr>
          <w:rFonts w:hint="eastAsia" w:ascii="宋体" w:hAnsi="宋体" w:cs="宋体"/>
          <w:b/>
          <w:color w:val="auto"/>
          <w:szCs w:val="21"/>
          <w:highlight w:val="none"/>
        </w:rPr>
      </w:pPr>
      <w:r>
        <w:rPr>
          <w:rFonts w:hint="eastAsia" w:ascii="宋体" w:hAnsi="宋体" w:cs="宋体"/>
          <w:b/>
          <w:color w:val="auto"/>
          <w:szCs w:val="21"/>
          <w:highlight w:val="none"/>
        </w:rPr>
        <w:t>响应文件</w:t>
      </w:r>
    </w:p>
    <w:p>
      <w:pPr>
        <w:ind w:firstLine="570"/>
        <w:jc w:val="center"/>
        <w:rPr>
          <w:rFonts w:hint="eastAsia" w:ascii="宋体" w:hAnsi="宋体" w:cs="宋体"/>
          <w:b/>
          <w:color w:val="auto"/>
          <w:szCs w:val="21"/>
          <w:highlight w:val="none"/>
        </w:rPr>
      </w:pPr>
      <w:r>
        <w:rPr>
          <w:rFonts w:hint="eastAsia" w:ascii="宋体" w:hAnsi="宋体" w:cs="宋体"/>
          <w:b/>
          <w:color w:val="auto"/>
          <w:szCs w:val="21"/>
          <w:highlight w:val="none"/>
        </w:rPr>
        <w:t>（资格证明文件）</w:t>
      </w:r>
    </w:p>
    <w:p>
      <w:pPr>
        <w:ind w:firstLine="570"/>
        <w:jc w:val="center"/>
        <w:rPr>
          <w:rFonts w:hint="eastAsia" w:ascii="宋体" w:hAnsi="宋体" w:cs="宋体"/>
          <w:b/>
          <w:color w:val="auto"/>
          <w:szCs w:val="21"/>
          <w:highlight w:val="none"/>
        </w:rPr>
      </w:pPr>
    </w:p>
    <w:p>
      <w:pPr>
        <w:spacing w:line="800" w:lineRule="exact"/>
        <w:ind w:firstLine="570"/>
        <w:rPr>
          <w:rFonts w:hint="eastAsia" w:ascii="宋体" w:hAnsi="宋体" w:cs="宋体"/>
          <w:color w:val="auto"/>
          <w:szCs w:val="21"/>
          <w:highlight w:val="none"/>
        </w:rPr>
      </w:pPr>
      <w:r>
        <w:rPr>
          <w:rFonts w:hint="eastAsia" w:ascii="宋体" w:hAnsi="宋体" w:cs="宋体"/>
          <w:color w:val="auto"/>
          <w:szCs w:val="21"/>
          <w:highlight w:val="none"/>
        </w:rPr>
        <w:t>项目名称：</w:t>
      </w:r>
    </w:p>
    <w:p>
      <w:pPr>
        <w:spacing w:line="800" w:lineRule="exact"/>
        <w:ind w:firstLine="570"/>
        <w:rPr>
          <w:rFonts w:hint="eastAsia" w:ascii="宋体" w:hAnsi="宋体" w:cs="宋体"/>
          <w:color w:val="auto"/>
          <w:szCs w:val="21"/>
          <w:highlight w:val="none"/>
        </w:rPr>
      </w:pPr>
      <w:r>
        <w:rPr>
          <w:rFonts w:hint="eastAsia" w:ascii="宋体" w:hAnsi="宋体" w:cs="宋体"/>
          <w:color w:val="auto"/>
          <w:szCs w:val="21"/>
          <w:highlight w:val="none"/>
        </w:rPr>
        <w:t>项目编号：</w:t>
      </w:r>
    </w:p>
    <w:p>
      <w:pPr>
        <w:spacing w:line="800" w:lineRule="exact"/>
        <w:ind w:firstLine="570"/>
        <w:rPr>
          <w:rFonts w:hint="eastAsia" w:ascii="宋体" w:hAnsi="宋体" w:cs="宋体"/>
          <w:color w:val="auto"/>
          <w:szCs w:val="21"/>
          <w:highlight w:val="none"/>
        </w:rPr>
      </w:pPr>
      <w:r>
        <w:rPr>
          <w:rFonts w:hint="eastAsia" w:ascii="宋体" w:hAnsi="宋体" w:cs="宋体"/>
          <w:color w:val="auto"/>
          <w:szCs w:val="21"/>
          <w:highlight w:val="none"/>
        </w:rPr>
        <w:t>标项：</w:t>
      </w:r>
    </w:p>
    <w:p>
      <w:pPr>
        <w:spacing w:line="800" w:lineRule="exact"/>
        <w:ind w:firstLine="570"/>
        <w:rPr>
          <w:rFonts w:hint="eastAsia" w:ascii="宋体" w:hAnsi="宋体" w:cs="宋体"/>
          <w:color w:val="auto"/>
          <w:szCs w:val="21"/>
          <w:highlight w:val="none"/>
        </w:rPr>
      </w:pPr>
      <w:r>
        <w:rPr>
          <w:rFonts w:hint="eastAsia" w:ascii="宋体" w:hAnsi="宋体" w:cs="宋体"/>
          <w:color w:val="auto"/>
          <w:szCs w:val="21"/>
          <w:highlight w:val="none"/>
        </w:rPr>
        <w:t>供应商名称（盖章）：</w:t>
      </w:r>
    </w:p>
    <w:p>
      <w:pPr>
        <w:spacing w:line="800" w:lineRule="exact"/>
        <w:ind w:firstLine="570"/>
        <w:rPr>
          <w:rFonts w:hint="eastAsia" w:ascii="宋体" w:hAnsi="宋体" w:cs="宋体"/>
          <w:color w:val="auto"/>
          <w:szCs w:val="21"/>
          <w:highlight w:val="none"/>
        </w:rPr>
      </w:pPr>
      <w:r>
        <w:rPr>
          <w:rFonts w:hint="eastAsia" w:ascii="宋体" w:hAnsi="宋体" w:cs="宋体"/>
          <w:color w:val="auto"/>
          <w:szCs w:val="21"/>
          <w:highlight w:val="none"/>
        </w:rPr>
        <w:t>供应商地址：</w:t>
      </w:r>
    </w:p>
    <w:p>
      <w:pPr>
        <w:spacing w:line="800" w:lineRule="exact"/>
        <w:ind w:firstLine="570"/>
        <w:jc w:val="right"/>
        <w:rPr>
          <w:rFonts w:hint="eastAsia" w:ascii="宋体" w:hAnsi="宋体" w:cs="宋体"/>
          <w:b/>
          <w:color w:val="auto"/>
          <w:szCs w:val="21"/>
          <w:highlight w:val="none"/>
        </w:rPr>
      </w:pPr>
      <w:r>
        <w:rPr>
          <w:rFonts w:hint="eastAsia" w:ascii="宋体" w:hAnsi="宋体" w:cs="宋体"/>
          <w:b/>
          <w:color w:val="auto"/>
          <w:szCs w:val="21"/>
          <w:highlight w:val="none"/>
        </w:rPr>
        <w:t xml:space="preserve">  年   月   日</w:t>
      </w:r>
    </w:p>
    <w:p>
      <w:pPr>
        <w:spacing w:line="400" w:lineRule="exact"/>
        <w:ind w:firstLine="420" w:firstLineChars="200"/>
        <w:jc w:val="left"/>
        <w:rPr>
          <w:rFonts w:hint="eastAsia" w:ascii="宋体" w:hAnsi="宋体" w:cs="宋体"/>
          <w:color w:val="auto"/>
          <w:szCs w:val="21"/>
          <w:highlight w:val="none"/>
        </w:rPr>
      </w:pPr>
    </w:p>
    <w:p>
      <w:pPr>
        <w:rPr>
          <w:rFonts w:hint="eastAsia" w:ascii="宋体" w:hAnsi="宋体" w:cs="宋体"/>
          <w:color w:val="auto"/>
          <w:szCs w:val="21"/>
          <w:highlight w:val="none"/>
          <w:u w:val="single"/>
        </w:rPr>
      </w:pPr>
    </w:p>
    <w:p>
      <w:pPr>
        <w:rPr>
          <w:rFonts w:hint="eastAsia" w:ascii="宋体" w:hAnsi="宋体" w:cs="宋体"/>
          <w:color w:val="auto"/>
          <w:szCs w:val="21"/>
          <w:highlight w:val="none"/>
        </w:rPr>
      </w:pPr>
    </w:p>
    <w:p>
      <w:pPr>
        <w:keepNext/>
        <w:pageBreakBefore/>
        <w:spacing w:line="360" w:lineRule="auto"/>
        <w:ind w:firstLine="420" w:firstLineChars="200"/>
        <w:outlineLvl w:val="1"/>
        <w:rPr>
          <w:rFonts w:hint="eastAsia" w:ascii="宋体" w:hAnsi="宋体" w:cs="宋体"/>
          <w:color w:val="auto"/>
          <w:szCs w:val="21"/>
          <w:highlight w:val="none"/>
        </w:rPr>
      </w:pPr>
      <w:r>
        <w:rPr>
          <w:rFonts w:hint="eastAsia" w:ascii="宋体" w:hAnsi="宋体" w:cs="宋体"/>
          <w:color w:val="auto"/>
          <w:szCs w:val="21"/>
          <w:highlight w:val="none"/>
        </w:rPr>
        <w:t>2、目录及内容</w:t>
      </w:r>
    </w:p>
    <w:p>
      <w:pPr>
        <w:autoSpaceDE w:val="0"/>
        <w:autoSpaceDN w:val="0"/>
        <w:adjustRightInd w:val="0"/>
        <w:snapToGrid w:val="0"/>
        <w:spacing w:line="360" w:lineRule="auto"/>
        <w:ind w:firstLine="426" w:firstLineChars="202"/>
        <w:textAlignment w:val="bottom"/>
        <w:rPr>
          <w:rFonts w:hint="eastAsia" w:ascii="宋体" w:hAnsi="宋体" w:cs="宋体"/>
          <w:b/>
          <w:color w:val="auto"/>
          <w:szCs w:val="21"/>
          <w:highlight w:val="none"/>
        </w:rPr>
      </w:pPr>
      <w:r>
        <w:rPr>
          <w:rFonts w:hint="eastAsia" w:ascii="宋体" w:hAnsi="宋体" w:cs="宋体"/>
          <w:b/>
          <w:color w:val="auto"/>
          <w:szCs w:val="21"/>
          <w:highlight w:val="none"/>
        </w:rPr>
        <w:t>资格证明文件</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1、磋商申请函 （格式见附件）；</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bCs/>
          <w:color w:val="auto"/>
          <w:szCs w:val="21"/>
          <w:highlight w:val="none"/>
        </w:rPr>
        <w:t>法人营业执照副本、组织机构代码证副本及税务登记证副本或“三证合一”的营业执照或“五证合一”的营业执照副本复印件；</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3、法定代表人身份证明书和授权委托书（格式见附件）；</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4、中小企业声明函（注：本项目为专门面向中小企业采购，投标供应商非中小企业的，资格审查不通过；符合上述条件的中小微型企业应按照磋商文件附件的格式要求在资格证明文件中提供《中小企业声明函》）。</w:t>
      </w:r>
    </w:p>
    <w:p>
      <w:pPr>
        <w:spacing w:line="360" w:lineRule="auto"/>
        <w:ind w:firstLine="420" w:firstLineChars="200"/>
        <w:rPr>
          <w:rFonts w:hint="eastAsia" w:ascii="宋体" w:hAnsi="宋体" w:cs="宋体"/>
          <w:color w:val="auto"/>
          <w:szCs w:val="21"/>
          <w:highlight w:val="none"/>
        </w:rPr>
      </w:pPr>
    </w:p>
    <w:p>
      <w:pPr>
        <w:spacing w:line="280" w:lineRule="exact"/>
        <w:ind w:firstLine="411" w:firstLineChars="196"/>
        <w:rPr>
          <w:rFonts w:hint="eastAsia" w:ascii="宋体" w:hAnsi="宋体" w:cs="宋体"/>
          <w:color w:val="auto"/>
          <w:szCs w:val="21"/>
          <w:highlight w:val="none"/>
        </w:rPr>
      </w:pPr>
    </w:p>
    <w:p>
      <w:pPr>
        <w:spacing w:line="280" w:lineRule="exact"/>
        <w:ind w:firstLine="411" w:firstLineChars="196"/>
        <w:rPr>
          <w:rFonts w:hint="eastAsia" w:ascii="宋体" w:hAnsi="宋体" w:cs="宋体"/>
          <w:color w:val="auto"/>
          <w:szCs w:val="21"/>
          <w:highlight w:val="none"/>
        </w:rPr>
      </w:pPr>
    </w:p>
    <w:p>
      <w:pPr>
        <w:spacing w:line="280" w:lineRule="exact"/>
        <w:ind w:firstLine="411" w:firstLineChars="196"/>
        <w:rPr>
          <w:rFonts w:hint="eastAsia" w:ascii="宋体" w:hAnsi="宋体" w:cs="宋体"/>
          <w:color w:val="auto"/>
          <w:szCs w:val="21"/>
          <w:highlight w:val="none"/>
        </w:rPr>
      </w:pPr>
    </w:p>
    <w:p>
      <w:pPr>
        <w:spacing w:line="280" w:lineRule="exact"/>
        <w:ind w:firstLine="411" w:firstLineChars="196"/>
        <w:rPr>
          <w:rFonts w:hint="eastAsia" w:ascii="宋体" w:hAnsi="宋体" w:cs="宋体"/>
          <w:color w:val="auto"/>
          <w:szCs w:val="21"/>
          <w:highlight w:val="none"/>
        </w:rPr>
      </w:pPr>
    </w:p>
    <w:p>
      <w:pPr>
        <w:spacing w:line="280" w:lineRule="exact"/>
        <w:ind w:firstLine="411" w:firstLineChars="196"/>
        <w:rPr>
          <w:rFonts w:hint="eastAsia" w:ascii="宋体" w:hAnsi="宋体" w:cs="宋体"/>
          <w:color w:val="auto"/>
          <w:szCs w:val="21"/>
          <w:highlight w:val="none"/>
        </w:rPr>
      </w:pPr>
    </w:p>
    <w:p>
      <w:pPr>
        <w:spacing w:line="280" w:lineRule="exact"/>
        <w:ind w:firstLine="411" w:firstLineChars="196"/>
        <w:rPr>
          <w:rFonts w:hint="eastAsia" w:ascii="宋体" w:hAnsi="宋体" w:cs="宋体"/>
          <w:color w:val="auto"/>
          <w:szCs w:val="21"/>
          <w:highlight w:val="none"/>
        </w:rPr>
      </w:pPr>
    </w:p>
    <w:p>
      <w:pPr>
        <w:spacing w:line="280" w:lineRule="exact"/>
        <w:ind w:firstLine="411" w:firstLineChars="196"/>
        <w:rPr>
          <w:rFonts w:hint="eastAsia" w:ascii="宋体" w:hAnsi="宋体" w:cs="宋体"/>
          <w:color w:val="auto"/>
          <w:szCs w:val="21"/>
          <w:highlight w:val="none"/>
        </w:rPr>
      </w:pPr>
    </w:p>
    <w:p>
      <w:pPr>
        <w:spacing w:line="280" w:lineRule="exact"/>
        <w:ind w:firstLine="411" w:firstLineChars="196"/>
        <w:rPr>
          <w:rFonts w:hint="eastAsia" w:ascii="宋体" w:hAnsi="宋体" w:cs="宋体"/>
          <w:color w:val="auto"/>
          <w:szCs w:val="21"/>
          <w:highlight w:val="none"/>
        </w:rPr>
      </w:pPr>
    </w:p>
    <w:p>
      <w:pPr>
        <w:spacing w:line="280" w:lineRule="exact"/>
        <w:ind w:firstLine="411" w:firstLineChars="196"/>
        <w:rPr>
          <w:rFonts w:hint="eastAsia" w:ascii="宋体" w:hAnsi="宋体" w:cs="宋体"/>
          <w:color w:val="auto"/>
          <w:szCs w:val="21"/>
          <w:highlight w:val="none"/>
        </w:rPr>
      </w:pPr>
    </w:p>
    <w:p>
      <w:pPr>
        <w:spacing w:line="280" w:lineRule="exact"/>
        <w:ind w:firstLine="411" w:firstLineChars="196"/>
        <w:rPr>
          <w:rFonts w:hint="eastAsia" w:ascii="宋体" w:hAnsi="宋体" w:cs="宋体"/>
          <w:color w:val="auto"/>
          <w:szCs w:val="21"/>
          <w:highlight w:val="none"/>
        </w:rPr>
      </w:pPr>
    </w:p>
    <w:p>
      <w:pPr>
        <w:spacing w:line="280" w:lineRule="exact"/>
        <w:ind w:firstLine="411" w:firstLineChars="196"/>
        <w:rPr>
          <w:rFonts w:hint="eastAsia" w:ascii="宋体" w:hAnsi="宋体" w:cs="宋体"/>
          <w:color w:val="auto"/>
          <w:szCs w:val="21"/>
          <w:highlight w:val="none"/>
        </w:rPr>
      </w:pPr>
    </w:p>
    <w:p>
      <w:pPr>
        <w:spacing w:line="280" w:lineRule="exact"/>
        <w:ind w:firstLine="411" w:firstLineChars="196"/>
        <w:rPr>
          <w:rFonts w:hint="eastAsia" w:ascii="宋体" w:hAnsi="宋体" w:cs="宋体"/>
          <w:color w:val="auto"/>
          <w:szCs w:val="21"/>
          <w:highlight w:val="none"/>
        </w:rPr>
      </w:pPr>
    </w:p>
    <w:p>
      <w:pPr>
        <w:spacing w:line="280" w:lineRule="exact"/>
        <w:ind w:firstLine="411" w:firstLineChars="196"/>
        <w:rPr>
          <w:rFonts w:hint="eastAsia" w:ascii="宋体" w:hAnsi="宋体" w:cs="宋体"/>
          <w:color w:val="auto"/>
          <w:szCs w:val="21"/>
          <w:highlight w:val="none"/>
        </w:rPr>
      </w:pPr>
    </w:p>
    <w:p>
      <w:pPr>
        <w:spacing w:line="280" w:lineRule="exact"/>
        <w:ind w:firstLine="411" w:firstLineChars="196"/>
        <w:rPr>
          <w:rFonts w:hint="eastAsia" w:ascii="宋体" w:hAnsi="宋体" w:cs="宋体"/>
          <w:color w:val="auto"/>
          <w:szCs w:val="21"/>
          <w:highlight w:val="none"/>
        </w:rPr>
      </w:pPr>
    </w:p>
    <w:p>
      <w:pPr>
        <w:spacing w:line="280" w:lineRule="exact"/>
        <w:ind w:firstLine="411" w:firstLineChars="196"/>
        <w:rPr>
          <w:rFonts w:hint="eastAsia" w:ascii="宋体" w:hAnsi="宋体" w:cs="宋体"/>
          <w:color w:val="auto"/>
          <w:szCs w:val="21"/>
          <w:highlight w:val="none"/>
        </w:rPr>
      </w:pPr>
    </w:p>
    <w:p>
      <w:pPr>
        <w:spacing w:line="280" w:lineRule="exact"/>
        <w:ind w:firstLine="411" w:firstLineChars="196"/>
        <w:rPr>
          <w:rFonts w:hint="eastAsia" w:ascii="宋体" w:hAnsi="宋体" w:cs="宋体"/>
          <w:color w:val="auto"/>
          <w:szCs w:val="21"/>
          <w:highlight w:val="none"/>
        </w:rPr>
      </w:pPr>
    </w:p>
    <w:p>
      <w:pPr>
        <w:spacing w:line="280" w:lineRule="exact"/>
        <w:ind w:firstLine="411" w:firstLineChars="196"/>
        <w:rPr>
          <w:rFonts w:hint="eastAsia" w:ascii="宋体" w:hAnsi="宋体" w:cs="宋体"/>
          <w:color w:val="auto"/>
          <w:szCs w:val="21"/>
          <w:highlight w:val="none"/>
        </w:rPr>
      </w:pPr>
    </w:p>
    <w:p>
      <w:pPr>
        <w:spacing w:line="280" w:lineRule="exact"/>
        <w:ind w:firstLine="411" w:firstLineChars="196"/>
        <w:rPr>
          <w:rFonts w:hint="eastAsia" w:ascii="宋体" w:hAnsi="宋体" w:cs="宋体"/>
          <w:color w:val="auto"/>
          <w:szCs w:val="21"/>
          <w:highlight w:val="none"/>
        </w:rPr>
      </w:pPr>
    </w:p>
    <w:p>
      <w:pPr>
        <w:spacing w:line="280" w:lineRule="exact"/>
        <w:ind w:firstLine="411" w:firstLineChars="196"/>
        <w:rPr>
          <w:rFonts w:hint="eastAsia" w:ascii="宋体" w:hAnsi="宋体" w:cs="宋体"/>
          <w:color w:val="auto"/>
          <w:szCs w:val="21"/>
          <w:highlight w:val="none"/>
        </w:rPr>
      </w:pPr>
    </w:p>
    <w:p>
      <w:pPr>
        <w:spacing w:line="280" w:lineRule="exact"/>
        <w:ind w:firstLine="411" w:firstLineChars="196"/>
        <w:rPr>
          <w:rFonts w:hint="eastAsia" w:ascii="宋体" w:hAnsi="宋体" w:cs="宋体"/>
          <w:color w:val="auto"/>
          <w:szCs w:val="21"/>
          <w:highlight w:val="none"/>
        </w:rPr>
      </w:pPr>
    </w:p>
    <w:p>
      <w:pPr>
        <w:spacing w:line="280" w:lineRule="exact"/>
        <w:ind w:firstLine="411" w:firstLineChars="196"/>
        <w:rPr>
          <w:rFonts w:hint="eastAsia" w:ascii="宋体" w:hAnsi="宋体" w:cs="宋体"/>
          <w:color w:val="auto"/>
          <w:szCs w:val="21"/>
          <w:highlight w:val="none"/>
        </w:rPr>
      </w:pPr>
    </w:p>
    <w:p>
      <w:pPr>
        <w:spacing w:line="280" w:lineRule="exact"/>
        <w:ind w:firstLine="411" w:firstLineChars="196"/>
        <w:rPr>
          <w:rFonts w:hint="eastAsia" w:ascii="宋体" w:hAnsi="宋体" w:cs="宋体"/>
          <w:color w:val="auto"/>
          <w:szCs w:val="21"/>
          <w:highlight w:val="none"/>
        </w:rPr>
      </w:pPr>
    </w:p>
    <w:p>
      <w:pPr>
        <w:spacing w:line="280" w:lineRule="exact"/>
        <w:ind w:firstLine="411" w:firstLineChars="196"/>
        <w:rPr>
          <w:rFonts w:hint="eastAsia" w:ascii="宋体" w:hAnsi="宋体" w:cs="宋体"/>
          <w:color w:val="auto"/>
          <w:szCs w:val="21"/>
          <w:highlight w:val="none"/>
        </w:rPr>
      </w:pPr>
    </w:p>
    <w:p>
      <w:pPr>
        <w:spacing w:line="280" w:lineRule="exact"/>
        <w:ind w:firstLine="411" w:firstLineChars="196"/>
        <w:rPr>
          <w:rFonts w:hint="eastAsia" w:ascii="宋体" w:hAnsi="宋体" w:cs="宋体"/>
          <w:color w:val="auto"/>
          <w:szCs w:val="21"/>
          <w:highlight w:val="none"/>
        </w:rPr>
      </w:pPr>
    </w:p>
    <w:p>
      <w:pPr>
        <w:spacing w:line="280" w:lineRule="exact"/>
        <w:ind w:firstLine="411" w:firstLineChars="196"/>
        <w:rPr>
          <w:rFonts w:hint="eastAsia" w:ascii="宋体" w:hAnsi="宋体" w:cs="宋体"/>
          <w:color w:val="auto"/>
          <w:szCs w:val="21"/>
          <w:highlight w:val="none"/>
        </w:rPr>
      </w:pPr>
    </w:p>
    <w:p>
      <w:pPr>
        <w:spacing w:line="280" w:lineRule="exact"/>
        <w:ind w:firstLine="411" w:firstLineChars="196"/>
        <w:rPr>
          <w:rFonts w:hint="eastAsia" w:ascii="宋体" w:hAnsi="宋体" w:cs="宋体"/>
          <w:color w:val="auto"/>
          <w:szCs w:val="21"/>
          <w:highlight w:val="none"/>
        </w:rPr>
      </w:pPr>
    </w:p>
    <w:p>
      <w:pPr>
        <w:spacing w:line="280" w:lineRule="exact"/>
        <w:ind w:firstLine="411" w:firstLineChars="196"/>
        <w:rPr>
          <w:rFonts w:hint="eastAsia" w:ascii="宋体" w:hAnsi="宋体" w:cs="宋体"/>
          <w:color w:val="auto"/>
          <w:szCs w:val="21"/>
          <w:highlight w:val="none"/>
        </w:rPr>
      </w:pPr>
    </w:p>
    <w:p>
      <w:pPr>
        <w:pStyle w:val="71"/>
        <w:rPr>
          <w:rFonts w:hint="eastAsia" w:ascii="宋体" w:hAnsi="宋体" w:cs="宋体"/>
          <w:color w:val="auto"/>
          <w:szCs w:val="21"/>
          <w:highlight w:val="none"/>
        </w:rPr>
      </w:pPr>
    </w:p>
    <w:p>
      <w:pPr>
        <w:spacing w:line="280" w:lineRule="exact"/>
        <w:ind w:firstLine="411" w:firstLineChars="196"/>
        <w:rPr>
          <w:rFonts w:hint="eastAsia" w:ascii="宋体" w:hAnsi="宋体" w:cs="宋体"/>
          <w:color w:val="auto"/>
          <w:szCs w:val="21"/>
          <w:highlight w:val="none"/>
        </w:rPr>
      </w:pPr>
    </w:p>
    <w:p>
      <w:pPr>
        <w:spacing w:line="280" w:lineRule="exact"/>
        <w:ind w:firstLine="411" w:firstLineChars="196"/>
        <w:rPr>
          <w:rFonts w:hint="eastAsia" w:ascii="宋体" w:hAnsi="宋体" w:cs="宋体"/>
          <w:color w:val="auto"/>
          <w:szCs w:val="21"/>
          <w:highlight w:val="none"/>
        </w:rPr>
      </w:pPr>
    </w:p>
    <w:p>
      <w:pPr>
        <w:spacing w:line="280" w:lineRule="exact"/>
        <w:rPr>
          <w:rFonts w:hint="eastAsia" w:ascii="宋体" w:hAnsi="宋体" w:cs="宋体"/>
          <w:color w:val="auto"/>
          <w:szCs w:val="21"/>
          <w:highlight w:val="none"/>
        </w:rPr>
      </w:pPr>
    </w:p>
    <w:p>
      <w:pPr>
        <w:keepNext/>
        <w:pageBreakBefore/>
        <w:spacing w:line="360" w:lineRule="auto"/>
        <w:ind w:firstLine="420" w:firstLineChars="200"/>
        <w:jc w:val="left"/>
        <w:outlineLvl w:val="1"/>
        <w:rPr>
          <w:rFonts w:hint="eastAsia" w:ascii="宋体" w:hAnsi="宋体" w:cs="宋体"/>
          <w:color w:val="auto"/>
          <w:szCs w:val="21"/>
          <w:highlight w:val="none"/>
        </w:rPr>
      </w:pPr>
      <w:r>
        <w:rPr>
          <w:rFonts w:hint="eastAsia" w:ascii="宋体" w:hAnsi="宋体" w:cs="宋体"/>
          <w:color w:val="auto"/>
          <w:szCs w:val="21"/>
          <w:highlight w:val="none"/>
        </w:rPr>
        <w:t>3、磋商申请函</w:t>
      </w:r>
    </w:p>
    <w:p>
      <w:pPr>
        <w:spacing w:line="360" w:lineRule="auto"/>
        <w:jc w:val="center"/>
        <w:rPr>
          <w:rFonts w:hint="eastAsia" w:ascii="宋体" w:hAnsi="宋体" w:cs="宋体"/>
          <w:color w:val="auto"/>
          <w:szCs w:val="21"/>
          <w:highlight w:val="none"/>
        </w:rPr>
      </w:pPr>
      <w:r>
        <w:rPr>
          <w:rFonts w:hint="eastAsia" w:ascii="宋体" w:hAnsi="宋体" w:cs="宋体"/>
          <w:b/>
          <w:bCs/>
          <w:color w:val="auto"/>
          <w:sz w:val="30"/>
          <w:szCs w:val="30"/>
          <w:highlight w:val="none"/>
        </w:rPr>
        <w:t>磋 商 申 请 函</w:t>
      </w:r>
      <w:r>
        <w:rPr>
          <w:rFonts w:hint="eastAsia" w:ascii="宋体" w:hAnsi="宋体" w:cs="宋体"/>
          <w:color w:val="auto"/>
          <w:szCs w:val="21"/>
          <w:highlight w:val="none"/>
        </w:rPr>
        <w:t xml:space="preserve"> </w:t>
      </w:r>
    </w:p>
    <w:p>
      <w:pPr>
        <w:spacing w:line="300"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致                 ：</w:t>
      </w:r>
    </w:p>
    <w:p>
      <w:pPr>
        <w:spacing w:line="30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u w:val="single"/>
        </w:rPr>
        <w:t xml:space="preserve">  （供应商全称）  </w:t>
      </w:r>
      <w:r>
        <w:rPr>
          <w:rFonts w:hint="eastAsia" w:ascii="宋体" w:hAnsi="宋体" w:cs="宋体"/>
          <w:color w:val="auto"/>
          <w:szCs w:val="21"/>
          <w:highlight w:val="none"/>
        </w:rPr>
        <w:t xml:space="preserve"> 授权 </w:t>
      </w:r>
      <w:r>
        <w:rPr>
          <w:rFonts w:hint="eastAsia" w:ascii="宋体" w:hAnsi="宋体" w:cs="宋体"/>
          <w:color w:val="auto"/>
          <w:szCs w:val="21"/>
          <w:highlight w:val="none"/>
          <w:u w:val="single"/>
        </w:rPr>
        <w:t xml:space="preserve">   （授权代表名称、职务、职称）    </w:t>
      </w:r>
      <w:r>
        <w:rPr>
          <w:rFonts w:hint="eastAsia" w:ascii="宋体" w:hAnsi="宋体" w:cs="宋体"/>
          <w:color w:val="auto"/>
          <w:szCs w:val="21"/>
          <w:highlight w:val="none"/>
        </w:rPr>
        <w:t xml:space="preserve"> 为本公司授权代表，参加贵方组织的</w:t>
      </w:r>
      <w:r>
        <w:rPr>
          <w:rFonts w:hint="eastAsia" w:ascii="宋体" w:hAnsi="宋体" w:cs="宋体"/>
          <w:color w:val="auto"/>
          <w:szCs w:val="21"/>
          <w:highlight w:val="none"/>
          <w:u w:val="single"/>
        </w:rPr>
        <w:t xml:space="preserve">  项目名称（项目编号）  </w:t>
      </w:r>
      <w:r>
        <w:rPr>
          <w:rFonts w:hint="eastAsia" w:ascii="宋体" w:hAnsi="宋体" w:cs="宋体"/>
          <w:color w:val="auto"/>
          <w:szCs w:val="21"/>
          <w:highlight w:val="none"/>
        </w:rPr>
        <w:t xml:space="preserve"> 竞争性磋商有关活动，进行磋商。为此</w:t>
      </w:r>
      <w:r>
        <w:rPr>
          <w:rFonts w:hint="eastAsia" w:ascii="宋体" w:hAnsi="宋体" w:cs="宋体"/>
          <w:color w:val="auto"/>
          <w:szCs w:val="21"/>
          <w:highlight w:val="none"/>
          <w:lang w:val="zh-CN"/>
        </w:rPr>
        <w:t>承诺如下</w:t>
      </w:r>
      <w:r>
        <w:rPr>
          <w:rFonts w:hint="eastAsia" w:ascii="宋体" w:hAnsi="宋体" w:cs="宋体"/>
          <w:color w:val="auto"/>
          <w:szCs w:val="21"/>
          <w:highlight w:val="none"/>
        </w:rPr>
        <w:t xml:space="preserve">：  </w:t>
      </w:r>
    </w:p>
    <w:p>
      <w:pPr>
        <w:spacing w:line="300" w:lineRule="auto"/>
        <w:rPr>
          <w:rFonts w:hint="eastAsia" w:ascii="宋体" w:hAnsi="宋体" w:cs="宋体"/>
          <w:color w:val="auto"/>
          <w:szCs w:val="21"/>
          <w:highlight w:val="none"/>
          <w:u w:val="single"/>
        </w:rPr>
      </w:pPr>
      <w:r>
        <w:rPr>
          <w:rFonts w:hint="eastAsia" w:ascii="宋体" w:hAnsi="宋体" w:cs="宋体"/>
          <w:color w:val="auto"/>
          <w:szCs w:val="21"/>
          <w:highlight w:val="none"/>
        </w:rPr>
        <w:t xml:space="preserve">    1、 按照磋商文件要求制作并提交规定的电子档加密响应文件1份、备份响应文件1份。</w:t>
      </w:r>
    </w:p>
    <w:p>
      <w:pPr>
        <w:spacing w:line="300" w:lineRule="auto"/>
        <w:rPr>
          <w:rFonts w:hint="eastAsia" w:ascii="宋体" w:hAnsi="宋体" w:cs="宋体"/>
          <w:color w:val="auto"/>
          <w:szCs w:val="21"/>
          <w:highlight w:val="none"/>
        </w:rPr>
      </w:pPr>
      <w:r>
        <w:rPr>
          <w:rFonts w:hint="eastAsia" w:ascii="宋体" w:hAnsi="宋体" w:cs="宋体"/>
          <w:color w:val="auto"/>
          <w:szCs w:val="21"/>
          <w:highlight w:val="none"/>
        </w:rPr>
        <w:t xml:space="preserve">    2、本项目负责人：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；职务：</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；职称：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；联系电话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0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 xml:space="preserve">  3、保证遵守磋商文件中的有关规定和收费标准。</w:t>
      </w:r>
    </w:p>
    <w:p>
      <w:pPr>
        <w:spacing w:line="300" w:lineRule="auto"/>
        <w:rPr>
          <w:rFonts w:hint="eastAsia" w:ascii="宋体" w:hAnsi="宋体" w:cs="宋体"/>
          <w:color w:val="auto"/>
          <w:szCs w:val="21"/>
          <w:highlight w:val="none"/>
        </w:rPr>
      </w:pPr>
      <w:r>
        <w:rPr>
          <w:rFonts w:hint="eastAsia" w:ascii="宋体" w:hAnsi="宋体" w:cs="宋体"/>
          <w:color w:val="auto"/>
          <w:szCs w:val="21"/>
          <w:highlight w:val="none"/>
        </w:rPr>
        <w:t xml:space="preserve">    4、保证严格执行甲、乙双方所签的合同，并承担全部规定的责任义务。</w:t>
      </w:r>
    </w:p>
    <w:p>
      <w:pPr>
        <w:spacing w:line="300" w:lineRule="auto"/>
        <w:rPr>
          <w:rFonts w:hint="eastAsia" w:ascii="宋体" w:hAnsi="宋体" w:cs="宋体"/>
          <w:color w:val="auto"/>
          <w:szCs w:val="21"/>
          <w:highlight w:val="none"/>
        </w:rPr>
      </w:pPr>
      <w:r>
        <w:rPr>
          <w:rFonts w:hint="eastAsia" w:ascii="宋体" w:hAnsi="宋体" w:cs="宋体"/>
          <w:color w:val="auto"/>
          <w:szCs w:val="21"/>
          <w:highlight w:val="none"/>
        </w:rPr>
        <w:t xml:space="preserve">    5、我们已详细审查全部磋商文件，包括磋商补充文件（如果有的话）。我们完全理解并同意放弃对这方面有不明及误解的权力。</w:t>
      </w:r>
    </w:p>
    <w:p>
      <w:pPr>
        <w:spacing w:line="30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 xml:space="preserve">  6、我们已对项目现场进行实地踏勘，充分了解项目要求。</w:t>
      </w:r>
    </w:p>
    <w:p>
      <w:pPr>
        <w:spacing w:line="30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 xml:space="preserve">  7、愿意向贵方提供任何与该项目有关的数据、情况和技术资料，完全理解贵方不一定接受最低价成交的决定。</w:t>
      </w:r>
    </w:p>
    <w:p>
      <w:pPr>
        <w:spacing w:line="30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8、我方承诺已经具备招标文件规定的参加本项目政府采购活动的供应商应当具备的条件：</w:t>
      </w:r>
    </w:p>
    <w:p>
      <w:pPr>
        <w:spacing w:line="30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（1）具有独立承担民事责任的能力；</w:t>
      </w:r>
    </w:p>
    <w:p>
      <w:pPr>
        <w:spacing w:line="30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（2）具有良好的商业信誉和健全的财务会计制度；</w:t>
      </w:r>
    </w:p>
    <w:p>
      <w:pPr>
        <w:spacing w:line="30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（3）具有履行合同所必需的设备和专业技术能力；</w:t>
      </w:r>
    </w:p>
    <w:p>
      <w:pPr>
        <w:spacing w:line="30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（4）有依法缴纳税收和社会保障资金的良好记录；</w:t>
      </w:r>
    </w:p>
    <w:p>
      <w:pPr>
        <w:spacing w:line="30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（5）参加本次政府采购活动前三年内，在经营活动中没有重大违法记录；</w:t>
      </w:r>
    </w:p>
    <w:p>
      <w:pPr>
        <w:spacing w:line="30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（6）至本项目投标截止时间前，我方未列入失信被执行人、重大税收违法案件当事人名单、政府采购严重违法失信行为记录名单；</w:t>
      </w:r>
    </w:p>
    <w:p>
      <w:pPr>
        <w:spacing w:line="30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9、我方承诺：最近三年我方无行贿犯罪行为，若我方成交，愿意接受社会监督和检察院调查。                         </w:t>
      </w:r>
    </w:p>
    <w:p>
      <w:pPr>
        <w:spacing w:line="30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 xml:space="preserve">  10、本文件自磋商之日起 90 天内有效。</w:t>
      </w:r>
    </w:p>
    <w:p>
      <w:pPr>
        <w:spacing w:line="30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11、与本项目有关的一切往来通讯请寄：</w:t>
      </w:r>
    </w:p>
    <w:p>
      <w:pPr>
        <w:spacing w:line="300" w:lineRule="auto"/>
        <w:ind w:firstLine="840" w:firstLineChars="400"/>
        <w:rPr>
          <w:rFonts w:hint="eastAsia"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 xml:space="preserve">                               </w:t>
      </w:r>
    </w:p>
    <w:p>
      <w:pPr>
        <w:spacing w:line="300" w:lineRule="auto"/>
        <w:ind w:firstLine="840" w:firstLineChars="400"/>
        <w:rPr>
          <w:rFonts w:hint="eastAsia" w:ascii="宋体" w:hAnsi="宋体" w:cs="宋体"/>
          <w:color w:val="auto"/>
          <w:szCs w:val="21"/>
          <w:highlight w:val="none"/>
        </w:rPr>
      </w:pPr>
      <w:r>
        <w:rPr>
          <w:rFonts w:hint="eastAsia" w:ascii="宋体" w:hAnsi="宋体" w:cs="宋体"/>
          <w:color w:val="auto"/>
          <w:szCs w:val="21"/>
          <w:highlight w:val="none"/>
        </w:rPr>
        <w:t>邮编：</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电话：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传真：</w:t>
      </w:r>
      <w:r>
        <w:rPr>
          <w:rFonts w:hint="eastAsia" w:ascii="宋体" w:hAnsi="宋体" w:cs="宋体"/>
          <w:color w:val="auto"/>
          <w:szCs w:val="21"/>
          <w:highlight w:val="none"/>
          <w:u w:val="single"/>
        </w:rPr>
        <w:t xml:space="preserve">              </w:t>
      </w:r>
    </w:p>
    <w:p>
      <w:pPr>
        <w:spacing w:before="156" w:beforeLines="50" w:after="156" w:afterLines="50" w:line="360" w:lineRule="auto"/>
        <w:ind w:right="839"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供应商（盖章）：</w:t>
      </w:r>
    </w:p>
    <w:p>
      <w:pPr>
        <w:spacing w:before="156" w:beforeLines="50" w:after="156" w:afterLines="50" w:line="360" w:lineRule="auto"/>
        <w:ind w:right="839" w:firstLine="420" w:firstLineChars="200"/>
        <w:rPr>
          <w:rFonts w:hint="eastAsia" w:ascii="宋体" w:hAnsi="宋体" w:cs="宋体"/>
          <w:color w:val="auto"/>
          <w:szCs w:val="21"/>
          <w:highlight w:val="none"/>
        </w:rPr>
      </w:pPr>
      <w:r>
        <w:rPr>
          <w:rFonts w:hint="eastAsia" w:ascii="宋体" w:hAnsi="宋体" w:cs="宋体"/>
          <w:color w:val="auto"/>
          <w:szCs w:val="21"/>
          <w:highlight w:val="none"/>
        </w:rPr>
        <w:t>授权代表（签字）：</w:t>
      </w:r>
    </w:p>
    <w:p>
      <w:pPr>
        <w:pStyle w:val="15"/>
        <w:spacing w:line="360" w:lineRule="auto"/>
        <w:ind w:right="839" w:firstLine="420" w:firstLineChars="200"/>
        <w:rPr>
          <w:rFonts w:hint="eastAsia" w:cs="宋体"/>
          <w:color w:val="auto"/>
          <w:sz w:val="21"/>
          <w:szCs w:val="21"/>
          <w:highlight w:val="none"/>
        </w:rPr>
      </w:pPr>
      <w:r>
        <w:rPr>
          <w:rFonts w:hint="eastAsia" w:cs="宋体"/>
          <w:color w:val="auto"/>
          <w:sz w:val="21"/>
          <w:szCs w:val="21"/>
          <w:highlight w:val="none"/>
        </w:rPr>
        <w:t xml:space="preserve">日期：     </w:t>
      </w:r>
    </w:p>
    <w:p>
      <w:pPr>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br w:type="page"/>
      </w:r>
    </w:p>
    <w:p>
      <w:pPr>
        <w:spacing w:line="360" w:lineRule="auto"/>
        <w:ind w:firstLine="420" w:firstLineChars="200"/>
        <w:jc w:val="left"/>
        <w:outlineLvl w:val="1"/>
        <w:rPr>
          <w:rFonts w:hint="eastAsia" w:ascii="宋体" w:hAnsi="宋体" w:cs="宋体"/>
          <w:color w:val="auto"/>
          <w:szCs w:val="21"/>
          <w:highlight w:val="none"/>
        </w:rPr>
      </w:pPr>
      <w:r>
        <w:rPr>
          <w:rFonts w:hint="eastAsia" w:ascii="宋体" w:hAnsi="宋体" w:cs="宋体"/>
          <w:color w:val="auto"/>
          <w:szCs w:val="21"/>
          <w:highlight w:val="none"/>
        </w:rPr>
        <w:t>4、法定代表人身份证明书</w:t>
      </w:r>
    </w:p>
    <w:p>
      <w:pPr>
        <w:spacing w:before="156" w:beforeLines="50" w:after="156" w:afterLines="50" w:line="400" w:lineRule="exact"/>
        <w:jc w:val="center"/>
        <w:rPr>
          <w:rFonts w:hint="eastAsia" w:ascii="宋体" w:hAnsi="宋体" w:cs="宋体"/>
          <w:bCs/>
          <w:color w:val="auto"/>
          <w:szCs w:val="21"/>
          <w:highlight w:val="none"/>
        </w:rPr>
      </w:pPr>
    </w:p>
    <w:p>
      <w:pPr>
        <w:spacing w:before="156" w:beforeLines="50" w:after="156" w:afterLines="50" w:line="400" w:lineRule="exact"/>
        <w:jc w:val="center"/>
        <w:rPr>
          <w:rFonts w:hint="eastAsia" w:ascii="宋体" w:hAnsi="宋体" w:cs="宋体"/>
          <w:bCs/>
          <w:color w:val="auto"/>
          <w:szCs w:val="21"/>
          <w:highlight w:val="none"/>
        </w:rPr>
      </w:pPr>
      <w:r>
        <w:rPr>
          <w:rFonts w:hint="eastAsia" w:ascii="宋体" w:hAnsi="宋体" w:cs="宋体"/>
          <w:bCs/>
          <w:color w:val="auto"/>
          <w:szCs w:val="21"/>
          <w:highlight w:val="none"/>
        </w:rPr>
        <w:t>法定代表人身份证明书</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lang w:val="zh-CN"/>
        </w:rPr>
        <w:t>：</w:t>
      </w:r>
    </w:p>
    <w:p>
      <w:pPr>
        <w:spacing w:before="156" w:beforeLines="50" w:after="156" w:afterLines="50" w:line="400" w:lineRule="exact"/>
        <w:rPr>
          <w:rFonts w:hint="eastAsia" w:ascii="宋体" w:hAnsi="宋体" w:cs="宋体"/>
          <w:color w:val="auto"/>
          <w:szCs w:val="21"/>
          <w:highlight w:val="none"/>
          <w:u w:val="single"/>
        </w:rPr>
      </w:pPr>
      <w:r>
        <w:rPr>
          <w:rFonts w:hint="eastAsia" w:ascii="宋体" w:hAnsi="宋体" w:cs="宋体"/>
          <w:bCs/>
          <w:color w:val="auto"/>
          <w:szCs w:val="21"/>
          <w:highlight w:val="none"/>
        </w:rPr>
        <w:t xml:space="preserve">    </w:t>
      </w:r>
      <w:r>
        <w:rPr>
          <w:rFonts w:hint="eastAsia" w:ascii="宋体" w:hAnsi="宋体" w:cs="宋体"/>
          <w:color w:val="auto"/>
          <w:szCs w:val="21"/>
          <w:highlight w:val="none"/>
          <w:u w:val="single"/>
        </w:rPr>
        <w:t xml:space="preserve">  （法定代表人姓名）   </w:t>
      </w:r>
      <w:r>
        <w:rPr>
          <w:rFonts w:hint="eastAsia" w:ascii="宋体" w:hAnsi="宋体" w:cs="宋体"/>
          <w:color w:val="auto"/>
          <w:szCs w:val="21"/>
          <w:highlight w:val="none"/>
        </w:rPr>
        <w:t>系</w:t>
      </w:r>
      <w:r>
        <w:rPr>
          <w:rFonts w:hint="eastAsia" w:ascii="宋体" w:hAnsi="宋体" w:cs="宋体"/>
          <w:color w:val="auto"/>
          <w:szCs w:val="21"/>
          <w:highlight w:val="none"/>
          <w:u w:val="single"/>
        </w:rPr>
        <w:t xml:space="preserve">   （供应商名称）  </w:t>
      </w:r>
      <w:r>
        <w:rPr>
          <w:rFonts w:hint="eastAsia" w:ascii="宋体" w:hAnsi="宋体" w:cs="宋体"/>
          <w:color w:val="auto"/>
          <w:szCs w:val="21"/>
          <w:highlight w:val="none"/>
        </w:rPr>
        <w:t>的法定代表人，性别</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职务</w:t>
      </w:r>
      <w:r>
        <w:rPr>
          <w:rFonts w:hint="eastAsia" w:ascii="宋体" w:hAnsi="宋体" w:cs="宋体"/>
          <w:color w:val="auto"/>
          <w:szCs w:val="21"/>
          <w:highlight w:val="none"/>
          <w:u w:val="single"/>
        </w:rPr>
        <w:t xml:space="preserve">   </w:t>
      </w:r>
    </w:p>
    <w:p>
      <w:pPr>
        <w:spacing w:before="156" w:beforeLines="50" w:after="156" w:afterLines="50" w:line="400" w:lineRule="exact"/>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联系电话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传真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,联系地址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，邮编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          </w:t>
      </w:r>
    </w:p>
    <w:p>
      <w:pPr>
        <w:spacing w:before="156" w:beforeLines="50" w:after="156" w:afterLines="50" w:line="400" w:lineRule="exact"/>
        <w:rPr>
          <w:rFonts w:hint="eastAsia" w:ascii="宋体" w:hAnsi="宋体" w:cs="宋体"/>
          <w:color w:val="auto"/>
          <w:szCs w:val="21"/>
          <w:highlight w:val="none"/>
        </w:rPr>
      </w:pPr>
    </w:p>
    <w:p>
      <w:pPr>
        <w:spacing w:before="156" w:beforeLines="50" w:after="156" w:afterLines="50"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特此证明</w:t>
      </w:r>
    </w:p>
    <w:p>
      <w:pPr>
        <w:spacing w:before="156" w:beforeLines="50" w:after="156" w:afterLines="50" w:line="400" w:lineRule="exact"/>
        <w:jc w:val="right"/>
        <w:rPr>
          <w:rFonts w:hint="eastAsia" w:ascii="宋体" w:hAnsi="宋体" w:cs="宋体"/>
          <w:color w:val="auto"/>
          <w:szCs w:val="21"/>
          <w:highlight w:val="none"/>
        </w:rPr>
      </w:pPr>
    </w:p>
    <w:p>
      <w:pPr>
        <w:spacing w:before="156" w:beforeLines="50" w:after="156" w:afterLines="50" w:line="400" w:lineRule="exact"/>
        <w:jc w:val="right"/>
        <w:rPr>
          <w:rFonts w:hint="eastAsia" w:ascii="宋体" w:hAnsi="宋体" w:cs="宋体"/>
          <w:color w:val="auto"/>
          <w:szCs w:val="21"/>
          <w:highlight w:val="none"/>
        </w:rPr>
      </w:pPr>
      <w:r>
        <w:rPr>
          <w:rFonts w:hint="eastAsia" w:ascii="宋体" w:hAnsi="宋体" w:cs="宋体"/>
          <w:color w:val="auto"/>
          <w:szCs w:val="21"/>
          <w:highlight w:val="none"/>
        </w:rPr>
        <w:t>供应商名称（公章）</w:t>
      </w:r>
    </w:p>
    <w:p>
      <w:pPr>
        <w:wordWrap w:val="0"/>
        <w:spacing w:before="156" w:beforeLines="50" w:after="156" w:afterLines="50" w:line="400" w:lineRule="exact"/>
        <w:jc w:val="right"/>
        <w:rPr>
          <w:rFonts w:hint="eastAsia" w:ascii="宋体" w:hAnsi="宋体" w:cs="宋体"/>
          <w:color w:val="auto"/>
          <w:szCs w:val="21"/>
          <w:highlight w:val="none"/>
        </w:rPr>
      </w:pPr>
      <w:r>
        <w:rPr>
          <w:rFonts w:hint="eastAsia" w:ascii="宋体" w:hAnsi="宋体" w:cs="宋体"/>
          <w:color w:val="auto"/>
          <w:szCs w:val="21"/>
          <w:highlight w:val="none"/>
        </w:rPr>
        <w:t>日期：  年   月  日</w:t>
      </w:r>
    </w:p>
    <w:p>
      <w:pPr>
        <w:spacing w:before="156" w:beforeLines="50" w:after="156" w:afterLines="50" w:line="400" w:lineRule="exact"/>
        <w:rPr>
          <w:rFonts w:hint="eastAsia" w:ascii="宋体" w:hAnsi="宋体" w:cs="宋体"/>
          <w:color w:val="auto"/>
          <w:szCs w:val="21"/>
          <w:highlight w:val="none"/>
        </w:rPr>
      </w:pPr>
      <w:r>
        <w:rPr>
          <w:rFonts w:hint="eastAsia" w:ascii="宋体" w:hAnsi="宋体" w:cs="宋体"/>
          <w:color w:val="auto"/>
          <w:szCs w:val="21"/>
          <w:highlight w:val="none"/>
        </w:rPr>
        <w:t>-------------------------------------------------------------------------------------</w:t>
      </w:r>
    </w:p>
    <w:p>
      <w:pPr>
        <w:spacing w:before="156" w:beforeLines="50" w:after="156" w:afterLines="50"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附法定代表人身份证复印件</w:t>
      </w:r>
    </w:p>
    <w:p>
      <w:pPr>
        <w:spacing w:before="156" w:beforeLines="50" w:after="156" w:afterLines="50" w:line="400" w:lineRule="exact"/>
        <w:rPr>
          <w:rFonts w:hint="eastAsia" w:ascii="宋体" w:hAnsi="宋体" w:cs="宋体"/>
          <w:color w:val="auto"/>
          <w:szCs w:val="21"/>
          <w:highlight w:val="none"/>
        </w:rPr>
      </w:pPr>
      <w:r>
        <w:rPr>
          <w:rFonts w:hint="eastAsia" w:ascii="宋体" w:hAnsi="宋体" w:cs="宋体"/>
          <w:color w:val="auto"/>
          <w:szCs w:val="21"/>
          <w:highlight w:val="none"/>
        </w:rPr>
        <w:t xml:space="preserve">   </w:t>
      </w:r>
    </w:p>
    <w:p>
      <w:pPr>
        <w:spacing w:before="156" w:beforeLines="50" w:after="156" w:afterLines="50" w:line="400" w:lineRule="exact"/>
        <w:rPr>
          <w:rFonts w:hint="eastAsia" w:ascii="宋体" w:hAnsi="宋体" w:cs="宋体"/>
          <w:color w:val="auto"/>
          <w:szCs w:val="21"/>
          <w:highlight w:val="none"/>
        </w:rPr>
      </w:pPr>
    </w:p>
    <w:p>
      <w:pPr>
        <w:spacing w:before="156" w:beforeLines="50" w:after="156" w:afterLines="50" w:line="400" w:lineRule="exact"/>
        <w:rPr>
          <w:rFonts w:hint="eastAsia" w:ascii="宋体" w:hAnsi="宋体" w:cs="宋体"/>
          <w:color w:val="auto"/>
          <w:szCs w:val="21"/>
          <w:highlight w:val="none"/>
        </w:rPr>
      </w:pPr>
    </w:p>
    <w:p>
      <w:pPr>
        <w:spacing w:line="400" w:lineRule="exact"/>
        <w:rPr>
          <w:rFonts w:hint="eastAsia" w:ascii="宋体" w:hAnsi="宋体" w:cs="宋体"/>
          <w:color w:val="auto"/>
          <w:szCs w:val="21"/>
          <w:highlight w:val="none"/>
        </w:rPr>
      </w:pPr>
    </w:p>
    <w:p>
      <w:pPr>
        <w:spacing w:line="400" w:lineRule="exact"/>
        <w:rPr>
          <w:rFonts w:hint="eastAsia" w:ascii="宋体" w:hAnsi="宋体" w:cs="宋体"/>
          <w:color w:val="auto"/>
          <w:szCs w:val="21"/>
          <w:highlight w:val="none"/>
        </w:rPr>
      </w:pPr>
    </w:p>
    <w:p>
      <w:pPr>
        <w:spacing w:line="400" w:lineRule="exact"/>
        <w:rPr>
          <w:rFonts w:hint="eastAsia" w:ascii="宋体" w:hAnsi="宋体" w:cs="宋体"/>
          <w:color w:val="auto"/>
          <w:szCs w:val="21"/>
          <w:highlight w:val="none"/>
        </w:rPr>
      </w:pPr>
    </w:p>
    <w:p>
      <w:pPr>
        <w:spacing w:line="400" w:lineRule="exact"/>
        <w:rPr>
          <w:rFonts w:hint="eastAsia" w:ascii="宋体" w:hAnsi="宋体" w:cs="宋体"/>
          <w:color w:val="auto"/>
          <w:szCs w:val="21"/>
          <w:highlight w:val="none"/>
        </w:rPr>
      </w:pPr>
    </w:p>
    <w:p>
      <w:pPr>
        <w:spacing w:line="400" w:lineRule="exact"/>
        <w:rPr>
          <w:rFonts w:hint="eastAsia" w:ascii="宋体" w:hAnsi="宋体" w:cs="宋体"/>
          <w:color w:val="auto"/>
          <w:szCs w:val="21"/>
          <w:highlight w:val="none"/>
        </w:rPr>
      </w:pPr>
    </w:p>
    <w:p>
      <w:pPr>
        <w:spacing w:line="400" w:lineRule="exact"/>
        <w:rPr>
          <w:rFonts w:hint="eastAsia" w:ascii="宋体" w:hAnsi="宋体" w:cs="宋体"/>
          <w:color w:val="auto"/>
          <w:szCs w:val="21"/>
          <w:highlight w:val="none"/>
        </w:rPr>
      </w:pPr>
    </w:p>
    <w:p>
      <w:pPr>
        <w:spacing w:line="400" w:lineRule="exact"/>
        <w:rPr>
          <w:rFonts w:hint="eastAsia" w:ascii="宋体" w:hAnsi="宋体" w:cs="宋体"/>
          <w:color w:val="auto"/>
          <w:szCs w:val="21"/>
          <w:highlight w:val="none"/>
        </w:rPr>
      </w:pPr>
    </w:p>
    <w:p>
      <w:pPr>
        <w:spacing w:line="400" w:lineRule="exact"/>
        <w:rPr>
          <w:rFonts w:hint="eastAsia" w:ascii="宋体" w:hAnsi="宋体" w:cs="宋体"/>
          <w:color w:val="auto"/>
          <w:szCs w:val="21"/>
          <w:highlight w:val="none"/>
        </w:rPr>
      </w:pPr>
    </w:p>
    <w:p>
      <w:pPr>
        <w:spacing w:line="400" w:lineRule="exact"/>
        <w:rPr>
          <w:rFonts w:hint="eastAsia" w:ascii="宋体" w:hAnsi="宋体" w:cs="宋体"/>
          <w:color w:val="auto"/>
          <w:szCs w:val="21"/>
          <w:highlight w:val="none"/>
        </w:rPr>
      </w:pPr>
    </w:p>
    <w:p>
      <w:pPr>
        <w:spacing w:line="400" w:lineRule="exact"/>
        <w:rPr>
          <w:rFonts w:hint="eastAsia" w:ascii="宋体" w:hAnsi="宋体" w:cs="宋体"/>
          <w:color w:val="auto"/>
          <w:szCs w:val="21"/>
          <w:highlight w:val="none"/>
        </w:rPr>
      </w:pPr>
    </w:p>
    <w:p>
      <w:pPr>
        <w:spacing w:line="400" w:lineRule="exact"/>
        <w:rPr>
          <w:rFonts w:hint="eastAsia" w:ascii="宋体" w:hAnsi="宋体" w:cs="宋体"/>
          <w:color w:val="auto"/>
          <w:szCs w:val="21"/>
          <w:highlight w:val="none"/>
        </w:rPr>
      </w:pPr>
    </w:p>
    <w:p>
      <w:pPr>
        <w:keepNext/>
        <w:pageBreakBefore/>
        <w:spacing w:line="360" w:lineRule="auto"/>
        <w:ind w:firstLine="420" w:firstLineChars="200"/>
        <w:jc w:val="left"/>
        <w:outlineLvl w:val="1"/>
        <w:rPr>
          <w:rFonts w:hint="eastAsia" w:ascii="宋体" w:hAnsi="宋体" w:cs="宋体"/>
          <w:color w:val="auto"/>
          <w:szCs w:val="21"/>
          <w:highlight w:val="none"/>
        </w:rPr>
      </w:pPr>
      <w:r>
        <w:rPr>
          <w:rFonts w:hint="eastAsia" w:ascii="宋体" w:hAnsi="宋体" w:cs="宋体"/>
          <w:color w:val="auto"/>
          <w:szCs w:val="21"/>
          <w:highlight w:val="none"/>
        </w:rPr>
        <w:t>5、法定代表人授权委托书格式</w:t>
      </w:r>
    </w:p>
    <w:p>
      <w:pPr>
        <w:spacing w:before="156" w:beforeLines="50" w:after="156" w:afterLines="50" w:line="400" w:lineRule="exact"/>
        <w:jc w:val="center"/>
        <w:rPr>
          <w:rFonts w:hint="eastAsia" w:ascii="宋体" w:hAnsi="宋体" w:cs="宋体"/>
          <w:bCs/>
          <w:color w:val="auto"/>
          <w:szCs w:val="21"/>
          <w:highlight w:val="none"/>
        </w:rPr>
      </w:pPr>
    </w:p>
    <w:p>
      <w:pPr>
        <w:spacing w:before="156" w:beforeLines="50" w:after="156" w:afterLines="50" w:line="400" w:lineRule="exact"/>
        <w:jc w:val="center"/>
        <w:rPr>
          <w:rFonts w:hint="eastAsia" w:ascii="宋体" w:hAnsi="宋体" w:cs="宋体"/>
          <w:bCs/>
          <w:color w:val="auto"/>
          <w:szCs w:val="21"/>
          <w:highlight w:val="none"/>
        </w:rPr>
      </w:pPr>
      <w:r>
        <w:rPr>
          <w:rFonts w:hint="eastAsia" w:ascii="宋体" w:hAnsi="宋体" w:cs="宋体"/>
          <w:bCs/>
          <w:color w:val="auto"/>
          <w:szCs w:val="21"/>
          <w:highlight w:val="none"/>
        </w:rPr>
        <w:t>法定代表人授权委托书</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lang w:val="zh-CN"/>
        </w:rPr>
        <w:t>：</w:t>
      </w:r>
    </w:p>
    <w:p>
      <w:pPr>
        <w:spacing w:line="360" w:lineRule="auto"/>
        <w:ind w:firstLine="612"/>
        <w:rPr>
          <w:rFonts w:hint="eastAsia" w:ascii="宋体" w:hAnsi="宋体" w:cs="宋体"/>
          <w:color w:val="auto"/>
          <w:szCs w:val="21"/>
          <w:highlight w:val="none"/>
        </w:rPr>
      </w:pPr>
      <w:r>
        <w:rPr>
          <w:rFonts w:hint="eastAsia" w:ascii="宋体" w:hAnsi="宋体" w:cs="宋体"/>
          <w:color w:val="auto"/>
          <w:szCs w:val="21"/>
          <w:highlight w:val="none"/>
        </w:rPr>
        <w:t>本授权委托书声明：我</w:t>
      </w:r>
      <w:r>
        <w:rPr>
          <w:rFonts w:hint="eastAsia" w:ascii="宋体" w:hAnsi="宋体" w:cs="宋体"/>
          <w:color w:val="auto"/>
          <w:szCs w:val="21"/>
          <w:highlight w:val="none"/>
          <w:u w:val="single"/>
        </w:rPr>
        <w:t xml:space="preserve">   （法定代表人姓名）   </w:t>
      </w:r>
      <w:r>
        <w:rPr>
          <w:rFonts w:hint="eastAsia" w:ascii="宋体" w:hAnsi="宋体" w:cs="宋体"/>
          <w:color w:val="auto"/>
          <w:szCs w:val="21"/>
          <w:highlight w:val="none"/>
        </w:rPr>
        <w:t>系</w:t>
      </w:r>
      <w:r>
        <w:rPr>
          <w:rFonts w:hint="eastAsia" w:ascii="宋体" w:hAnsi="宋体" w:cs="宋体"/>
          <w:color w:val="auto"/>
          <w:szCs w:val="21"/>
          <w:highlight w:val="none"/>
          <w:u w:val="single"/>
        </w:rPr>
        <w:t xml:space="preserve">   （供应商）  </w:t>
      </w:r>
      <w:r>
        <w:rPr>
          <w:rFonts w:hint="eastAsia" w:ascii="宋体" w:hAnsi="宋体" w:cs="宋体"/>
          <w:color w:val="auto"/>
          <w:szCs w:val="21"/>
          <w:highlight w:val="none"/>
        </w:rPr>
        <w:t>的法定代表人，现授权委托</w:t>
      </w:r>
      <w:r>
        <w:rPr>
          <w:rFonts w:hint="eastAsia" w:ascii="宋体" w:hAnsi="宋体" w:cs="宋体"/>
          <w:color w:val="auto"/>
          <w:szCs w:val="21"/>
          <w:highlight w:val="none"/>
          <w:u w:val="single"/>
        </w:rPr>
        <w:t xml:space="preserve">（授权代表姓名）  </w:t>
      </w:r>
      <w:r>
        <w:rPr>
          <w:rFonts w:hint="eastAsia" w:ascii="宋体" w:hAnsi="宋体" w:cs="宋体"/>
          <w:color w:val="auto"/>
          <w:szCs w:val="21"/>
          <w:highlight w:val="none"/>
        </w:rPr>
        <w:t xml:space="preserve">为我公司法定代表人授权代表，参加贵处组织的  </w:t>
      </w:r>
      <w:r>
        <w:rPr>
          <w:rFonts w:hint="eastAsia" w:ascii="宋体" w:hAnsi="宋体" w:cs="宋体"/>
          <w:color w:val="auto"/>
          <w:szCs w:val="21"/>
          <w:highlight w:val="none"/>
          <w:u w:val="single"/>
        </w:rPr>
        <w:t xml:space="preserve">项目名称， （项目编号）  </w:t>
      </w:r>
      <w:r>
        <w:rPr>
          <w:rFonts w:hint="eastAsia" w:ascii="宋体" w:hAnsi="宋体" w:cs="宋体"/>
          <w:color w:val="auto"/>
          <w:szCs w:val="21"/>
          <w:highlight w:val="none"/>
        </w:rPr>
        <w:t>项目谈判，全权处理本次谈判活动中的一切事宜，我承认授权代表全权代表我所签署的本项目的响应文件的内容。</w:t>
      </w:r>
    </w:p>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授权代表无转授权，特此授权。</w:t>
      </w:r>
    </w:p>
    <w:p>
      <w:pPr>
        <w:spacing w:line="360" w:lineRule="auto"/>
        <w:ind w:firstLine="420" w:firstLineChars="200"/>
        <w:rPr>
          <w:rFonts w:hint="eastAsia" w:ascii="宋体" w:hAnsi="宋体" w:cs="宋体"/>
          <w:color w:val="auto"/>
          <w:szCs w:val="21"/>
          <w:highlight w:val="none"/>
        </w:rPr>
      </w:pP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授权代表：</w:t>
      </w:r>
      <w:r>
        <w:rPr>
          <w:rFonts w:hint="eastAsia" w:ascii="宋体" w:hAnsi="宋体" w:cs="宋体"/>
          <w:color w:val="auto"/>
          <w:szCs w:val="21"/>
          <w:highlight w:val="none"/>
          <w:u w:val="single"/>
        </w:rPr>
        <w:t xml:space="preserve">   （签字）  </w:t>
      </w:r>
      <w:r>
        <w:rPr>
          <w:rFonts w:hint="eastAsia" w:ascii="宋体" w:hAnsi="宋体" w:cs="宋体"/>
          <w:color w:val="auto"/>
          <w:szCs w:val="21"/>
          <w:highlight w:val="none"/>
        </w:rPr>
        <w:t xml:space="preserve"> 性别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年龄：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职务：</w:t>
      </w:r>
      <w:r>
        <w:rPr>
          <w:rFonts w:hint="eastAsia" w:ascii="宋体" w:hAnsi="宋体" w:cs="宋体"/>
          <w:color w:val="auto"/>
          <w:szCs w:val="21"/>
          <w:highlight w:val="none"/>
          <w:u w:val="single"/>
        </w:rPr>
        <w:t xml:space="preserve">        </w:t>
      </w:r>
    </w:p>
    <w:p>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详细通讯地址：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邮政编码：</w:t>
      </w:r>
      <w:r>
        <w:rPr>
          <w:rFonts w:hint="eastAsia" w:ascii="宋体" w:hAnsi="宋体" w:cs="宋体"/>
          <w:color w:val="auto"/>
          <w:szCs w:val="21"/>
          <w:highlight w:val="none"/>
          <w:u w:val="single"/>
        </w:rPr>
        <w:t xml:space="preserve">           </w:t>
      </w:r>
    </w:p>
    <w:p>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电话：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传真：</w:t>
      </w:r>
      <w:r>
        <w:rPr>
          <w:rFonts w:hint="eastAsia" w:ascii="宋体" w:hAnsi="宋体" w:cs="宋体"/>
          <w:color w:val="auto"/>
          <w:szCs w:val="21"/>
          <w:highlight w:val="none"/>
          <w:u w:val="single"/>
        </w:rPr>
        <w:t xml:space="preserve">                      </w:t>
      </w:r>
    </w:p>
    <w:p>
      <w:pPr>
        <w:ind w:left="1" w:firstLine="403" w:firstLineChars="192"/>
        <w:rPr>
          <w:rFonts w:hint="eastAsia" w:ascii="宋体" w:hAnsi="宋体" w:cs="宋体"/>
          <w:color w:val="auto"/>
          <w:szCs w:val="21"/>
          <w:highlight w:val="none"/>
        </w:rPr>
      </w:pPr>
      <w:r>
        <w:rPr>
          <w:rFonts w:hint="eastAsia" w:ascii="宋体" w:hAnsi="宋体" w:cs="宋体"/>
          <w:color w:val="auto"/>
          <w:szCs w:val="21"/>
          <w:highlight w:val="none"/>
        </w:rPr>
        <w:t xml:space="preserve">   </w:t>
      </w:r>
    </w:p>
    <w:p>
      <w:pPr>
        <w:spacing w:line="360" w:lineRule="auto"/>
        <w:ind w:left="424" w:right="420"/>
        <w:jc w:val="right"/>
        <w:rPr>
          <w:rFonts w:hint="eastAsia" w:ascii="宋体" w:hAnsi="宋体" w:cs="宋体"/>
          <w:color w:val="auto"/>
          <w:szCs w:val="21"/>
          <w:highlight w:val="none"/>
        </w:rPr>
      </w:pPr>
      <w:r>
        <w:rPr>
          <w:rFonts w:hint="eastAsia" w:ascii="宋体" w:hAnsi="宋体" w:cs="宋体"/>
          <w:color w:val="auto"/>
          <w:szCs w:val="21"/>
          <w:highlight w:val="none"/>
        </w:rPr>
        <w:t>供应商名称：（盖章）</w:t>
      </w:r>
      <w:r>
        <w:rPr>
          <w:rFonts w:hint="eastAsia" w:ascii="宋体" w:hAnsi="宋体" w:cs="宋体"/>
          <w:color w:val="auto"/>
          <w:szCs w:val="21"/>
          <w:highlight w:val="none"/>
          <w:u w:val="single"/>
        </w:rPr>
        <w:t xml:space="preserve">                                   </w:t>
      </w:r>
    </w:p>
    <w:p>
      <w:pPr>
        <w:spacing w:line="360" w:lineRule="auto"/>
        <w:ind w:left="424" w:right="420"/>
        <w:jc w:val="right"/>
        <w:rPr>
          <w:rFonts w:hint="eastAsia" w:ascii="宋体" w:hAnsi="宋体" w:cs="宋体"/>
          <w:color w:val="auto"/>
          <w:szCs w:val="21"/>
          <w:highlight w:val="none"/>
        </w:rPr>
      </w:pPr>
      <w:r>
        <w:rPr>
          <w:rFonts w:hint="eastAsia" w:ascii="宋体" w:hAnsi="宋体" w:cs="宋体"/>
          <w:color w:val="auto"/>
          <w:szCs w:val="21"/>
          <w:highlight w:val="none"/>
        </w:rPr>
        <w:t>法定代表人（签字）：</w:t>
      </w:r>
    </w:p>
    <w:p>
      <w:pPr>
        <w:spacing w:line="360" w:lineRule="auto"/>
        <w:ind w:left="424" w:right="420"/>
        <w:jc w:val="right"/>
        <w:rPr>
          <w:rFonts w:hint="eastAsia" w:ascii="宋体" w:hAnsi="宋体" w:cs="宋体"/>
          <w:color w:val="auto"/>
          <w:szCs w:val="21"/>
          <w:highlight w:val="none"/>
        </w:rPr>
      </w:pPr>
      <w:r>
        <w:rPr>
          <w:rFonts w:hint="eastAsia" w:ascii="宋体" w:hAnsi="宋体" w:cs="宋体"/>
          <w:color w:val="auto"/>
          <w:szCs w:val="21"/>
          <w:highlight w:val="none"/>
        </w:rPr>
        <w:t>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年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w:t>
      </w:r>
    </w:p>
    <w:p>
      <w:pPr>
        <w:pStyle w:val="17"/>
        <w:ind w:left="0" w:leftChars="0"/>
        <w:jc w:val="center"/>
        <w:rPr>
          <w:rFonts w:hint="eastAsia" w:ascii="宋体" w:hAnsi="宋体" w:cs="宋体"/>
          <w:color w:val="auto"/>
          <w:szCs w:val="21"/>
          <w:highlight w:val="none"/>
        </w:rPr>
      </w:pPr>
      <w:r>
        <w:rPr>
          <w:rFonts w:hint="eastAsia" w:ascii="宋体" w:hAnsi="宋体" w:cs="宋体"/>
          <w:color w:val="auto"/>
          <w:szCs w:val="21"/>
          <w:highlight w:val="none"/>
        </w:rPr>
        <w:t>授权代表身份证复印件</w:t>
      </w:r>
    </w:p>
    <w:p>
      <w:pPr>
        <w:pStyle w:val="17"/>
        <w:ind w:firstLine="420" w:firstLineChars="200"/>
        <w:rPr>
          <w:rFonts w:hint="eastAsia" w:ascii="宋体" w:hAnsi="宋体" w:cs="宋体"/>
          <w:color w:val="auto"/>
          <w:szCs w:val="21"/>
          <w:highlight w:val="none"/>
        </w:rPr>
      </w:pPr>
    </w:p>
    <w:p>
      <w:pPr>
        <w:spacing w:line="400" w:lineRule="exact"/>
        <w:jc w:val="left"/>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spacing w:line="400" w:lineRule="exact"/>
        <w:jc w:val="left"/>
        <w:rPr>
          <w:rFonts w:hint="eastAsia" w:ascii="宋体" w:hAnsi="宋体" w:cs="宋体"/>
          <w:color w:val="auto"/>
          <w:szCs w:val="21"/>
          <w:highlight w:val="none"/>
        </w:rPr>
      </w:pPr>
    </w:p>
    <w:p>
      <w:pPr>
        <w:keepNext/>
        <w:pageBreakBefore/>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6、中小企业声明函格式</w:t>
      </w:r>
    </w:p>
    <w:p>
      <w:pPr>
        <w:widowControl/>
        <w:spacing w:line="360" w:lineRule="auto"/>
        <w:jc w:val="center"/>
        <w:rPr>
          <w:rFonts w:hint="eastAsia" w:ascii="宋体" w:hAnsi="宋体" w:cs="宋体"/>
          <w:b/>
          <w:color w:val="auto"/>
          <w:kern w:val="0"/>
          <w:szCs w:val="21"/>
          <w:highlight w:val="none"/>
          <w:lang w:bidi="ar"/>
        </w:rPr>
      </w:pPr>
    </w:p>
    <w:p>
      <w:pPr>
        <w:widowControl/>
        <w:spacing w:line="360" w:lineRule="auto"/>
        <w:jc w:val="center"/>
        <w:rPr>
          <w:rFonts w:hint="eastAsia" w:ascii="宋体" w:hAnsi="宋体" w:cs="宋体"/>
          <w:color w:val="auto"/>
          <w:szCs w:val="21"/>
          <w:highlight w:val="none"/>
        </w:rPr>
      </w:pPr>
      <w:r>
        <w:rPr>
          <w:rFonts w:hint="eastAsia" w:ascii="宋体" w:hAnsi="宋体" w:cs="宋体"/>
          <w:b/>
          <w:bCs/>
          <w:color w:val="auto"/>
          <w:kern w:val="0"/>
          <w:szCs w:val="21"/>
          <w:highlight w:val="none"/>
          <w:lang w:bidi="ar"/>
        </w:rPr>
        <w:t>中小企业声明函（工程、服务）</w:t>
      </w:r>
    </w:p>
    <w:p>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本公司（联合体）郑重声明，根据《政府采购促进中小企业发展管理办法》（财库﹝2020﹞46 号）的规定，本公司（联合体）参加</w:t>
      </w:r>
      <w:r>
        <w:rPr>
          <w:rFonts w:hint="eastAsia" w:ascii="宋体" w:hAnsi="宋体" w:cs="宋体"/>
          <w:color w:val="auto"/>
          <w:kern w:val="0"/>
          <w:szCs w:val="21"/>
          <w:highlight w:val="none"/>
          <w:u w:val="single"/>
          <w:lang w:bidi="ar"/>
        </w:rPr>
        <w:t>（单位名称）</w:t>
      </w:r>
      <w:r>
        <w:rPr>
          <w:rFonts w:hint="eastAsia" w:ascii="宋体" w:hAnsi="宋体" w:cs="宋体"/>
          <w:color w:val="auto"/>
          <w:kern w:val="0"/>
          <w:szCs w:val="21"/>
          <w:highlight w:val="none"/>
          <w:lang w:bidi="ar"/>
        </w:rPr>
        <w:t>的</w:t>
      </w:r>
      <w:r>
        <w:rPr>
          <w:rFonts w:hint="eastAsia" w:ascii="宋体" w:hAnsi="宋体" w:cs="宋体"/>
          <w:color w:val="auto"/>
          <w:kern w:val="0"/>
          <w:szCs w:val="21"/>
          <w:highlight w:val="none"/>
          <w:u w:val="single"/>
          <w:lang w:bidi="ar"/>
        </w:rPr>
        <w:t>（项目名称）</w:t>
      </w:r>
      <w:r>
        <w:rPr>
          <w:rFonts w:hint="eastAsia" w:ascii="宋体" w:hAnsi="宋体" w:cs="宋体"/>
          <w:color w:val="auto"/>
          <w:kern w:val="0"/>
          <w:szCs w:val="21"/>
          <w:highlight w:val="none"/>
          <w:lang w:bidi="ar"/>
        </w:rPr>
        <w:t>采购活动，工程的施工单位全部为符合政策要求的中小企业（或者：服务全部由符合政策要求的中小企业承接）。相关企业（含联合体中的中小企业、签订分包意向协议的中小企业）的具体情况如下：</w:t>
      </w:r>
    </w:p>
    <w:p>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1.</w:t>
      </w:r>
      <w:r>
        <w:rPr>
          <w:rFonts w:hint="eastAsia" w:ascii="宋体" w:hAnsi="宋体" w:cs="宋体"/>
          <w:color w:val="auto"/>
          <w:kern w:val="0"/>
          <w:szCs w:val="21"/>
          <w:highlight w:val="none"/>
          <w:u w:val="single"/>
          <w:lang w:bidi="ar"/>
        </w:rPr>
        <w:t>（标的名称）</w:t>
      </w:r>
      <w:r>
        <w:rPr>
          <w:rFonts w:hint="eastAsia" w:ascii="宋体" w:hAnsi="宋体" w:cs="宋体"/>
          <w:color w:val="auto"/>
          <w:kern w:val="0"/>
          <w:szCs w:val="21"/>
          <w:highlight w:val="none"/>
          <w:lang w:bidi="ar"/>
        </w:rPr>
        <w:t>，属于</w:t>
      </w:r>
      <w:r>
        <w:rPr>
          <w:rFonts w:hint="eastAsia" w:ascii="宋体" w:hAnsi="宋体" w:cs="宋体"/>
          <w:b w:val="0"/>
          <w:bCs/>
          <w:color w:val="auto"/>
          <w:kern w:val="0"/>
          <w:sz w:val="24"/>
          <w:highlight w:val="none"/>
          <w:shd w:val="pct10" w:color="auto" w:fill="FFFFFF"/>
          <w:lang w:val="en-US" w:eastAsia="zh-CN" w:bidi="ar"/>
        </w:rPr>
        <w:t xml:space="preserve"> 其他未列明行业</w:t>
      </w:r>
      <w:r>
        <w:rPr>
          <w:rFonts w:hint="eastAsia" w:ascii="宋体" w:hAnsi="宋体" w:cs="宋体"/>
          <w:color w:val="auto"/>
          <w:kern w:val="0"/>
          <w:szCs w:val="21"/>
          <w:highlight w:val="none"/>
          <w:lang w:bidi="ar"/>
        </w:rPr>
        <w:t>；承建（承接）企业为</w:t>
      </w:r>
      <w:r>
        <w:rPr>
          <w:rFonts w:hint="eastAsia" w:ascii="宋体" w:hAnsi="宋体" w:cs="宋体"/>
          <w:color w:val="auto"/>
          <w:kern w:val="0"/>
          <w:szCs w:val="21"/>
          <w:highlight w:val="none"/>
          <w:u w:val="single"/>
          <w:lang w:bidi="ar"/>
        </w:rPr>
        <w:t>（企业名称）</w:t>
      </w:r>
      <w:r>
        <w:rPr>
          <w:rFonts w:hint="eastAsia" w:ascii="宋体" w:hAnsi="宋体" w:cs="宋体"/>
          <w:color w:val="auto"/>
          <w:kern w:val="0"/>
          <w:szCs w:val="21"/>
          <w:highlight w:val="none"/>
          <w:lang w:bidi="ar"/>
        </w:rPr>
        <w:t>，从业人员</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人，营业收入为</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万元，资产总额为</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万元，属于</w:t>
      </w:r>
      <w:r>
        <w:rPr>
          <w:rFonts w:hint="eastAsia" w:ascii="宋体" w:hAnsi="宋体" w:cs="宋体"/>
          <w:color w:val="auto"/>
          <w:kern w:val="0"/>
          <w:szCs w:val="21"/>
          <w:highlight w:val="none"/>
          <w:u w:val="single"/>
          <w:lang w:bidi="ar"/>
        </w:rPr>
        <w:t>（中型企业、 小型企业、微型企业）</w:t>
      </w:r>
      <w:r>
        <w:rPr>
          <w:rFonts w:hint="eastAsia" w:ascii="宋体" w:hAnsi="宋体" w:cs="宋体"/>
          <w:color w:val="auto"/>
          <w:kern w:val="0"/>
          <w:szCs w:val="21"/>
          <w:highlight w:val="none"/>
          <w:lang w:bidi="ar"/>
        </w:rPr>
        <w:t xml:space="preserve">； </w:t>
      </w:r>
    </w:p>
    <w:p>
      <w:pPr>
        <w:widowControl/>
        <w:spacing w:line="360" w:lineRule="auto"/>
        <w:ind w:firstLine="420" w:firstLineChars="200"/>
        <w:jc w:val="left"/>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w:t>
      </w:r>
      <w:r>
        <w:rPr>
          <w:rFonts w:hint="eastAsia" w:ascii="宋体" w:hAnsi="宋体" w:cs="宋体"/>
          <w:color w:val="auto"/>
          <w:kern w:val="0"/>
          <w:szCs w:val="21"/>
          <w:highlight w:val="none"/>
          <w:u w:val="single"/>
          <w:lang w:bidi="ar"/>
        </w:rPr>
        <w:t>（标的名称）</w:t>
      </w:r>
      <w:r>
        <w:rPr>
          <w:rFonts w:hint="eastAsia" w:ascii="宋体" w:hAnsi="宋体" w:cs="宋体"/>
          <w:color w:val="auto"/>
          <w:kern w:val="0"/>
          <w:szCs w:val="21"/>
          <w:highlight w:val="none"/>
          <w:lang w:bidi="ar"/>
        </w:rPr>
        <w:t>，属于</w:t>
      </w:r>
      <w:r>
        <w:rPr>
          <w:rFonts w:hint="eastAsia" w:ascii="宋体" w:hAnsi="宋体" w:cs="宋体"/>
          <w:b w:val="0"/>
          <w:bCs/>
          <w:color w:val="auto"/>
          <w:kern w:val="0"/>
          <w:sz w:val="24"/>
          <w:highlight w:val="none"/>
          <w:shd w:val="pct10" w:color="auto" w:fill="FFFFFF"/>
          <w:lang w:val="en-US" w:eastAsia="zh-CN" w:bidi="ar"/>
        </w:rPr>
        <w:t xml:space="preserve"> </w:t>
      </w:r>
      <w:r>
        <w:rPr>
          <w:rFonts w:hint="eastAsia" w:ascii="宋体" w:hAnsi="宋体" w:cs="宋体"/>
          <w:color w:val="auto"/>
          <w:kern w:val="0"/>
          <w:szCs w:val="21"/>
          <w:highlight w:val="none"/>
          <w:lang w:bidi="ar"/>
        </w:rPr>
        <w:t>；承建（承接）企业为</w:t>
      </w:r>
      <w:r>
        <w:rPr>
          <w:rFonts w:hint="eastAsia" w:ascii="宋体" w:hAnsi="宋体" w:cs="宋体"/>
          <w:color w:val="auto"/>
          <w:kern w:val="0"/>
          <w:szCs w:val="21"/>
          <w:highlight w:val="none"/>
          <w:u w:val="single"/>
          <w:lang w:bidi="ar"/>
        </w:rPr>
        <w:t>（企业名称）</w:t>
      </w:r>
      <w:r>
        <w:rPr>
          <w:rFonts w:hint="eastAsia" w:ascii="宋体" w:hAnsi="宋体" w:cs="宋体"/>
          <w:color w:val="auto"/>
          <w:kern w:val="0"/>
          <w:szCs w:val="21"/>
          <w:highlight w:val="none"/>
          <w:lang w:bidi="ar"/>
        </w:rPr>
        <w:t>，从业人员</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人，营业收入为</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万元，资产总额为</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万元，属于</w:t>
      </w:r>
      <w:r>
        <w:rPr>
          <w:rFonts w:hint="eastAsia" w:ascii="宋体" w:hAnsi="宋体" w:cs="宋体"/>
          <w:color w:val="auto"/>
          <w:kern w:val="0"/>
          <w:szCs w:val="21"/>
          <w:highlight w:val="none"/>
          <w:u w:val="single"/>
          <w:lang w:bidi="ar"/>
        </w:rPr>
        <w:t>（中型企业、 小型企业、微型企业）</w:t>
      </w:r>
      <w:r>
        <w:rPr>
          <w:rFonts w:hint="eastAsia" w:ascii="宋体" w:hAnsi="宋体" w:cs="宋体"/>
          <w:color w:val="auto"/>
          <w:kern w:val="0"/>
          <w:szCs w:val="21"/>
          <w:highlight w:val="none"/>
          <w:lang w:bidi="ar"/>
        </w:rPr>
        <w:t xml:space="preserve">； </w:t>
      </w:r>
    </w:p>
    <w:p>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w:t>
      </w:r>
    </w:p>
    <w:p>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以上企业，不属于大企业的分支机构，不存在控股股东为大企业的情形，也不存在与大企业的负责人为同一人的情形。</w:t>
      </w:r>
    </w:p>
    <w:p>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本企业对上述声明内容的真实性负责。如有虚假，将依法承担相应责任。 </w:t>
      </w:r>
    </w:p>
    <w:p>
      <w:pPr>
        <w:widowControl/>
        <w:spacing w:line="360" w:lineRule="auto"/>
        <w:ind w:firstLine="420" w:firstLineChars="200"/>
        <w:jc w:val="right"/>
        <w:rPr>
          <w:rFonts w:hint="eastAsia" w:ascii="宋体" w:hAnsi="宋体" w:cs="宋体"/>
          <w:color w:val="auto"/>
          <w:kern w:val="0"/>
          <w:szCs w:val="21"/>
          <w:highlight w:val="none"/>
          <w:lang w:bidi="ar"/>
        </w:rPr>
      </w:pPr>
    </w:p>
    <w:p>
      <w:pPr>
        <w:widowControl/>
        <w:spacing w:line="360" w:lineRule="auto"/>
        <w:ind w:firstLine="420" w:firstLineChars="200"/>
        <w:jc w:val="right"/>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企业名称（盖章）： </w:t>
      </w:r>
    </w:p>
    <w:p>
      <w:pPr>
        <w:widowControl/>
        <w:spacing w:line="360" w:lineRule="auto"/>
        <w:ind w:firstLine="420" w:firstLineChars="200"/>
        <w:jc w:val="right"/>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日 期：  </w:t>
      </w:r>
    </w:p>
    <w:p>
      <w:pPr>
        <w:widowControl/>
        <w:spacing w:line="400" w:lineRule="exact"/>
        <w:jc w:val="left"/>
        <w:rPr>
          <w:rFonts w:hint="eastAsia" w:ascii="宋体" w:hAnsi="宋体" w:cs="宋体"/>
          <w:color w:val="auto"/>
          <w:kern w:val="0"/>
          <w:szCs w:val="21"/>
          <w:highlight w:val="none"/>
          <w:lang w:bidi="ar"/>
        </w:rPr>
      </w:pPr>
    </w:p>
    <w:p>
      <w:pPr>
        <w:widowControl/>
        <w:spacing w:line="400" w:lineRule="exact"/>
        <w:jc w:val="left"/>
        <w:rPr>
          <w:rFonts w:hint="eastAsia" w:ascii="宋体" w:hAnsi="宋体" w:cs="宋体"/>
          <w:color w:val="auto"/>
          <w:kern w:val="0"/>
          <w:szCs w:val="21"/>
          <w:highlight w:val="none"/>
          <w:lang w:bidi="ar"/>
        </w:rPr>
      </w:pPr>
    </w:p>
    <w:p>
      <w:pPr>
        <w:widowControl/>
        <w:spacing w:line="360" w:lineRule="auto"/>
        <w:ind w:firstLine="420" w:firstLineChars="200"/>
        <w:jc w:val="left"/>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说明：</w:t>
      </w:r>
    </w:p>
    <w:p>
      <w:pPr>
        <w:widowControl/>
        <w:spacing w:line="400" w:lineRule="exact"/>
        <w:ind w:firstLine="420" w:firstLineChars="200"/>
        <w:jc w:val="left"/>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1、从业人员、营业收入、资产总额填报上一年度数据，无上一年度数据的新成立企业可不填报。为本项目提供服务的企业按照《关于印发中小企业划型标准规定的通知》（工信部联企业〔2011〕300 号）的所属行业分类为</w:t>
      </w:r>
      <w:r>
        <w:rPr>
          <w:rFonts w:hint="eastAsia" w:ascii="宋体" w:hAnsi="宋体" w:cs="宋体"/>
          <w:b/>
          <w:color w:val="auto"/>
          <w:kern w:val="0"/>
          <w:sz w:val="24"/>
          <w:highlight w:val="none"/>
          <w:shd w:val="pct10" w:color="auto" w:fill="FFFFFF"/>
          <w:lang w:val="en-US" w:eastAsia="zh-CN" w:bidi="ar"/>
        </w:rPr>
        <w:t xml:space="preserve"> </w:t>
      </w:r>
      <w:r>
        <w:rPr>
          <w:rFonts w:hint="eastAsia" w:ascii="宋体" w:hAnsi="宋体" w:cs="宋体"/>
          <w:color w:val="auto"/>
          <w:kern w:val="0"/>
          <w:szCs w:val="21"/>
          <w:highlight w:val="none"/>
          <w:lang w:bidi="ar"/>
        </w:rPr>
        <w:t>（任选其一填写）。</w:t>
      </w:r>
    </w:p>
    <w:p>
      <w:pPr>
        <w:pStyle w:val="4"/>
        <w:spacing w:before="0" w:beforeLines="0" w:after="0" w:afterLines="0" w:line="400" w:lineRule="exact"/>
        <w:ind w:firstLine="420" w:firstLineChars="200"/>
        <w:jc w:val="left"/>
        <w:rPr>
          <w:rFonts w:hint="eastAsia" w:ascii="宋体" w:hAnsi="宋体" w:cs="宋体"/>
          <w:b w:val="0"/>
          <w:bCs w:val="0"/>
          <w:color w:val="auto"/>
          <w:kern w:val="0"/>
          <w:sz w:val="21"/>
          <w:szCs w:val="21"/>
          <w:highlight w:val="none"/>
          <w:lang w:bidi="ar"/>
        </w:rPr>
      </w:pPr>
      <w:r>
        <w:rPr>
          <w:rFonts w:hint="eastAsia" w:ascii="宋体" w:hAnsi="宋体" w:cs="宋体"/>
          <w:b w:val="0"/>
          <w:bCs w:val="0"/>
          <w:color w:val="auto"/>
          <w:kern w:val="0"/>
          <w:sz w:val="21"/>
          <w:szCs w:val="21"/>
          <w:highlight w:val="none"/>
          <w:lang w:bidi="ar"/>
        </w:rPr>
        <w:t>2、供应商必须如实且规范填写本表格。如供应商提供的服务非中小企业的，资格审查不通过，投标无效；</w:t>
      </w:r>
    </w:p>
    <w:p>
      <w:pPr>
        <w:spacing w:line="400" w:lineRule="exact"/>
        <w:ind w:firstLine="420" w:firstLineChars="200"/>
        <w:jc w:val="left"/>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3、</w:t>
      </w:r>
      <w:r>
        <w:rPr>
          <w:rStyle w:val="33"/>
          <w:rFonts w:hint="eastAsia" w:ascii="宋体" w:hAnsi="宋体" w:cs="宋体"/>
          <w:b w:val="0"/>
          <w:color w:val="auto"/>
          <w:kern w:val="0"/>
          <w:szCs w:val="21"/>
          <w:highlight w:val="none"/>
          <w:lang w:bidi="ar"/>
        </w:rPr>
        <w:t>中小企业划分为中型、小型、微型三种类型，具体标准根据企业从业人员、营业收入、资产总额等指标，结合行业特点制定。各行业划型标准为：</w:t>
      </w:r>
    </w:p>
    <w:p>
      <w:pPr>
        <w:pStyle w:val="26"/>
        <w:shd w:val="clear" w:color="auto" w:fill="FFFFFF"/>
        <w:spacing w:before="0" w:beforeAutospacing="0" w:after="0" w:afterAutospacing="0" w:line="360" w:lineRule="auto"/>
        <w:ind w:firstLine="422" w:firstLineChars="200"/>
        <w:rPr>
          <w:rFonts w:hint="eastAsia" w:ascii="宋体" w:hAnsi="宋体" w:eastAsia="宋体" w:cs="宋体"/>
          <w:color w:val="auto"/>
          <w:sz w:val="21"/>
          <w:szCs w:val="21"/>
          <w:highlight w:val="none"/>
        </w:rPr>
      </w:pPr>
      <w:r>
        <w:rPr>
          <w:rStyle w:val="33"/>
          <w:rFonts w:hint="eastAsia" w:ascii="宋体" w:hAnsi="宋体" w:eastAsia="宋体" w:cs="宋体"/>
          <w:color w:val="auto"/>
          <w:sz w:val="21"/>
          <w:szCs w:val="21"/>
          <w:highlight w:val="none"/>
          <w:shd w:val="clear" w:color="auto" w:fill="FFFFFF"/>
        </w:rPr>
        <w:t>（一）农、林、牧、渔业</w:t>
      </w:r>
    </w:p>
    <w:p>
      <w:pPr>
        <w:pStyle w:val="26"/>
        <w:shd w:val="clear" w:color="auto" w:fill="FFFFFF"/>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营业收入20000万元以下的为中小微型企业。其中，营业收入500万元及以上的为中型企业，营业收入50万元及以上的为小型企业，营业收入50万元以下的为微型企业。</w:t>
      </w:r>
    </w:p>
    <w:p>
      <w:pPr>
        <w:pStyle w:val="26"/>
        <w:shd w:val="clear" w:color="auto" w:fill="FFFFFF"/>
        <w:spacing w:before="0" w:beforeAutospacing="0" w:after="0" w:afterAutospacing="0" w:line="360" w:lineRule="auto"/>
        <w:ind w:firstLine="422" w:firstLineChars="200"/>
        <w:rPr>
          <w:rFonts w:hint="eastAsia" w:ascii="宋体" w:hAnsi="宋体" w:eastAsia="宋体" w:cs="宋体"/>
          <w:color w:val="auto"/>
          <w:sz w:val="21"/>
          <w:szCs w:val="21"/>
          <w:highlight w:val="none"/>
        </w:rPr>
      </w:pPr>
      <w:r>
        <w:rPr>
          <w:rStyle w:val="33"/>
          <w:rFonts w:hint="eastAsia" w:ascii="宋体" w:hAnsi="宋体" w:eastAsia="宋体" w:cs="宋体"/>
          <w:color w:val="auto"/>
          <w:sz w:val="21"/>
          <w:szCs w:val="21"/>
          <w:highlight w:val="none"/>
          <w:shd w:val="clear" w:color="auto" w:fill="FFFFFF"/>
        </w:rPr>
        <w:t>（二）工业</w:t>
      </w:r>
    </w:p>
    <w:p>
      <w:pPr>
        <w:pStyle w:val="26"/>
        <w:shd w:val="clear" w:color="auto" w:fill="FFFFFF"/>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26"/>
        <w:shd w:val="clear" w:color="auto" w:fill="FFFFFF"/>
        <w:spacing w:before="0" w:beforeAutospacing="0" w:after="0" w:afterAutospacing="0" w:line="360" w:lineRule="auto"/>
        <w:ind w:firstLine="422" w:firstLineChars="200"/>
        <w:rPr>
          <w:rFonts w:hint="eastAsia" w:ascii="宋体" w:hAnsi="宋体" w:eastAsia="宋体" w:cs="宋体"/>
          <w:color w:val="auto"/>
          <w:sz w:val="21"/>
          <w:szCs w:val="21"/>
          <w:highlight w:val="none"/>
        </w:rPr>
      </w:pPr>
      <w:r>
        <w:rPr>
          <w:rStyle w:val="33"/>
          <w:rFonts w:hint="eastAsia" w:ascii="宋体" w:hAnsi="宋体" w:eastAsia="宋体" w:cs="宋体"/>
          <w:color w:val="auto"/>
          <w:sz w:val="21"/>
          <w:szCs w:val="21"/>
          <w:highlight w:val="none"/>
          <w:shd w:val="clear" w:color="auto" w:fill="FFFFFF"/>
        </w:rPr>
        <w:t>（三）建筑业</w:t>
      </w:r>
    </w:p>
    <w:p>
      <w:pPr>
        <w:pStyle w:val="26"/>
        <w:shd w:val="clear" w:color="auto" w:fill="FFFFFF"/>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26"/>
        <w:shd w:val="clear" w:color="auto" w:fill="FFFFFF"/>
        <w:spacing w:before="0" w:beforeAutospacing="0" w:after="0" w:afterAutospacing="0" w:line="360" w:lineRule="auto"/>
        <w:ind w:firstLine="422" w:firstLineChars="200"/>
        <w:rPr>
          <w:rFonts w:hint="eastAsia" w:ascii="宋体" w:hAnsi="宋体" w:eastAsia="宋体" w:cs="宋体"/>
          <w:color w:val="auto"/>
          <w:sz w:val="21"/>
          <w:szCs w:val="21"/>
          <w:highlight w:val="none"/>
        </w:rPr>
      </w:pPr>
      <w:r>
        <w:rPr>
          <w:rStyle w:val="33"/>
          <w:rFonts w:hint="eastAsia" w:ascii="宋体" w:hAnsi="宋体" w:eastAsia="宋体" w:cs="宋体"/>
          <w:color w:val="auto"/>
          <w:sz w:val="21"/>
          <w:szCs w:val="21"/>
          <w:highlight w:val="none"/>
          <w:shd w:val="clear" w:color="auto" w:fill="FFFFFF"/>
        </w:rPr>
        <w:t>（四）批发业</w:t>
      </w:r>
    </w:p>
    <w:p>
      <w:pPr>
        <w:pStyle w:val="26"/>
        <w:shd w:val="clear" w:color="auto" w:fill="FFFFFF"/>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26"/>
        <w:shd w:val="clear" w:color="auto" w:fill="FFFFFF"/>
        <w:spacing w:before="0" w:beforeAutospacing="0" w:after="0" w:afterAutospacing="0" w:line="360" w:lineRule="auto"/>
        <w:ind w:firstLine="422" w:firstLineChars="200"/>
        <w:rPr>
          <w:rFonts w:hint="eastAsia" w:ascii="宋体" w:hAnsi="宋体" w:eastAsia="宋体" w:cs="宋体"/>
          <w:color w:val="auto"/>
          <w:sz w:val="21"/>
          <w:szCs w:val="21"/>
          <w:highlight w:val="none"/>
        </w:rPr>
      </w:pPr>
      <w:r>
        <w:rPr>
          <w:rStyle w:val="33"/>
          <w:rFonts w:hint="eastAsia" w:ascii="宋体" w:hAnsi="宋体" w:eastAsia="宋体" w:cs="宋体"/>
          <w:color w:val="auto"/>
          <w:sz w:val="21"/>
          <w:szCs w:val="21"/>
          <w:highlight w:val="none"/>
          <w:shd w:val="clear" w:color="auto" w:fill="FFFFFF"/>
        </w:rPr>
        <w:t>（五）零售业</w:t>
      </w:r>
    </w:p>
    <w:p>
      <w:pPr>
        <w:pStyle w:val="26"/>
        <w:shd w:val="clear" w:color="auto" w:fill="FFFFFF"/>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26"/>
        <w:shd w:val="clear" w:color="auto" w:fill="FFFFFF"/>
        <w:spacing w:before="0" w:beforeAutospacing="0" w:after="0" w:afterAutospacing="0" w:line="360" w:lineRule="auto"/>
        <w:ind w:firstLine="422" w:firstLineChars="200"/>
        <w:rPr>
          <w:rFonts w:hint="eastAsia" w:ascii="宋体" w:hAnsi="宋体" w:eastAsia="宋体" w:cs="宋体"/>
          <w:color w:val="auto"/>
          <w:sz w:val="21"/>
          <w:szCs w:val="21"/>
          <w:highlight w:val="none"/>
        </w:rPr>
      </w:pPr>
      <w:r>
        <w:rPr>
          <w:rStyle w:val="33"/>
          <w:rFonts w:hint="eastAsia" w:ascii="宋体" w:hAnsi="宋体" w:eastAsia="宋体" w:cs="宋体"/>
          <w:color w:val="auto"/>
          <w:sz w:val="21"/>
          <w:szCs w:val="21"/>
          <w:highlight w:val="none"/>
          <w:shd w:val="clear" w:color="auto" w:fill="FFFFFF"/>
        </w:rPr>
        <w:t>（六）交通运输业</w:t>
      </w:r>
    </w:p>
    <w:p>
      <w:pPr>
        <w:pStyle w:val="26"/>
        <w:shd w:val="clear" w:color="auto" w:fill="FFFFFF"/>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从业人员1000人以下或营业收入30000万元以下的为中小微型企业。</w:t>
      </w:r>
    </w:p>
    <w:p>
      <w:pPr>
        <w:pStyle w:val="26"/>
        <w:shd w:val="clear" w:color="auto" w:fill="FFFFFF"/>
        <w:spacing w:before="0" w:beforeAutospacing="0" w:after="0" w:afterAutospacing="0" w:line="360" w:lineRule="auto"/>
        <w:ind w:firstLine="422" w:firstLineChars="200"/>
        <w:rPr>
          <w:rFonts w:hint="eastAsia" w:ascii="宋体" w:hAnsi="宋体" w:eastAsia="宋体" w:cs="宋体"/>
          <w:color w:val="auto"/>
          <w:sz w:val="21"/>
          <w:szCs w:val="21"/>
          <w:highlight w:val="none"/>
        </w:rPr>
      </w:pPr>
      <w:r>
        <w:rPr>
          <w:rStyle w:val="33"/>
          <w:rFonts w:hint="eastAsia" w:ascii="宋体" w:hAnsi="宋体" w:eastAsia="宋体" w:cs="宋体"/>
          <w:color w:val="auto"/>
          <w:sz w:val="21"/>
          <w:szCs w:val="21"/>
          <w:highlight w:val="none"/>
          <w:shd w:val="clear" w:color="auto" w:fill="FFFFFF"/>
        </w:rPr>
        <w:t>（七）仓储业</w:t>
      </w:r>
    </w:p>
    <w:p>
      <w:pPr>
        <w:pStyle w:val="26"/>
        <w:shd w:val="clear" w:color="auto" w:fill="FFFFFF"/>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26"/>
        <w:shd w:val="clear" w:color="auto" w:fill="FFFFFF"/>
        <w:spacing w:before="0" w:beforeAutospacing="0" w:after="0" w:afterAutospacing="0" w:line="360" w:lineRule="auto"/>
        <w:ind w:firstLine="422" w:firstLineChars="200"/>
        <w:rPr>
          <w:rFonts w:hint="eastAsia" w:ascii="宋体" w:hAnsi="宋体" w:eastAsia="宋体" w:cs="宋体"/>
          <w:color w:val="auto"/>
          <w:sz w:val="21"/>
          <w:szCs w:val="21"/>
          <w:highlight w:val="none"/>
        </w:rPr>
      </w:pPr>
      <w:r>
        <w:rPr>
          <w:rStyle w:val="33"/>
          <w:rFonts w:hint="eastAsia" w:ascii="宋体" w:hAnsi="宋体" w:eastAsia="宋体" w:cs="宋体"/>
          <w:color w:val="auto"/>
          <w:sz w:val="21"/>
          <w:szCs w:val="21"/>
          <w:highlight w:val="none"/>
          <w:shd w:val="clear" w:color="auto" w:fill="FFFFFF"/>
        </w:rPr>
        <w:t>（八）邮政业</w:t>
      </w:r>
    </w:p>
    <w:p>
      <w:pPr>
        <w:pStyle w:val="26"/>
        <w:shd w:val="clear" w:color="auto" w:fill="FFFFFF"/>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26"/>
        <w:shd w:val="clear" w:color="auto" w:fill="FFFFFF"/>
        <w:spacing w:before="0" w:beforeAutospacing="0" w:after="0" w:afterAutospacing="0" w:line="360" w:lineRule="auto"/>
        <w:ind w:firstLine="422" w:firstLineChars="200"/>
        <w:rPr>
          <w:rFonts w:hint="eastAsia" w:ascii="宋体" w:hAnsi="宋体" w:eastAsia="宋体" w:cs="宋体"/>
          <w:color w:val="auto"/>
          <w:sz w:val="21"/>
          <w:szCs w:val="21"/>
          <w:highlight w:val="none"/>
        </w:rPr>
      </w:pPr>
      <w:r>
        <w:rPr>
          <w:rStyle w:val="33"/>
          <w:rFonts w:hint="eastAsia" w:ascii="宋体" w:hAnsi="宋体" w:eastAsia="宋体" w:cs="宋体"/>
          <w:color w:val="auto"/>
          <w:sz w:val="21"/>
          <w:szCs w:val="21"/>
          <w:highlight w:val="none"/>
          <w:shd w:val="clear" w:color="auto" w:fill="FFFFFF"/>
        </w:rPr>
        <w:t>（九）住宿业</w:t>
      </w:r>
    </w:p>
    <w:p>
      <w:pPr>
        <w:pStyle w:val="26"/>
        <w:shd w:val="clear" w:color="auto" w:fill="FFFFFF"/>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26"/>
        <w:shd w:val="clear" w:color="auto" w:fill="FFFFFF"/>
        <w:spacing w:before="0" w:beforeAutospacing="0" w:after="0" w:afterAutospacing="0" w:line="360" w:lineRule="auto"/>
        <w:ind w:firstLine="422" w:firstLineChars="200"/>
        <w:rPr>
          <w:rFonts w:hint="eastAsia" w:ascii="宋体" w:hAnsi="宋体" w:eastAsia="宋体" w:cs="宋体"/>
          <w:color w:val="auto"/>
          <w:sz w:val="21"/>
          <w:szCs w:val="21"/>
          <w:highlight w:val="none"/>
        </w:rPr>
      </w:pPr>
      <w:r>
        <w:rPr>
          <w:rStyle w:val="33"/>
          <w:rFonts w:hint="eastAsia" w:ascii="宋体" w:hAnsi="宋体" w:eastAsia="宋体" w:cs="宋体"/>
          <w:color w:val="auto"/>
          <w:sz w:val="21"/>
          <w:szCs w:val="21"/>
          <w:highlight w:val="none"/>
          <w:shd w:val="clear" w:color="auto" w:fill="FFFFFF"/>
        </w:rPr>
        <w:t>（十）餐饮业</w:t>
      </w:r>
    </w:p>
    <w:p>
      <w:pPr>
        <w:pStyle w:val="26"/>
        <w:shd w:val="clear" w:color="auto" w:fill="FFFFFF"/>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26"/>
        <w:shd w:val="clear" w:color="auto" w:fill="FFFFFF"/>
        <w:spacing w:before="0" w:beforeAutospacing="0" w:after="0" w:afterAutospacing="0" w:line="360" w:lineRule="auto"/>
        <w:ind w:firstLine="422" w:firstLineChars="200"/>
        <w:rPr>
          <w:rFonts w:hint="eastAsia" w:ascii="宋体" w:hAnsi="宋体" w:eastAsia="宋体" w:cs="宋体"/>
          <w:color w:val="auto"/>
          <w:sz w:val="21"/>
          <w:szCs w:val="21"/>
          <w:highlight w:val="none"/>
        </w:rPr>
      </w:pPr>
      <w:r>
        <w:rPr>
          <w:rStyle w:val="33"/>
          <w:rFonts w:hint="eastAsia" w:ascii="宋体" w:hAnsi="宋体" w:eastAsia="宋体" w:cs="宋体"/>
          <w:color w:val="auto"/>
          <w:sz w:val="21"/>
          <w:szCs w:val="21"/>
          <w:highlight w:val="none"/>
          <w:shd w:val="clear" w:color="auto" w:fill="FFFFFF"/>
        </w:rPr>
        <w:t>（十一）信息传输业</w:t>
      </w:r>
    </w:p>
    <w:p>
      <w:pPr>
        <w:pStyle w:val="26"/>
        <w:shd w:val="clear" w:color="auto" w:fill="FFFFFF"/>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26"/>
        <w:shd w:val="clear" w:color="auto" w:fill="FFFFFF"/>
        <w:spacing w:before="0" w:beforeAutospacing="0" w:after="0" w:afterAutospacing="0" w:line="360" w:lineRule="auto"/>
        <w:ind w:firstLine="422" w:firstLineChars="200"/>
        <w:rPr>
          <w:rFonts w:hint="eastAsia" w:ascii="宋体" w:hAnsi="宋体" w:eastAsia="宋体" w:cs="宋体"/>
          <w:color w:val="auto"/>
          <w:sz w:val="21"/>
          <w:szCs w:val="21"/>
          <w:highlight w:val="none"/>
        </w:rPr>
      </w:pPr>
      <w:r>
        <w:rPr>
          <w:rStyle w:val="33"/>
          <w:rFonts w:hint="eastAsia" w:ascii="宋体" w:hAnsi="宋体" w:eastAsia="宋体" w:cs="宋体"/>
          <w:color w:val="auto"/>
          <w:sz w:val="21"/>
          <w:szCs w:val="21"/>
          <w:highlight w:val="none"/>
          <w:shd w:val="clear" w:color="auto" w:fill="FFFFFF"/>
        </w:rPr>
        <w:t>（十二）软件和信息技术服务业</w:t>
      </w:r>
    </w:p>
    <w:p>
      <w:pPr>
        <w:pStyle w:val="26"/>
        <w:shd w:val="clear" w:color="auto" w:fill="FFFFFF"/>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26"/>
        <w:shd w:val="clear" w:color="auto" w:fill="FFFFFF"/>
        <w:spacing w:before="0" w:beforeAutospacing="0" w:after="0" w:afterAutospacing="0" w:line="360" w:lineRule="auto"/>
        <w:ind w:firstLine="422" w:firstLineChars="200"/>
        <w:rPr>
          <w:rFonts w:hint="eastAsia" w:ascii="宋体" w:hAnsi="宋体" w:eastAsia="宋体" w:cs="宋体"/>
          <w:color w:val="auto"/>
          <w:sz w:val="21"/>
          <w:szCs w:val="21"/>
          <w:highlight w:val="none"/>
        </w:rPr>
      </w:pPr>
      <w:r>
        <w:rPr>
          <w:rStyle w:val="33"/>
          <w:rFonts w:hint="eastAsia" w:ascii="宋体" w:hAnsi="宋体" w:eastAsia="宋体" w:cs="宋体"/>
          <w:color w:val="auto"/>
          <w:sz w:val="21"/>
          <w:szCs w:val="21"/>
          <w:highlight w:val="none"/>
          <w:shd w:val="clear" w:color="auto" w:fill="FFFFFF"/>
        </w:rPr>
        <w:t>（十三）房地产开发经营</w:t>
      </w:r>
    </w:p>
    <w:p>
      <w:pPr>
        <w:pStyle w:val="26"/>
        <w:shd w:val="clear" w:color="auto" w:fill="FFFFFF"/>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26"/>
        <w:shd w:val="clear" w:color="auto" w:fill="FFFFFF"/>
        <w:spacing w:before="0" w:beforeAutospacing="0" w:after="0" w:afterAutospacing="0" w:line="360" w:lineRule="auto"/>
        <w:ind w:firstLine="422" w:firstLineChars="200"/>
        <w:rPr>
          <w:rFonts w:hint="eastAsia" w:ascii="宋体" w:hAnsi="宋体" w:eastAsia="宋体" w:cs="宋体"/>
          <w:color w:val="auto"/>
          <w:sz w:val="21"/>
          <w:szCs w:val="21"/>
          <w:highlight w:val="none"/>
        </w:rPr>
      </w:pPr>
      <w:r>
        <w:rPr>
          <w:rStyle w:val="33"/>
          <w:rFonts w:hint="eastAsia" w:ascii="宋体" w:hAnsi="宋体" w:eastAsia="宋体" w:cs="宋体"/>
          <w:color w:val="auto"/>
          <w:sz w:val="21"/>
          <w:szCs w:val="21"/>
          <w:highlight w:val="none"/>
          <w:shd w:val="clear" w:color="auto" w:fill="FFFFFF"/>
        </w:rPr>
        <w:t>（十四）物业管理</w:t>
      </w:r>
    </w:p>
    <w:p>
      <w:pPr>
        <w:pStyle w:val="26"/>
        <w:shd w:val="clear" w:color="auto" w:fill="FFFFFF"/>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26"/>
        <w:shd w:val="clear" w:color="auto" w:fill="FFFFFF"/>
        <w:spacing w:before="0" w:beforeAutospacing="0" w:after="0" w:afterAutospacing="0" w:line="360" w:lineRule="auto"/>
        <w:ind w:firstLine="422" w:firstLineChars="200"/>
        <w:rPr>
          <w:rFonts w:hint="eastAsia" w:ascii="宋体" w:hAnsi="宋体" w:eastAsia="宋体" w:cs="宋体"/>
          <w:color w:val="auto"/>
          <w:sz w:val="21"/>
          <w:szCs w:val="21"/>
          <w:highlight w:val="none"/>
        </w:rPr>
      </w:pPr>
      <w:r>
        <w:rPr>
          <w:rStyle w:val="33"/>
          <w:rFonts w:hint="eastAsia" w:ascii="宋体" w:hAnsi="宋体" w:eastAsia="宋体" w:cs="宋体"/>
          <w:color w:val="auto"/>
          <w:sz w:val="21"/>
          <w:szCs w:val="21"/>
          <w:highlight w:val="none"/>
          <w:shd w:val="clear" w:color="auto" w:fill="FFFFFF"/>
        </w:rPr>
        <w:t>（十五）租赁和商务服务业</w:t>
      </w:r>
    </w:p>
    <w:p>
      <w:pPr>
        <w:pStyle w:val="26"/>
        <w:shd w:val="clear" w:color="auto" w:fill="FFFFFF"/>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26"/>
        <w:shd w:val="clear" w:color="auto" w:fill="FFFFFF"/>
        <w:spacing w:before="0" w:beforeAutospacing="0" w:after="0" w:afterAutospacing="0" w:line="360" w:lineRule="auto"/>
        <w:ind w:firstLine="422" w:firstLineChars="200"/>
        <w:rPr>
          <w:rFonts w:hint="eastAsia" w:ascii="宋体" w:hAnsi="宋体" w:eastAsia="宋体" w:cs="宋体"/>
          <w:color w:val="auto"/>
          <w:sz w:val="21"/>
          <w:szCs w:val="21"/>
          <w:highlight w:val="none"/>
        </w:rPr>
      </w:pPr>
      <w:r>
        <w:rPr>
          <w:rStyle w:val="33"/>
          <w:rFonts w:hint="eastAsia" w:ascii="宋体" w:hAnsi="宋体" w:eastAsia="宋体" w:cs="宋体"/>
          <w:color w:val="auto"/>
          <w:sz w:val="21"/>
          <w:szCs w:val="21"/>
          <w:highlight w:val="none"/>
          <w:shd w:val="clear" w:color="auto" w:fill="FFFFFF"/>
        </w:rPr>
        <w:t>（十六）其他未列明行业</w:t>
      </w:r>
    </w:p>
    <w:p>
      <w:pPr>
        <w:pStyle w:val="26"/>
        <w:shd w:val="clear" w:color="auto" w:fill="FFFFFF"/>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从业人员300人以下的为中小微型企业。其中，从业人员100人及以上的为中型企业；从业人员10人及以上的为小型企业；从业人员10人以下的为微型企业。</w:t>
      </w:r>
    </w:p>
    <w:p>
      <w:pPr>
        <w:pStyle w:val="15"/>
        <w:spacing w:before="120" w:after="120"/>
        <w:rPr>
          <w:rFonts w:hint="eastAsia" w:cs="宋体"/>
          <w:color w:val="auto"/>
          <w:sz w:val="21"/>
          <w:szCs w:val="21"/>
          <w:highlight w:val="none"/>
        </w:rPr>
      </w:pPr>
    </w:p>
    <w:p>
      <w:pPr>
        <w:snapToGrid w:val="0"/>
        <w:spacing w:before="50" w:after="50" w:line="380" w:lineRule="exact"/>
        <w:ind w:right="-817" w:rightChars="-389"/>
        <w:rPr>
          <w:rFonts w:hint="eastAsia" w:ascii="宋体" w:hAnsi="宋体" w:cs="宋体"/>
          <w:b/>
          <w:color w:val="auto"/>
          <w:szCs w:val="21"/>
          <w:highlight w:val="none"/>
        </w:rPr>
      </w:pPr>
    </w:p>
    <w:p>
      <w:pPr>
        <w:snapToGrid w:val="0"/>
        <w:spacing w:before="50" w:after="50" w:line="380" w:lineRule="exact"/>
        <w:ind w:right="-817" w:rightChars="-389"/>
        <w:rPr>
          <w:rFonts w:hint="eastAsia" w:ascii="宋体" w:hAnsi="宋体" w:cs="宋体"/>
          <w:b/>
          <w:color w:val="auto"/>
          <w:szCs w:val="21"/>
          <w:highlight w:val="none"/>
        </w:rPr>
      </w:pPr>
    </w:p>
    <w:p>
      <w:pPr>
        <w:snapToGrid w:val="0"/>
        <w:spacing w:before="50" w:after="50" w:line="380" w:lineRule="exact"/>
        <w:ind w:right="-817" w:rightChars="-389"/>
        <w:rPr>
          <w:rFonts w:hint="eastAsia" w:ascii="宋体" w:hAnsi="宋体" w:cs="宋体"/>
          <w:b/>
          <w:color w:val="auto"/>
          <w:szCs w:val="21"/>
          <w:highlight w:val="none"/>
        </w:rPr>
      </w:pPr>
    </w:p>
    <w:p>
      <w:pPr>
        <w:snapToGrid w:val="0"/>
        <w:spacing w:before="50" w:after="50" w:line="380" w:lineRule="exact"/>
        <w:ind w:right="-817" w:rightChars="-389"/>
        <w:rPr>
          <w:rFonts w:hint="eastAsia" w:ascii="宋体" w:hAnsi="宋体" w:cs="宋体"/>
          <w:b/>
          <w:color w:val="auto"/>
          <w:szCs w:val="21"/>
          <w:highlight w:val="none"/>
        </w:rPr>
      </w:pPr>
    </w:p>
    <w:p>
      <w:pPr>
        <w:keepNext/>
        <w:pageBreakBefore/>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7、残疾人福利性单位声明函格式</w:t>
      </w:r>
    </w:p>
    <w:p>
      <w:pPr>
        <w:snapToGrid w:val="0"/>
        <w:spacing w:before="50" w:after="50" w:line="50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残疾人福利性单位声明函</w:t>
      </w:r>
    </w:p>
    <w:p>
      <w:pPr>
        <w:snapToGrid w:val="0"/>
        <w:spacing w:before="50" w:after="50" w:line="380" w:lineRule="exact"/>
        <w:ind w:right="-817" w:rightChars="-389"/>
        <w:rPr>
          <w:rFonts w:hint="eastAsia" w:ascii="宋体" w:hAnsi="宋体" w:cs="宋体"/>
          <w:b/>
          <w:color w:val="auto"/>
          <w:szCs w:val="21"/>
          <w:highlight w:val="none"/>
        </w:rPr>
      </w:pP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本单位郑重声明，根据《财政部 民政部 中国残疾人联合会关于促进残疾人就业政府采购政策的通知》（财库〔2017〕 141 号）的规定，本单位为符合条件的残疾人福利性单位，且本单位参加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单位的</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本单位对上述声明的真实性负责。如有虚假，将依法承担相应责任。</w:t>
      </w:r>
    </w:p>
    <w:p>
      <w:pPr>
        <w:snapToGrid w:val="0"/>
        <w:spacing w:before="50" w:after="50" w:line="360" w:lineRule="auto"/>
        <w:ind w:right="-817" w:rightChars="-389"/>
        <w:rPr>
          <w:rFonts w:hint="eastAsia" w:ascii="宋体" w:hAnsi="宋体" w:cs="宋体"/>
          <w:b/>
          <w:color w:val="auto"/>
          <w:szCs w:val="21"/>
          <w:highlight w:val="none"/>
        </w:rPr>
      </w:pPr>
    </w:p>
    <w:p>
      <w:pPr>
        <w:snapToGrid w:val="0"/>
        <w:spacing w:before="50" w:after="50" w:line="360" w:lineRule="auto"/>
        <w:ind w:right="-817" w:rightChars="-389"/>
        <w:rPr>
          <w:rFonts w:hint="eastAsia" w:ascii="宋体" w:hAnsi="宋体" w:cs="宋体"/>
          <w:b/>
          <w:color w:val="auto"/>
          <w:szCs w:val="21"/>
          <w:highlight w:val="none"/>
        </w:rPr>
      </w:pP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企业名称（盖章）：</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授权委托人签字：</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日期：</w:t>
      </w:r>
    </w:p>
    <w:p>
      <w:pPr>
        <w:snapToGrid w:val="0"/>
        <w:spacing w:before="50" w:after="50" w:line="360" w:lineRule="auto"/>
        <w:ind w:right="-817" w:rightChars="-389"/>
        <w:rPr>
          <w:rFonts w:hint="eastAsia" w:ascii="宋体" w:hAnsi="宋体" w:cs="宋体"/>
          <w:b/>
          <w:color w:val="auto"/>
          <w:szCs w:val="21"/>
          <w:highlight w:val="none"/>
        </w:rPr>
      </w:pPr>
    </w:p>
    <w:p>
      <w:pPr>
        <w:snapToGrid w:val="0"/>
        <w:spacing w:before="50" w:after="50" w:line="360" w:lineRule="auto"/>
        <w:ind w:right="-817" w:rightChars="-389"/>
        <w:rPr>
          <w:rFonts w:hint="eastAsia" w:ascii="宋体" w:hAnsi="宋体" w:cs="宋体"/>
          <w:b/>
          <w:color w:val="auto"/>
          <w:szCs w:val="21"/>
          <w:highlight w:val="none"/>
        </w:rPr>
      </w:pP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注：提供社保缴纳人员名单、录用的残疾人的《中华人民共和国残疾人证》或者《中华人民共和国残疾军人证(1至8级)》复印件。</w:t>
      </w:r>
    </w:p>
    <w:p>
      <w:pPr>
        <w:snapToGrid w:val="0"/>
        <w:spacing w:before="50" w:after="50" w:line="380" w:lineRule="exact"/>
        <w:ind w:right="-817" w:rightChars="-389"/>
        <w:rPr>
          <w:rFonts w:hint="eastAsia" w:ascii="宋体" w:hAnsi="宋体" w:cs="宋体"/>
          <w:b/>
          <w:color w:val="auto"/>
          <w:szCs w:val="21"/>
          <w:highlight w:val="none"/>
        </w:rPr>
      </w:pPr>
    </w:p>
    <w:p>
      <w:pPr>
        <w:snapToGrid w:val="0"/>
        <w:spacing w:before="50" w:after="50" w:line="380" w:lineRule="exact"/>
        <w:ind w:right="-817" w:rightChars="-389"/>
        <w:rPr>
          <w:rFonts w:hint="eastAsia" w:ascii="宋体" w:hAnsi="宋体" w:cs="宋体"/>
          <w:b/>
          <w:color w:val="auto"/>
          <w:szCs w:val="21"/>
          <w:highlight w:val="none"/>
        </w:rPr>
      </w:pPr>
    </w:p>
    <w:p>
      <w:pPr>
        <w:snapToGrid w:val="0"/>
        <w:spacing w:before="50" w:after="50" w:line="380" w:lineRule="exact"/>
        <w:ind w:right="-817" w:rightChars="-389"/>
        <w:rPr>
          <w:rFonts w:hint="eastAsia" w:ascii="宋体" w:hAnsi="宋体" w:cs="宋体"/>
          <w:b/>
          <w:color w:val="auto"/>
          <w:szCs w:val="21"/>
          <w:highlight w:val="none"/>
        </w:rPr>
      </w:pPr>
    </w:p>
    <w:p>
      <w:pPr>
        <w:snapToGrid w:val="0"/>
        <w:spacing w:before="50" w:after="50" w:line="380" w:lineRule="exact"/>
        <w:ind w:right="-817" w:rightChars="-389"/>
        <w:rPr>
          <w:rFonts w:hint="eastAsia" w:ascii="宋体" w:hAnsi="宋体" w:cs="宋体"/>
          <w:b/>
          <w:color w:val="auto"/>
          <w:szCs w:val="21"/>
          <w:highlight w:val="none"/>
        </w:rPr>
      </w:pPr>
    </w:p>
    <w:p>
      <w:pPr>
        <w:snapToGrid w:val="0"/>
        <w:spacing w:before="50" w:after="50" w:line="380" w:lineRule="exact"/>
        <w:ind w:right="-817" w:rightChars="-389"/>
        <w:rPr>
          <w:rFonts w:hint="eastAsia" w:ascii="宋体" w:hAnsi="宋体" w:cs="宋体"/>
          <w:b/>
          <w:color w:val="auto"/>
          <w:szCs w:val="21"/>
          <w:highlight w:val="none"/>
        </w:rPr>
      </w:pPr>
    </w:p>
    <w:p>
      <w:pPr>
        <w:snapToGrid w:val="0"/>
        <w:spacing w:before="50" w:after="50" w:line="380" w:lineRule="exact"/>
        <w:ind w:right="-817" w:rightChars="-389"/>
        <w:rPr>
          <w:rFonts w:hint="eastAsia" w:ascii="宋体" w:hAnsi="宋体" w:cs="宋体"/>
          <w:b/>
          <w:color w:val="auto"/>
          <w:szCs w:val="21"/>
          <w:highlight w:val="none"/>
        </w:rPr>
      </w:pPr>
    </w:p>
    <w:p>
      <w:pPr>
        <w:snapToGrid w:val="0"/>
        <w:spacing w:before="50" w:after="50" w:line="380" w:lineRule="exact"/>
        <w:ind w:right="-817" w:rightChars="-389"/>
        <w:rPr>
          <w:rFonts w:hint="eastAsia" w:ascii="宋体" w:hAnsi="宋体" w:cs="宋体"/>
          <w:b/>
          <w:color w:val="auto"/>
          <w:szCs w:val="21"/>
          <w:highlight w:val="none"/>
        </w:rPr>
      </w:pPr>
    </w:p>
    <w:p>
      <w:pPr>
        <w:snapToGrid w:val="0"/>
        <w:spacing w:before="50" w:after="50" w:line="380" w:lineRule="exact"/>
        <w:ind w:right="-817" w:rightChars="-389"/>
        <w:rPr>
          <w:rFonts w:hint="eastAsia" w:ascii="宋体" w:hAnsi="宋体" w:cs="宋体"/>
          <w:b/>
          <w:color w:val="auto"/>
          <w:szCs w:val="21"/>
          <w:highlight w:val="none"/>
        </w:rPr>
      </w:pPr>
    </w:p>
    <w:p>
      <w:pPr>
        <w:snapToGrid w:val="0"/>
        <w:spacing w:before="50" w:after="50" w:line="380" w:lineRule="exact"/>
        <w:ind w:right="-817" w:rightChars="-389"/>
        <w:rPr>
          <w:rFonts w:hint="eastAsia" w:ascii="宋体" w:hAnsi="宋体" w:cs="宋体"/>
          <w:b/>
          <w:color w:val="auto"/>
          <w:szCs w:val="21"/>
          <w:highlight w:val="none"/>
        </w:rPr>
      </w:pPr>
    </w:p>
    <w:p>
      <w:pPr>
        <w:snapToGrid w:val="0"/>
        <w:spacing w:before="50" w:after="50" w:line="380" w:lineRule="exact"/>
        <w:ind w:right="-817" w:rightChars="-389"/>
        <w:rPr>
          <w:rFonts w:hint="eastAsia" w:ascii="宋体" w:hAnsi="宋体" w:cs="宋体"/>
          <w:b/>
          <w:color w:val="auto"/>
          <w:szCs w:val="21"/>
          <w:highlight w:val="none"/>
        </w:rPr>
      </w:pPr>
    </w:p>
    <w:p>
      <w:pPr>
        <w:snapToGrid w:val="0"/>
        <w:spacing w:before="50" w:after="50" w:line="380" w:lineRule="exact"/>
        <w:ind w:right="-817" w:rightChars="-389"/>
        <w:rPr>
          <w:rFonts w:hint="eastAsia" w:ascii="宋体" w:hAnsi="宋体" w:cs="宋体"/>
          <w:b/>
          <w:color w:val="auto"/>
          <w:szCs w:val="21"/>
          <w:highlight w:val="none"/>
        </w:rPr>
      </w:pPr>
    </w:p>
    <w:p>
      <w:pPr>
        <w:snapToGrid w:val="0"/>
        <w:spacing w:before="50" w:after="50" w:line="380" w:lineRule="exact"/>
        <w:ind w:right="-817" w:rightChars="-389"/>
        <w:rPr>
          <w:rFonts w:hint="eastAsia" w:ascii="宋体" w:hAnsi="宋体" w:cs="宋体"/>
          <w:b/>
          <w:color w:val="auto"/>
          <w:szCs w:val="21"/>
          <w:highlight w:val="none"/>
        </w:rPr>
      </w:pPr>
    </w:p>
    <w:p>
      <w:pPr>
        <w:snapToGrid w:val="0"/>
        <w:spacing w:before="50" w:after="50" w:line="380" w:lineRule="exact"/>
        <w:ind w:right="-817" w:rightChars="-389"/>
        <w:rPr>
          <w:rFonts w:hint="eastAsia" w:ascii="宋体" w:hAnsi="宋体" w:cs="宋体"/>
          <w:b/>
          <w:color w:val="auto"/>
          <w:szCs w:val="21"/>
          <w:highlight w:val="none"/>
        </w:rPr>
      </w:pPr>
    </w:p>
    <w:p>
      <w:pPr>
        <w:snapToGrid w:val="0"/>
        <w:spacing w:before="50" w:after="50" w:line="380" w:lineRule="exact"/>
        <w:ind w:right="-817" w:rightChars="-389"/>
        <w:rPr>
          <w:rFonts w:hint="eastAsia" w:ascii="宋体" w:hAnsi="宋体" w:cs="宋体"/>
          <w:b/>
          <w:color w:val="auto"/>
          <w:szCs w:val="21"/>
          <w:highlight w:val="none"/>
        </w:rPr>
      </w:pP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8、监狱企业声明函格式</w:t>
      </w:r>
    </w:p>
    <w:p>
      <w:pPr>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监狱企业声明函</w:t>
      </w:r>
    </w:p>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【非监狱企业的不用提供】</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本企业郑重声明，参照《关于政府采购支持监狱企业发展有关间想的通知》(财库[2014]68号）的规定，本企业为监狱企业。</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根据上述标准，我企业属于监狱企业的理由为: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本企业为参加(项目名称: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)采购活动提供本企业的产品。</w:t>
      </w:r>
    </w:p>
    <w:p>
      <w:pPr>
        <w:spacing w:line="360" w:lineRule="auto"/>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本企业对上述声明的真实性负责。如有虚假，将依法承担相应责任。</w:t>
      </w:r>
    </w:p>
    <w:p>
      <w:pPr>
        <w:spacing w:line="360" w:lineRule="auto"/>
        <w:rPr>
          <w:rFonts w:hint="eastAsia" w:ascii="宋体" w:hAnsi="宋体" w:cs="宋体"/>
          <w:color w:val="auto"/>
          <w:szCs w:val="21"/>
          <w:highlight w:val="none"/>
        </w:rPr>
      </w:pPr>
    </w:p>
    <w:p>
      <w:pPr>
        <w:spacing w:line="360" w:lineRule="auto"/>
        <w:rPr>
          <w:rFonts w:hint="eastAsia" w:ascii="宋体" w:hAnsi="宋体" w:cs="宋体"/>
          <w:color w:val="auto"/>
          <w:szCs w:val="21"/>
          <w:highlight w:val="none"/>
        </w:rPr>
      </w:pPr>
    </w:p>
    <w:p>
      <w:pPr>
        <w:spacing w:line="360" w:lineRule="auto"/>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供应商名称(盖章) :</w:t>
      </w:r>
    </w:p>
    <w:p>
      <w:pPr>
        <w:spacing w:line="360" w:lineRule="auto"/>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日期:  年  月   日</w:t>
      </w:r>
    </w:p>
    <w:p>
      <w:pPr>
        <w:spacing w:line="360" w:lineRule="auto"/>
        <w:rPr>
          <w:rFonts w:hint="eastAsia" w:ascii="宋体" w:hAnsi="宋体" w:cs="宋体"/>
          <w:color w:val="auto"/>
          <w:szCs w:val="21"/>
          <w:highlight w:val="none"/>
        </w:rPr>
      </w:pPr>
    </w:p>
    <w:p>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附相关证明材料</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监狱企业参加</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活动时，应当提供由省级以上监狱管理局、戒毒管理局(含新疆生产建设兵团)出具的属于监狱企业的证明文件；</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ind w:firstLine="570"/>
        <w:jc w:val="center"/>
        <w:rPr>
          <w:rFonts w:hint="eastAsia" w:ascii="宋体" w:hAnsi="宋体" w:cs="宋体"/>
          <w:b/>
          <w:color w:val="auto"/>
          <w:szCs w:val="21"/>
          <w:highlight w:val="none"/>
        </w:rPr>
      </w:pPr>
    </w:p>
    <w:p>
      <w:pPr>
        <w:keepNext/>
        <w:pageBreakBefore/>
        <w:spacing w:line="360" w:lineRule="auto"/>
        <w:jc w:val="center"/>
        <w:rPr>
          <w:rFonts w:hint="eastAsia" w:ascii="宋体" w:hAnsi="宋体" w:cs="宋体"/>
          <w:color w:val="auto"/>
          <w:sz w:val="28"/>
          <w:szCs w:val="28"/>
          <w:highlight w:val="none"/>
        </w:rPr>
      </w:pPr>
      <w:r>
        <w:rPr>
          <w:rFonts w:hint="eastAsia" w:ascii="宋体" w:hAnsi="宋体" w:cs="宋体"/>
          <w:b/>
          <w:color w:val="auto"/>
          <w:sz w:val="28"/>
          <w:szCs w:val="28"/>
          <w:highlight w:val="none"/>
        </w:rPr>
        <w:t>二、商务、技术/报价文件格式</w:t>
      </w:r>
    </w:p>
    <w:p>
      <w:pPr>
        <w:ind w:firstLine="570"/>
        <w:rPr>
          <w:rFonts w:hint="eastAsia" w:ascii="宋体" w:hAnsi="宋体" w:cs="宋体"/>
          <w:color w:val="auto"/>
          <w:sz w:val="28"/>
          <w:szCs w:val="28"/>
          <w:highlight w:val="none"/>
        </w:rPr>
      </w:pP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1、商务、技术文件的封面格式：</w:t>
      </w:r>
    </w:p>
    <w:p>
      <w:pPr>
        <w:keepNext/>
        <w:keepLines/>
        <w:spacing w:line="579" w:lineRule="auto"/>
        <w:rPr>
          <w:rFonts w:hint="eastAsia" w:ascii="宋体" w:hAnsi="宋体" w:cs="宋体"/>
          <w:color w:val="auto"/>
          <w:sz w:val="28"/>
          <w:szCs w:val="28"/>
          <w:highlight w:val="none"/>
        </w:rPr>
      </w:pPr>
    </w:p>
    <w:p>
      <w:pPr>
        <w:ind w:firstLine="570"/>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响应文件</w:t>
      </w:r>
    </w:p>
    <w:p>
      <w:pPr>
        <w:ind w:firstLine="570"/>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（商务、技术/报价文件）</w:t>
      </w:r>
    </w:p>
    <w:p>
      <w:pPr>
        <w:ind w:firstLine="570"/>
        <w:jc w:val="center"/>
        <w:rPr>
          <w:rFonts w:hint="eastAsia" w:ascii="宋体" w:hAnsi="宋体" w:cs="宋体"/>
          <w:b/>
          <w:color w:val="auto"/>
          <w:szCs w:val="21"/>
          <w:highlight w:val="none"/>
        </w:rPr>
      </w:pPr>
    </w:p>
    <w:p>
      <w:pPr>
        <w:spacing w:line="800" w:lineRule="exact"/>
        <w:ind w:firstLine="570"/>
        <w:rPr>
          <w:rFonts w:hint="eastAsia" w:ascii="宋体" w:hAnsi="宋体" w:cs="宋体"/>
          <w:color w:val="auto"/>
          <w:szCs w:val="21"/>
          <w:highlight w:val="none"/>
        </w:rPr>
      </w:pPr>
    </w:p>
    <w:p>
      <w:pPr>
        <w:spacing w:line="800" w:lineRule="exact"/>
        <w:ind w:firstLine="570"/>
        <w:rPr>
          <w:rFonts w:hint="eastAsia" w:ascii="宋体" w:hAnsi="宋体" w:cs="宋体"/>
          <w:color w:val="auto"/>
          <w:szCs w:val="21"/>
          <w:highlight w:val="none"/>
        </w:rPr>
      </w:pPr>
    </w:p>
    <w:p>
      <w:pPr>
        <w:spacing w:line="800" w:lineRule="exact"/>
        <w:ind w:firstLine="570"/>
        <w:rPr>
          <w:rFonts w:hint="eastAsia" w:ascii="宋体" w:hAnsi="宋体" w:cs="宋体"/>
          <w:color w:val="auto"/>
          <w:szCs w:val="21"/>
          <w:highlight w:val="none"/>
        </w:rPr>
      </w:pPr>
    </w:p>
    <w:p>
      <w:pPr>
        <w:spacing w:line="800" w:lineRule="exact"/>
        <w:ind w:firstLine="570"/>
        <w:rPr>
          <w:rFonts w:hint="eastAsia" w:ascii="宋体" w:hAnsi="宋体" w:cs="宋体"/>
          <w:color w:val="auto"/>
          <w:szCs w:val="21"/>
          <w:highlight w:val="none"/>
        </w:rPr>
      </w:pPr>
      <w:r>
        <w:rPr>
          <w:rFonts w:hint="eastAsia" w:ascii="宋体" w:hAnsi="宋体" w:cs="宋体"/>
          <w:color w:val="auto"/>
          <w:szCs w:val="21"/>
          <w:highlight w:val="none"/>
        </w:rPr>
        <w:t>项目名称：</w:t>
      </w:r>
    </w:p>
    <w:p>
      <w:pPr>
        <w:spacing w:line="800" w:lineRule="exact"/>
        <w:ind w:firstLine="570"/>
        <w:rPr>
          <w:rFonts w:hint="eastAsia" w:ascii="宋体" w:hAnsi="宋体" w:cs="宋体"/>
          <w:color w:val="auto"/>
          <w:szCs w:val="21"/>
          <w:highlight w:val="none"/>
        </w:rPr>
      </w:pPr>
      <w:r>
        <w:rPr>
          <w:rFonts w:hint="eastAsia" w:ascii="宋体" w:hAnsi="宋体" w:cs="宋体"/>
          <w:color w:val="auto"/>
          <w:szCs w:val="21"/>
          <w:highlight w:val="none"/>
        </w:rPr>
        <w:t>项目编号：</w:t>
      </w:r>
    </w:p>
    <w:p>
      <w:pPr>
        <w:spacing w:line="800" w:lineRule="exact"/>
        <w:ind w:firstLine="570"/>
        <w:rPr>
          <w:rFonts w:hint="eastAsia" w:ascii="宋体" w:hAnsi="宋体" w:cs="宋体"/>
          <w:color w:val="auto"/>
          <w:szCs w:val="21"/>
          <w:highlight w:val="none"/>
        </w:rPr>
      </w:pPr>
      <w:r>
        <w:rPr>
          <w:rFonts w:hint="eastAsia" w:ascii="宋体" w:hAnsi="宋体" w:cs="宋体"/>
          <w:color w:val="auto"/>
          <w:szCs w:val="21"/>
          <w:highlight w:val="none"/>
        </w:rPr>
        <w:t>标项：</w:t>
      </w:r>
    </w:p>
    <w:p>
      <w:pPr>
        <w:spacing w:line="800" w:lineRule="exact"/>
        <w:ind w:firstLine="570"/>
        <w:rPr>
          <w:rFonts w:hint="eastAsia" w:ascii="宋体" w:hAnsi="宋体" w:cs="宋体"/>
          <w:color w:val="auto"/>
          <w:szCs w:val="21"/>
          <w:highlight w:val="none"/>
        </w:rPr>
      </w:pPr>
      <w:r>
        <w:rPr>
          <w:rFonts w:hint="eastAsia" w:ascii="宋体" w:hAnsi="宋体" w:cs="宋体"/>
          <w:color w:val="auto"/>
          <w:szCs w:val="21"/>
          <w:highlight w:val="none"/>
        </w:rPr>
        <w:t>供应商名称（盖章）：</w:t>
      </w:r>
    </w:p>
    <w:p>
      <w:pPr>
        <w:spacing w:line="800" w:lineRule="exact"/>
        <w:ind w:firstLine="570"/>
        <w:rPr>
          <w:rFonts w:hint="eastAsia" w:ascii="宋体" w:hAnsi="宋体" w:cs="宋体"/>
          <w:color w:val="auto"/>
          <w:szCs w:val="21"/>
          <w:highlight w:val="none"/>
        </w:rPr>
      </w:pPr>
      <w:r>
        <w:rPr>
          <w:rFonts w:hint="eastAsia" w:ascii="宋体" w:hAnsi="宋体" w:cs="宋体"/>
          <w:color w:val="auto"/>
          <w:szCs w:val="21"/>
          <w:highlight w:val="none"/>
        </w:rPr>
        <w:t>供应商地址：</w:t>
      </w:r>
    </w:p>
    <w:p>
      <w:pPr>
        <w:spacing w:line="800" w:lineRule="exact"/>
        <w:ind w:firstLine="570"/>
        <w:jc w:val="right"/>
        <w:rPr>
          <w:rFonts w:hint="eastAsia" w:ascii="宋体" w:hAnsi="宋体" w:cs="宋体"/>
          <w:b/>
          <w:color w:val="auto"/>
          <w:szCs w:val="21"/>
          <w:highlight w:val="none"/>
        </w:rPr>
      </w:pPr>
      <w:r>
        <w:rPr>
          <w:rFonts w:hint="eastAsia" w:ascii="宋体" w:hAnsi="宋体" w:cs="宋体"/>
          <w:b/>
          <w:color w:val="auto"/>
          <w:szCs w:val="21"/>
          <w:highlight w:val="none"/>
        </w:rPr>
        <w:t xml:space="preserve">  年   月   日</w:t>
      </w:r>
    </w:p>
    <w:p>
      <w:pPr>
        <w:keepNext/>
        <w:keepLines/>
        <w:spacing w:line="579" w:lineRule="auto"/>
        <w:rPr>
          <w:rFonts w:hint="eastAsia" w:ascii="宋体" w:hAnsi="宋体" w:cs="宋体"/>
          <w:b/>
          <w:bCs/>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ind w:firstLine="570"/>
        <w:rPr>
          <w:rFonts w:hint="eastAsia" w:ascii="宋体" w:hAnsi="宋体" w:cs="宋体"/>
          <w:color w:val="auto"/>
          <w:szCs w:val="21"/>
          <w:highlight w:val="none"/>
        </w:rPr>
      </w:pPr>
    </w:p>
    <w:p>
      <w:pPr>
        <w:keepNext/>
        <w:pageBreakBefore/>
        <w:spacing w:line="360" w:lineRule="auto"/>
        <w:rPr>
          <w:rFonts w:hint="eastAsia" w:ascii="宋体" w:hAnsi="宋体" w:cs="宋体"/>
          <w:color w:val="auto"/>
          <w:szCs w:val="21"/>
          <w:highlight w:val="none"/>
        </w:rPr>
      </w:pPr>
      <w:r>
        <w:rPr>
          <w:rFonts w:hint="eastAsia" w:ascii="宋体" w:hAnsi="宋体" w:cs="宋体"/>
          <w:color w:val="auto"/>
          <w:szCs w:val="21"/>
          <w:highlight w:val="none"/>
        </w:rPr>
        <w:t>2、目  录</w:t>
      </w:r>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 xml:space="preserve">2.1商务/技术文件 </w:t>
      </w:r>
    </w:p>
    <w:p>
      <w:pPr>
        <w:numPr>
          <w:ilvl w:val="0"/>
          <w:numId w:val="6"/>
        </w:numPr>
        <w:rPr>
          <w:rFonts w:hint="eastAsia"/>
          <w:color w:val="auto"/>
          <w:highlight w:val="none"/>
        </w:rPr>
      </w:pPr>
      <w:r>
        <w:rPr>
          <w:rFonts w:hint="eastAsia"/>
          <w:color w:val="auto"/>
          <w:highlight w:val="none"/>
        </w:rPr>
        <w:t>法定代表人身份证明书和授权委托书（格式见第六章）；</w:t>
      </w:r>
    </w:p>
    <w:p>
      <w:pPr>
        <w:numPr>
          <w:ilvl w:val="0"/>
          <w:numId w:val="6"/>
        </w:numPr>
        <w:rPr>
          <w:rFonts w:hint="eastAsia"/>
          <w:color w:val="auto"/>
          <w:highlight w:val="none"/>
        </w:rPr>
      </w:pPr>
      <w:r>
        <w:rPr>
          <w:rFonts w:hint="eastAsia"/>
          <w:color w:val="auto"/>
          <w:highlight w:val="none"/>
        </w:rPr>
        <w:t>供应商情况表（格式见第六章）；</w:t>
      </w:r>
    </w:p>
    <w:p>
      <w:pPr>
        <w:numPr>
          <w:ilvl w:val="0"/>
          <w:numId w:val="6"/>
        </w:numPr>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项目总体要求的理解及思路；</w:t>
      </w:r>
    </w:p>
    <w:p>
      <w:pPr>
        <w:numPr>
          <w:ilvl w:val="0"/>
          <w:numId w:val="6"/>
        </w:numPr>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工作总体技术方案；</w:t>
      </w:r>
    </w:p>
    <w:p>
      <w:pPr>
        <w:numPr>
          <w:ilvl w:val="0"/>
          <w:numId w:val="6"/>
        </w:numPr>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rPr>
        <w:t>现场布点采样方案</w:t>
      </w:r>
      <w:r>
        <w:rPr>
          <w:rFonts w:hint="eastAsia" w:ascii="Times New Roman" w:hAnsi="Times New Roman" w:eastAsia="宋体" w:cs="Times New Roman"/>
          <w:color w:val="auto"/>
          <w:highlight w:val="none"/>
          <w:lang w:eastAsia="zh-CN"/>
        </w:rPr>
        <w:t>；</w:t>
      </w:r>
    </w:p>
    <w:p>
      <w:pPr>
        <w:numPr>
          <w:ilvl w:val="0"/>
          <w:numId w:val="6"/>
        </w:numPr>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调查评估方案</w:t>
      </w:r>
    </w:p>
    <w:p>
      <w:pPr>
        <w:numPr>
          <w:ilvl w:val="0"/>
          <w:numId w:val="6"/>
        </w:numPr>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项目进度控制措施；</w:t>
      </w:r>
    </w:p>
    <w:p>
      <w:pPr>
        <w:numPr>
          <w:ilvl w:val="0"/>
          <w:numId w:val="6"/>
        </w:numPr>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rPr>
        <w:t>质量保证与质量控制措施；</w:t>
      </w:r>
    </w:p>
    <w:p>
      <w:pPr>
        <w:numPr>
          <w:ilvl w:val="0"/>
          <w:numId w:val="6"/>
        </w:numPr>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rPr>
        <w:t>相关资料收集情况；</w:t>
      </w:r>
    </w:p>
    <w:p>
      <w:pPr>
        <w:numPr>
          <w:ilvl w:val="0"/>
          <w:numId w:val="6"/>
        </w:numPr>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rPr>
        <w:t>合理化建议和改进措施；</w:t>
      </w:r>
    </w:p>
    <w:p>
      <w:pPr>
        <w:numPr>
          <w:ilvl w:val="0"/>
          <w:numId w:val="6"/>
        </w:numPr>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 xml:space="preserve"> </w:t>
      </w:r>
      <w:r>
        <w:rPr>
          <w:rFonts w:hint="eastAsia" w:ascii="Times New Roman" w:hAnsi="Times New Roman" w:eastAsia="宋体" w:cs="Times New Roman"/>
          <w:color w:val="auto"/>
          <w:highlight w:val="none"/>
          <w:lang w:eastAsia="zh-CN"/>
        </w:rPr>
        <w:t>项目实施人员</w:t>
      </w:r>
      <w:r>
        <w:rPr>
          <w:rFonts w:hint="eastAsia" w:ascii="Times New Roman" w:hAnsi="Times New Roman" w:eastAsia="宋体" w:cs="Times New Roman"/>
          <w:color w:val="auto"/>
          <w:highlight w:val="none"/>
        </w:rPr>
        <w:t>（项目实施人员技术力量）一览表（格式见附件）；</w:t>
      </w:r>
    </w:p>
    <w:p>
      <w:pPr>
        <w:numPr>
          <w:ilvl w:val="0"/>
          <w:numId w:val="6"/>
        </w:numPr>
        <w:rPr>
          <w:rFonts w:hint="eastAsia" w:ascii="Times New Roman" w:hAnsi="Times New Roman" w:eastAsia="宋体" w:cs="Times New Roman"/>
          <w:color w:val="auto"/>
          <w:highlight w:val="none"/>
          <w:lang w:val="en-US" w:eastAsia="en-US"/>
        </w:rPr>
      </w:pPr>
      <w:r>
        <w:rPr>
          <w:rFonts w:hint="eastAsia" w:ascii="Times New Roman" w:hAnsi="Times New Roman" w:eastAsia="宋体" w:cs="Times New Roman"/>
          <w:color w:val="auto"/>
          <w:highlight w:val="none"/>
          <w:lang w:val="en-US" w:eastAsia="zh-CN"/>
        </w:rPr>
        <w:t xml:space="preserve"> </w:t>
      </w:r>
      <w:r>
        <w:rPr>
          <w:rFonts w:hint="eastAsia" w:ascii="Times New Roman" w:hAnsi="Times New Roman" w:eastAsia="宋体" w:cs="Times New Roman"/>
          <w:color w:val="auto"/>
          <w:highlight w:val="none"/>
        </w:rPr>
        <w:t>售后服务方案；</w:t>
      </w:r>
    </w:p>
    <w:p>
      <w:pPr>
        <w:numPr>
          <w:ilvl w:val="0"/>
          <w:numId w:val="6"/>
        </w:numPr>
        <w:rPr>
          <w:rFonts w:hint="eastAsia" w:ascii="Times New Roman" w:hAnsi="Times New Roman" w:eastAsia="宋体" w:cs="Times New Roman"/>
          <w:color w:val="auto"/>
          <w:highlight w:val="none"/>
          <w:lang w:val="zh-CN" w:eastAsia="zh-CN"/>
        </w:rPr>
      </w:pPr>
      <w:r>
        <w:rPr>
          <w:rFonts w:hint="eastAsia" w:ascii="Times New Roman" w:hAnsi="Times New Roman" w:eastAsia="宋体" w:cs="Times New Roman"/>
          <w:color w:val="auto"/>
          <w:highlight w:val="none"/>
          <w:lang w:val="en-US" w:eastAsia="zh-CN"/>
        </w:rPr>
        <w:t xml:space="preserve"> 同类项目（成功案例及</w:t>
      </w:r>
      <w:r>
        <w:rPr>
          <w:rFonts w:hint="eastAsia" w:ascii="Times New Roman" w:hAnsi="Times New Roman" w:eastAsia="宋体" w:cs="Times New Roman"/>
          <w:color w:val="auto"/>
          <w:highlight w:val="none"/>
        </w:rPr>
        <w:t>业绩）实施情况一览表（格式见附件）</w:t>
      </w:r>
      <w:r>
        <w:rPr>
          <w:rFonts w:hint="eastAsia" w:ascii="Times New Roman" w:hAnsi="Times New Roman" w:eastAsia="宋体" w:cs="Times New Roman"/>
          <w:color w:val="auto"/>
          <w:highlight w:val="none"/>
          <w:lang w:eastAsia="zh-CN"/>
        </w:rPr>
        <w:t>；</w:t>
      </w:r>
    </w:p>
    <w:p>
      <w:pPr>
        <w:numPr>
          <w:ilvl w:val="0"/>
          <w:numId w:val="6"/>
        </w:numPr>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 xml:space="preserve"> </w:t>
      </w:r>
      <w:r>
        <w:rPr>
          <w:rFonts w:hint="eastAsia" w:ascii="Times New Roman" w:hAnsi="Times New Roman" w:eastAsia="宋体" w:cs="Times New Roman"/>
          <w:color w:val="auto"/>
          <w:highlight w:val="none"/>
        </w:rPr>
        <w:t>权威认证；</w:t>
      </w:r>
    </w:p>
    <w:p>
      <w:pPr>
        <w:numPr>
          <w:ilvl w:val="0"/>
          <w:numId w:val="6"/>
        </w:numPr>
        <w:rPr>
          <w:rFonts w:hint="eastAsia"/>
          <w:color w:val="auto"/>
          <w:highlight w:val="none"/>
        </w:rPr>
      </w:pPr>
      <w:r>
        <w:rPr>
          <w:rFonts w:hint="eastAsia"/>
          <w:color w:val="auto"/>
          <w:highlight w:val="none"/>
        </w:rPr>
        <w:t>技术响应表（格式见第六章）；</w:t>
      </w:r>
    </w:p>
    <w:p>
      <w:pPr>
        <w:numPr>
          <w:ilvl w:val="0"/>
          <w:numId w:val="6"/>
        </w:numPr>
        <w:rPr>
          <w:rFonts w:hint="eastAsia"/>
          <w:color w:val="auto"/>
          <w:highlight w:val="none"/>
        </w:rPr>
      </w:pPr>
      <w:r>
        <w:rPr>
          <w:rFonts w:hint="eastAsia"/>
          <w:color w:val="auto"/>
          <w:highlight w:val="none"/>
        </w:rPr>
        <w:t>供应商认为需要提供的其他技术资料。</w:t>
      </w:r>
    </w:p>
    <w:p>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2.2报价文件包括</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1）初次报价表（格式见附件）；</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2）报价明细表（格式见附件）；</w:t>
      </w:r>
    </w:p>
    <w:p>
      <w:pPr>
        <w:adjustRightInd w:val="0"/>
        <w:snapToGrid w:val="0"/>
        <w:spacing w:line="360" w:lineRule="auto"/>
        <w:ind w:firstLine="420" w:firstLineChars="200"/>
        <w:jc w:val="left"/>
        <w:rPr>
          <w:rFonts w:hint="eastAsia" w:ascii="宋体" w:hAnsi="宋体" w:cs="宋体"/>
          <w:bCs/>
          <w:color w:val="auto"/>
          <w:szCs w:val="21"/>
          <w:highlight w:val="none"/>
        </w:rPr>
      </w:pPr>
      <w:r>
        <w:rPr>
          <w:rFonts w:hint="eastAsia" w:ascii="宋体" w:hAnsi="宋体" w:cs="宋体"/>
          <w:color w:val="auto"/>
          <w:szCs w:val="21"/>
          <w:highlight w:val="none"/>
        </w:rPr>
        <w:t>3）供应商针对报价需要说明的其他文件和说明。</w:t>
      </w:r>
    </w:p>
    <w:p>
      <w:pPr>
        <w:spacing w:line="360" w:lineRule="auto"/>
        <w:ind w:firstLine="211" w:firstLineChars="100"/>
        <w:rPr>
          <w:rFonts w:hint="eastAsia" w:ascii="宋体" w:hAnsi="宋体" w:cs="宋体"/>
          <w:color w:val="auto"/>
          <w:szCs w:val="21"/>
          <w:highlight w:val="none"/>
        </w:rPr>
      </w:pPr>
      <w:r>
        <w:rPr>
          <w:rFonts w:hint="eastAsia" w:ascii="宋体" w:hAnsi="宋体" w:cs="宋体"/>
          <w:b/>
          <w:color w:val="auto"/>
          <w:szCs w:val="21"/>
          <w:highlight w:val="none"/>
        </w:rPr>
        <w:t>以上磋商响应文件组成内容中的复印件均须CA签章，提供材料不真实、不完整或伪造证明材料的，后果自负。</w:t>
      </w:r>
    </w:p>
    <w:p>
      <w:pPr>
        <w:keepNext/>
        <w:pageBreakBefore/>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3、磋商声明书</w:t>
      </w:r>
    </w:p>
    <w:p>
      <w:pPr>
        <w:spacing w:line="360" w:lineRule="auto"/>
        <w:jc w:val="center"/>
        <w:rPr>
          <w:rFonts w:hint="eastAsia" w:ascii="宋体" w:hAnsi="宋体" w:cs="宋体"/>
          <w:b/>
          <w:color w:val="auto"/>
          <w:sz w:val="32"/>
          <w:szCs w:val="32"/>
          <w:highlight w:val="none"/>
        </w:rPr>
      </w:pPr>
      <w:bookmarkStart w:id="171" w:name="_Toc414960388"/>
      <w:r>
        <w:rPr>
          <w:rFonts w:hint="eastAsia" w:ascii="宋体" w:hAnsi="宋体" w:cs="宋体"/>
          <w:b/>
          <w:color w:val="auto"/>
          <w:sz w:val="32"/>
          <w:szCs w:val="32"/>
          <w:highlight w:val="none"/>
        </w:rPr>
        <w:t>磋 商 声 明 书</w:t>
      </w:r>
      <w:bookmarkEnd w:id="171"/>
    </w:p>
    <w:p>
      <w:pPr>
        <w:pStyle w:val="15"/>
        <w:spacing w:line="460" w:lineRule="atLeast"/>
        <w:jc w:val="center"/>
        <w:rPr>
          <w:rFonts w:hint="eastAsia" w:cs="宋体"/>
          <w:color w:val="auto"/>
          <w:sz w:val="21"/>
          <w:szCs w:val="21"/>
          <w:highlight w:val="none"/>
        </w:rPr>
      </w:pPr>
    </w:p>
    <w:p>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tabs>
          <w:tab w:val="left" w:pos="1418"/>
        </w:tabs>
        <w:snapToGrid w:val="0"/>
        <w:spacing w:before="50" w:after="50"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（供应商名称）系中华人民共和国合法企业，经营地址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tabs>
          <w:tab w:val="left" w:pos="1418"/>
        </w:tabs>
        <w:snapToGrid w:val="0"/>
        <w:spacing w:before="50" w:after="50"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（供应商名称）的法定代表人，我方愿意参加贵方组织的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项目的磋商，为便于贵方公正、择优地确定成交供应商及其磋商项目的服务，我方就本次磋商有关事项郑重声明如下：</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1、我方向贵方提交的所有响应文件、资料都是准确的和真实的；</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2、我方不是采购人的附属机构；在获知本项目采购信息后，与采购人聘请的为此项目提供咨询服务的公司及其附属机构没有任何联系。</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3、我方此次向贵方提供的服务是</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4、我方最近三年内的被公开披露或查处的违法违规行为有：</w:t>
      </w:r>
      <w:r>
        <w:rPr>
          <w:rFonts w:hint="eastAsia" w:ascii="宋体" w:hAnsi="宋体" w:cs="宋体"/>
          <w:color w:val="auto"/>
          <w:szCs w:val="21"/>
          <w:highlight w:val="none"/>
          <w:u w:val="single"/>
        </w:rPr>
        <w:t xml:space="preserve">　                </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5、我方承诺：最近三年我方无行贿犯罪行为，若我方成交，愿意接受社会监督和检察院调查，若与我方承诺不符，可免除我方成交人资格。                                                  </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6、以上事项如有虚假或隐瞒，我方愿意承担一切后果和责任。</w:t>
      </w:r>
    </w:p>
    <w:p>
      <w:pPr>
        <w:adjustRightInd w:val="0"/>
        <w:snapToGrid w:val="0"/>
        <w:spacing w:line="360" w:lineRule="auto"/>
        <w:ind w:firstLine="420" w:firstLineChars="200"/>
        <w:rPr>
          <w:rFonts w:hint="eastAsia" w:ascii="宋体" w:hAnsi="宋体" w:cs="宋体"/>
          <w:color w:val="auto"/>
          <w:szCs w:val="21"/>
          <w:highlight w:val="none"/>
          <w:u w:val="single"/>
        </w:rPr>
      </w:pPr>
    </w:p>
    <w:p>
      <w:pPr>
        <w:adjustRightInd w:val="0"/>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法定代表人签字：</w:t>
      </w:r>
      <w:r>
        <w:rPr>
          <w:rFonts w:hint="eastAsia" w:ascii="宋体" w:hAnsi="宋体" w:cs="宋体"/>
          <w:color w:val="auto"/>
          <w:szCs w:val="21"/>
          <w:highlight w:val="none"/>
          <w:u w:val="single"/>
        </w:rPr>
        <w:t xml:space="preserve">             </w:t>
      </w:r>
    </w:p>
    <w:p>
      <w:pPr>
        <w:adjustRightInd w:val="0"/>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供应商盖章：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adjustRightInd w:val="0"/>
        <w:snapToGrid w:val="0"/>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 xml:space="preserve">  年    月    日</w:t>
      </w:r>
    </w:p>
    <w:p>
      <w:pPr>
        <w:ind w:firstLine="315" w:firstLineChars="150"/>
        <w:rPr>
          <w:rFonts w:hint="eastAsia" w:ascii="宋体" w:hAnsi="宋体" w:cs="宋体"/>
          <w:color w:val="auto"/>
          <w:szCs w:val="21"/>
          <w:highlight w:val="none"/>
        </w:rPr>
      </w:pPr>
    </w:p>
    <w:p>
      <w:pPr>
        <w:spacing w:line="400" w:lineRule="exact"/>
        <w:jc w:val="left"/>
        <w:rPr>
          <w:rFonts w:hint="eastAsia" w:ascii="宋体" w:hAnsi="宋体" w:cs="宋体"/>
          <w:color w:val="auto"/>
          <w:szCs w:val="21"/>
          <w:highlight w:val="none"/>
        </w:rPr>
      </w:pPr>
    </w:p>
    <w:p>
      <w:pPr>
        <w:spacing w:line="400" w:lineRule="exact"/>
        <w:jc w:val="left"/>
        <w:rPr>
          <w:rFonts w:hint="eastAsia" w:ascii="宋体" w:hAnsi="宋体" w:cs="宋体"/>
          <w:color w:val="auto"/>
          <w:szCs w:val="21"/>
          <w:highlight w:val="none"/>
        </w:rPr>
      </w:pPr>
    </w:p>
    <w:p>
      <w:pPr>
        <w:spacing w:line="400" w:lineRule="exact"/>
        <w:jc w:val="left"/>
        <w:rPr>
          <w:rFonts w:hint="eastAsia" w:ascii="宋体" w:hAnsi="宋体" w:cs="宋体"/>
          <w:color w:val="auto"/>
          <w:szCs w:val="21"/>
          <w:highlight w:val="none"/>
        </w:rPr>
      </w:pPr>
    </w:p>
    <w:p>
      <w:pPr>
        <w:spacing w:line="400" w:lineRule="exact"/>
        <w:jc w:val="left"/>
        <w:rPr>
          <w:rFonts w:hint="eastAsia" w:ascii="宋体" w:hAnsi="宋体" w:cs="宋体"/>
          <w:color w:val="auto"/>
          <w:szCs w:val="21"/>
          <w:highlight w:val="none"/>
        </w:rPr>
      </w:pPr>
    </w:p>
    <w:p>
      <w:pPr>
        <w:spacing w:line="400" w:lineRule="exact"/>
        <w:jc w:val="left"/>
        <w:rPr>
          <w:rFonts w:hint="eastAsia" w:ascii="宋体" w:hAnsi="宋体" w:cs="宋体"/>
          <w:color w:val="auto"/>
          <w:szCs w:val="21"/>
          <w:highlight w:val="none"/>
        </w:rPr>
      </w:pPr>
    </w:p>
    <w:p>
      <w:pPr>
        <w:spacing w:line="400" w:lineRule="exact"/>
        <w:jc w:val="left"/>
        <w:rPr>
          <w:rFonts w:hint="eastAsia" w:ascii="宋体" w:hAnsi="宋体" w:cs="宋体"/>
          <w:color w:val="auto"/>
          <w:szCs w:val="21"/>
          <w:highlight w:val="none"/>
        </w:rPr>
      </w:pPr>
    </w:p>
    <w:p>
      <w:pPr>
        <w:spacing w:line="400" w:lineRule="exact"/>
        <w:jc w:val="left"/>
        <w:rPr>
          <w:rFonts w:hint="eastAsia" w:ascii="宋体" w:hAnsi="宋体" w:cs="宋体"/>
          <w:color w:val="auto"/>
          <w:szCs w:val="21"/>
          <w:highlight w:val="none"/>
        </w:rPr>
      </w:pPr>
    </w:p>
    <w:p>
      <w:pPr>
        <w:spacing w:line="400" w:lineRule="exact"/>
        <w:jc w:val="left"/>
        <w:rPr>
          <w:rFonts w:hint="eastAsia" w:ascii="宋体" w:hAnsi="宋体" w:cs="宋体"/>
          <w:color w:val="auto"/>
          <w:szCs w:val="21"/>
          <w:highlight w:val="none"/>
        </w:rPr>
      </w:pPr>
    </w:p>
    <w:p>
      <w:pPr>
        <w:spacing w:line="400" w:lineRule="exact"/>
        <w:jc w:val="left"/>
        <w:rPr>
          <w:rFonts w:hint="eastAsia" w:ascii="宋体" w:hAnsi="宋体" w:cs="宋体"/>
          <w:color w:val="auto"/>
          <w:szCs w:val="21"/>
          <w:highlight w:val="none"/>
        </w:rPr>
      </w:pPr>
    </w:p>
    <w:p>
      <w:pPr>
        <w:spacing w:line="400" w:lineRule="exact"/>
        <w:jc w:val="left"/>
        <w:rPr>
          <w:rFonts w:hint="eastAsia" w:ascii="宋体" w:hAnsi="宋体" w:cs="宋体"/>
          <w:color w:val="auto"/>
          <w:szCs w:val="21"/>
          <w:highlight w:val="none"/>
        </w:rPr>
      </w:pPr>
    </w:p>
    <w:p>
      <w:pPr>
        <w:spacing w:line="400" w:lineRule="exact"/>
        <w:jc w:val="left"/>
        <w:rPr>
          <w:rFonts w:hint="eastAsia" w:ascii="宋体" w:hAnsi="宋体" w:cs="宋体"/>
          <w:color w:val="auto"/>
          <w:szCs w:val="21"/>
          <w:highlight w:val="none"/>
        </w:rPr>
      </w:pPr>
    </w:p>
    <w:p>
      <w:pPr>
        <w:spacing w:line="400" w:lineRule="exact"/>
        <w:jc w:val="left"/>
        <w:rPr>
          <w:rFonts w:hint="eastAsia" w:ascii="宋体" w:hAnsi="宋体" w:cs="宋体"/>
          <w:color w:val="auto"/>
          <w:szCs w:val="21"/>
          <w:highlight w:val="none"/>
        </w:rPr>
      </w:pPr>
    </w:p>
    <w:p>
      <w:pPr>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4、初次报价表格式</w:t>
      </w:r>
    </w:p>
    <w:p>
      <w:pPr>
        <w:rPr>
          <w:rFonts w:hint="eastAsia" w:ascii="宋体" w:hAnsi="宋体" w:cs="宋体"/>
          <w:color w:val="auto"/>
          <w:szCs w:val="21"/>
          <w:highlight w:val="none"/>
        </w:rPr>
      </w:pPr>
    </w:p>
    <w:p>
      <w:pPr>
        <w:spacing w:line="400" w:lineRule="exact"/>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初次报价表</w:t>
      </w:r>
    </w:p>
    <w:p>
      <w:pPr>
        <w:adjustRightInd w:val="0"/>
        <w:snapToGrid w:val="0"/>
        <w:spacing w:line="360" w:lineRule="auto"/>
        <w:ind w:firstLine="420" w:firstLineChars="200"/>
        <w:rPr>
          <w:rFonts w:hint="eastAsia" w:ascii="宋体" w:hAnsi="宋体" w:eastAsia="宋体" w:cs="宋体"/>
          <w:color w:val="auto"/>
          <w:szCs w:val="21"/>
          <w:highlight w:val="none"/>
        </w:rPr>
      </w:pP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项目编号：</w:t>
      </w:r>
    </w:p>
    <w:tbl>
      <w:tblPr>
        <w:tblStyle w:val="30"/>
        <w:tblW w:w="84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4089"/>
        <w:gridCol w:w="3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665" w:type="dxa"/>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序号</w:t>
            </w:r>
          </w:p>
        </w:tc>
        <w:tc>
          <w:tcPr>
            <w:tcW w:w="4089" w:type="dxa"/>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服务名称</w:t>
            </w:r>
          </w:p>
        </w:tc>
        <w:tc>
          <w:tcPr>
            <w:tcW w:w="3728" w:type="dxa"/>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初次报价（折扣率）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665" w:type="dxa"/>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1</w:t>
            </w:r>
          </w:p>
        </w:tc>
        <w:tc>
          <w:tcPr>
            <w:tcW w:w="4089" w:type="dxa"/>
            <w:noWrap w:val="0"/>
            <w:vAlign w:val="center"/>
          </w:tcPr>
          <w:p>
            <w:pPr>
              <w:jc w:val="center"/>
              <w:rPr>
                <w:rFonts w:hint="eastAsia" w:ascii="宋体" w:hAnsi="宋体" w:eastAsia="宋体" w:cs="宋体"/>
                <w:color w:val="auto"/>
                <w:highlight w:val="none"/>
                <w:lang w:eastAsia="zh-CN"/>
              </w:rPr>
            </w:pPr>
            <w:r>
              <w:rPr>
                <w:rFonts w:hint="eastAsia"/>
                <w:color w:val="auto"/>
                <w:highlight w:val="none"/>
                <w:lang w:eastAsia="zh-CN"/>
              </w:rPr>
              <w:t>安吉县人民政府灵峰街道办事处2025-2026年度土壤污染状况调查服务项目</w:t>
            </w:r>
          </w:p>
        </w:tc>
        <w:tc>
          <w:tcPr>
            <w:tcW w:w="3728" w:type="dxa"/>
            <w:noWrap w:val="0"/>
            <w:vAlign w:val="center"/>
          </w:tcPr>
          <w:p>
            <w:pPr>
              <w:rPr>
                <w:rFonts w:hint="eastAsia" w:ascii="宋体" w:hAnsi="宋体" w:cs="宋体"/>
                <w:color w:val="auto"/>
                <w:highlight w:val="none"/>
              </w:rPr>
            </w:pPr>
            <w:r>
              <w:rPr>
                <w:rFonts w:hint="eastAsia" w:ascii="宋体" w:hAnsi="宋体" w:cs="宋体"/>
                <w:color w:val="auto"/>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482" w:type="dxa"/>
            <w:gridSpan w:val="3"/>
            <w:noWrap w:val="0"/>
            <w:vAlign w:val="center"/>
          </w:tcPr>
          <w:p>
            <w:pPr>
              <w:rPr>
                <w:rFonts w:hint="eastAsia" w:ascii="宋体" w:hAnsi="宋体" w:cs="宋体"/>
                <w:color w:val="auto"/>
                <w:highlight w:val="none"/>
              </w:rPr>
            </w:pPr>
            <w:r>
              <w:rPr>
                <w:rFonts w:hint="eastAsia" w:ascii="宋体" w:hAnsi="宋体" w:cs="宋体"/>
                <w:color w:val="auto"/>
                <w:highlight w:val="none"/>
              </w:rPr>
              <w:t>初次报价大写：百分之</w:t>
            </w:r>
            <w:r>
              <w:rPr>
                <w:rFonts w:hint="eastAsia" w:ascii="宋体" w:hAnsi="宋体" w:cs="宋体"/>
                <w:color w:val="auto"/>
                <w:highlight w:val="none"/>
                <w:u w:val="single"/>
              </w:rPr>
              <w:t xml:space="preserve">                </w:t>
            </w:r>
          </w:p>
        </w:tc>
      </w:tr>
    </w:tbl>
    <w:p>
      <w:pPr>
        <w:adjustRightInd w:val="0"/>
        <w:snapToGrid w:val="0"/>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注：</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报价一经涂改，应在涂改处加盖单位公章或者由法定代表人或授权委托人签字或盖章，否则其投标作无效标处理。</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本项目折扣率报价，</w:t>
      </w:r>
      <w:r>
        <w:rPr>
          <w:rFonts w:hint="eastAsia" w:ascii="宋体" w:hAnsi="宋体" w:eastAsia="宋体" w:cs="宋体"/>
          <w:color w:val="auto"/>
          <w:szCs w:val="21"/>
          <w:highlight w:val="none"/>
        </w:rPr>
        <w:t>履行合同的最终价格</w:t>
      </w:r>
      <w:r>
        <w:rPr>
          <w:rFonts w:hint="eastAsia" w:ascii="宋体" w:hAnsi="宋体" w:cs="宋体"/>
          <w:color w:val="auto"/>
          <w:szCs w:val="21"/>
          <w:highlight w:val="none"/>
          <w:lang w:val="en-US" w:eastAsia="zh-CN"/>
        </w:rPr>
        <w:t>=预算价*折扣率</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最终价格</w:t>
      </w:r>
      <w:r>
        <w:rPr>
          <w:rFonts w:hint="eastAsia" w:ascii="宋体" w:hAnsi="宋体" w:eastAsia="宋体" w:cs="宋体"/>
          <w:color w:val="auto"/>
          <w:szCs w:val="21"/>
          <w:highlight w:val="none"/>
        </w:rPr>
        <w:t>应包括人工费、勘察费、数据采集费、技术鉴定费、报告编制及印刷费、差旅费、设备通讯费、保险费、间接费、税金利润、招标代理费等一切费用，凡未列入的均将被认为已包含在报价中。</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、投标文件只允许有一个报价，有选择的报价将不予接受。</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初次报价不公开。不提供此表格的将视为没有实质性响应磋商文件。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kern w:val="2"/>
          <w:sz w:val="21"/>
          <w:szCs w:val="24"/>
          <w:highlight w:val="none"/>
          <w:lang w:val="en-US" w:eastAsia="zh-CN" w:bidi="ar-SA"/>
        </w:rPr>
        <w:t>5、供应商以</w:t>
      </w:r>
      <w:r>
        <w:rPr>
          <w:rFonts w:hint="eastAsia" w:ascii="宋体" w:hAnsi="宋体" w:eastAsia="宋体" w:cs="宋体"/>
          <w:color w:val="auto"/>
          <w:kern w:val="2"/>
          <w:sz w:val="21"/>
          <w:szCs w:val="21"/>
          <w:highlight w:val="none"/>
          <w:lang w:val="en-US" w:eastAsia="zh-CN" w:bidi="ar-SA"/>
        </w:rPr>
        <w:t>《标项一及标项二最高限价表》（见采购</w:t>
      </w:r>
      <w:r>
        <w:rPr>
          <w:rFonts w:hint="eastAsia" w:ascii="宋体" w:hAnsi="宋体" w:eastAsia="宋体" w:cs="宋体"/>
          <w:color w:val="auto"/>
          <w:highlight w:val="none"/>
        </w:rPr>
        <w:t>文件第二章）中的价格为基准价，报平均折扣率，该折扣率适用于本项目涉及的所有项目。折扣率不得为负数。</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供应商全称：（盖章）</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授权代表：（签字）</w:t>
      </w:r>
    </w:p>
    <w:p>
      <w:pPr>
        <w:adjustRightInd w:val="0"/>
        <w:snapToGrid w:val="0"/>
        <w:spacing w:line="360" w:lineRule="auto"/>
        <w:ind w:firstLine="420" w:firstLineChars="200"/>
        <w:rPr>
          <w:rFonts w:hint="eastAsia" w:ascii="宋体" w:hAnsi="宋体" w:cs="宋体"/>
          <w:color w:val="auto"/>
          <w:sz w:val="32"/>
          <w:szCs w:val="32"/>
          <w:highlight w:val="none"/>
        </w:rPr>
      </w:pPr>
      <w:r>
        <w:rPr>
          <w:rFonts w:hint="eastAsia" w:ascii="宋体" w:hAnsi="宋体" w:eastAsia="宋体" w:cs="宋体"/>
          <w:color w:val="auto"/>
          <w:szCs w:val="21"/>
          <w:highlight w:val="none"/>
        </w:rPr>
        <w:t>日期：</w:t>
      </w:r>
    </w:p>
    <w:p>
      <w:pPr>
        <w:spacing w:line="400" w:lineRule="exact"/>
        <w:rPr>
          <w:rFonts w:hint="eastAsia" w:ascii="宋体" w:hAnsi="宋体" w:cs="宋体"/>
          <w:color w:val="auto"/>
          <w:szCs w:val="21"/>
          <w:highlight w:val="none"/>
        </w:rPr>
      </w:pPr>
    </w:p>
    <w:p>
      <w:pPr>
        <w:rPr>
          <w:rFonts w:hint="eastAsia" w:ascii="宋体" w:hAnsi="宋体" w:cs="宋体"/>
          <w:color w:val="auto"/>
          <w:szCs w:val="21"/>
          <w:highlight w:val="none"/>
        </w:rPr>
      </w:pPr>
      <w:r>
        <w:rPr>
          <w:rFonts w:hint="eastAsia" w:ascii="宋体" w:hAnsi="宋体" w:cs="宋体"/>
          <w:color w:val="auto"/>
          <w:szCs w:val="21"/>
          <w:highlight w:val="none"/>
        </w:rPr>
        <w:br w:type="page"/>
      </w:r>
    </w:p>
    <w:p>
      <w:pPr>
        <w:spacing w:line="400" w:lineRule="exact"/>
        <w:rPr>
          <w:rFonts w:hint="eastAsia" w:ascii="宋体" w:hAnsi="宋体" w:cs="宋体"/>
          <w:color w:val="auto"/>
          <w:szCs w:val="21"/>
          <w:highlight w:val="none"/>
        </w:rPr>
      </w:pPr>
    </w:p>
    <w:p>
      <w:pPr>
        <w:spacing w:line="400" w:lineRule="exact"/>
        <w:rPr>
          <w:rFonts w:ascii="宋体" w:hAnsi="宋体"/>
          <w:color w:val="auto"/>
          <w:highlight w:val="none"/>
        </w:rPr>
      </w:pPr>
      <w:r>
        <w:rPr>
          <w:rFonts w:hint="eastAsia" w:ascii="宋体" w:hAnsi="宋体" w:cs="宋体"/>
          <w:color w:val="auto"/>
          <w:szCs w:val="21"/>
          <w:highlight w:val="none"/>
        </w:rPr>
        <w:t>5、</w:t>
      </w:r>
      <w:r>
        <w:rPr>
          <w:rFonts w:hint="eastAsia" w:ascii="宋体" w:hAnsi="宋体"/>
          <w:color w:val="auto"/>
          <w:highlight w:val="none"/>
        </w:rPr>
        <w:t>报价明细表：</w:t>
      </w:r>
    </w:p>
    <w:p>
      <w:pPr>
        <w:snapToGrid w:val="0"/>
        <w:spacing w:line="440" w:lineRule="exact"/>
        <w:jc w:val="center"/>
        <w:rPr>
          <w:rFonts w:hint="eastAsia" w:ascii="宋体"/>
          <w:b/>
          <w:color w:val="auto"/>
          <w:szCs w:val="21"/>
          <w:highlight w:val="none"/>
        </w:rPr>
      </w:pPr>
      <w:bookmarkStart w:id="172" w:name="_Toc293916986"/>
      <w:r>
        <w:rPr>
          <w:rFonts w:hint="eastAsia" w:ascii="宋体"/>
          <w:b/>
          <w:color w:val="auto"/>
          <w:szCs w:val="21"/>
          <w:highlight w:val="none"/>
        </w:rPr>
        <w:t>磋商报价明细表</w:t>
      </w:r>
      <w:bookmarkEnd w:id="172"/>
    </w:p>
    <w:p>
      <w:pPr>
        <w:snapToGrid w:val="0"/>
        <w:spacing w:line="440" w:lineRule="exact"/>
        <w:rPr>
          <w:rFonts w:hint="default" w:ascii="宋体" w:eastAsia="宋体"/>
          <w:color w:val="auto"/>
          <w:szCs w:val="21"/>
          <w:highlight w:val="none"/>
          <w:u w:val="single"/>
          <w:lang w:val="en-US" w:eastAsia="zh-CN"/>
        </w:rPr>
      </w:pPr>
      <w:bookmarkStart w:id="173" w:name="_Toc293916987"/>
      <w:r>
        <w:rPr>
          <w:rFonts w:hint="eastAsia" w:ascii="宋体"/>
          <w:color w:val="auto"/>
          <w:szCs w:val="21"/>
          <w:highlight w:val="none"/>
        </w:rPr>
        <w:t>项目名称：</w:t>
      </w:r>
      <w:r>
        <w:rPr>
          <w:rFonts w:hint="eastAsia" w:ascii="宋体"/>
          <w:color w:val="auto"/>
          <w:szCs w:val="21"/>
          <w:highlight w:val="none"/>
          <w:u w:val="single"/>
        </w:rPr>
        <w:t xml:space="preserve">                 </w:t>
      </w:r>
      <w:r>
        <w:rPr>
          <w:rFonts w:hint="eastAsia" w:ascii="宋体"/>
          <w:color w:val="auto"/>
          <w:szCs w:val="21"/>
          <w:highlight w:val="none"/>
          <w:u w:val="none"/>
          <w:lang w:eastAsia="zh-CN"/>
        </w:rPr>
        <w:t>项目</w:t>
      </w:r>
      <w:r>
        <w:rPr>
          <w:rFonts w:hint="eastAsia" w:ascii="宋体"/>
          <w:color w:val="auto"/>
          <w:szCs w:val="21"/>
          <w:highlight w:val="none"/>
          <w:u w:val="none"/>
        </w:rPr>
        <w:t>编号</w:t>
      </w:r>
      <w:r>
        <w:rPr>
          <w:rFonts w:hint="eastAsia" w:ascii="宋体"/>
          <w:color w:val="auto"/>
          <w:szCs w:val="21"/>
          <w:highlight w:val="none"/>
        </w:rPr>
        <w:t>：</w:t>
      </w:r>
      <w:bookmarkEnd w:id="173"/>
      <w:r>
        <w:rPr>
          <w:rFonts w:hint="eastAsia" w:ascii="宋体"/>
          <w:color w:val="auto"/>
          <w:szCs w:val="21"/>
          <w:highlight w:val="none"/>
          <w:u w:val="single"/>
        </w:rPr>
        <w:t xml:space="preserve">                </w:t>
      </w:r>
      <w:r>
        <w:rPr>
          <w:rFonts w:hint="eastAsia" w:ascii="宋体"/>
          <w:color w:val="auto"/>
          <w:szCs w:val="21"/>
          <w:highlight w:val="none"/>
          <w:u w:val="none"/>
        </w:rPr>
        <w:t>标项：</w:t>
      </w:r>
      <w:r>
        <w:rPr>
          <w:rFonts w:hint="eastAsia" w:ascii="宋体"/>
          <w:color w:val="auto"/>
          <w:szCs w:val="21"/>
          <w:highlight w:val="none"/>
          <w:u w:val="single"/>
          <w:lang w:val="en-US" w:eastAsia="zh-CN"/>
        </w:rPr>
        <w:t xml:space="preserve">             </w:t>
      </w:r>
    </w:p>
    <w:p>
      <w:pPr>
        <w:snapToGrid w:val="0"/>
        <w:spacing w:line="440" w:lineRule="exact"/>
        <w:jc w:val="right"/>
        <w:rPr>
          <w:rFonts w:hint="eastAsia" w:ascii="宋体"/>
          <w:color w:val="auto"/>
          <w:szCs w:val="21"/>
          <w:highlight w:val="none"/>
        </w:rPr>
      </w:pPr>
      <w:r>
        <w:rPr>
          <w:rFonts w:hint="eastAsia" w:ascii="宋体"/>
          <w:color w:val="auto"/>
          <w:szCs w:val="21"/>
          <w:highlight w:val="none"/>
        </w:rPr>
        <w:t xml:space="preserve">                                         金额单位：人民币（元）</w:t>
      </w:r>
    </w:p>
    <w:tbl>
      <w:tblPr>
        <w:tblStyle w:val="30"/>
        <w:tblW w:w="9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4066"/>
        <w:gridCol w:w="873"/>
        <w:gridCol w:w="954"/>
        <w:gridCol w:w="1211"/>
        <w:gridCol w:w="1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28" w:type="dxa"/>
            <w:noWrap w:val="0"/>
            <w:vAlign w:val="center"/>
          </w:tcPr>
          <w:p>
            <w:pPr>
              <w:jc w:val="center"/>
              <w:rPr>
                <w:rFonts w:hint="eastAsia" w:ascii="宋体"/>
                <w:color w:val="auto"/>
                <w:szCs w:val="21"/>
                <w:highlight w:val="none"/>
              </w:rPr>
            </w:pPr>
            <w:bookmarkStart w:id="174" w:name="_Toc293916989"/>
            <w:r>
              <w:rPr>
                <w:rFonts w:hint="eastAsia" w:ascii="宋体"/>
                <w:color w:val="auto"/>
                <w:szCs w:val="21"/>
                <w:highlight w:val="none"/>
              </w:rPr>
              <w:t>序号</w:t>
            </w:r>
            <w:bookmarkEnd w:id="174"/>
          </w:p>
        </w:tc>
        <w:tc>
          <w:tcPr>
            <w:tcW w:w="4066" w:type="dxa"/>
            <w:noWrap w:val="0"/>
            <w:vAlign w:val="center"/>
          </w:tcPr>
          <w:p>
            <w:pPr>
              <w:jc w:val="center"/>
              <w:rPr>
                <w:rFonts w:hint="eastAsia" w:ascii="宋体"/>
                <w:color w:val="auto"/>
                <w:szCs w:val="21"/>
                <w:highlight w:val="none"/>
              </w:rPr>
            </w:pPr>
            <w:r>
              <w:rPr>
                <w:rFonts w:hint="eastAsia" w:ascii="宋体"/>
                <w:color w:val="auto"/>
                <w:szCs w:val="21"/>
                <w:highlight w:val="none"/>
              </w:rPr>
              <w:t>服务名称</w:t>
            </w:r>
          </w:p>
        </w:tc>
        <w:tc>
          <w:tcPr>
            <w:tcW w:w="873" w:type="dxa"/>
            <w:noWrap w:val="0"/>
            <w:vAlign w:val="center"/>
          </w:tcPr>
          <w:p>
            <w:pPr>
              <w:jc w:val="center"/>
              <w:rPr>
                <w:rFonts w:hint="eastAsia" w:ascii="宋体"/>
                <w:color w:val="auto"/>
                <w:szCs w:val="21"/>
                <w:highlight w:val="none"/>
              </w:rPr>
            </w:pPr>
            <w:bookmarkStart w:id="175" w:name="_Toc293916993"/>
            <w:r>
              <w:rPr>
                <w:rFonts w:hint="eastAsia" w:ascii="宋体"/>
                <w:color w:val="auto"/>
                <w:szCs w:val="21"/>
                <w:highlight w:val="none"/>
              </w:rPr>
              <w:t>数量</w:t>
            </w:r>
            <w:bookmarkEnd w:id="175"/>
          </w:p>
        </w:tc>
        <w:tc>
          <w:tcPr>
            <w:tcW w:w="954" w:type="dxa"/>
            <w:noWrap w:val="0"/>
            <w:vAlign w:val="center"/>
          </w:tcPr>
          <w:p>
            <w:pPr>
              <w:jc w:val="center"/>
              <w:rPr>
                <w:rFonts w:hint="eastAsia" w:ascii="宋体"/>
                <w:color w:val="auto"/>
                <w:szCs w:val="21"/>
                <w:highlight w:val="none"/>
              </w:rPr>
            </w:pPr>
            <w:bookmarkStart w:id="176" w:name="_Toc293916994"/>
            <w:r>
              <w:rPr>
                <w:rFonts w:hint="eastAsia" w:ascii="宋体"/>
                <w:color w:val="auto"/>
                <w:szCs w:val="21"/>
                <w:highlight w:val="none"/>
              </w:rPr>
              <w:t>单价</w:t>
            </w:r>
            <w:bookmarkEnd w:id="176"/>
          </w:p>
        </w:tc>
        <w:tc>
          <w:tcPr>
            <w:tcW w:w="1211" w:type="dxa"/>
            <w:noWrap w:val="0"/>
            <w:vAlign w:val="center"/>
          </w:tcPr>
          <w:p>
            <w:pPr>
              <w:jc w:val="center"/>
              <w:rPr>
                <w:rFonts w:hint="eastAsia" w:ascii="宋体"/>
                <w:color w:val="auto"/>
                <w:szCs w:val="21"/>
                <w:highlight w:val="none"/>
              </w:rPr>
            </w:pPr>
            <w:r>
              <w:rPr>
                <w:rFonts w:hint="eastAsia" w:ascii="宋体"/>
                <w:color w:val="auto"/>
                <w:szCs w:val="21"/>
                <w:highlight w:val="none"/>
              </w:rPr>
              <w:t>总价</w:t>
            </w:r>
          </w:p>
        </w:tc>
        <w:tc>
          <w:tcPr>
            <w:tcW w:w="1269" w:type="dxa"/>
            <w:noWrap w:val="0"/>
            <w:vAlign w:val="center"/>
          </w:tcPr>
          <w:p>
            <w:pPr>
              <w:jc w:val="center"/>
              <w:rPr>
                <w:rFonts w:hint="eastAsia" w:ascii="宋体"/>
                <w:color w:val="auto"/>
                <w:szCs w:val="21"/>
                <w:highlight w:val="none"/>
              </w:rPr>
            </w:pPr>
            <w:r>
              <w:rPr>
                <w:rFonts w:hint="eastAsia" w:ascii="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28" w:type="dxa"/>
            <w:noWrap w:val="0"/>
            <w:vAlign w:val="center"/>
          </w:tcPr>
          <w:p>
            <w:pPr>
              <w:jc w:val="center"/>
              <w:rPr>
                <w:rFonts w:hint="eastAsia" w:ascii="宋体"/>
                <w:color w:val="auto"/>
                <w:szCs w:val="21"/>
                <w:highlight w:val="none"/>
              </w:rPr>
            </w:pPr>
          </w:p>
        </w:tc>
        <w:tc>
          <w:tcPr>
            <w:tcW w:w="4066" w:type="dxa"/>
            <w:noWrap w:val="0"/>
            <w:vAlign w:val="center"/>
          </w:tcPr>
          <w:p>
            <w:pPr>
              <w:jc w:val="center"/>
              <w:rPr>
                <w:rFonts w:hint="eastAsia" w:ascii="宋体"/>
                <w:color w:val="auto"/>
                <w:szCs w:val="21"/>
                <w:highlight w:val="none"/>
              </w:rPr>
            </w:pPr>
          </w:p>
        </w:tc>
        <w:tc>
          <w:tcPr>
            <w:tcW w:w="873" w:type="dxa"/>
            <w:noWrap w:val="0"/>
            <w:vAlign w:val="center"/>
          </w:tcPr>
          <w:p>
            <w:pPr>
              <w:jc w:val="center"/>
              <w:rPr>
                <w:rFonts w:hint="eastAsia" w:ascii="宋体"/>
                <w:color w:val="auto"/>
                <w:szCs w:val="21"/>
                <w:highlight w:val="none"/>
              </w:rPr>
            </w:pPr>
          </w:p>
        </w:tc>
        <w:tc>
          <w:tcPr>
            <w:tcW w:w="954" w:type="dxa"/>
            <w:noWrap w:val="0"/>
            <w:vAlign w:val="center"/>
          </w:tcPr>
          <w:p>
            <w:pPr>
              <w:jc w:val="center"/>
              <w:rPr>
                <w:rFonts w:hint="eastAsia" w:ascii="宋体"/>
                <w:color w:val="auto"/>
                <w:szCs w:val="21"/>
                <w:highlight w:val="none"/>
              </w:rPr>
            </w:pPr>
          </w:p>
        </w:tc>
        <w:tc>
          <w:tcPr>
            <w:tcW w:w="1211" w:type="dxa"/>
            <w:noWrap w:val="0"/>
            <w:vAlign w:val="center"/>
          </w:tcPr>
          <w:p>
            <w:pPr>
              <w:jc w:val="center"/>
              <w:rPr>
                <w:rFonts w:hint="eastAsia" w:ascii="宋体"/>
                <w:color w:val="auto"/>
                <w:szCs w:val="21"/>
                <w:highlight w:val="none"/>
              </w:rPr>
            </w:pPr>
          </w:p>
        </w:tc>
        <w:tc>
          <w:tcPr>
            <w:tcW w:w="1269" w:type="dxa"/>
            <w:noWrap w:val="0"/>
            <w:vAlign w:val="center"/>
          </w:tcPr>
          <w:p>
            <w:pPr>
              <w:jc w:val="center"/>
              <w:rPr>
                <w:rFonts w:hint="eastAsia"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28" w:type="dxa"/>
            <w:noWrap w:val="0"/>
            <w:vAlign w:val="center"/>
          </w:tcPr>
          <w:p>
            <w:pPr>
              <w:jc w:val="center"/>
              <w:rPr>
                <w:rFonts w:hint="eastAsia" w:ascii="宋体"/>
                <w:color w:val="auto"/>
                <w:szCs w:val="21"/>
                <w:highlight w:val="none"/>
              </w:rPr>
            </w:pPr>
          </w:p>
        </w:tc>
        <w:tc>
          <w:tcPr>
            <w:tcW w:w="4066" w:type="dxa"/>
            <w:noWrap w:val="0"/>
            <w:vAlign w:val="center"/>
          </w:tcPr>
          <w:p>
            <w:pPr>
              <w:jc w:val="center"/>
              <w:rPr>
                <w:rFonts w:hint="eastAsia" w:ascii="宋体"/>
                <w:color w:val="auto"/>
                <w:szCs w:val="21"/>
                <w:highlight w:val="none"/>
              </w:rPr>
            </w:pPr>
          </w:p>
        </w:tc>
        <w:tc>
          <w:tcPr>
            <w:tcW w:w="873" w:type="dxa"/>
            <w:noWrap w:val="0"/>
            <w:vAlign w:val="center"/>
          </w:tcPr>
          <w:p>
            <w:pPr>
              <w:jc w:val="center"/>
              <w:rPr>
                <w:rFonts w:hint="eastAsia" w:ascii="宋体"/>
                <w:color w:val="auto"/>
                <w:szCs w:val="21"/>
                <w:highlight w:val="none"/>
              </w:rPr>
            </w:pPr>
          </w:p>
        </w:tc>
        <w:tc>
          <w:tcPr>
            <w:tcW w:w="954" w:type="dxa"/>
            <w:noWrap w:val="0"/>
            <w:vAlign w:val="center"/>
          </w:tcPr>
          <w:p>
            <w:pPr>
              <w:jc w:val="center"/>
              <w:rPr>
                <w:rFonts w:hint="eastAsia" w:ascii="宋体"/>
                <w:color w:val="auto"/>
                <w:szCs w:val="21"/>
                <w:highlight w:val="none"/>
              </w:rPr>
            </w:pPr>
          </w:p>
        </w:tc>
        <w:tc>
          <w:tcPr>
            <w:tcW w:w="1211" w:type="dxa"/>
            <w:noWrap w:val="0"/>
            <w:vAlign w:val="center"/>
          </w:tcPr>
          <w:p>
            <w:pPr>
              <w:jc w:val="center"/>
              <w:rPr>
                <w:rFonts w:hint="eastAsia" w:ascii="宋体"/>
                <w:color w:val="auto"/>
                <w:szCs w:val="21"/>
                <w:highlight w:val="none"/>
              </w:rPr>
            </w:pPr>
          </w:p>
        </w:tc>
        <w:tc>
          <w:tcPr>
            <w:tcW w:w="1269" w:type="dxa"/>
            <w:noWrap w:val="0"/>
            <w:vAlign w:val="center"/>
          </w:tcPr>
          <w:p>
            <w:pPr>
              <w:jc w:val="center"/>
              <w:rPr>
                <w:rFonts w:hint="eastAsia"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28" w:type="dxa"/>
            <w:noWrap w:val="0"/>
            <w:vAlign w:val="center"/>
          </w:tcPr>
          <w:p>
            <w:pPr>
              <w:jc w:val="center"/>
              <w:rPr>
                <w:rFonts w:hint="eastAsia" w:ascii="宋体"/>
                <w:color w:val="auto"/>
                <w:szCs w:val="21"/>
                <w:highlight w:val="none"/>
              </w:rPr>
            </w:pPr>
          </w:p>
        </w:tc>
        <w:tc>
          <w:tcPr>
            <w:tcW w:w="4066" w:type="dxa"/>
            <w:noWrap w:val="0"/>
            <w:vAlign w:val="center"/>
          </w:tcPr>
          <w:p>
            <w:pPr>
              <w:jc w:val="center"/>
              <w:rPr>
                <w:rFonts w:hint="eastAsia" w:ascii="宋体"/>
                <w:color w:val="auto"/>
                <w:szCs w:val="21"/>
                <w:highlight w:val="none"/>
              </w:rPr>
            </w:pPr>
          </w:p>
        </w:tc>
        <w:tc>
          <w:tcPr>
            <w:tcW w:w="873" w:type="dxa"/>
            <w:noWrap w:val="0"/>
            <w:vAlign w:val="center"/>
          </w:tcPr>
          <w:p>
            <w:pPr>
              <w:jc w:val="center"/>
              <w:rPr>
                <w:rFonts w:hint="eastAsia" w:ascii="宋体"/>
                <w:color w:val="auto"/>
                <w:szCs w:val="21"/>
                <w:highlight w:val="none"/>
              </w:rPr>
            </w:pPr>
          </w:p>
        </w:tc>
        <w:tc>
          <w:tcPr>
            <w:tcW w:w="954" w:type="dxa"/>
            <w:noWrap w:val="0"/>
            <w:vAlign w:val="center"/>
          </w:tcPr>
          <w:p>
            <w:pPr>
              <w:jc w:val="center"/>
              <w:rPr>
                <w:rFonts w:hint="eastAsia" w:ascii="宋体"/>
                <w:color w:val="auto"/>
                <w:szCs w:val="21"/>
                <w:highlight w:val="none"/>
              </w:rPr>
            </w:pPr>
          </w:p>
        </w:tc>
        <w:tc>
          <w:tcPr>
            <w:tcW w:w="1211" w:type="dxa"/>
            <w:noWrap w:val="0"/>
            <w:vAlign w:val="center"/>
          </w:tcPr>
          <w:p>
            <w:pPr>
              <w:jc w:val="center"/>
              <w:rPr>
                <w:rFonts w:hint="eastAsia" w:ascii="宋体"/>
                <w:color w:val="auto"/>
                <w:szCs w:val="21"/>
                <w:highlight w:val="none"/>
              </w:rPr>
            </w:pPr>
          </w:p>
        </w:tc>
        <w:tc>
          <w:tcPr>
            <w:tcW w:w="1269" w:type="dxa"/>
            <w:noWrap w:val="0"/>
            <w:vAlign w:val="center"/>
          </w:tcPr>
          <w:p>
            <w:pPr>
              <w:jc w:val="center"/>
              <w:rPr>
                <w:rFonts w:hint="eastAsia"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28" w:type="dxa"/>
            <w:noWrap w:val="0"/>
            <w:vAlign w:val="center"/>
          </w:tcPr>
          <w:p>
            <w:pPr>
              <w:jc w:val="center"/>
              <w:rPr>
                <w:rFonts w:hint="eastAsia" w:ascii="宋体"/>
                <w:color w:val="auto"/>
                <w:szCs w:val="21"/>
                <w:highlight w:val="none"/>
              </w:rPr>
            </w:pPr>
          </w:p>
        </w:tc>
        <w:tc>
          <w:tcPr>
            <w:tcW w:w="4066" w:type="dxa"/>
            <w:noWrap w:val="0"/>
            <w:vAlign w:val="center"/>
          </w:tcPr>
          <w:p>
            <w:pPr>
              <w:jc w:val="center"/>
              <w:rPr>
                <w:rFonts w:hint="eastAsia" w:ascii="宋体"/>
                <w:color w:val="auto"/>
                <w:szCs w:val="21"/>
                <w:highlight w:val="none"/>
              </w:rPr>
            </w:pPr>
          </w:p>
        </w:tc>
        <w:tc>
          <w:tcPr>
            <w:tcW w:w="873" w:type="dxa"/>
            <w:noWrap w:val="0"/>
            <w:vAlign w:val="center"/>
          </w:tcPr>
          <w:p>
            <w:pPr>
              <w:jc w:val="center"/>
              <w:rPr>
                <w:rFonts w:hint="eastAsia" w:ascii="宋体"/>
                <w:color w:val="auto"/>
                <w:szCs w:val="21"/>
                <w:highlight w:val="none"/>
              </w:rPr>
            </w:pPr>
          </w:p>
        </w:tc>
        <w:tc>
          <w:tcPr>
            <w:tcW w:w="954" w:type="dxa"/>
            <w:noWrap w:val="0"/>
            <w:vAlign w:val="center"/>
          </w:tcPr>
          <w:p>
            <w:pPr>
              <w:jc w:val="center"/>
              <w:rPr>
                <w:rFonts w:hint="eastAsia" w:ascii="宋体"/>
                <w:color w:val="auto"/>
                <w:szCs w:val="21"/>
                <w:highlight w:val="none"/>
              </w:rPr>
            </w:pPr>
          </w:p>
        </w:tc>
        <w:tc>
          <w:tcPr>
            <w:tcW w:w="1211" w:type="dxa"/>
            <w:noWrap w:val="0"/>
            <w:vAlign w:val="center"/>
          </w:tcPr>
          <w:p>
            <w:pPr>
              <w:jc w:val="center"/>
              <w:rPr>
                <w:rFonts w:hint="eastAsia" w:ascii="宋体"/>
                <w:color w:val="auto"/>
                <w:szCs w:val="21"/>
                <w:highlight w:val="none"/>
              </w:rPr>
            </w:pPr>
          </w:p>
        </w:tc>
        <w:tc>
          <w:tcPr>
            <w:tcW w:w="1269" w:type="dxa"/>
            <w:noWrap w:val="0"/>
            <w:vAlign w:val="center"/>
          </w:tcPr>
          <w:p>
            <w:pPr>
              <w:jc w:val="center"/>
              <w:rPr>
                <w:rFonts w:hint="eastAsia"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28" w:type="dxa"/>
            <w:noWrap w:val="0"/>
            <w:vAlign w:val="center"/>
          </w:tcPr>
          <w:p>
            <w:pPr>
              <w:jc w:val="center"/>
              <w:rPr>
                <w:rFonts w:hint="eastAsia" w:ascii="宋体"/>
                <w:color w:val="auto"/>
                <w:szCs w:val="21"/>
                <w:highlight w:val="none"/>
              </w:rPr>
            </w:pPr>
          </w:p>
        </w:tc>
        <w:tc>
          <w:tcPr>
            <w:tcW w:w="4066" w:type="dxa"/>
            <w:noWrap w:val="0"/>
            <w:vAlign w:val="center"/>
          </w:tcPr>
          <w:p>
            <w:pPr>
              <w:jc w:val="center"/>
              <w:rPr>
                <w:rFonts w:hint="eastAsia" w:ascii="宋体"/>
                <w:color w:val="auto"/>
                <w:szCs w:val="21"/>
                <w:highlight w:val="none"/>
              </w:rPr>
            </w:pPr>
          </w:p>
        </w:tc>
        <w:tc>
          <w:tcPr>
            <w:tcW w:w="873" w:type="dxa"/>
            <w:noWrap w:val="0"/>
            <w:vAlign w:val="center"/>
          </w:tcPr>
          <w:p>
            <w:pPr>
              <w:jc w:val="center"/>
              <w:rPr>
                <w:rFonts w:hint="eastAsia" w:ascii="宋体"/>
                <w:color w:val="auto"/>
                <w:szCs w:val="21"/>
                <w:highlight w:val="none"/>
              </w:rPr>
            </w:pPr>
          </w:p>
        </w:tc>
        <w:tc>
          <w:tcPr>
            <w:tcW w:w="954" w:type="dxa"/>
            <w:noWrap w:val="0"/>
            <w:vAlign w:val="center"/>
          </w:tcPr>
          <w:p>
            <w:pPr>
              <w:jc w:val="center"/>
              <w:rPr>
                <w:rFonts w:hint="eastAsia" w:ascii="宋体"/>
                <w:color w:val="auto"/>
                <w:szCs w:val="21"/>
                <w:highlight w:val="none"/>
              </w:rPr>
            </w:pPr>
          </w:p>
        </w:tc>
        <w:tc>
          <w:tcPr>
            <w:tcW w:w="1211" w:type="dxa"/>
            <w:noWrap w:val="0"/>
            <w:vAlign w:val="center"/>
          </w:tcPr>
          <w:p>
            <w:pPr>
              <w:jc w:val="center"/>
              <w:rPr>
                <w:rFonts w:hint="eastAsia" w:ascii="宋体"/>
                <w:color w:val="auto"/>
                <w:szCs w:val="21"/>
                <w:highlight w:val="none"/>
              </w:rPr>
            </w:pPr>
          </w:p>
        </w:tc>
        <w:tc>
          <w:tcPr>
            <w:tcW w:w="1269" w:type="dxa"/>
            <w:noWrap w:val="0"/>
            <w:vAlign w:val="center"/>
          </w:tcPr>
          <w:p>
            <w:pPr>
              <w:jc w:val="center"/>
              <w:rPr>
                <w:rFonts w:hint="eastAsia"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28" w:type="dxa"/>
            <w:noWrap w:val="0"/>
            <w:vAlign w:val="center"/>
          </w:tcPr>
          <w:p>
            <w:pPr>
              <w:jc w:val="center"/>
              <w:rPr>
                <w:rFonts w:hint="eastAsia" w:ascii="宋体"/>
                <w:color w:val="auto"/>
                <w:szCs w:val="21"/>
                <w:highlight w:val="none"/>
              </w:rPr>
            </w:pPr>
          </w:p>
        </w:tc>
        <w:tc>
          <w:tcPr>
            <w:tcW w:w="4066" w:type="dxa"/>
            <w:noWrap w:val="0"/>
            <w:vAlign w:val="center"/>
          </w:tcPr>
          <w:p>
            <w:pPr>
              <w:jc w:val="center"/>
              <w:rPr>
                <w:rFonts w:hint="eastAsia" w:ascii="宋体"/>
                <w:color w:val="auto"/>
                <w:szCs w:val="21"/>
                <w:highlight w:val="none"/>
              </w:rPr>
            </w:pPr>
          </w:p>
        </w:tc>
        <w:tc>
          <w:tcPr>
            <w:tcW w:w="873" w:type="dxa"/>
            <w:noWrap w:val="0"/>
            <w:vAlign w:val="center"/>
          </w:tcPr>
          <w:p>
            <w:pPr>
              <w:jc w:val="center"/>
              <w:rPr>
                <w:rFonts w:hint="eastAsia" w:ascii="宋体"/>
                <w:color w:val="auto"/>
                <w:szCs w:val="21"/>
                <w:highlight w:val="none"/>
              </w:rPr>
            </w:pPr>
          </w:p>
        </w:tc>
        <w:tc>
          <w:tcPr>
            <w:tcW w:w="954" w:type="dxa"/>
            <w:noWrap w:val="0"/>
            <w:vAlign w:val="center"/>
          </w:tcPr>
          <w:p>
            <w:pPr>
              <w:jc w:val="center"/>
              <w:rPr>
                <w:rFonts w:hint="eastAsia" w:ascii="宋体"/>
                <w:color w:val="auto"/>
                <w:szCs w:val="21"/>
                <w:highlight w:val="none"/>
              </w:rPr>
            </w:pPr>
          </w:p>
        </w:tc>
        <w:tc>
          <w:tcPr>
            <w:tcW w:w="1211" w:type="dxa"/>
            <w:noWrap w:val="0"/>
            <w:vAlign w:val="center"/>
          </w:tcPr>
          <w:p>
            <w:pPr>
              <w:jc w:val="center"/>
              <w:rPr>
                <w:rFonts w:hint="eastAsia" w:ascii="宋体"/>
                <w:color w:val="auto"/>
                <w:szCs w:val="21"/>
                <w:highlight w:val="none"/>
              </w:rPr>
            </w:pPr>
          </w:p>
        </w:tc>
        <w:tc>
          <w:tcPr>
            <w:tcW w:w="1269" w:type="dxa"/>
            <w:noWrap w:val="0"/>
            <w:vAlign w:val="center"/>
          </w:tcPr>
          <w:p>
            <w:pPr>
              <w:jc w:val="center"/>
              <w:rPr>
                <w:rFonts w:hint="eastAsia"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28" w:type="dxa"/>
            <w:noWrap w:val="0"/>
            <w:vAlign w:val="center"/>
          </w:tcPr>
          <w:p>
            <w:pPr>
              <w:jc w:val="center"/>
              <w:rPr>
                <w:rFonts w:hint="eastAsia" w:ascii="宋体"/>
                <w:color w:val="auto"/>
                <w:szCs w:val="21"/>
                <w:highlight w:val="none"/>
              </w:rPr>
            </w:pPr>
          </w:p>
        </w:tc>
        <w:tc>
          <w:tcPr>
            <w:tcW w:w="4066" w:type="dxa"/>
            <w:noWrap w:val="0"/>
            <w:vAlign w:val="center"/>
          </w:tcPr>
          <w:p>
            <w:pPr>
              <w:jc w:val="center"/>
              <w:rPr>
                <w:rFonts w:hint="eastAsia" w:ascii="宋体"/>
                <w:color w:val="auto"/>
                <w:szCs w:val="21"/>
                <w:highlight w:val="none"/>
              </w:rPr>
            </w:pPr>
          </w:p>
        </w:tc>
        <w:tc>
          <w:tcPr>
            <w:tcW w:w="873" w:type="dxa"/>
            <w:noWrap w:val="0"/>
            <w:vAlign w:val="center"/>
          </w:tcPr>
          <w:p>
            <w:pPr>
              <w:jc w:val="center"/>
              <w:rPr>
                <w:rFonts w:hint="eastAsia" w:ascii="宋体"/>
                <w:color w:val="auto"/>
                <w:szCs w:val="21"/>
                <w:highlight w:val="none"/>
              </w:rPr>
            </w:pPr>
          </w:p>
        </w:tc>
        <w:tc>
          <w:tcPr>
            <w:tcW w:w="954" w:type="dxa"/>
            <w:noWrap w:val="0"/>
            <w:vAlign w:val="center"/>
          </w:tcPr>
          <w:p>
            <w:pPr>
              <w:jc w:val="center"/>
              <w:rPr>
                <w:rFonts w:hint="eastAsia" w:ascii="宋体"/>
                <w:color w:val="auto"/>
                <w:szCs w:val="21"/>
                <w:highlight w:val="none"/>
              </w:rPr>
            </w:pPr>
          </w:p>
        </w:tc>
        <w:tc>
          <w:tcPr>
            <w:tcW w:w="1211" w:type="dxa"/>
            <w:noWrap w:val="0"/>
            <w:vAlign w:val="center"/>
          </w:tcPr>
          <w:p>
            <w:pPr>
              <w:jc w:val="center"/>
              <w:rPr>
                <w:rFonts w:hint="eastAsia" w:ascii="宋体"/>
                <w:color w:val="auto"/>
                <w:szCs w:val="21"/>
                <w:highlight w:val="none"/>
              </w:rPr>
            </w:pPr>
          </w:p>
        </w:tc>
        <w:tc>
          <w:tcPr>
            <w:tcW w:w="1269" w:type="dxa"/>
            <w:noWrap w:val="0"/>
            <w:vAlign w:val="center"/>
          </w:tcPr>
          <w:p>
            <w:pPr>
              <w:jc w:val="center"/>
              <w:rPr>
                <w:rFonts w:hint="eastAsia"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28" w:type="dxa"/>
            <w:noWrap w:val="0"/>
            <w:vAlign w:val="center"/>
          </w:tcPr>
          <w:p>
            <w:pPr>
              <w:jc w:val="center"/>
              <w:rPr>
                <w:rFonts w:hint="eastAsia" w:ascii="宋体"/>
                <w:color w:val="auto"/>
                <w:szCs w:val="21"/>
                <w:highlight w:val="none"/>
              </w:rPr>
            </w:pPr>
          </w:p>
        </w:tc>
        <w:tc>
          <w:tcPr>
            <w:tcW w:w="4066" w:type="dxa"/>
            <w:noWrap w:val="0"/>
            <w:vAlign w:val="center"/>
          </w:tcPr>
          <w:p>
            <w:pPr>
              <w:jc w:val="center"/>
              <w:rPr>
                <w:rFonts w:hint="eastAsia" w:ascii="宋体"/>
                <w:color w:val="auto"/>
                <w:szCs w:val="21"/>
                <w:highlight w:val="none"/>
              </w:rPr>
            </w:pPr>
          </w:p>
        </w:tc>
        <w:tc>
          <w:tcPr>
            <w:tcW w:w="873" w:type="dxa"/>
            <w:noWrap w:val="0"/>
            <w:vAlign w:val="center"/>
          </w:tcPr>
          <w:p>
            <w:pPr>
              <w:jc w:val="center"/>
              <w:rPr>
                <w:rFonts w:hint="eastAsia" w:ascii="宋体"/>
                <w:color w:val="auto"/>
                <w:szCs w:val="21"/>
                <w:highlight w:val="none"/>
              </w:rPr>
            </w:pPr>
          </w:p>
        </w:tc>
        <w:tc>
          <w:tcPr>
            <w:tcW w:w="954" w:type="dxa"/>
            <w:noWrap w:val="0"/>
            <w:vAlign w:val="center"/>
          </w:tcPr>
          <w:p>
            <w:pPr>
              <w:jc w:val="center"/>
              <w:rPr>
                <w:rFonts w:hint="eastAsia" w:ascii="宋体"/>
                <w:color w:val="auto"/>
                <w:szCs w:val="21"/>
                <w:highlight w:val="none"/>
              </w:rPr>
            </w:pPr>
          </w:p>
        </w:tc>
        <w:tc>
          <w:tcPr>
            <w:tcW w:w="1211" w:type="dxa"/>
            <w:noWrap w:val="0"/>
            <w:vAlign w:val="center"/>
          </w:tcPr>
          <w:p>
            <w:pPr>
              <w:jc w:val="center"/>
              <w:rPr>
                <w:rFonts w:hint="eastAsia" w:ascii="宋体"/>
                <w:color w:val="auto"/>
                <w:szCs w:val="21"/>
                <w:highlight w:val="none"/>
              </w:rPr>
            </w:pPr>
          </w:p>
        </w:tc>
        <w:tc>
          <w:tcPr>
            <w:tcW w:w="1269" w:type="dxa"/>
            <w:noWrap w:val="0"/>
            <w:vAlign w:val="center"/>
          </w:tcPr>
          <w:p>
            <w:pPr>
              <w:jc w:val="center"/>
              <w:rPr>
                <w:rFonts w:hint="eastAsia"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28" w:type="dxa"/>
            <w:noWrap w:val="0"/>
            <w:vAlign w:val="center"/>
          </w:tcPr>
          <w:p>
            <w:pPr>
              <w:jc w:val="center"/>
              <w:rPr>
                <w:rFonts w:hint="eastAsia" w:ascii="宋体"/>
                <w:color w:val="auto"/>
                <w:szCs w:val="21"/>
                <w:highlight w:val="none"/>
              </w:rPr>
            </w:pPr>
          </w:p>
        </w:tc>
        <w:tc>
          <w:tcPr>
            <w:tcW w:w="4066" w:type="dxa"/>
            <w:noWrap w:val="0"/>
            <w:vAlign w:val="center"/>
          </w:tcPr>
          <w:p>
            <w:pPr>
              <w:jc w:val="center"/>
              <w:rPr>
                <w:rFonts w:hint="eastAsia" w:ascii="宋体"/>
                <w:color w:val="auto"/>
                <w:szCs w:val="21"/>
                <w:highlight w:val="none"/>
              </w:rPr>
            </w:pPr>
          </w:p>
        </w:tc>
        <w:tc>
          <w:tcPr>
            <w:tcW w:w="873" w:type="dxa"/>
            <w:noWrap w:val="0"/>
            <w:vAlign w:val="center"/>
          </w:tcPr>
          <w:p>
            <w:pPr>
              <w:jc w:val="center"/>
              <w:rPr>
                <w:rFonts w:hint="eastAsia" w:ascii="宋体"/>
                <w:color w:val="auto"/>
                <w:szCs w:val="21"/>
                <w:highlight w:val="none"/>
              </w:rPr>
            </w:pPr>
          </w:p>
        </w:tc>
        <w:tc>
          <w:tcPr>
            <w:tcW w:w="954" w:type="dxa"/>
            <w:noWrap w:val="0"/>
            <w:vAlign w:val="center"/>
          </w:tcPr>
          <w:p>
            <w:pPr>
              <w:jc w:val="center"/>
              <w:rPr>
                <w:rFonts w:hint="eastAsia" w:ascii="宋体"/>
                <w:color w:val="auto"/>
                <w:szCs w:val="21"/>
                <w:highlight w:val="none"/>
              </w:rPr>
            </w:pPr>
          </w:p>
        </w:tc>
        <w:tc>
          <w:tcPr>
            <w:tcW w:w="1211" w:type="dxa"/>
            <w:noWrap w:val="0"/>
            <w:vAlign w:val="center"/>
          </w:tcPr>
          <w:p>
            <w:pPr>
              <w:jc w:val="center"/>
              <w:rPr>
                <w:rFonts w:hint="eastAsia" w:ascii="宋体"/>
                <w:color w:val="auto"/>
                <w:szCs w:val="21"/>
                <w:highlight w:val="none"/>
              </w:rPr>
            </w:pPr>
          </w:p>
        </w:tc>
        <w:tc>
          <w:tcPr>
            <w:tcW w:w="1269" w:type="dxa"/>
            <w:noWrap w:val="0"/>
            <w:vAlign w:val="center"/>
          </w:tcPr>
          <w:p>
            <w:pPr>
              <w:jc w:val="center"/>
              <w:rPr>
                <w:rFonts w:hint="eastAsia"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exact"/>
        </w:trPr>
        <w:tc>
          <w:tcPr>
            <w:tcW w:w="4894" w:type="dxa"/>
            <w:gridSpan w:val="2"/>
            <w:noWrap w:val="0"/>
            <w:vAlign w:val="center"/>
          </w:tcPr>
          <w:p>
            <w:pPr>
              <w:jc w:val="center"/>
              <w:rPr>
                <w:rFonts w:hint="eastAsia" w:ascii="宋体"/>
                <w:b/>
                <w:color w:val="auto"/>
                <w:szCs w:val="21"/>
                <w:highlight w:val="none"/>
              </w:rPr>
            </w:pPr>
            <w:bookmarkStart w:id="177" w:name="_Toc293917007"/>
            <w:r>
              <w:rPr>
                <w:rFonts w:hint="eastAsia" w:ascii="宋体"/>
                <w:b/>
                <w:color w:val="auto"/>
                <w:szCs w:val="21"/>
                <w:highlight w:val="none"/>
              </w:rPr>
              <w:t>磋商总价（此总价需与初次报价表总价一致）</w:t>
            </w:r>
            <w:bookmarkEnd w:id="177"/>
          </w:p>
        </w:tc>
        <w:tc>
          <w:tcPr>
            <w:tcW w:w="4307" w:type="dxa"/>
            <w:gridSpan w:val="4"/>
            <w:noWrap w:val="0"/>
            <w:vAlign w:val="center"/>
          </w:tcPr>
          <w:p>
            <w:pPr>
              <w:jc w:val="center"/>
              <w:rPr>
                <w:rFonts w:hint="eastAsia" w:ascii="宋体"/>
                <w:color w:val="auto"/>
                <w:szCs w:val="21"/>
                <w:highlight w:val="none"/>
              </w:rPr>
            </w:pPr>
          </w:p>
        </w:tc>
      </w:tr>
    </w:tbl>
    <w:p>
      <w:pPr>
        <w:pStyle w:val="68"/>
        <w:tabs>
          <w:tab w:val="left" w:pos="1418"/>
        </w:tabs>
        <w:snapToGrid w:val="0"/>
        <w:ind w:firstLine="500" w:firstLineChars="200"/>
        <w:rPr>
          <w:rFonts w:hint="eastAsia" w:ascii="宋体"/>
          <w:color w:val="auto"/>
          <w:spacing w:val="20"/>
          <w:sz w:val="21"/>
          <w:szCs w:val="21"/>
          <w:highlight w:val="none"/>
        </w:rPr>
      </w:pPr>
    </w:p>
    <w:p>
      <w:pPr>
        <w:pStyle w:val="68"/>
        <w:tabs>
          <w:tab w:val="left" w:pos="1418"/>
        </w:tabs>
        <w:snapToGrid w:val="0"/>
        <w:rPr>
          <w:rFonts w:hint="eastAsia" w:ascii="宋体"/>
          <w:color w:val="auto"/>
          <w:highlight w:val="none"/>
        </w:rPr>
      </w:pPr>
    </w:p>
    <w:p>
      <w:pPr>
        <w:pStyle w:val="68"/>
        <w:tabs>
          <w:tab w:val="left" w:pos="1418"/>
        </w:tabs>
        <w:snapToGrid w:val="0"/>
        <w:spacing w:line="440" w:lineRule="exact"/>
        <w:rPr>
          <w:rFonts w:hint="eastAsia" w:ascii="宋体"/>
          <w:color w:val="auto"/>
          <w:spacing w:val="20"/>
          <w:sz w:val="21"/>
          <w:szCs w:val="21"/>
          <w:highlight w:val="none"/>
        </w:rPr>
      </w:pPr>
      <w:r>
        <w:rPr>
          <w:rFonts w:hint="eastAsia" w:ascii="宋体"/>
          <w:color w:val="auto"/>
          <w:sz w:val="21"/>
          <w:szCs w:val="21"/>
          <w:highlight w:val="none"/>
        </w:rPr>
        <w:t>投标人（盖章）：</w:t>
      </w:r>
      <w:r>
        <w:rPr>
          <w:rFonts w:hint="eastAsia" w:ascii="宋体"/>
          <w:color w:val="auto"/>
          <w:szCs w:val="21"/>
          <w:highlight w:val="none"/>
          <w:u w:val="single"/>
        </w:rPr>
        <w:t xml:space="preserve">                 </w:t>
      </w:r>
      <w:r>
        <w:rPr>
          <w:rFonts w:hint="eastAsia" w:ascii="宋体"/>
          <w:color w:val="auto"/>
          <w:sz w:val="21"/>
          <w:szCs w:val="21"/>
          <w:highlight w:val="none"/>
        </w:rPr>
        <w:t xml:space="preserve">                    </w:t>
      </w:r>
    </w:p>
    <w:p>
      <w:pPr>
        <w:snapToGrid w:val="0"/>
        <w:spacing w:line="440" w:lineRule="exact"/>
        <w:rPr>
          <w:rFonts w:hint="eastAsia" w:ascii="宋体"/>
          <w:color w:val="auto"/>
          <w:szCs w:val="21"/>
          <w:highlight w:val="none"/>
        </w:rPr>
      </w:pPr>
      <w:r>
        <w:rPr>
          <w:rFonts w:hint="eastAsia" w:ascii="宋体"/>
          <w:color w:val="auto"/>
          <w:szCs w:val="21"/>
          <w:highlight w:val="none"/>
        </w:rPr>
        <w:t>授权代表签名：</w:t>
      </w:r>
      <w:r>
        <w:rPr>
          <w:rFonts w:hint="eastAsia" w:ascii="宋体"/>
          <w:color w:val="auto"/>
          <w:szCs w:val="21"/>
          <w:highlight w:val="none"/>
          <w:u w:val="single"/>
        </w:rPr>
        <w:t xml:space="preserve">                    </w:t>
      </w:r>
    </w:p>
    <w:p>
      <w:pPr>
        <w:snapToGrid w:val="0"/>
        <w:spacing w:line="440" w:lineRule="exact"/>
        <w:rPr>
          <w:rFonts w:hint="eastAsia" w:ascii="宋体"/>
          <w:color w:val="auto"/>
          <w:szCs w:val="21"/>
          <w:highlight w:val="none"/>
        </w:rPr>
      </w:pPr>
      <w:r>
        <w:rPr>
          <w:rFonts w:hint="eastAsia" w:ascii="宋体"/>
          <w:color w:val="auto"/>
          <w:szCs w:val="21"/>
          <w:highlight w:val="none"/>
        </w:rPr>
        <w:t>日期：</w:t>
      </w:r>
      <w:r>
        <w:rPr>
          <w:rFonts w:hint="eastAsia" w:ascii="宋体"/>
          <w:color w:val="auto"/>
          <w:szCs w:val="21"/>
          <w:highlight w:val="none"/>
          <w:u w:val="single"/>
        </w:rPr>
        <w:t xml:space="preserve">     </w:t>
      </w:r>
      <w:r>
        <w:rPr>
          <w:rFonts w:hint="eastAsia" w:ascii="宋体"/>
          <w:color w:val="auto"/>
          <w:szCs w:val="21"/>
          <w:highlight w:val="none"/>
        </w:rPr>
        <w:t>年</w:t>
      </w:r>
      <w:r>
        <w:rPr>
          <w:rFonts w:hint="eastAsia" w:ascii="宋体"/>
          <w:color w:val="auto"/>
          <w:szCs w:val="21"/>
          <w:highlight w:val="none"/>
          <w:u w:val="single"/>
        </w:rPr>
        <w:t xml:space="preserve">   </w:t>
      </w:r>
      <w:r>
        <w:rPr>
          <w:rFonts w:hint="eastAsia" w:ascii="宋体"/>
          <w:color w:val="auto"/>
          <w:szCs w:val="21"/>
          <w:highlight w:val="none"/>
        </w:rPr>
        <w:t>月</w:t>
      </w:r>
      <w:r>
        <w:rPr>
          <w:rFonts w:hint="eastAsia" w:ascii="宋体"/>
          <w:color w:val="auto"/>
          <w:szCs w:val="21"/>
          <w:highlight w:val="none"/>
          <w:u w:val="single"/>
        </w:rPr>
        <w:t xml:space="preserve">   </w:t>
      </w:r>
      <w:r>
        <w:rPr>
          <w:rFonts w:hint="eastAsia" w:ascii="宋体"/>
          <w:color w:val="auto"/>
          <w:szCs w:val="21"/>
          <w:highlight w:val="none"/>
        </w:rPr>
        <w:t>日</w:t>
      </w:r>
    </w:p>
    <w:p>
      <w:pPr>
        <w:spacing w:line="400" w:lineRule="exact"/>
        <w:rPr>
          <w:rFonts w:hint="eastAsia" w:ascii="宋体" w:hAnsi="宋体" w:cs="宋体"/>
          <w:color w:val="auto"/>
          <w:szCs w:val="21"/>
          <w:highlight w:val="none"/>
        </w:rPr>
      </w:pPr>
    </w:p>
    <w:p>
      <w:pPr>
        <w:spacing w:line="360" w:lineRule="auto"/>
        <w:rPr>
          <w:rFonts w:ascii="宋体" w:hAnsi="宋体"/>
          <w:color w:val="auto"/>
          <w:highlight w:val="none"/>
        </w:rPr>
      </w:pPr>
      <w:r>
        <w:rPr>
          <w:rFonts w:hint="eastAsia" w:ascii="宋体" w:hAnsi="宋体"/>
          <w:color w:val="auto"/>
          <w:highlight w:val="none"/>
        </w:rPr>
        <w:t>注：1、本表格仅提供了格式，供应商应根据实际情况自行编制；</w:t>
      </w:r>
    </w:p>
    <w:p>
      <w:pPr>
        <w:spacing w:line="360" w:lineRule="auto"/>
        <w:ind w:firstLine="432"/>
        <w:rPr>
          <w:rFonts w:hint="eastAsia" w:ascii="宋体" w:hAnsi="宋体" w:cs="宋体"/>
          <w:color w:val="auto"/>
          <w:szCs w:val="21"/>
          <w:highlight w:val="none"/>
          <w:lang w:val="en-US" w:eastAsia="zh-CN"/>
        </w:rPr>
      </w:pPr>
      <w:r>
        <w:rPr>
          <w:rFonts w:hint="eastAsia" w:ascii="宋体" w:hAnsi="宋体"/>
          <w:color w:val="auto"/>
          <w:highlight w:val="none"/>
        </w:rPr>
        <w:t>2、最终合计金额必须包括实施本项目所需的一切费用，并与初次报价表中</w:t>
      </w:r>
      <w:r>
        <w:rPr>
          <w:rFonts w:hint="eastAsia" w:ascii="宋体" w:hAnsi="宋体"/>
          <w:color w:val="auto"/>
          <w:highlight w:val="none"/>
          <w:lang w:eastAsia="zh-CN"/>
        </w:rPr>
        <w:t>磋商</w:t>
      </w:r>
      <w:r>
        <w:rPr>
          <w:rFonts w:hint="eastAsia" w:ascii="宋体" w:hAnsi="宋体"/>
          <w:color w:val="auto"/>
          <w:highlight w:val="none"/>
        </w:rPr>
        <w:t>总价相一致。</w:t>
      </w:r>
    </w:p>
    <w:p>
      <w:pPr>
        <w:keepNext/>
        <w:pageBreakBefore/>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、供应商的情况一览表</w:t>
      </w:r>
    </w:p>
    <w:p>
      <w:pPr>
        <w:adjustRightInd w:val="0"/>
        <w:snapToGrid w:val="0"/>
        <w:spacing w:line="360" w:lineRule="auto"/>
        <w:jc w:val="center"/>
        <w:rPr>
          <w:rFonts w:hint="eastAsia" w:ascii="宋体" w:hAnsi="宋体" w:cs="宋体"/>
          <w:b/>
          <w:color w:val="auto"/>
          <w:sz w:val="32"/>
          <w:szCs w:val="32"/>
          <w:highlight w:val="none"/>
        </w:rPr>
      </w:pPr>
      <w:r>
        <w:rPr>
          <w:rFonts w:hint="eastAsia" w:ascii="宋体" w:hAnsi="宋体" w:cs="宋体"/>
          <w:b/>
          <w:bCs/>
          <w:color w:val="auto"/>
          <w:kern w:val="0"/>
          <w:sz w:val="32"/>
          <w:szCs w:val="32"/>
          <w:highlight w:val="none"/>
        </w:rPr>
        <w:t>供应商</w:t>
      </w:r>
      <w:r>
        <w:rPr>
          <w:rFonts w:hint="eastAsia" w:ascii="宋体" w:hAnsi="宋体" w:cs="宋体"/>
          <w:b/>
          <w:color w:val="auto"/>
          <w:sz w:val="32"/>
          <w:szCs w:val="32"/>
          <w:highlight w:val="none"/>
        </w:rPr>
        <w:t>情况一览表</w:t>
      </w:r>
    </w:p>
    <w:tbl>
      <w:tblPr>
        <w:tblStyle w:val="3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191"/>
        <w:gridCol w:w="1839"/>
        <w:gridCol w:w="1985"/>
        <w:gridCol w:w="1879"/>
        <w:gridCol w:w="2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753" w:type="pct"/>
            <w:gridSpan w:val="3"/>
            <w:noWrap w:val="0"/>
            <w:vAlign w:val="center"/>
          </w:tcPr>
          <w:p>
            <w:pPr>
              <w:spacing w:line="240" w:lineRule="atLeast"/>
              <w:rPr>
                <w:rFonts w:hint="eastAsia" w:ascii="宋体" w:hAnsi="宋体" w:cs="宋体"/>
                <w:color w:val="auto"/>
                <w:szCs w:val="21"/>
                <w:highlight w:val="none"/>
              </w:rPr>
            </w:pPr>
            <w:r>
              <w:rPr>
                <w:rFonts w:hint="eastAsia" w:ascii="宋体" w:hAnsi="宋体" w:cs="宋体"/>
                <w:color w:val="auto"/>
                <w:szCs w:val="21"/>
                <w:highlight w:val="none"/>
              </w:rPr>
              <w:t>公司名称</w:t>
            </w:r>
          </w:p>
        </w:tc>
        <w:tc>
          <w:tcPr>
            <w:tcW w:w="3246" w:type="pct"/>
            <w:gridSpan w:val="3"/>
            <w:noWrap w:val="0"/>
            <w:vAlign w:val="center"/>
          </w:tcPr>
          <w:p>
            <w:pPr>
              <w:spacing w:line="240" w:lineRule="atLeas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753" w:type="pct"/>
            <w:gridSpan w:val="3"/>
            <w:noWrap w:val="0"/>
            <w:vAlign w:val="center"/>
          </w:tcPr>
          <w:p>
            <w:pPr>
              <w:spacing w:line="240" w:lineRule="atLeast"/>
              <w:rPr>
                <w:rFonts w:hint="eastAsia" w:ascii="宋体" w:hAnsi="宋体" w:cs="宋体"/>
                <w:color w:val="auto"/>
                <w:szCs w:val="21"/>
                <w:highlight w:val="none"/>
              </w:rPr>
            </w:pPr>
            <w:r>
              <w:rPr>
                <w:rFonts w:hint="eastAsia" w:ascii="宋体" w:hAnsi="宋体" w:cs="宋体"/>
                <w:color w:val="auto"/>
                <w:szCs w:val="21"/>
                <w:highlight w:val="none"/>
              </w:rPr>
              <w:t>注册资金</w:t>
            </w:r>
          </w:p>
        </w:tc>
        <w:tc>
          <w:tcPr>
            <w:tcW w:w="3246" w:type="pct"/>
            <w:gridSpan w:val="3"/>
            <w:noWrap w:val="0"/>
            <w:vAlign w:val="center"/>
          </w:tcPr>
          <w:p>
            <w:pPr>
              <w:spacing w:line="240" w:lineRule="atLeas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753" w:type="pct"/>
            <w:gridSpan w:val="3"/>
            <w:noWrap w:val="0"/>
            <w:vAlign w:val="center"/>
          </w:tcPr>
          <w:p>
            <w:pPr>
              <w:spacing w:line="240" w:lineRule="atLeast"/>
              <w:rPr>
                <w:rFonts w:hint="eastAsia" w:ascii="宋体" w:hAnsi="宋体" w:cs="宋体"/>
                <w:color w:val="auto"/>
                <w:szCs w:val="21"/>
                <w:highlight w:val="none"/>
              </w:rPr>
            </w:pPr>
            <w:r>
              <w:rPr>
                <w:rFonts w:hint="eastAsia" w:ascii="宋体" w:hAnsi="宋体" w:cs="宋体"/>
                <w:color w:val="auto"/>
                <w:szCs w:val="21"/>
                <w:highlight w:val="none"/>
              </w:rPr>
              <w:t>地址、邮编</w:t>
            </w:r>
          </w:p>
        </w:tc>
        <w:tc>
          <w:tcPr>
            <w:tcW w:w="3246" w:type="pct"/>
            <w:gridSpan w:val="3"/>
            <w:noWrap w:val="0"/>
            <w:vAlign w:val="center"/>
          </w:tcPr>
          <w:p>
            <w:pPr>
              <w:spacing w:line="240" w:lineRule="atLeas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753" w:type="pct"/>
            <w:gridSpan w:val="3"/>
            <w:noWrap w:val="0"/>
            <w:vAlign w:val="center"/>
          </w:tcPr>
          <w:p>
            <w:pPr>
              <w:spacing w:line="240" w:lineRule="atLeast"/>
              <w:rPr>
                <w:rFonts w:hint="eastAsia" w:ascii="宋体" w:hAnsi="宋体" w:cs="宋体"/>
                <w:color w:val="auto"/>
                <w:szCs w:val="21"/>
                <w:highlight w:val="none"/>
              </w:rPr>
            </w:pPr>
            <w:r>
              <w:rPr>
                <w:rFonts w:hint="eastAsia" w:ascii="宋体" w:hAnsi="宋体" w:cs="宋体"/>
                <w:color w:val="auto"/>
                <w:szCs w:val="21"/>
                <w:highlight w:val="none"/>
              </w:rPr>
              <w:t>主要业务范围</w:t>
            </w:r>
          </w:p>
        </w:tc>
        <w:tc>
          <w:tcPr>
            <w:tcW w:w="3246" w:type="pct"/>
            <w:gridSpan w:val="3"/>
            <w:noWrap w:val="0"/>
            <w:vAlign w:val="center"/>
          </w:tcPr>
          <w:p>
            <w:pPr>
              <w:spacing w:line="240" w:lineRule="atLeas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753" w:type="pct"/>
            <w:gridSpan w:val="3"/>
            <w:noWrap w:val="0"/>
            <w:vAlign w:val="center"/>
          </w:tcPr>
          <w:p>
            <w:pPr>
              <w:spacing w:line="240" w:lineRule="atLeast"/>
              <w:rPr>
                <w:rFonts w:hint="eastAsia" w:ascii="宋体" w:hAnsi="宋体" w:cs="宋体"/>
                <w:color w:val="auto"/>
                <w:szCs w:val="21"/>
                <w:highlight w:val="none"/>
              </w:rPr>
            </w:pPr>
            <w:r>
              <w:rPr>
                <w:rFonts w:hint="eastAsia" w:ascii="宋体" w:hAnsi="宋体" w:cs="宋体"/>
                <w:color w:val="auto"/>
                <w:szCs w:val="21"/>
                <w:highlight w:val="none"/>
              </w:rPr>
              <w:t>企业性质</w:t>
            </w:r>
          </w:p>
        </w:tc>
        <w:tc>
          <w:tcPr>
            <w:tcW w:w="3246" w:type="pct"/>
            <w:gridSpan w:val="3"/>
            <w:noWrap w:val="0"/>
            <w:vAlign w:val="center"/>
          </w:tcPr>
          <w:p>
            <w:pPr>
              <w:spacing w:line="240" w:lineRule="atLeas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753" w:type="pct"/>
            <w:gridSpan w:val="3"/>
            <w:noWrap w:val="0"/>
            <w:vAlign w:val="center"/>
          </w:tcPr>
          <w:p>
            <w:pPr>
              <w:spacing w:line="240" w:lineRule="atLeast"/>
              <w:rPr>
                <w:rFonts w:hint="eastAsia" w:ascii="宋体" w:hAnsi="宋体" w:cs="宋体"/>
                <w:color w:val="auto"/>
                <w:szCs w:val="21"/>
                <w:highlight w:val="none"/>
              </w:rPr>
            </w:pPr>
            <w:r>
              <w:rPr>
                <w:rFonts w:hint="eastAsia" w:ascii="宋体" w:hAnsi="宋体" w:cs="宋体"/>
                <w:color w:val="auto"/>
                <w:szCs w:val="21"/>
                <w:highlight w:val="none"/>
              </w:rPr>
              <w:t>成立时间</w:t>
            </w:r>
          </w:p>
        </w:tc>
        <w:tc>
          <w:tcPr>
            <w:tcW w:w="3246" w:type="pct"/>
            <w:gridSpan w:val="3"/>
            <w:noWrap w:val="0"/>
            <w:vAlign w:val="center"/>
          </w:tcPr>
          <w:p>
            <w:pPr>
              <w:spacing w:line="240" w:lineRule="atLeas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753" w:type="pct"/>
            <w:gridSpan w:val="3"/>
            <w:noWrap w:val="0"/>
            <w:vAlign w:val="center"/>
          </w:tcPr>
          <w:p>
            <w:pPr>
              <w:spacing w:line="240" w:lineRule="atLeast"/>
              <w:rPr>
                <w:rFonts w:hint="eastAsia" w:ascii="宋体" w:hAnsi="宋体" w:cs="宋体"/>
                <w:color w:val="auto"/>
                <w:szCs w:val="21"/>
                <w:highlight w:val="none"/>
              </w:rPr>
            </w:pPr>
            <w:r>
              <w:rPr>
                <w:rFonts w:hint="eastAsia" w:ascii="宋体" w:hAnsi="宋体" w:cs="宋体"/>
                <w:color w:val="auto"/>
                <w:szCs w:val="21"/>
                <w:highlight w:val="none"/>
              </w:rPr>
              <w:t>生产经营场所规模（平方）</w:t>
            </w:r>
          </w:p>
        </w:tc>
        <w:tc>
          <w:tcPr>
            <w:tcW w:w="3246" w:type="pct"/>
            <w:gridSpan w:val="3"/>
            <w:noWrap w:val="0"/>
            <w:vAlign w:val="center"/>
          </w:tcPr>
          <w:p>
            <w:pPr>
              <w:spacing w:line="240" w:lineRule="atLeas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5000" w:type="pct"/>
            <w:gridSpan w:val="6"/>
            <w:noWrap w:val="0"/>
            <w:vAlign w:val="center"/>
          </w:tcPr>
          <w:p>
            <w:pPr>
              <w:spacing w:line="240" w:lineRule="atLeast"/>
              <w:rPr>
                <w:rFonts w:hint="eastAsia" w:ascii="宋体" w:hAnsi="宋体" w:cs="宋体"/>
                <w:color w:val="auto"/>
                <w:szCs w:val="21"/>
                <w:highlight w:val="none"/>
              </w:rPr>
            </w:pPr>
            <w:r>
              <w:rPr>
                <w:rFonts w:hint="eastAsia" w:ascii="宋体" w:hAnsi="宋体" w:cs="宋体"/>
                <w:color w:val="auto"/>
                <w:szCs w:val="21"/>
                <w:highlight w:val="none"/>
              </w:rPr>
              <w:t>公司领导班子构成情况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19" w:type="pct"/>
            <w:gridSpan w:val="2"/>
            <w:noWrap w:val="0"/>
            <w:vAlign w:val="center"/>
          </w:tcPr>
          <w:p>
            <w:pPr>
              <w:spacing w:line="240" w:lineRule="atLeast"/>
              <w:rPr>
                <w:rFonts w:hint="eastAsia" w:ascii="宋体" w:hAnsi="宋体" w:cs="宋体"/>
                <w:color w:val="auto"/>
                <w:szCs w:val="21"/>
                <w:highlight w:val="none"/>
              </w:rPr>
            </w:pPr>
            <w:r>
              <w:rPr>
                <w:rFonts w:hint="eastAsia" w:ascii="宋体" w:hAnsi="宋体" w:cs="宋体"/>
                <w:color w:val="auto"/>
                <w:szCs w:val="21"/>
                <w:highlight w:val="none"/>
              </w:rPr>
              <w:t>法人代表</w:t>
            </w:r>
          </w:p>
        </w:tc>
        <w:tc>
          <w:tcPr>
            <w:tcW w:w="933" w:type="pct"/>
            <w:noWrap w:val="0"/>
            <w:vAlign w:val="center"/>
          </w:tcPr>
          <w:p>
            <w:pPr>
              <w:spacing w:line="240" w:lineRule="atLeast"/>
              <w:rPr>
                <w:rFonts w:hint="eastAsia" w:ascii="宋体" w:hAnsi="宋体" w:cs="宋体"/>
                <w:color w:val="auto"/>
                <w:szCs w:val="21"/>
                <w:highlight w:val="none"/>
              </w:rPr>
            </w:pPr>
            <w:r>
              <w:rPr>
                <w:rFonts w:hint="eastAsia" w:ascii="宋体" w:hAnsi="宋体" w:cs="宋体"/>
                <w:color w:val="auto"/>
                <w:szCs w:val="21"/>
                <w:highlight w:val="none"/>
              </w:rPr>
              <w:t>公司经理</w:t>
            </w:r>
          </w:p>
        </w:tc>
        <w:tc>
          <w:tcPr>
            <w:tcW w:w="1008" w:type="pct"/>
            <w:noWrap w:val="0"/>
            <w:vAlign w:val="center"/>
          </w:tcPr>
          <w:p>
            <w:pPr>
              <w:spacing w:line="240" w:lineRule="atLeast"/>
              <w:rPr>
                <w:rFonts w:hint="eastAsia" w:ascii="宋体" w:hAnsi="宋体" w:cs="宋体"/>
                <w:color w:val="auto"/>
                <w:szCs w:val="21"/>
                <w:highlight w:val="none"/>
              </w:rPr>
            </w:pPr>
            <w:r>
              <w:rPr>
                <w:rFonts w:hint="eastAsia" w:ascii="宋体" w:hAnsi="宋体" w:cs="宋体"/>
                <w:color w:val="auto"/>
                <w:szCs w:val="21"/>
                <w:highlight w:val="none"/>
              </w:rPr>
              <w:t>总工程师</w:t>
            </w:r>
          </w:p>
        </w:tc>
        <w:tc>
          <w:tcPr>
            <w:tcW w:w="954" w:type="pct"/>
            <w:noWrap w:val="0"/>
            <w:vAlign w:val="center"/>
          </w:tcPr>
          <w:p>
            <w:pPr>
              <w:spacing w:line="240" w:lineRule="atLeast"/>
              <w:rPr>
                <w:rFonts w:hint="eastAsia" w:ascii="宋体" w:hAnsi="宋体" w:cs="宋体"/>
                <w:color w:val="auto"/>
                <w:szCs w:val="21"/>
                <w:highlight w:val="none"/>
              </w:rPr>
            </w:pPr>
            <w:r>
              <w:rPr>
                <w:rFonts w:hint="eastAsia" w:ascii="宋体" w:hAnsi="宋体" w:cs="宋体"/>
                <w:color w:val="auto"/>
                <w:szCs w:val="21"/>
                <w:highlight w:val="none"/>
              </w:rPr>
              <w:t>总经济师</w:t>
            </w:r>
          </w:p>
        </w:tc>
        <w:tc>
          <w:tcPr>
            <w:tcW w:w="1283" w:type="pct"/>
            <w:noWrap w:val="0"/>
            <w:vAlign w:val="center"/>
          </w:tcPr>
          <w:p>
            <w:pPr>
              <w:spacing w:line="240" w:lineRule="atLeast"/>
              <w:rPr>
                <w:rFonts w:hint="eastAsia" w:ascii="宋体" w:hAnsi="宋体" w:cs="宋体"/>
                <w:color w:val="auto"/>
                <w:szCs w:val="21"/>
                <w:highlight w:val="none"/>
              </w:rPr>
            </w:pPr>
            <w:r>
              <w:rPr>
                <w:rFonts w:hint="eastAsia" w:ascii="宋体" w:hAnsi="宋体" w:cs="宋体"/>
                <w:color w:val="auto"/>
                <w:szCs w:val="21"/>
                <w:highlight w:val="none"/>
              </w:rPr>
              <w:t>总会计师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19" w:type="pct"/>
            <w:gridSpan w:val="2"/>
            <w:noWrap w:val="0"/>
            <w:vAlign w:val="center"/>
          </w:tcPr>
          <w:p>
            <w:pPr>
              <w:spacing w:line="240" w:lineRule="atLeast"/>
              <w:rPr>
                <w:rFonts w:hint="eastAsia" w:ascii="宋体" w:hAnsi="宋体" w:cs="宋体"/>
                <w:color w:val="auto"/>
                <w:szCs w:val="21"/>
                <w:highlight w:val="none"/>
              </w:rPr>
            </w:pPr>
          </w:p>
        </w:tc>
        <w:tc>
          <w:tcPr>
            <w:tcW w:w="933" w:type="pct"/>
            <w:noWrap w:val="0"/>
            <w:vAlign w:val="center"/>
          </w:tcPr>
          <w:p>
            <w:pPr>
              <w:spacing w:line="240" w:lineRule="atLeast"/>
              <w:rPr>
                <w:rFonts w:hint="eastAsia" w:ascii="宋体" w:hAnsi="宋体" w:cs="宋体"/>
                <w:color w:val="auto"/>
                <w:szCs w:val="21"/>
                <w:highlight w:val="none"/>
              </w:rPr>
            </w:pPr>
          </w:p>
        </w:tc>
        <w:tc>
          <w:tcPr>
            <w:tcW w:w="1008" w:type="pct"/>
            <w:noWrap w:val="0"/>
            <w:vAlign w:val="center"/>
          </w:tcPr>
          <w:p>
            <w:pPr>
              <w:spacing w:line="240" w:lineRule="atLeast"/>
              <w:rPr>
                <w:rFonts w:hint="eastAsia" w:ascii="宋体" w:hAnsi="宋体" w:cs="宋体"/>
                <w:color w:val="auto"/>
                <w:szCs w:val="21"/>
                <w:highlight w:val="none"/>
              </w:rPr>
            </w:pPr>
          </w:p>
        </w:tc>
        <w:tc>
          <w:tcPr>
            <w:tcW w:w="954" w:type="pct"/>
            <w:noWrap w:val="0"/>
            <w:vAlign w:val="center"/>
          </w:tcPr>
          <w:p>
            <w:pPr>
              <w:spacing w:line="240" w:lineRule="atLeast"/>
              <w:rPr>
                <w:rFonts w:hint="eastAsia" w:ascii="宋体" w:hAnsi="宋体" w:cs="宋体"/>
                <w:color w:val="auto"/>
                <w:szCs w:val="21"/>
                <w:highlight w:val="none"/>
              </w:rPr>
            </w:pPr>
          </w:p>
        </w:tc>
        <w:tc>
          <w:tcPr>
            <w:tcW w:w="1283" w:type="pct"/>
            <w:noWrap w:val="0"/>
            <w:vAlign w:val="center"/>
          </w:tcPr>
          <w:p>
            <w:pPr>
              <w:spacing w:line="240" w:lineRule="atLeas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5000" w:type="pct"/>
            <w:gridSpan w:val="6"/>
            <w:noWrap w:val="0"/>
            <w:vAlign w:val="center"/>
          </w:tcPr>
          <w:p>
            <w:pPr>
              <w:spacing w:line="240" w:lineRule="atLeast"/>
              <w:rPr>
                <w:rFonts w:hint="eastAsia" w:ascii="宋体" w:hAnsi="宋体" w:cs="宋体"/>
                <w:color w:val="auto"/>
                <w:szCs w:val="21"/>
                <w:highlight w:val="none"/>
              </w:rPr>
            </w:pPr>
            <w:r>
              <w:rPr>
                <w:rFonts w:hint="eastAsia" w:ascii="宋体" w:hAnsi="宋体" w:cs="宋体"/>
                <w:color w:val="auto"/>
                <w:szCs w:val="21"/>
                <w:highlight w:val="none"/>
              </w:rPr>
              <w:t>公司人员职称构成情况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19" w:type="pct"/>
            <w:gridSpan w:val="2"/>
            <w:vMerge w:val="restart"/>
            <w:noWrap w:val="0"/>
            <w:vAlign w:val="center"/>
          </w:tcPr>
          <w:p>
            <w:pPr>
              <w:spacing w:line="240" w:lineRule="atLeast"/>
              <w:rPr>
                <w:rFonts w:hint="eastAsia" w:ascii="宋体" w:hAnsi="宋体" w:cs="宋体"/>
                <w:color w:val="auto"/>
                <w:szCs w:val="21"/>
                <w:highlight w:val="none"/>
              </w:rPr>
            </w:pPr>
            <w:r>
              <w:rPr>
                <w:rFonts w:hint="eastAsia" w:ascii="宋体" w:hAnsi="宋体" w:cs="宋体"/>
                <w:color w:val="auto"/>
                <w:szCs w:val="21"/>
                <w:highlight w:val="none"/>
              </w:rPr>
              <w:t>人员总数（人）</w:t>
            </w:r>
          </w:p>
        </w:tc>
        <w:tc>
          <w:tcPr>
            <w:tcW w:w="933" w:type="pct"/>
            <w:noWrap w:val="0"/>
            <w:vAlign w:val="center"/>
          </w:tcPr>
          <w:p>
            <w:pPr>
              <w:spacing w:line="240" w:lineRule="atLeast"/>
              <w:rPr>
                <w:rFonts w:hint="eastAsia" w:ascii="宋体" w:hAnsi="宋体" w:cs="宋体"/>
                <w:color w:val="auto"/>
                <w:szCs w:val="21"/>
                <w:highlight w:val="none"/>
              </w:rPr>
            </w:pPr>
            <w:r>
              <w:rPr>
                <w:rFonts w:hint="eastAsia" w:ascii="宋体" w:hAnsi="宋体" w:cs="宋体"/>
                <w:color w:val="auto"/>
                <w:szCs w:val="21"/>
                <w:highlight w:val="none"/>
              </w:rPr>
              <w:t>高级职称</w:t>
            </w:r>
          </w:p>
        </w:tc>
        <w:tc>
          <w:tcPr>
            <w:tcW w:w="1008" w:type="pct"/>
            <w:noWrap w:val="0"/>
            <w:vAlign w:val="center"/>
          </w:tcPr>
          <w:p>
            <w:pPr>
              <w:spacing w:line="240" w:lineRule="atLeast"/>
              <w:rPr>
                <w:rFonts w:hint="eastAsia" w:ascii="宋体" w:hAnsi="宋体" w:cs="宋体"/>
                <w:color w:val="auto"/>
                <w:szCs w:val="21"/>
                <w:highlight w:val="none"/>
              </w:rPr>
            </w:pPr>
            <w:r>
              <w:rPr>
                <w:rFonts w:hint="eastAsia" w:ascii="宋体" w:hAnsi="宋体" w:cs="宋体"/>
                <w:color w:val="auto"/>
                <w:szCs w:val="21"/>
                <w:highlight w:val="none"/>
              </w:rPr>
              <w:t>中级职称</w:t>
            </w:r>
          </w:p>
        </w:tc>
        <w:tc>
          <w:tcPr>
            <w:tcW w:w="954" w:type="pct"/>
            <w:noWrap w:val="0"/>
            <w:vAlign w:val="center"/>
          </w:tcPr>
          <w:p>
            <w:pPr>
              <w:spacing w:line="240" w:lineRule="atLeast"/>
              <w:rPr>
                <w:rFonts w:hint="eastAsia" w:ascii="宋体" w:hAnsi="宋体" w:cs="宋体"/>
                <w:color w:val="auto"/>
                <w:szCs w:val="21"/>
                <w:highlight w:val="none"/>
              </w:rPr>
            </w:pPr>
            <w:r>
              <w:rPr>
                <w:rFonts w:hint="eastAsia" w:ascii="宋体" w:hAnsi="宋体" w:cs="宋体"/>
                <w:color w:val="auto"/>
                <w:szCs w:val="21"/>
                <w:highlight w:val="none"/>
              </w:rPr>
              <w:t>初级职称</w:t>
            </w:r>
          </w:p>
        </w:tc>
        <w:tc>
          <w:tcPr>
            <w:tcW w:w="1283" w:type="pct"/>
            <w:noWrap w:val="0"/>
            <w:vAlign w:val="center"/>
          </w:tcPr>
          <w:p>
            <w:pPr>
              <w:spacing w:line="240" w:lineRule="atLeast"/>
              <w:rPr>
                <w:rFonts w:hint="eastAsia" w:ascii="宋体" w:hAnsi="宋体" w:cs="宋体"/>
                <w:color w:val="auto"/>
                <w:szCs w:val="21"/>
                <w:highlight w:val="none"/>
              </w:rPr>
            </w:pPr>
            <w:r>
              <w:rPr>
                <w:rFonts w:hint="eastAsia" w:ascii="宋体" w:hAnsi="宋体" w:cs="宋体"/>
                <w:color w:val="auto"/>
                <w:szCs w:val="21"/>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19" w:type="pct"/>
            <w:gridSpan w:val="2"/>
            <w:vMerge w:val="continue"/>
            <w:noWrap w:val="0"/>
            <w:vAlign w:val="center"/>
          </w:tcPr>
          <w:p>
            <w:pPr>
              <w:spacing w:line="240" w:lineRule="atLeast"/>
              <w:rPr>
                <w:rFonts w:hint="eastAsia" w:ascii="宋体" w:hAnsi="宋体" w:cs="宋体"/>
                <w:color w:val="auto"/>
                <w:szCs w:val="21"/>
                <w:highlight w:val="none"/>
              </w:rPr>
            </w:pPr>
          </w:p>
        </w:tc>
        <w:tc>
          <w:tcPr>
            <w:tcW w:w="933" w:type="pct"/>
            <w:noWrap w:val="0"/>
            <w:vAlign w:val="center"/>
          </w:tcPr>
          <w:p>
            <w:pPr>
              <w:spacing w:line="240" w:lineRule="atLeast"/>
              <w:rPr>
                <w:rFonts w:hint="eastAsia" w:ascii="宋体" w:hAnsi="宋体" w:cs="宋体"/>
                <w:color w:val="auto"/>
                <w:szCs w:val="21"/>
                <w:highlight w:val="none"/>
              </w:rPr>
            </w:pPr>
          </w:p>
        </w:tc>
        <w:tc>
          <w:tcPr>
            <w:tcW w:w="1008" w:type="pct"/>
            <w:noWrap w:val="0"/>
            <w:vAlign w:val="center"/>
          </w:tcPr>
          <w:p>
            <w:pPr>
              <w:spacing w:line="240" w:lineRule="atLeast"/>
              <w:rPr>
                <w:rFonts w:hint="eastAsia" w:ascii="宋体" w:hAnsi="宋体" w:cs="宋体"/>
                <w:color w:val="auto"/>
                <w:szCs w:val="21"/>
                <w:highlight w:val="none"/>
              </w:rPr>
            </w:pPr>
          </w:p>
        </w:tc>
        <w:tc>
          <w:tcPr>
            <w:tcW w:w="954" w:type="pct"/>
            <w:noWrap w:val="0"/>
            <w:vAlign w:val="center"/>
          </w:tcPr>
          <w:p>
            <w:pPr>
              <w:spacing w:line="240" w:lineRule="atLeast"/>
              <w:rPr>
                <w:rFonts w:hint="eastAsia" w:ascii="宋体" w:hAnsi="宋体" w:cs="宋体"/>
                <w:color w:val="auto"/>
                <w:szCs w:val="21"/>
                <w:highlight w:val="none"/>
              </w:rPr>
            </w:pPr>
          </w:p>
        </w:tc>
        <w:tc>
          <w:tcPr>
            <w:tcW w:w="1283" w:type="pct"/>
            <w:noWrap w:val="0"/>
            <w:vAlign w:val="center"/>
          </w:tcPr>
          <w:p>
            <w:pPr>
              <w:spacing w:line="240" w:lineRule="atLeas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19" w:type="pct"/>
            <w:gridSpan w:val="2"/>
            <w:vMerge w:val="restart"/>
            <w:noWrap w:val="0"/>
            <w:vAlign w:val="center"/>
          </w:tcPr>
          <w:p>
            <w:pPr>
              <w:spacing w:line="240" w:lineRule="atLeast"/>
              <w:rPr>
                <w:rFonts w:hint="eastAsia" w:ascii="宋体" w:hAnsi="宋体" w:cs="宋体"/>
                <w:color w:val="auto"/>
                <w:szCs w:val="21"/>
                <w:highlight w:val="none"/>
              </w:rPr>
            </w:pPr>
            <w:r>
              <w:rPr>
                <w:rFonts w:hint="eastAsia" w:ascii="宋体" w:hAnsi="宋体" w:cs="宋体"/>
                <w:color w:val="auto"/>
                <w:szCs w:val="21"/>
                <w:highlight w:val="none"/>
              </w:rPr>
              <w:t>人员构成（%）</w:t>
            </w:r>
          </w:p>
        </w:tc>
        <w:tc>
          <w:tcPr>
            <w:tcW w:w="933" w:type="pct"/>
            <w:noWrap w:val="0"/>
            <w:vAlign w:val="center"/>
          </w:tcPr>
          <w:p>
            <w:pPr>
              <w:spacing w:line="240" w:lineRule="atLeast"/>
              <w:rPr>
                <w:rFonts w:hint="eastAsia" w:ascii="宋体" w:hAnsi="宋体" w:cs="宋体"/>
                <w:color w:val="auto"/>
                <w:szCs w:val="21"/>
                <w:highlight w:val="none"/>
              </w:rPr>
            </w:pPr>
            <w:r>
              <w:rPr>
                <w:rFonts w:hint="eastAsia" w:ascii="宋体" w:hAnsi="宋体" w:cs="宋体"/>
                <w:color w:val="auto"/>
                <w:szCs w:val="21"/>
                <w:highlight w:val="none"/>
              </w:rPr>
              <w:t>管理人员</w:t>
            </w:r>
          </w:p>
        </w:tc>
        <w:tc>
          <w:tcPr>
            <w:tcW w:w="1008" w:type="pct"/>
            <w:noWrap w:val="0"/>
            <w:vAlign w:val="center"/>
          </w:tcPr>
          <w:p>
            <w:pPr>
              <w:spacing w:line="240" w:lineRule="atLeast"/>
              <w:rPr>
                <w:rFonts w:hint="eastAsia" w:ascii="宋体" w:hAnsi="宋体" w:cs="宋体"/>
                <w:color w:val="auto"/>
                <w:szCs w:val="21"/>
                <w:highlight w:val="none"/>
              </w:rPr>
            </w:pPr>
            <w:r>
              <w:rPr>
                <w:rFonts w:hint="eastAsia" w:ascii="宋体" w:hAnsi="宋体" w:cs="宋体"/>
                <w:color w:val="auto"/>
                <w:szCs w:val="21"/>
                <w:highlight w:val="none"/>
              </w:rPr>
              <w:t>技术人员</w:t>
            </w:r>
          </w:p>
        </w:tc>
        <w:tc>
          <w:tcPr>
            <w:tcW w:w="954" w:type="pct"/>
            <w:noWrap w:val="0"/>
            <w:vAlign w:val="center"/>
          </w:tcPr>
          <w:p>
            <w:pPr>
              <w:spacing w:line="240" w:lineRule="atLeast"/>
              <w:rPr>
                <w:rFonts w:hint="eastAsia" w:ascii="宋体" w:hAnsi="宋体" w:cs="宋体"/>
                <w:color w:val="auto"/>
                <w:szCs w:val="21"/>
                <w:highlight w:val="none"/>
              </w:rPr>
            </w:pPr>
            <w:r>
              <w:rPr>
                <w:rFonts w:hint="eastAsia" w:ascii="宋体" w:hAnsi="宋体" w:cs="宋体"/>
                <w:color w:val="auto"/>
                <w:szCs w:val="21"/>
                <w:highlight w:val="none"/>
              </w:rPr>
              <w:t>后勤人员</w:t>
            </w:r>
          </w:p>
        </w:tc>
        <w:tc>
          <w:tcPr>
            <w:tcW w:w="1283" w:type="pct"/>
            <w:noWrap w:val="0"/>
            <w:vAlign w:val="center"/>
          </w:tcPr>
          <w:p>
            <w:pPr>
              <w:spacing w:line="240" w:lineRule="atLeast"/>
              <w:rPr>
                <w:rFonts w:hint="eastAsia" w:ascii="宋体" w:hAnsi="宋体" w:cs="宋体"/>
                <w:color w:val="auto"/>
                <w:szCs w:val="21"/>
                <w:highlight w:val="none"/>
              </w:rPr>
            </w:pPr>
            <w:r>
              <w:rPr>
                <w:rFonts w:hint="eastAsia" w:ascii="宋体" w:hAnsi="宋体" w:cs="宋体"/>
                <w:color w:val="auto"/>
                <w:szCs w:val="21"/>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19" w:type="pct"/>
            <w:gridSpan w:val="2"/>
            <w:vMerge w:val="continue"/>
            <w:noWrap w:val="0"/>
            <w:vAlign w:val="center"/>
          </w:tcPr>
          <w:p>
            <w:pPr>
              <w:spacing w:line="240" w:lineRule="atLeast"/>
              <w:rPr>
                <w:rFonts w:hint="eastAsia" w:ascii="宋体" w:hAnsi="宋体" w:cs="宋体"/>
                <w:color w:val="auto"/>
                <w:szCs w:val="21"/>
                <w:highlight w:val="none"/>
              </w:rPr>
            </w:pPr>
          </w:p>
        </w:tc>
        <w:tc>
          <w:tcPr>
            <w:tcW w:w="933" w:type="pct"/>
            <w:noWrap w:val="0"/>
            <w:vAlign w:val="center"/>
          </w:tcPr>
          <w:p>
            <w:pPr>
              <w:spacing w:line="240" w:lineRule="atLeast"/>
              <w:rPr>
                <w:rFonts w:hint="eastAsia" w:ascii="宋体" w:hAnsi="宋体" w:cs="宋体"/>
                <w:color w:val="auto"/>
                <w:szCs w:val="21"/>
                <w:highlight w:val="none"/>
              </w:rPr>
            </w:pPr>
          </w:p>
        </w:tc>
        <w:tc>
          <w:tcPr>
            <w:tcW w:w="1008" w:type="pct"/>
            <w:noWrap w:val="0"/>
            <w:vAlign w:val="center"/>
          </w:tcPr>
          <w:p>
            <w:pPr>
              <w:spacing w:line="240" w:lineRule="atLeast"/>
              <w:rPr>
                <w:rFonts w:hint="eastAsia" w:ascii="宋体" w:hAnsi="宋体" w:cs="宋体"/>
                <w:color w:val="auto"/>
                <w:szCs w:val="21"/>
                <w:highlight w:val="none"/>
              </w:rPr>
            </w:pPr>
          </w:p>
        </w:tc>
        <w:tc>
          <w:tcPr>
            <w:tcW w:w="954" w:type="pct"/>
            <w:noWrap w:val="0"/>
            <w:vAlign w:val="center"/>
          </w:tcPr>
          <w:p>
            <w:pPr>
              <w:spacing w:line="240" w:lineRule="atLeast"/>
              <w:rPr>
                <w:rFonts w:hint="eastAsia" w:ascii="宋体" w:hAnsi="宋体" w:cs="宋体"/>
                <w:color w:val="auto"/>
                <w:szCs w:val="21"/>
                <w:highlight w:val="none"/>
              </w:rPr>
            </w:pPr>
          </w:p>
        </w:tc>
        <w:tc>
          <w:tcPr>
            <w:tcW w:w="1283" w:type="pct"/>
            <w:noWrap w:val="0"/>
            <w:vAlign w:val="center"/>
          </w:tcPr>
          <w:p>
            <w:pPr>
              <w:spacing w:line="240" w:lineRule="atLeas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19" w:type="pct"/>
            <w:gridSpan w:val="2"/>
            <w:vMerge w:val="restart"/>
            <w:noWrap w:val="0"/>
            <w:vAlign w:val="center"/>
          </w:tcPr>
          <w:p>
            <w:pPr>
              <w:spacing w:line="240" w:lineRule="atLeast"/>
              <w:rPr>
                <w:rFonts w:hint="eastAsia" w:ascii="宋体" w:hAnsi="宋体" w:cs="宋体"/>
                <w:color w:val="auto"/>
                <w:szCs w:val="21"/>
                <w:highlight w:val="none"/>
              </w:rPr>
            </w:pPr>
            <w:r>
              <w:rPr>
                <w:rFonts w:hint="eastAsia" w:ascii="宋体" w:hAnsi="宋体" w:cs="宋体"/>
                <w:color w:val="auto"/>
                <w:szCs w:val="21"/>
                <w:highlight w:val="none"/>
              </w:rPr>
              <w:t>上年度末资产及负债情况</w:t>
            </w:r>
          </w:p>
        </w:tc>
        <w:tc>
          <w:tcPr>
            <w:tcW w:w="933" w:type="pct"/>
            <w:noWrap w:val="0"/>
            <w:vAlign w:val="center"/>
          </w:tcPr>
          <w:p>
            <w:pPr>
              <w:spacing w:line="240" w:lineRule="atLeast"/>
              <w:rPr>
                <w:rFonts w:hint="eastAsia" w:ascii="宋体" w:hAnsi="宋体" w:cs="宋体"/>
                <w:color w:val="auto"/>
                <w:szCs w:val="21"/>
                <w:highlight w:val="none"/>
              </w:rPr>
            </w:pPr>
            <w:r>
              <w:rPr>
                <w:rFonts w:hint="eastAsia" w:ascii="宋体" w:hAnsi="宋体" w:cs="宋体"/>
                <w:color w:val="auto"/>
                <w:szCs w:val="21"/>
                <w:highlight w:val="none"/>
              </w:rPr>
              <w:t>总资产</w:t>
            </w:r>
          </w:p>
        </w:tc>
        <w:tc>
          <w:tcPr>
            <w:tcW w:w="1008" w:type="pct"/>
            <w:noWrap w:val="0"/>
            <w:vAlign w:val="center"/>
          </w:tcPr>
          <w:p>
            <w:pPr>
              <w:spacing w:line="240" w:lineRule="atLeast"/>
              <w:rPr>
                <w:rFonts w:hint="eastAsia" w:ascii="宋体" w:hAnsi="宋体" w:cs="宋体"/>
                <w:color w:val="auto"/>
                <w:szCs w:val="21"/>
                <w:highlight w:val="none"/>
              </w:rPr>
            </w:pPr>
            <w:r>
              <w:rPr>
                <w:rFonts w:hint="eastAsia" w:ascii="宋体" w:hAnsi="宋体" w:cs="宋体"/>
                <w:color w:val="auto"/>
                <w:szCs w:val="21"/>
                <w:highlight w:val="none"/>
              </w:rPr>
              <w:t>固定资产净额</w:t>
            </w:r>
          </w:p>
        </w:tc>
        <w:tc>
          <w:tcPr>
            <w:tcW w:w="954" w:type="pct"/>
            <w:noWrap w:val="0"/>
            <w:vAlign w:val="center"/>
          </w:tcPr>
          <w:p>
            <w:pPr>
              <w:spacing w:line="240" w:lineRule="atLeast"/>
              <w:rPr>
                <w:rFonts w:hint="eastAsia" w:ascii="宋体" w:hAnsi="宋体" w:cs="宋体"/>
                <w:color w:val="auto"/>
                <w:szCs w:val="21"/>
                <w:highlight w:val="none"/>
              </w:rPr>
            </w:pPr>
            <w:r>
              <w:rPr>
                <w:rFonts w:hint="eastAsia" w:ascii="宋体" w:hAnsi="宋体" w:cs="宋体"/>
                <w:color w:val="auto"/>
                <w:szCs w:val="21"/>
                <w:highlight w:val="none"/>
              </w:rPr>
              <w:t>流动资产</w:t>
            </w:r>
          </w:p>
        </w:tc>
        <w:tc>
          <w:tcPr>
            <w:tcW w:w="1283" w:type="pct"/>
            <w:noWrap w:val="0"/>
            <w:vAlign w:val="center"/>
          </w:tcPr>
          <w:p>
            <w:pPr>
              <w:spacing w:line="240" w:lineRule="atLeast"/>
              <w:rPr>
                <w:rFonts w:hint="eastAsia" w:ascii="宋体" w:hAnsi="宋体" w:cs="宋体"/>
                <w:color w:val="auto"/>
                <w:szCs w:val="21"/>
                <w:highlight w:val="none"/>
              </w:rPr>
            </w:pPr>
            <w:r>
              <w:rPr>
                <w:rFonts w:hint="eastAsia" w:ascii="宋体" w:hAnsi="宋体" w:cs="宋体"/>
                <w:color w:val="auto"/>
                <w:szCs w:val="21"/>
                <w:highlight w:val="none"/>
              </w:rPr>
              <w:t>资产负债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19" w:type="pct"/>
            <w:gridSpan w:val="2"/>
            <w:vMerge w:val="continue"/>
            <w:noWrap w:val="0"/>
            <w:vAlign w:val="center"/>
          </w:tcPr>
          <w:p>
            <w:pPr>
              <w:spacing w:line="240" w:lineRule="atLeast"/>
              <w:rPr>
                <w:rFonts w:hint="eastAsia" w:ascii="宋体" w:hAnsi="宋体" w:cs="宋体"/>
                <w:color w:val="auto"/>
                <w:szCs w:val="21"/>
                <w:highlight w:val="none"/>
              </w:rPr>
            </w:pPr>
          </w:p>
        </w:tc>
        <w:tc>
          <w:tcPr>
            <w:tcW w:w="933" w:type="pct"/>
            <w:noWrap w:val="0"/>
            <w:vAlign w:val="center"/>
          </w:tcPr>
          <w:p>
            <w:pPr>
              <w:spacing w:line="240" w:lineRule="atLeast"/>
              <w:rPr>
                <w:rFonts w:hint="eastAsia" w:ascii="宋体" w:hAnsi="宋体" w:cs="宋体"/>
                <w:color w:val="auto"/>
                <w:szCs w:val="21"/>
                <w:highlight w:val="none"/>
              </w:rPr>
            </w:pPr>
          </w:p>
        </w:tc>
        <w:tc>
          <w:tcPr>
            <w:tcW w:w="1008" w:type="pct"/>
            <w:noWrap w:val="0"/>
            <w:vAlign w:val="center"/>
          </w:tcPr>
          <w:p>
            <w:pPr>
              <w:spacing w:line="240" w:lineRule="atLeast"/>
              <w:rPr>
                <w:rFonts w:hint="eastAsia" w:ascii="宋体" w:hAnsi="宋体" w:cs="宋体"/>
                <w:color w:val="auto"/>
                <w:szCs w:val="21"/>
                <w:highlight w:val="none"/>
              </w:rPr>
            </w:pPr>
          </w:p>
        </w:tc>
        <w:tc>
          <w:tcPr>
            <w:tcW w:w="954" w:type="pct"/>
            <w:noWrap w:val="0"/>
            <w:vAlign w:val="center"/>
          </w:tcPr>
          <w:p>
            <w:pPr>
              <w:spacing w:line="240" w:lineRule="atLeast"/>
              <w:rPr>
                <w:rFonts w:hint="eastAsia" w:ascii="宋体" w:hAnsi="宋体" w:cs="宋体"/>
                <w:color w:val="auto"/>
                <w:szCs w:val="21"/>
                <w:highlight w:val="none"/>
              </w:rPr>
            </w:pPr>
          </w:p>
        </w:tc>
        <w:tc>
          <w:tcPr>
            <w:tcW w:w="1283" w:type="pct"/>
            <w:noWrap w:val="0"/>
            <w:vAlign w:val="center"/>
          </w:tcPr>
          <w:p>
            <w:pPr>
              <w:spacing w:line="240" w:lineRule="atLeas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2" w:hRule="exact"/>
        </w:trPr>
        <w:tc>
          <w:tcPr>
            <w:tcW w:w="214" w:type="pct"/>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企业概况</w:t>
            </w:r>
          </w:p>
        </w:tc>
        <w:tc>
          <w:tcPr>
            <w:tcW w:w="4785" w:type="pct"/>
            <w:gridSpan w:val="5"/>
            <w:noWrap w:val="0"/>
            <w:vAlign w:val="center"/>
          </w:tcPr>
          <w:p>
            <w:pPr>
              <w:rPr>
                <w:rFonts w:hint="eastAsia" w:ascii="宋体" w:hAnsi="宋体" w:cs="宋体"/>
                <w:color w:val="auto"/>
                <w:szCs w:val="21"/>
                <w:highlight w:val="none"/>
              </w:rPr>
            </w:pPr>
          </w:p>
        </w:tc>
      </w:tr>
    </w:tbl>
    <w:p>
      <w:pPr>
        <w:adjustRightInd w:val="0"/>
        <w:snapToGrid w:val="0"/>
        <w:spacing w:line="360" w:lineRule="auto"/>
        <w:rPr>
          <w:rFonts w:hint="eastAsia" w:ascii="宋体" w:hAnsi="宋体" w:cs="宋体"/>
          <w:color w:val="auto"/>
          <w:szCs w:val="21"/>
          <w:highlight w:val="none"/>
        </w:rPr>
      </w:pPr>
    </w:p>
    <w:p>
      <w:pPr>
        <w:adjustRightInd w:val="0"/>
        <w:snapToGrid w:val="0"/>
        <w:spacing w:line="360" w:lineRule="auto"/>
        <w:ind w:firstLine="30"/>
        <w:rPr>
          <w:rFonts w:hint="eastAsia" w:ascii="宋体" w:hAnsi="宋体" w:cs="宋体"/>
          <w:color w:val="auto"/>
          <w:szCs w:val="21"/>
          <w:highlight w:val="none"/>
        </w:rPr>
      </w:pPr>
      <w:r>
        <w:rPr>
          <w:rFonts w:hint="eastAsia" w:ascii="宋体" w:hAnsi="宋体" w:cs="宋体"/>
          <w:bCs/>
          <w:color w:val="auto"/>
          <w:kern w:val="0"/>
          <w:szCs w:val="21"/>
          <w:highlight w:val="none"/>
        </w:rPr>
        <w:t>供应商全称</w:t>
      </w:r>
      <w:r>
        <w:rPr>
          <w:rFonts w:hint="eastAsia" w:ascii="宋体" w:hAnsi="宋体" w:cs="宋体"/>
          <w:color w:val="auto"/>
          <w:szCs w:val="21"/>
          <w:highlight w:val="none"/>
        </w:rPr>
        <w:t>：（公章）</w:t>
      </w:r>
    </w:p>
    <w:p>
      <w:pPr>
        <w:adjustRightInd w:val="0"/>
        <w:snapToGrid w:val="0"/>
        <w:spacing w:line="360" w:lineRule="auto"/>
        <w:ind w:right="420"/>
        <w:rPr>
          <w:rFonts w:hint="eastAsia" w:ascii="宋体" w:hAnsi="宋体" w:cs="宋体"/>
          <w:color w:val="auto"/>
          <w:szCs w:val="21"/>
          <w:highlight w:val="none"/>
        </w:rPr>
      </w:pPr>
      <w:r>
        <w:rPr>
          <w:rFonts w:hint="eastAsia" w:ascii="宋体" w:hAnsi="宋体" w:cs="宋体"/>
          <w:color w:val="auto"/>
          <w:szCs w:val="21"/>
          <w:highlight w:val="none"/>
        </w:rPr>
        <w:t>授权代表（签字）：</w:t>
      </w:r>
    </w:p>
    <w:p>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日期： 年  月  日</w:t>
      </w:r>
    </w:p>
    <w:p>
      <w:pPr>
        <w:pStyle w:val="17"/>
        <w:ind w:left="0" w:leftChars="0"/>
        <w:rPr>
          <w:rFonts w:hint="eastAsia" w:ascii="宋体" w:hAnsi="宋体" w:cs="宋体"/>
          <w:color w:val="auto"/>
          <w:szCs w:val="21"/>
          <w:highlight w:val="none"/>
        </w:rPr>
      </w:pPr>
      <w:r>
        <w:rPr>
          <w:rFonts w:hint="eastAsia" w:ascii="宋体" w:hAnsi="宋体" w:cs="宋体"/>
          <w:color w:val="auto"/>
          <w:szCs w:val="21"/>
          <w:highlight w:val="none"/>
        </w:rPr>
        <w:t>说明：本表格可视情形添加或删减。除表格外，可另附文字、图片等情况加以说明。</w:t>
      </w:r>
    </w:p>
    <w:p>
      <w:pPr>
        <w:autoSpaceDE w:val="0"/>
        <w:autoSpaceDN w:val="0"/>
        <w:snapToGrid w:val="0"/>
        <w:spacing w:line="420" w:lineRule="exact"/>
        <w:textAlignment w:val="bottom"/>
        <w:rPr>
          <w:rFonts w:hint="eastAsia" w:ascii="宋体" w:hAnsi="宋体" w:cs="宋体"/>
          <w:b/>
          <w:color w:val="auto"/>
          <w:szCs w:val="21"/>
          <w:highlight w:val="none"/>
        </w:rPr>
      </w:pPr>
    </w:p>
    <w:p>
      <w:pPr>
        <w:spacing w:line="400" w:lineRule="exact"/>
        <w:jc w:val="left"/>
        <w:rPr>
          <w:rFonts w:hint="eastAsia" w:ascii="宋体" w:hAnsi="宋体" w:cs="宋体"/>
          <w:color w:val="auto"/>
          <w:szCs w:val="21"/>
          <w:highlight w:val="none"/>
        </w:rPr>
      </w:pPr>
    </w:p>
    <w:p>
      <w:pPr>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、商务响应表</w:t>
      </w:r>
    </w:p>
    <w:p>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商 务 响 应 表</w:t>
      </w:r>
    </w:p>
    <w:p>
      <w:pPr>
        <w:spacing w:line="360" w:lineRule="auto"/>
        <w:jc w:val="center"/>
        <w:rPr>
          <w:rFonts w:hint="eastAsia" w:ascii="宋体" w:hAnsi="宋体" w:cs="宋体"/>
          <w:bCs/>
          <w:color w:val="auto"/>
          <w:szCs w:val="21"/>
          <w:highlight w:val="none"/>
        </w:rPr>
      </w:pPr>
    </w:p>
    <w:p>
      <w:pPr>
        <w:spacing w:after="156" w:afterLines="50"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 xml:space="preserve">项目名称：                             项目编号：             </w:t>
      </w:r>
    </w:p>
    <w:tbl>
      <w:tblPr>
        <w:tblStyle w:val="30"/>
        <w:tblW w:w="83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4830"/>
        <w:gridCol w:w="1185"/>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trPr>
        <w:tc>
          <w:tcPr>
            <w:tcW w:w="1304" w:type="dxa"/>
            <w:noWrap w:val="0"/>
            <w:vAlign w:val="center"/>
          </w:tcPr>
          <w:p>
            <w:pPr>
              <w:adjustRightInd w:val="0"/>
              <w:snapToGrid w:val="0"/>
              <w:spacing w:line="300" w:lineRule="exact"/>
              <w:jc w:val="center"/>
              <w:rPr>
                <w:rFonts w:hint="eastAsia" w:ascii="宋体" w:hAnsi="宋体" w:cs="宋体"/>
                <w:bCs/>
                <w:color w:val="auto"/>
                <w:highlight w:val="none"/>
              </w:rPr>
            </w:pPr>
            <w:r>
              <w:rPr>
                <w:rFonts w:hint="eastAsia" w:ascii="宋体" w:hAnsi="宋体" w:cs="宋体"/>
                <w:bCs/>
                <w:color w:val="auto"/>
                <w:highlight w:val="none"/>
              </w:rPr>
              <w:t>项目</w:t>
            </w:r>
          </w:p>
        </w:tc>
        <w:tc>
          <w:tcPr>
            <w:tcW w:w="4830" w:type="dxa"/>
            <w:noWrap w:val="0"/>
            <w:vAlign w:val="center"/>
          </w:tcPr>
          <w:p>
            <w:pPr>
              <w:adjustRightInd w:val="0"/>
              <w:snapToGrid w:val="0"/>
              <w:spacing w:line="300" w:lineRule="exact"/>
              <w:jc w:val="center"/>
              <w:rPr>
                <w:rFonts w:hint="eastAsia" w:ascii="宋体" w:hAnsi="宋体" w:cs="宋体"/>
                <w:bCs/>
                <w:color w:val="auto"/>
                <w:highlight w:val="none"/>
              </w:rPr>
            </w:pPr>
            <w:r>
              <w:rPr>
                <w:rFonts w:hint="eastAsia" w:ascii="宋体" w:hAnsi="宋体" w:cs="宋体"/>
                <w:bCs/>
                <w:color w:val="auto"/>
                <w:highlight w:val="none"/>
              </w:rPr>
              <w:t>采购文件要求</w:t>
            </w:r>
          </w:p>
        </w:tc>
        <w:tc>
          <w:tcPr>
            <w:tcW w:w="1185" w:type="dxa"/>
            <w:noWrap w:val="0"/>
            <w:vAlign w:val="center"/>
          </w:tcPr>
          <w:p>
            <w:pPr>
              <w:adjustRightInd w:val="0"/>
              <w:snapToGrid w:val="0"/>
              <w:spacing w:line="300" w:lineRule="exact"/>
              <w:jc w:val="center"/>
              <w:rPr>
                <w:rFonts w:hint="eastAsia" w:ascii="宋体" w:hAnsi="宋体" w:cs="宋体"/>
                <w:bCs/>
                <w:color w:val="auto"/>
                <w:highlight w:val="none"/>
              </w:rPr>
            </w:pPr>
            <w:r>
              <w:rPr>
                <w:rFonts w:hint="eastAsia" w:ascii="宋体" w:hAnsi="宋体" w:cs="宋体"/>
                <w:bCs/>
                <w:color w:val="auto"/>
                <w:highlight w:val="none"/>
              </w:rPr>
              <w:t>是否响应</w:t>
            </w:r>
          </w:p>
        </w:tc>
        <w:tc>
          <w:tcPr>
            <w:tcW w:w="1065" w:type="dxa"/>
            <w:noWrap w:val="0"/>
            <w:vAlign w:val="center"/>
          </w:tcPr>
          <w:p>
            <w:pPr>
              <w:widowControl/>
              <w:adjustRightInd w:val="0"/>
              <w:snapToGrid w:val="0"/>
              <w:spacing w:line="300" w:lineRule="exact"/>
              <w:jc w:val="center"/>
              <w:rPr>
                <w:rFonts w:hint="eastAsia" w:ascii="宋体" w:hAnsi="宋体" w:cs="宋体"/>
                <w:bCs/>
                <w:color w:val="auto"/>
                <w:highlight w:val="none"/>
              </w:rPr>
            </w:pPr>
            <w:r>
              <w:rPr>
                <w:rFonts w:hint="eastAsia" w:ascii="宋体" w:hAnsi="宋体" w:cs="宋体"/>
                <w:bCs/>
                <w:color w:val="auto"/>
                <w:highlight w:val="none"/>
              </w:rPr>
              <w:t>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1304" w:type="dxa"/>
            <w:noWrap w:val="0"/>
            <w:vAlign w:val="center"/>
          </w:tcPr>
          <w:p>
            <w:pPr>
              <w:spacing w:line="320" w:lineRule="exact"/>
              <w:rPr>
                <w:rFonts w:hint="eastAsia" w:ascii="宋体" w:hAnsi="宋体" w:cs="宋体"/>
                <w:color w:val="auto"/>
                <w:highlight w:val="none"/>
              </w:rPr>
            </w:pPr>
            <w:r>
              <w:rPr>
                <w:rFonts w:hint="eastAsia" w:ascii="宋体" w:hAnsi="宋体" w:cs="宋体"/>
                <w:color w:val="auto"/>
                <w:highlight w:val="none"/>
              </w:rPr>
              <w:t>服务期限</w:t>
            </w:r>
          </w:p>
        </w:tc>
        <w:tc>
          <w:tcPr>
            <w:tcW w:w="4830" w:type="dxa"/>
            <w:noWrap w:val="0"/>
            <w:vAlign w:val="center"/>
          </w:tcPr>
          <w:p>
            <w:pPr>
              <w:pStyle w:val="3"/>
              <w:spacing w:line="320" w:lineRule="exac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2年</w:t>
            </w:r>
          </w:p>
        </w:tc>
        <w:tc>
          <w:tcPr>
            <w:tcW w:w="1185" w:type="dxa"/>
            <w:noWrap w:val="0"/>
            <w:vAlign w:val="center"/>
          </w:tcPr>
          <w:p>
            <w:pPr>
              <w:adjustRightInd w:val="0"/>
              <w:spacing w:line="320" w:lineRule="exact"/>
              <w:jc w:val="left"/>
              <w:rPr>
                <w:rFonts w:hint="eastAsia" w:ascii="宋体" w:hAnsi="宋体" w:cs="宋体"/>
                <w:color w:val="auto"/>
                <w:kern w:val="0"/>
                <w:highlight w:val="none"/>
              </w:rPr>
            </w:pPr>
          </w:p>
        </w:tc>
        <w:tc>
          <w:tcPr>
            <w:tcW w:w="1065" w:type="dxa"/>
            <w:noWrap w:val="0"/>
            <w:vAlign w:val="center"/>
          </w:tcPr>
          <w:p>
            <w:pPr>
              <w:widowControl/>
              <w:adjustRightInd w:val="0"/>
              <w:spacing w:line="320" w:lineRule="exact"/>
              <w:jc w:val="left"/>
              <w:rPr>
                <w:rFonts w:hint="eastAsia" w:ascii="宋体" w:hAnsi="宋体"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1304" w:type="dxa"/>
            <w:noWrap w:val="0"/>
            <w:vAlign w:val="center"/>
          </w:tcPr>
          <w:p>
            <w:pPr>
              <w:spacing w:line="320" w:lineRule="exact"/>
              <w:rPr>
                <w:rFonts w:hint="eastAsia" w:ascii="宋体" w:hAnsi="宋体" w:cs="宋体"/>
                <w:color w:val="auto"/>
                <w:highlight w:val="none"/>
              </w:rPr>
            </w:pPr>
            <w:r>
              <w:rPr>
                <w:rFonts w:hint="eastAsia" w:ascii="宋体" w:hAnsi="宋体" w:cs="宋体"/>
                <w:color w:val="auto"/>
                <w:highlight w:val="none"/>
              </w:rPr>
              <w:t>报价要求</w:t>
            </w:r>
          </w:p>
        </w:tc>
        <w:tc>
          <w:tcPr>
            <w:tcW w:w="4830" w:type="dxa"/>
            <w:noWrap w:val="0"/>
            <w:vAlign w:val="center"/>
          </w:tcPr>
          <w:p>
            <w:pPr>
              <w:pStyle w:val="3"/>
              <w:spacing w:line="32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本项目按折扣率报价。</w:t>
            </w:r>
          </w:p>
        </w:tc>
        <w:tc>
          <w:tcPr>
            <w:tcW w:w="1185" w:type="dxa"/>
            <w:noWrap w:val="0"/>
            <w:vAlign w:val="center"/>
          </w:tcPr>
          <w:p>
            <w:pPr>
              <w:adjustRightInd w:val="0"/>
              <w:snapToGrid w:val="0"/>
              <w:spacing w:line="300" w:lineRule="exact"/>
              <w:jc w:val="center"/>
              <w:rPr>
                <w:rFonts w:hint="eastAsia" w:ascii="宋体" w:hAnsi="宋体" w:cs="宋体"/>
                <w:bCs/>
                <w:color w:val="auto"/>
                <w:highlight w:val="none"/>
              </w:rPr>
            </w:pPr>
          </w:p>
        </w:tc>
        <w:tc>
          <w:tcPr>
            <w:tcW w:w="1065" w:type="dxa"/>
            <w:noWrap w:val="0"/>
            <w:vAlign w:val="center"/>
          </w:tcPr>
          <w:p>
            <w:pPr>
              <w:widowControl/>
              <w:spacing w:line="300" w:lineRule="exact"/>
              <w:jc w:val="left"/>
              <w:rPr>
                <w:rFonts w:hint="eastAsia" w:ascii="宋体" w:hAnsi="宋体" w:cs="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1304" w:type="dxa"/>
            <w:noWrap w:val="0"/>
            <w:vAlign w:val="center"/>
          </w:tcPr>
          <w:p>
            <w:pPr>
              <w:spacing w:line="320" w:lineRule="exact"/>
              <w:rPr>
                <w:rFonts w:hint="eastAsia" w:ascii="宋体" w:hAnsi="宋体" w:cs="宋体"/>
                <w:color w:val="auto"/>
                <w:highlight w:val="none"/>
              </w:rPr>
            </w:pPr>
            <w:r>
              <w:rPr>
                <w:rFonts w:hint="eastAsia" w:ascii="宋体" w:hAnsi="宋体" w:cs="宋体"/>
                <w:color w:val="auto"/>
                <w:highlight w:val="none"/>
              </w:rPr>
              <w:t>付款方式</w:t>
            </w:r>
          </w:p>
        </w:tc>
        <w:tc>
          <w:tcPr>
            <w:tcW w:w="4830" w:type="dxa"/>
            <w:noWrap w:val="0"/>
            <w:vAlign w:val="center"/>
          </w:tcPr>
          <w:p>
            <w:pPr>
              <w:widowControl/>
              <w:adjustRightInd w:val="0"/>
              <w:snapToGrid w:val="0"/>
              <w:spacing w:line="320" w:lineRule="exact"/>
              <w:ind w:firstLine="420" w:firstLineChars="200"/>
              <w:jc w:val="left"/>
              <w:rPr>
                <w:rFonts w:hint="eastAsia" w:ascii="宋体" w:hAnsi="宋体" w:cs="宋体"/>
                <w:color w:val="auto"/>
                <w:szCs w:val="21"/>
                <w:highlight w:val="none"/>
              </w:rPr>
            </w:pPr>
            <w:r>
              <w:rPr>
                <w:rFonts w:hint="eastAsia" w:ascii="宋体" w:hAnsi="宋体" w:eastAsia="宋体" w:cs="宋体"/>
                <w:color w:val="auto"/>
                <w:sz w:val="21"/>
                <w:szCs w:val="21"/>
                <w:highlight w:val="none"/>
              </w:rPr>
              <w:t>在完成采购人指定的单个地块的土壤环境初步调查，并提交报告后一次性支付</w:t>
            </w:r>
            <w:r>
              <w:rPr>
                <w:rFonts w:hint="eastAsia" w:ascii="宋体" w:hAnsi="宋体" w:eastAsia="宋体" w:cs="宋体"/>
                <w:color w:val="auto"/>
                <w:sz w:val="21"/>
                <w:szCs w:val="21"/>
                <w:highlight w:val="none"/>
                <w:lang w:eastAsia="zh-CN"/>
              </w:rPr>
              <w:t>该</w:t>
            </w:r>
            <w:r>
              <w:rPr>
                <w:rFonts w:hint="eastAsia" w:ascii="宋体" w:hAnsi="宋体" w:eastAsia="宋体" w:cs="宋体"/>
                <w:color w:val="auto"/>
                <w:sz w:val="21"/>
                <w:szCs w:val="21"/>
                <w:highlight w:val="none"/>
              </w:rPr>
              <w:t>地块</w:t>
            </w:r>
            <w:r>
              <w:rPr>
                <w:rFonts w:hint="eastAsia" w:ascii="宋体" w:hAnsi="宋体" w:eastAsia="宋体" w:cs="宋体"/>
                <w:color w:val="auto"/>
                <w:sz w:val="21"/>
                <w:szCs w:val="21"/>
                <w:highlight w:val="none"/>
                <w:lang w:eastAsia="zh-CN"/>
              </w:rPr>
              <w:t>费用。</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单个地块结算费用以供应商折扣率结算）</w:t>
            </w:r>
          </w:p>
        </w:tc>
        <w:tc>
          <w:tcPr>
            <w:tcW w:w="1185" w:type="dxa"/>
            <w:noWrap w:val="0"/>
            <w:vAlign w:val="center"/>
          </w:tcPr>
          <w:p>
            <w:pPr>
              <w:adjustRightInd w:val="0"/>
              <w:spacing w:line="320" w:lineRule="exact"/>
              <w:jc w:val="left"/>
              <w:rPr>
                <w:rFonts w:hint="eastAsia" w:ascii="宋体" w:hAnsi="宋体" w:cs="宋体"/>
                <w:color w:val="auto"/>
                <w:kern w:val="0"/>
                <w:highlight w:val="none"/>
              </w:rPr>
            </w:pPr>
          </w:p>
        </w:tc>
        <w:tc>
          <w:tcPr>
            <w:tcW w:w="1065" w:type="dxa"/>
            <w:noWrap w:val="0"/>
            <w:vAlign w:val="center"/>
          </w:tcPr>
          <w:p>
            <w:pPr>
              <w:widowControl/>
              <w:adjustRightInd w:val="0"/>
              <w:spacing w:line="320" w:lineRule="exact"/>
              <w:jc w:val="left"/>
              <w:rPr>
                <w:rFonts w:hint="eastAsia" w:ascii="宋体" w:hAnsi="宋体"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trPr>
        <w:tc>
          <w:tcPr>
            <w:tcW w:w="1304" w:type="dxa"/>
            <w:noWrap w:val="0"/>
            <w:vAlign w:val="center"/>
          </w:tcPr>
          <w:p>
            <w:pPr>
              <w:spacing w:line="320" w:lineRule="exact"/>
              <w:rPr>
                <w:rFonts w:hint="eastAsia" w:ascii="宋体" w:hAnsi="宋体" w:cs="宋体"/>
                <w:color w:val="auto"/>
                <w:highlight w:val="none"/>
              </w:rPr>
            </w:pPr>
            <w:r>
              <w:rPr>
                <w:rFonts w:hint="eastAsia" w:ascii="宋体" w:hAnsi="宋体" w:cs="宋体"/>
                <w:color w:val="auto"/>
                <w:highlight w:val="none"/>
              </w:rPr>
              <w:t>安全责任要求</w:t>
            </w:r>
          </w:p>
        </w:tc>
        <w:tc>
          <w:tcPr>
            <w:tcW w:w="4830" w:type="dxa"/>
            <w:noWrap w:val="0"/>
            <w:vAlign w:val="center"/>
          </w:tcPr>
          <w:p>
            <w:pPr>
              <w:pStyle w:val="3"/>
              <w:spacing w:line="320" w:lineRule="exact"/>
              <w:rPr>
                <w:rFonts w:hint="eastAsia" w:ascii="宋体" w:hAnsi="宋体" w:cs="宋体"/>
                <w:color w:val="auto"/>
                <w:szCs w:val="21"/>
                <w:highlight w:val="none"/>
              </w:rPr>
            </w:pPr>
            <w:r>
              <w:rPr>
                <w:rFonts w:hint="eastAsia" w:ascii="宋体" w:hAnsi="宋体" w:eastAsia="宋体" w:cs="宋体"/>
                <w:color w:val="auto"/>
                <w:kern w:val="2"/>
                <w:sz w:val="21"/>
                <w:szCs w:val="21"/>
                <w:highlight w:val="none"/>
                <w:lang w:val="en-US" w:eastAsia="zh-CN" w:bidi="ar-SA"/>
              </w:rPr>
              <w:t>中标供应商应自行承担项目实施过程</w:t>
            </w:r>
            <w:r>
              <w:rPr>
                <w:rFonts w:hint="eastAsia" w:ascii="宋体" w:hAnsi="宋体" w:cs="宋体"/>
                <w:color w:val="auto"/>
                <w:kern w:val="2"/>
                <w:sz w:val="21"/>
                <w:szCs w:val="21"/>
                <w:highlight w:val="none"/>
                <w:lang w:val="en-US" w:eastAsia="zh-CN" w:bidi="ar-SA"/>
              </w:rPr>
              <w:t>中的</w:t>
            </w:r>
            <w:r>
              <w:rPr>
                <w:rFonts w:hint="eastAsia" w:ascii="宋体" w:hAnsi="宋体" w:eastAsia="宋体" w:cs="宋体"/>
                <w:color w:val="auto"/>
                <w:kern w:val="2"/>
                <w:sz w:val="21"/>
                <w:szCs w:val="21"/>
                <w:highlight w:val="none"/>
                <w:lang w:val="en-US" w:eastAsia="zh-CN" w:bidi="ar-SA"/>
              </w:rPr>
              <w:t>安全责任，采购人及使用单位在任何情况下均不承担因此产生的任何法律责任和经济责任。</w:t>
            </w:r>
          </w:p>
        </w:tc>
        <w:tc>
          <w:tcPr>
            <w:tcW w:w="1185" w:type="dxa"/>
            <w:noWrap w:val="0"/>
            <w:vAlign w:val="center"/>
          </w:tcPr>
          <w:p>
            <w:pPr>
              <w:adjustRightInd w:val="0"/>
              <w:snapToGrid w:val="0"/>
              <w:spacing w:line="300" w:lineRule="exact"/>
              <w:jc w:val="center"/>
              <w:rPr>
                <w:rFonts w:hint="eastAsia" w:ascii="宋体" w:hAnsi="宋体" w:cs="宋体"/>
                <w:bCs/>
                <w:color w:val="auto"/>
                <w:highlight w:val="none"/>
              </w:rPr>
            </w:pPr>
          </w:p>
        </w:tc>
        <w:tc>
          <w:tcPr>
            <w:tcW w:w="1065" w:type="dxa"/>
            <w:noWrap w:val="0"/>
            <w:vAlign w:val="center"/>
          </w:tcPr>
          <w:p>
            <w:pPr>
              <w:widowControl/>
              <w:spacing w:line="300" w:lineRule="exact"/>
              <w:jc w:val="left"/>
              <w:rPr>
                <w:rFonts w:hint="eastAsia" w:ascii="宋体" w:hAnsi="宋体" w:cs="宋体"/>
                <w:bCs/>
                <w:color w:val="auto"/>
                <w:highlight w:val="none"/>
              </w:rPr>
            </w:pPr>
          </w:p>
        </w:tc>
      </w:tr>
    </w:tbl>
    <w:p>
      <w:pPr>
        <w:spacing w:line="340" w:lineRule="exact"/>
        <w:jc w:val="left"/>
        <w:rPr>
          <w:rFonts w:hint="eastAsia" w:ascii="宋体" w:hAnsi="宋体" w:cs="宋体"/>
          <w:color w:val="auto"/>
          <w:highlight w:val="none"/>
        </w:rPr>
      </w:pPr>
      <w:r>
        <w:rPr>
          <w:rFonts w:hint="eastAsia" w:ascii="宋体" w:hAnsi="宋体" w:cs="宋体"/>
          <w:color w:val="auto"/>
          <w:highlight w:val="none"/>
        </w:rPr>
        <w:t>供应商（盖章）：</w:t>
      </w:r>
    </w:p>
    <w:p>
      <w:pPr>
        <w:spacing w:before="159" w:beforeLines="50" w:after="159" w:afterLines="50" w:line="300" w:lineRule="exact"/>
        <w:jc w:val="left"/>
        <w:rPr>
          <w:rFonts w:hint="eastAsia" w:ascii="宋体" w:hAnsi="宋体" w:cs="宋体"/>
          <w:color w:val="auto"/>
          <w:highlight w:val="none"/>
        </w:rPr>
      </w:pPr>
      <w:r>
        <w:rPr>
          <w:rFonts w:hint="eastAsia" w:ascii="宋体" w:hAnsi="宋体" w:cs="宋体"/>
          <w:color w:val="auto"/>
          <w:highlight w:val="none"/>
          <w:lang w:eastAsia="zh-CN"/>
        </w:rPr>
        <w:t>授权代表（签字或盖章）：</w:t>
      </w:r>
    </w:p>
    <w:p>
      <w:pPr>
        <w:pStyle w:val="15"/>
        <w:spacing w:before="159" w:after="159" w:line="300" w:lineRule="exact"/>
        <w:jc w:val="left"/>
        <w:rPr>
          <w:rFonts w:hint="eastAsia" w:hAnsi="宋体" w:cs="宋体"/>
          <w:color w:val="auto"/>
          <w:highlight w:val="none"/>
        </w:rPr>
      </w:pPr>
      <w:r>
        <w:rPr>
          <w:rFonts w:hint="eastAsia" w:hAnsi="宋体" w:cs="宋体"/>
          <w:color w:val="auto"/>
          <w:sz w:val="21"/>
          <w:highlight w:val="none"/>
        </w:rPr>
        <w:t xml:space="preserve">日   期：     </w:t>
      </w:r>
      <w:r>
        <w:rPr>
          <w:rFonts w:hint="eastAsia" w:hAnsi="宋体" w:cs="宋体"/>
          <w:color w:val="auto"/>
          <w:highlight w:val="none"/>
        </w:rPr>
        <w:t xml:space="preserve">   </w:t>
      </w:r>
    </w:p>
    <w:p>
      <w:pPr>
        <w:spacing w:line="340" w:lineRule="exact"/>
        <w:ind w:firstLine="420" w:firstLineChars="200"/>
        <w:rPr>
          <w:rFonts w:hint="eastAsia" w:ascii="宋体" w:hAnsi="宋体" w:cs="宋体"/>
          <w:color w:val="auto"/>
          <w:highlight w:val="none"/>
        </w:rPr>
      </w:pPr>
      <w:r>
        <w:rPr>
          <w:rFonts w:hint="eastAsia" w:ascii="宋体" w:hAnsi="宋体" w:cs="宋体"/>
          <w:color w:val="auto"/>
          <w:highlight w:val="none"/>
        </w:rPr>
        <w:t>注：1、本表格为</w:t>
      </w:r>
      <w:r>
        <w:rPr>
          <w:rFonts w:hint="eastAsia" w:ascii="宋体" w:hAnsi="宋体" w:cs="宋体"/>
          <w:bCs/>
          <w:color w:val="auto"/>
          <w:highlight w:val="none"/>
        </w:rPr>
        <w:t>商务要求中除报价以外的其他要求，</w:t>
      </w:r>
      <w:r>
        <w:rPr>
          <w:rFonts w:hint="eastAsia" w:ascii="宋体" w:hAnsi="宋体" w:cs="宋体"/>
          <w:b/>
          <w:color w:val="auto"/>
          <w:highlight w:val="none"/>
        </w:rPr>
        <w:t>不填写视同完全响应磋商文件要求</w:t>
      </w:r>
      <w:r>
        <w:rPr>
          <w:rFonts w:hint="eastAsia" w:ascii="宋体" w:hAnsi="宋体" w:cs="宋体"/>
          <w:bCs/>
          <w:color w:val="auto"/>
          <w:highlight w:val="none"/>
        </w:rPr>
        <w:t>。</w:t>
      </w:r>
      <w:r>
        <w:rPr>
          <w:rFonts w:hint="eastAsia" w:ascii="宋体" w:hAnsi="宋体" w:cs="宋体"/>
          <w:color w:val="auto"/>
          <w:highlight w:val="none"/>
        </w:rPr>
        <w:t>此表可在不改变格式的情况下可自行制作。</w:t>
      </w:r>
    </w:p>
    <w:p>
      <w:pPr>
        <w:spacing w:line="340" w:lineRule="exact"/>
        <w:ind w:firstLine="630" w:firstLineChars="300"/>
        <w:rPr>
          <w:rFonts w:hint="eastAsia" w:ascii="宋体" w:hAnsi="宋体" w:cs="宋体"/>
          <w:color w:val="auto"/>
          <w:highlight w:val="none"/>
        </w:rPr>
      </w:pPr>
      <w:r>
        <w:rPr>
          <w:rFonts w:hint="eastAsia" w:ascii="宋体" w:hAnsi="宋体" w:cs="宋体"/>
          <w:color w:val="auto"/>
          <w:highlight w:val="none"/>
        </w:rPr>
        <w:t>2、备注栏填正偏离、负偏离或无偏离。</w:t>
      </w:r>
    </w:p>
    <w:p>
      <w:pPr>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w:t>
      </w:r>
    </w:p>
    <w:p>
      <w:pPr>
        <w:spacing w:line="360" w:lineRule="auto"/>
        <w:jc w:val="both"/>
        <w:rPr>
          <w:rFonts w:hint="eastAsia" w:ascii="宋体" w:hAnsi="宋体" w:cs="宋体"/>
          <w:b/>
          <w:color w:val="auto"/>
          <w:szCs w:val="21"/>
          <w:highlight w:val="none"/>
        </w:rPr>
      </w:pPr>
    </w:p>
    <w:p>
      <w:pPr>
        <w:keepNext/>
        <w:pageBreakBefore/>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、项目负责人情况表：</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 xml:space="preserve">项目名称：                             项目编号：   </w:t>
      </w:r>
    </w:p>
    <w:tbl>
      <w:tblPr>
        <w:tblStyle w:val="3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7"/>
        <w:gridCol w:w="1651"/>
        <w:gridCol w:w="1570"/>
        <w:gridCol w:w="1702"/>
        <w:gridCol w:w="1704"/>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65" w:type="pct"/>
            <w:noWrap w:val="0"/>
            <w:vAlign w:val="center"/>
          </w:tcPr>
          <w:p>
            <w:pPr>
              <w:spacing w:line="48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姓名</w:t>
            </w:r>
          </w:p>
        </w:tc>
        <w:tc>
          <w:tcPr>
            <w:tcW w:w="837" w:type="pct"/>
            <w:noWrap w:val="0"/>
            <w:vAlign w:val="center"/>
          </w:tcPr>
          <w:p>
            <w:pPr>
              <w:spacing w:line="480" w:lineRule="exact"/>
              <w:ind w:firstLine="420" w:firstLineChars="200"/>
              <w:jc w:val="left"/>
              <w:rPr>
                <w:rFonts w:hint="eastAsia" w:ascii="宋体" w:hAnsi="宋体" w:cs="宋体"/>
                <w:color w:val="auto"/>
                <w:szCs w:val="21"/>
                <w:highlight w:val="none"/>
              </w:rPr>
            </w:pPr>
          </w:p>
        </w:tc>
        <w:tc>
          <w:tcPr>
            <w:tcW w:w="797" w:type="pct"/>
            <w:noWrap w:val="0"/>
            <w:vAlign w:val="center"/>
          </w:tcPr>
          <w:p>
            <w:pPr>
              <w:spacing w:line="48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性别</w:t>
            </w:r>
          </w:p>
        </w:tc>
        <w:tc>
          <w:tcPr>
            <w:tcW w:w="864" w:type="pct"/>
            <w:noWrap w:val="0"/>
            <w:vAlign w:val="center"/>
          </w:tcPr>
          <w:p>
            <w:pPr>
              <w:spacing w:line="480" w:lineRule="exact"/>
              <w:ind w:firstLine="420" w:firstLineChars="200"/>
              <w:jc w:val="left"/>
              <w:rPr>
                <w:rFonts w:hint="eastAsia" w:ascii="宋体" w:hAnsi="宋体" w:cs="宋体"/>
                <w:color w:val="auto"/>
                <w:szCs w:val="21"/>
                <w:highlight w:val="none"/>
              </w:rPr>
            </w:pPr>
          </w:p>
        </w:tc>
        <w:tc>
          <w:tcPr>
            <w:tcW w:w="865" w:type="pct"/>
            <w:noWrap w:val="0"/>
            <w:vAlign w:val="center"/>
          </w:tcPr>
          <w:p>
            <w:pPr>
              <w:spacing w:line="48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出生年月</w:t>
            </w:r>
          </w:p>
        </w:tc>
        <w:tc>
          <w:tcPr>
            <w:tcW w:w="868" w:type="pct"/>
            <w:noWrap w:val="0"/>
            <w:vAlign w:val="center"/>
          </w:tcPr>
          <w:p>
            <w:pPr>
              <w:spacing w:line="480" w:lineRule="exact"/>
              <w:ind w:firstLine="420" w:firstLineChars="200"/>
              <w:jc w:val="lef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65" w:type="pct"/>
            <w:noWrap w:val="0"/>
            <w:vAlign w:val="top"/>
          </w:tcPr>
          <w:p>
            <w:pPr>
              <w:spacing w:line="480" w:lineRule="exact"/>
              <w:rPr>
                <w:rFonts w:hint="eastAsia" w:ascii="宋体" w:hAnsi="宋体" w:cs="宋体"/>
                <w:color w:val="auto"/>
                <w:szCs w:val="21"/>
                <w:highlight w:val="none"/>
              </w:rPr>
            </w:pPr>
            <w:r>
              <w:rPr>
                <w:rFonts w:hint="eastAsia" w:ascii="宋体" w:hAnsi="宋体" w:cs="宋体"/>
                <w:color w:val="auto"/>
                <w:szCs w:val="21"/>
                <w:highlight w:val="none"/>
              </w:rPr>
              <w:t>文化程度</w:t>
            </w:r>
          </w:p>
        </w:tc>
        <w:tc>
          <w:tcPr>
            <w:tcW w:w="837" w:type="pct"/>
            <w:noWrap w:val="0"/>
            <w:vAlign w:val="center"/>
          </w:tcPr>
          <w:p>
            <w:pPr>
              <w:spacing w:line="480" w:lineRule="exact"/>
              <w:ind w:firstLine="420" w:firstLineChars="200"/>
              <w:jc w:val="left"/>
              <w:rPr>
                <w:rFonts w:hint="eastAsia" w:ascii="宋体" w:hAnsi="宋体" w:cs="宋体"/>
                <w:color w:val="auto"/>
                <w:szCs w:val="21"/>
                <w:highlight w:val="none"/>
              </w:rPr>
            </w:pPr>
          </w:p>
        </w:tc>
        <w:tc>
          <w:tcPr>
            <w:tcW w:w="797" w:type="pct"/>
            <w:noWrap w:val="0"/>
            <w:vAlign w:val="center"/>
          </w:tcPr>
          <w:p>
            <w:pPr>
              <w:spacing w:line="48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职称</w:t>
            </w:r>
          </w:p>
        </w:tc>
        <w:tc>
          <w:tcPr>
            <w:tcW w:w="864" w:type="pct"/>
            <w:noWrap w:val="0"/>
            <w:vAlign w:val="center"/>
          </w:tcPr>
          <w:p>
            <w:pPr>
              <w:spacing w:line="480" w:lineRule="exact"/>
              <w:ind w:firstLine="420" w:firstLineChars="200"/>
              <w:jc w:val="left"/>
              <w:rPr>
                <w:rFonts w:hint="eastAsia" w:ascii="宋体" w:hAnsi="宋体" w:cs="宋体"/>
                <w:color w:val="auto"/>
                <w:szCs w:val="21"/>
                <w:highlight w:val="none"/>
              </w:rPr>
            </w:pPr>
          </w:p>
        </w:tc>
        <w:tc>
          <w:tcPr>
            <w:tcW w:w="865" w:type="pct"/>
            <w:noWrap w:val="0"/>
            <w:vAlign w:val="center"/>
          </w:tcPr>
          <w:p>
            <w:pPr>
              <w:spacing w:line="48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职务</w:t>
            </w:r>
          </w:p>
        </w:tc>
        <w:tc>
          <w:tcPr>
            <w:tcW w:w="868" w:type="pct"/>
            <w:noWrap w:val="0"/>
            <w:vAlign w:val="center"/>
          </w:tcPr>
          <w:p>
            <w:pPr>
              <w:spacing w:line="480" w:lineRule="exact"/>
              <w:ind w:firstLine="420" w:firstLineChars="200"/>
              <w:jc w:val="lef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765" w:type="pct"/>
            <w:noWrap w:val="0"/>
            <w:vAlign w:val="center"/>
          </w:tcPr>
          <w:p>
            <w:pPr>
              <w:spacing w:line="48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专业</w:t>
            </w:r>
          </w:p>
        </w:tc>
        <w:tc>
          <w:tcPr>
            <w:tcW w:w="837" w:type="pct"/>
            <w:noWrap w:val="0"/>
            <w:vAlign w:val="center"/>
          </w:tcPr>
          <w:p>
            <w:pPr>
              <w:spacing w:line="480" w:lineRule="exact"/>
              <w:ind w:firstLine="420" w:firstLineChars="200"/>
              <w:jc w:val="left"/>
              <w:rPr>
                <w:rFonts w:hint="eastAsia" w:ascii="宋体" w:hAnsi="宋体" w:cs="宋体"/>
                <w:color w:val="auto"/>
                <w:szCs w:val="21"/>
                <w:highlight w:val="none"/>
              </w:rPr>
            </w:pPr>
          </w:p>
        </w:tc>
        <w:tc>
          <w:tcPr>
            <w:tcW w:w="797" w:type="pct"/>
            <w:noWrap w:val="0"/>
            <w:vAlign w:val="center"/>
          </w:tcPr>
          <w:p>
            <w:pPr>
              <w:spacing w:line="48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专业年限</w:t>
            </w:r>
          </w:p>
        </w:tc>
        <w:tc>
          <w:tcPr>
            <w:tcW w:w="864" w:type="pct"/>
            <w:noWrap w:val="0"/>
            <w:vAlign w:val="center"/>
          </w:tcPr>
          <w:p>
            <w:pPr>
              <w:spacing w:line="480" w:lineRule="exact"/>
              <w:ind w:firstLine="420" w:firstLineChars="200"/>
              <w:jc w:val="left"/>
              <w:rPr>
                <w:rFonts w:hint="eastAsia" w:ascii="宋体" w:hAnsi="宋体" w:cs="宋体"/>
                <w:color w:val="auto"/>
                <w:szCs w:val="21"/>
                <w:highlight w:val="none"/>
              </w:rPr>
            </w:pPr>
          </w:p>
        </w:tc>
        <w:tc>
          <w:tcPr>
            <w:tcW w:w="865" w:type="pct"/>
            <w:noWrap w:val="0"/>
            <w:vAlign w:val="center"/>
          </w:tcPr>
          <w:p>
            <w:pPr>
              <w:spacing w:line="48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联系电话</w:t>
            </w:r>
          </w:p>
        </w:tc>
        <w:tc>
          <w:tcPr>
            <w:tcW w:w="868" w:type="pct"/>
            <w:noWrap w:val="0"/>
            <w:vAlign w:val="center"/>
          </w:tcPr>
          <w:p>
            <w:pPr>
              <w:spacing w:line="480" w:lineRule="exact"/>
              <w:ind w:firstLine="420" w:firstLineChars="200"/>
              <w:jc w:val="lef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03" w:type="pct"/>
            <w:gridSpan w:val="2"/>
            <w:noWrap w:val="0"/>
            <w:vAlign w:val="center"/>
          </w:tcPr>
          <w:p>
            <w:pPr>
              <w:spacing w:line="480" w:lineRule="exact"/>
              <w:jc w:val="left"/>
              <w:rPr>
                <w:rFonts w:hint="eastAsia" w:ascii="宋体" w:hAnsi="宋体" w:cs="宋体"/>
                <w:color w:val="auto"/>
                <w:szCs w:val="21"/>
                <w:highlight w:val="none"/>
              </w:rPr>
            </w:pPr>
            <w:r>
              <w:rPr>
                <w:rFonts w:hint="eastAsia" w:ascii="宋体" w:hAnsi="宋体" w:cs="宋体"/>
                <w:color w:val="auto"/>
                <w:szCs w:val="21"/>
                <w:highlight w:val="none"/>
              </w:rPr>
              <w:t>拟在本项目中担任的岗位职务</w:t>
            </w:r>
          </w:p>
        </w:tc>
        <w:tc>
          <w:tcPr>
            <w:tcW w:w="797" w:type="pct"/>
            <w:noWrap w:val="0"/>
            <w:vAlign w:val="center"/>
          </w:tcPr>
          <w:p>
            <w:pPr>
              <w:spacing w:line="480" w:lineRule="exact"/>
              <w:ind w:firstLine="420" w:firstLineChars="200"/>
              <w:jc w:val="left"/>
              <w:rPr>
                <w:rFonts w:hint="eastAsia" w:ascii="宋体" w:hAnsi="宋体" w:cs="宋体"/>
                <w:color w:val="auto"/>
                <w:szCs w:val="21"/>
                <w:highlight w:val="none"/>
              </w:rPr>
            </w:pPr>
          </w:p>
        </w:tc>
        <w:tc>
          <w:tcPr>
            <w:tcW w:w="864" w:type="pct"/>
            <w:noWrap w:val="0"/>
            <w:vAlign w:val="center"/>
          </w:tcPr>
          <w:p>
            <w:pPr>
              <w:spacing w:line="48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通讯地址</w:t>
            </w:r>
          </w:p>
        </w:tc>
        <w:tc>
          <w:tcPr>
            <w:tcW w:w="1733" w:type="pct"/>
            <w:gridSpan w:val="2"/>
            <w:noWrap w:val="0"/>
            <w:vAlign w:val="center"/>
          </w:tcPr>
          <w:p>
            <w:pPr>
              <w:spacing w:line="480" w:lineRule="exact"/>
              <w:ind w:firstLine="420" w:firstLineChars="200"/>
              <w:jc w:val="lef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5000" w:type="pct"/>
            <w:gridSpan w:val="6"/>
            <w:noWrap w:val="0"/>
            <w:vAlign w:val="center"/>
          </w:tcPr>
          <w:p>
            <w:pPr>
              <w:spacing w:line="48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5000" w:type="pct"/>
            <w:gridSpan w:val="6"/>
            <w:noWrap w:val="0"/>
            <w:vAlign w:val="center"/>
          </w:tcPr>
          <w:p>
            <w:pPr>
              <w:spacing w:line="48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5000" w:type="pct"/>
            <w:gridSpan w:val="6"/>
            <w:noWrap w:val="0"/>
            <w:vAlign w:val="top"/>
          </w:tcPr>
          <w:p>
            <w:pPr>
              <w:spacing w:line="48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实施地点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5000" w:type="pct"/>
            <w:gridSpan w:val="6"/>
            <w:noWrap w:val="0"/>
            <w:vAlign w:val="top"/>
          </w:tcPr>
          <w:p>
            <w:pPr>
              <w:spacing w:line="48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项目时间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jc w:val="center"/>
        </w:trPr>
        <w:tc>
          <w:tcPr>
            <w:tcW w:w="5000" w:type="pct"/>
            <w:gridSpan w:val="6"/>
            <w:noWrap w:val="0"/>
            <w:vAlign w:val="top"/>
          </w:tcPr>
          <w:p>
            <w:pPr>
              <w:spacing w:line="48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3" w:hRule="atLeast"/>
          <w:jc w:val="center"/>
        </w:trPr>
        <w:tc>
          <w:tcPr>
            <w:tcW w:w="5000" w:type="pct"/>
            <w:gridSpan w:val="6"/>
            <w:noWrap w:val="0"/>
            <w:vAlign w:val="top"/>
          </w:tcPr>
          <w:p>
            <w:pPr>
              <w:spacing w:line="48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其他情况</w:t>
            </w:r>
          </w:p>
        </w:tc>
      </w:tr>
    </w:tbl>
    <w:p>
      <w:pPr>
        <w:spacing w:before="156" w:beforeLines="50" w:after="156" w:afterLines="50" w:line="300" w:lineRule="exact"/>
        <w:rPr>
          <w:rFonts w:hint="eastAsia" w:ascii="宋体" w:hAnsi="宋体" w:cs="宋体"/>
          <w:color w:val="auto"/>
          <w:szCs w:val="21"/>
          <w:highlight w:val="none"/>
        </w:rPr>
      </w:pPr>
      <w:r>
        <w:rPr>
          <w:rFonts w:hint="eastAsia" w:ascii="宋体" w:hAnsi="宋体" w:cs="宋体"/>
          <w:color w:val="auto"/>
          <w:szCs w:val="21"/>
          <w:highlight w:val="none"/>
        </w:rPr>
        <w:t>供应商（盖章）：</w:t>
      </w:r>
    </w:p>
    <w:p>
      <w:pPr>
        <w:spacing w:before="156" w:beforeLines="50" w:after="156" w:afterLines="50" w:line="300" w:lineRule="exact"/>
        <w:rPr>
          <w:rFonts w:hint="eastAsia" w:ascii="宋体" w:hAnsi="宋体" w:cs="宋体"/>
          <w:color w:val="auto"/>
          <w:szCs w:val="21"/>
          <w:highlight w:val="none"/>
        </w:rPr>
      </w:pPr>
      <w:r>
        <w:rPr>
          <w:rFonts w:hint="eastAsia" w:ascii="宋体" w:hAnsi="宋体" w:cs="宋体"/>
          <w:color w:val="auto"/>
          <w:szCs w:val="21"/>
          <w:highlight w:val="none"/>
        </w:rPr>
        <w:t>授权代表（签字）：</w:t>
      </w:r>
    </w:p>
    <w:p>
      <w:pPr>
        <w:spacing w:line="480" w:lineRule="exact"/>
        <w:rPr>
          <w:rFonts w:hint="eastAsia" w:ascii="宋体" w:hAnsi="宋体" w:cs="宋体"/>
          <w:color w:val="auto"/>
          <w:szCs w:val="21"/>
          <w:highlight w:val="none"/>
        </w:rPr>
      </w:pPr>
      <w:r>
        <w:rPr>
          <w:rFonts w:hint="eastAsia" w:ascii="宋体" w:hAnsi="宋体" w:cs="宋体"/>
          <w:color w:val="auto"/>
          <w:szCs w:val="21"/>
          <w:highlight w:val="none"/>
        </w:rPr>
        <w:t xml:space="preserve">日期：   </w:t>
      </w:r>
    </w:p>
    <w:p>
      <w:pPr>
        <w:spacing w:line="480" w:lineRule="exact"/>
        <w:ind w:firstLine="420" w:firstLineChars="200"/>
        <w:rPr>
          <w:rFonts w:hint="eastAsia" w:ascii="宋体" w:hAnsi="宋体" w:cs="宋体"/>
          <w:color w:val="auto"/>
          <w:szCs w:val="21"/>
          <w:highlight w:val="none"/>
        </w:rPr>
      </w:pPr>
    </w:p>
    <w:p>
      <w:pPr>
        <w:spacing w:line="480" w:lineRule="exact"/>
        <w:ind w:firstLine="420" w:firstLineChars="200"/>
        <w:rPr>
          <w:rFonts w:hint="eastAsia" w:ascii="宋体" w:hAnsi="宋体" w:cs="宋体"/>
          <w:b/>
          <w:bCs/>
          <w:color w:val="auto"/>
          <w:szCs w:val="21"/>
          <w:highlight w:val="none"/>
        </w:rPr>
      </w:pPr>
      <w:r>
        <w:rPr>
          <w:rFonts w:hint="eastAsia" w:ascii="宋体" w:hAnsi="宋体" w:cs="宋体"/>
          <w:color w:val="auto"/>
          <w:szCs w:val="21"/>
          <w:highlight w:val="none"/>
        </w:rPr>
        <w:t>注：表格如不符合本单位情况，可稍作修改，行数不够可自行添加。</w:t>
      </w:r>
    </w:p>
    <w:p>
      <w:pPr>
        <w:spacing w:line="400" w:lineRule="exact"/>
        <w:jc w:val="left"/>
        <w:rPr>
          <w:rFonts w:hint="eastAsia" w:ascii="宋体" w:hAnsi="宋体" w:cs="宋体"/>
          <w:color w:val="auto"/>
          <w:szCs w:val="21"/>
          <w:highlight w:val="none"/>
        </w:rPr>
      </w:pPr>
    </w:p>
    <w:p>
      <w:pPr>
        <w:spacing w:line="400" w:lineRule="exact"/>
        <w:jc w:val="left"/>
        <w:rPr>
          <w:rFonts w:hint="eastAsia" w:ascii="宋体" w:hAnsi="宋体" w:cs="宋体"/>
          <w:color w:val="auto"/>
          <w:szCs w:val="21"/>
          <w:highlight w:val="none"/>
        </w:rPr>
      </w:pPr>
    </w:p>
    <w:p>
      <w:pPr>
        <w:spacing w:line="400" w:lineRule="exact"/>
        <w:jc w:val="left"/>
        <w:rPr>
          <w:rFonts w:hint="eastAsia" w:ascii="宋体" w:hAnsi="宋体" w:cs="宋体"/>
          <w:color w:val="auto"/>
          <w:szCs w:val="21"/>
          <w:highlight w:val="none"/>
        </w:rPr>
      </w:pPr>
    </w:p>
    <w:p>
      <w:pPr>
        <w:keepNext/>
        <w:pageBreakBefore/>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、项目实施人员一览表格式：</w:t>
      </w:r>
    </w:p>
    <w:p>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项目实施人员一览表</w:t>
      </w:r>
    </w:p>
    <w:tbl>
      <w:tblPr>
        <w:tblStyle w:val="3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4"/>
        <w:gridCol w:w="1066"/>
        <w:gridCol w:w="1764"/>
        <w:gridCol w:w="1334"/>
        <w:gridCol w:w="2674"/>
        <w:gridCol w:w="1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exact"/>
          <w:jc w:val="center"/>
        </w:trPr>
        <w:tc>
          <w:tcPr>
            <w:tcW w:w="540" w:type="pct"/>
            <w:noWrap w:val="0"/>
            <w:vAlign w:val="center"/>
          </w:tcPr>
          <w:p>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姓名</w:t>
            </w:r>
          </w:p>
        </w:tc>
        <w:tc>
          <w:tcPr>
            <w:tcW w:w="541" w:type="pct"/>
            <w:noWrap w:val="0"/>
            <w:vAlign w:val="center"/>
          </w:tcPr>
          <w:p>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职务</w:t>
            </w:r>
          </w:p>
        </w:tc>
        <w:tc>
          <w:tcPr>
            <w:tcW w:w="895" w:type="pct"/>
            <w:noWrap w:val="0"/>
            <w:vAlign w:val="center"/>
          </w:tcPr>
          <w:p>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专业技术资格</w:t>
            </w:r>
          </w:p>
        </w:tc>
        <w:tc>
          <w:tcPr>
            <w:tcW w:w="677" w:type="pct"/>
            <w:noWrap w:val="0"/>
            <w:vAlign w:val="center"/>
          </w:tcPr>
          <w:p>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证书编号</w:t>
            </w:r>
          </w:p>
        </w:tc>
        <w:tc>
          <w:tcPr>
            <w:tcW w:w="1357" w:type="pct"/>
            <w:noWrap w:val="0"/>
            <w:vAlign w:val="center"/>
          </w:tcPr>
          <w:p>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参加本单位工作时间</w:t>
            </w:r>
          </w:p>
        </w:tc>
        <w:tc>
          <w:tcPr>
            <w:tcW w:w="988" w:type="pct"/>
            <w:noWrap w:val="0"/>
            <w:vAlign w:val="center"/>
          </w:tcPr>
          <w:p>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40" w:type="pct"/>
            <w:noWrap w:val="0"/>
            <w:vAlign w:val="center"/>
          </w:tcPr>
          <w:p>
            <w:pPr>
              <w:spacing w:line="360" w:lineRule="exact"/>
              <w:jc w:val="center"/>
              <w:rPr>
                <w:rFonts w:hint="eastAsia" w:ascii="宋体" w:hAnsi="宋体" w:cs="宋体"/>
                <w:color w:val="auto"/>
                <w:szCs w:val="21"/>
                <w:highlight w:val="none"/>
              </w:rPr>
            </w:pPr>
          </w:p>
        </w:tc>
        <w:tc>
          <w:tcPr>
            <w:tcW w:w="541" w:type="pct"/>
            <w:noWrap w:val="0"/>
            <w:vAlign w:val="center"/>
          </w:tcPr>
          <w:p>
            <w:pPr>
              <w:spacing w:line="360" w:lineRule="exact"/>
              <w:jc w:val="center"/>
              <w:rPr>
                <w:rFonts w:hint="eastAsia" w:ascii="宋体" w:hAnsi="宋体" w:cs="宋体"/>
                <w:color w:val="auto"/>
                <w:szCs w:val="21"/>
                <w:highlight w:val="none"/>
              </w:rPr>
            </w:pPr>
          </w:p>
        </w:tc>
        <w:tc>
          <w:tcPr>
            <w:tcW w:w="895" w:type="pct"/>
            <w:noWrap w:val="0"/>
            <w:vAlign w:val="center"/>
          </w:tcPr>
          <w:p>
            <w:pPr>
              <w:spacing w:line="360" w:lineRule="exact"/>
              <w:jc w:val="center"/>
              <w:rPr>
                <w:rFonts w:hint="eastAsia" w:ascii="宋体" w:hAnsi="宋体" w:cs="宋体"/>
                <w:color w:val="auto"/>
                <w:szCs w:val="21"/>
                <w:highlight w:val="none"/>
              </w:rPr>
            </w:pPr>
          </w:p>
        </w:tc>
        <w:tc>
          <w:tcPr>
            <w:tcW w:w="677" w:type="pct"/>
            <w:noWrap w:val="0"/>
            <w:vAlign w:val="center"/>
          </w:tcPr>
          <w:p>
            <w:pPr>
              <w:spacing w:line="360" w:lineRule="exact"/>
              <w:jc w:val="center"/>
              <w:rPr>
                <w:rFonts w:hint="eastAsia" w:ascii="宋体" w:hAnsi="宋体" w:cs="宋体"/>
                <w:color w:val="auto"/>
                <w:szCs w:val="21"/>
                <w:highlight w:val="none"/>
              </w:rPr>
            </w:pPr>
          </w:p>
        </w:tc>
        <w:tc>
          <w:tcPr>
            <w:tcW w:w="1357" w:type="pct"/>
            <w:noWrap w:val="0"/>
            <w:vAlign w:val="center"/>
          </w:tcPr>
          <w:p>
            <w:pPr>
              <w:spacing w:line="360" w:lineRule="exact"/>
              <w:jc w:val="center"/>
              <w:rPr>
                <w:rFonts w:hint="eastAsia" w:ascii="宋体" w:hAnsi="宋体" w:cs="宋体"/>
                <w:color w:val="auto"/>
                <w:szCs w:val="21"/>
                <w:highlight w:val="none"/>
              </w:rPr>
            </w:pPr>
          </w:p>
        </w:tc>
        <w:tc>
          <w:tcPr>
            <w:tcW w:w="988" w:type="pct"/>
            <w:noWrap w:val="0"/>
            <w:vAlign w:val="center"/>
          </w:tcPr>
          <w:p>
            <w:pPr>
              <w:spacing w:line="36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40" w:type="pct"/>
            <w:noWrap w:val="0"/>
            <w:vAlign w:val="center"/>
          </w:tcPr>
          <w:p>
            <w:pPr>
              <w:spacing w:line="360" w:lineRule="exact"/>
              <w:jc w:val="center"/>
              <w:rPr>
                <w:rFonts w:hint="eastAsia" w:ascii="宋体" w:hAnsi="宋体" w:cs="宋体"/>
                <w:color w:val="auto"/>
                <w:szCs w:val="21"/>
                <w:highlight w:val="none"/>
              </w:rPr>
            </w:pPr>
          </w:p>
        </w:tc>
        <w:tc>
          <w:tcPr>
            <w:tcW w:w="541" w:type="pct"/>
            <w:noWrap w:val="0"/>
            <w:vAlign w:val="center"/>
          </w:tcPr>
          <w:p>
            <w:pPr>
              <w:spacing w:line="360" w:lineRule="exact"/>
              <w:jc w:val="center"/>
              <w:rPr>
                <w:rFonts w:hint="eastAsia" w:ascii="宋体" w:hAnsi="宋体" w:cs="宋体"/>
                <w:color w:val="auto"/>
                <w:szCs w:val="21"/>
                <w:highlight w:val="none"/>
              </w:rPr>
            </w:pPr>
          </w:p>
        </w:tc>
        <w:tc>
          <w:tcPr>
            <w:tcW w:w="895" w:type="pct"/>
            <w:noWrap w:val="0"/>
            <w:vAlign w:val="center"/>
          </w:tcPr>
          <w:p>
            <w:pPr>
              <w:spacing w:line="360" w:lineRule="exact"/>
              <w:jc w:val="center"/>
              <w:rPr>
                <w:rFonts w:hint="eastAsia" w:ascii="宋体" w:hAnsi="宋体" w:cs="宋体"/>
                <w:color w:val="auto"/>
                <w:szCs w:val="21"/>
                <w:highlight w:val="none"/>
              </w:rPr>
            </w:pPr>
          </w:p>
        </w:tc>
        <w:tc>
          <w:tcPr>
            <w:tcW w:w="677" w:type="pct"/>
            <w:noWrap w:val="0"/>
            <w:vAlign w:val="center"/>
          </w:tcPr>
          <w:p>
            <w:pPr>
              <w:spacing w:line="360" w:lineRule="exact"/>
              <w:jc w:val="center"/>
              <w:rPr>
                <w:rFonts w:hint="eastAsia" w:ascii="宋体" w:hAnsi="宋体" w:cs="宋体"/>
                <w:color w:val="auto"/>
                <w:szCs w:val="21"/>
                <w:highlight w:val="none"/>
              </w:rPr>
            </w:pPr>
          </w:p>
        </w:tc>
        <w:tc>
          <w:tcPr>
            <w:tcW w:w="1357" w:type="pct"/>
            <w:noWrap w:val="0"/>
            <w:vAlign w:val="center"/>
          </w:tcPr>
          <w:p>
            <w:pPr>
              <w:spacing w:line="360" w:lineRule="exact"/>
              <w:jc w:val="center"/>
              <w:rPr>
                <w:rFonts w:hint="eastAsia" w:ascii="宋体" w:hAnsi="宋体" w:cs="宋体"/>
                <w:color w:val="auto"/>
                <w:szCs w:val="21"/>
                <w:highlight w:val="none"/>
              </w:rPr>
            </w:pPr>
          </w:p>
        </w:tc>
        <w:tc>
          <w:tcPr>
            <w:tcW w:w="988" w:type="pct"/>
            <w:noWrap w:val="0"/>
            <w:vAlign w:val="center"/>
          </w:tcPr>
          <w:p>
            <w:pPr>
              <w:spacing w:line="36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40" w:type="pct"/>
            <w:noWrap w:val="0"/>
            <w:vAlign w:val="center"/>
          </w:tcPr>
          <w:p>
            <w:pPr>
              <w:spacing w:line="360" w:lineRule="exact"/>
              <w:jc w:val="center"/>
              <w:rPr>
                <w:rFonts w:hint="eastAsia" w:ascii="宋体" w:hAnsi="宋体" w:cs="宋体"/>
                <w:color w:val="auto"/>
                <w:szCs w:val="21"/>
                <w:highlight w:val="none"/>
              </w:rPr>
            </w:pPr>
          </w:p>
        </w:tc>
        <w:tc>
          <w:tcPr>
            <w:tcW w:w="541" w:type="pct"/>
            <w:noWrap w:val="0"/>
            <w:vAlign w:val="center"/>
          </w:tcPr>
          <w:p>
            <w:pPr>
              <w:spacing w:line="360" w:lineRule="exact"/>
              <w:jc w:val="center"/>
              <w:rPr>
                <w:rFonts w:hint="eastAsia" w:ascii="宋体" w:hAnsi="宋体" w:cs="宋体"/>
                <w:color w:val="auto"/>
                <w:szCs w:val="21"/>
                <w:highlight w:val="none"/>
              </w:rPr>
            </w:pPr>
          </w:p>
        </w:tc>
        <w:tc>
          <w:tcPr>
            <w:tcW w:w="895" w:type="pct"/>
            <w:noWrap w:val="0"/>
            <w:vAlign w:val="center"/>
          </w:tcPr>
          <w:p>
            <w:pPr>
              <w:spacing w:line="360" w:lineRule="exact"/>
              <w:jc w:val="center"/>
              <w:rPr>
                <w:rFonts w:hint="eastAsia" w:ascii="宋体" w:hAnsi="宋体" w:cs="宋体"/>
                <w:color w:val="auto"/>
                <w:szCs w:val="21"/>
                <w:highlight w:val="none"/>
              </w:rPr>
            </w:pPr>
          </w:p>
        </w:tc>
        <w:tc>
          <w:tcPr>
            <w:tcW w:w="677" w:type="pct"/>
            <w:noWrap w:val="0"/>
            <w:vAlign w:val="center"/>
          </w:tcPr>
          <w:p>
            <w:pPr>
              <w:spacing w:line="360" w:lineRule="exact"/>
              <w:jc w:val="center"/>
              <w:rPr>
                <w:rFonts w:hint="eastAsia" w:ascii="宋体" w:hAnsi="宋体" w:cs="宋体"/>
                <w:color w:val="auto"/>
                <w:szCs w:val="21"/>
                <w:highlight w:val="none"/>
              </w:rPr>
            </w:pPr>
          </w:p>
        </w:tc>
        <w:tc>
          <w:tcPr>
            <w:tcW w:w="1357" w:type="pct"/>
            <w:noWrap w:val="0"/>
            <w:vAlign w:val="center"/>
          </w:tcPr>
          <w:p>
            <w:pPr>
              <w:spacing w:line="360" w:lineRule="exact"/>
              <w:jc w:val="center"/>
              <w:rPr>
                <w:rFonts w:hint="eastAsia" w:ascii="宋体" w:hAnsi="宋体" w:cs="宋体"/>
                <w:color w:val="auto"/>
                <w:szCs w:val="21"/>
                <w:highlight w:val="none"/>
              </w:rPr>
            </w:pPr>
          </w:p>
        </w:tc>
        <w:tc>
          <w:tcPr>
            <w:tcW w:w="988" w:type="pct"/>
            <w:noWrap w:val="0"/>
            <w:vAlign w:val="center"/>
          </w:tcPr>
          <w:p>
            <w:pPr>
              <w:spacing w:line="36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40" w:type="pct"/>
            <w:noWrap w:val="0"/>
            <w:vAlign w:val="center"/>
          </w:tcPr>
          <w:p>
            <w:pPr>
              <w:spacing w:line="360" w:lineRule="exact"/>
              <w:jc w:val="center"/>
              <w:rPr>
                <w:rFonts w:hint="eastAsia" w:ascii="宋体" w:hAnsi="宋体" w:cs="宋体"/>
                <w:color w:val="auto"/>
                <w:szCs w:val="21"/>
                <w:highlight w:val="none"/>
              </w:rPr>
            </w:pPr>
          </w:p>
        </w:tc>
        <w:tc>
          <w:tcPr>
            <w:tcW w:w="541" w:type="pct"/>
            <w:noWrap w:val="0"/>
            <w:vAlign w:val="center"/>
          </w:tcPr>
          <w:p>
            <w:pPr>
              <w:spacing w:line="360" w:lineRule="exact"/>
              <w:jc w:val="center"/>
              <w:rPr>
                <w:rFonts w:hint="eastAsia" w:ascii="宋体" w:hAnsi="宋体" w:cs="宋体"/>
                <w:color w:val="auto"/>
                <w:szCs w:val="21"/>
                <w:highlight w:val="none"/>
              </w:rPr>
            </w:pPr>
          </w:p>
        </w:tc>
        <w:tc>
          <w:tcPr>
            <w:tcW w:w="895" w:type="pct"/>
            <w:noWrap w:val="0"/>
            <w:vAlign w:val="center"/>
          </w:tcPr>
          <w:p>
            <w:pPr>
              <w:spacing w:line="360" w:lineRule="exact"/>
              <w:jc w:val="center"/>
              <w:rPr>
                <w:rFonts w:hint="eastAsia" w:ascii="宋体" w:hAnsi="宋体" w:cs="宋体"/>
                <w:color w:val="auto"/>
                <w:szCs w:val="21"/>
                <w:highlight w:val="none"/>
              </w:rPr>
            </w:pPr>
          </w:p>
        </w:tc>
        <w:tc>
          <w:tcPr>
            <w:tcW w:w="677" w:type="pct"/>
            <w:noWrap w:val="0"/>
            <w:vAlign w:val="center"/>
          </w:tcPr>
          <w:p>
            <w:pPr>
              <w:spacing w:line="360" w:lineRule="exact"/>
              <w:jc w:val="center"/>
              <w:rPr>
                <w:rFonts w:hint="eastAsia" w:ascii="宋体" w:hAnsi="宋体" w:cs="宋体"/>
                <w:color w:val="auto"/>
                <w:szCs w:val="21"/>
                <w:highlight w:val="none"/>
              </w:rPr>
            </w:pPr>
          </w:p>
        </w:tc>
        <w:tc>
          <w:tcPr>
            <w:tcW w:w="1357" w:type="pct"/>
            <w:noWrap w:val="0"/>
            <w:vAlign w:val="center"/>
          </w:tcPr>
          <w:p>
            <w:pPr>
              <w:spacing w:line="360" w:lineRule="exact"/>
              <w:jc w:val="center"/>
              <w:rPr>
                <w:rFonts w:hint="eastAsia" w:ascii="宋体" w:hAnsi="宋体" w:cs="宋体"/>
                <w:color w:val="auto"/>
                <w:szCs w:val="21"/>
                <w:highlight w:val="none"/>
              </w:rPr>
            </w:pPr>
          </w:p>
        </w:tc>
        <w:tc>
          <w:tcPr>
            <w:tcW w:w="988" w:type="pct"/>
            <w:noWrap w:val="0"/>
            <w:vAlign w:val="center"/>
          </w:tcPr>
          <w:p>
            <w:pPr>
              <w:spacing w:line="36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40" w:type="pct"/>
            <w:noWrap w:val="0"/>
            <w:vAlign w:val="center"/>
          </w:tcPr>
          <w:p>
            <w:pPr>
              <w:spacing w:line="360" w:lineRule="exact"/>
              <w:jc w:val="center"/>
              <w:rPr>
                <w:rFonts w:hint="eastAsia" w:ascii="宋体" w:hAnsi="宋体" w:cs="宋体"/>
                <w:color w:val="auto"/>
                <w:szCs w:val="21"/>
                <w:highlight w:val="none"/>
              </w:rPr>
            </w:pPr>
          </w:p>
        </w:tc>
        <w:tc>
          <w:tcPr>
            <w:tcW w:w="541" w:type="pct"/>
            <w:noWrap w:val="0"/>
            <w:vAlign w:val="center"/>
          </w:tcPr>
          <w:p>
            <w:pPr>
              <w:spacing w:line="360" w:lineRule="exact"/>
              <w:jc w:val="center"/>
              <w:rPr>
                <w:rFonts w:hint="eastAsia" w:ascii="宋体" w:hAnsi="宋体" w:cs="宋体"/>
                <w:color w:val="auto"/>
                <w:szCs w:val="21"/>
                <w:highlight w:val="none"/>
              </w:rPr>
            </w:pPr>
          </w:p>
        </w:tc>
        <w:tc>
          <w:tcPr>
            <w:tcW w:w="895" w:type="pct"/>
            <w:noWrap w:val="0"/>
            <w:vAlign w:val="center"/>
          </w:tcPr>
          <w:p>
            <w:pPr>
              <w:spacing w:line="360" w:lineRule="exact"/>
              <w:jc w:val="center"/>
              <w:rPr>
                <w:rFonts w:hint="eastAsia" w:ascii="宋体" w:hAnsi="宋体" w:cs="宋体"/>
                <w:color w:val="auto"/>
                <w:szCs w:val="21"/>
                <w:highlight w:val="none"/>
              </w:rPr>
            </w:pPr>
          </w:p>
        </w:tc>
        <w:tc>
          <w:tcPr>
            <w:tcW w:w="677" w:type="pct"/>
            <w:noWrap w:val="0"/>
            <w:vAlign w:val="center"/>
          </w:tcPr>
          <w:p>
            <w:pPr>
              <w:spacing w:line="360" w:lineRule="exact"/>
              <w:jc w:val="center"/>
              <w:rPr>
                <w:rFonts w:hint="eastAsia" w:ascii="宋体" w:hAnsi="宋体" w:cs="宋体"/>
                <w:color w:val="auto"/>
                <w:szCs w:val="21"/>
                <w:highlight w:val="none"/>
              </w:rPr>
            </w:pPr>
          </w:p>
        </w:tc>
        <w:tc>
          <w:tcPr>
            <w:tcW w:w="1357" w:type="pct"/>
            <w:noWrap w:val="0"/>
            <w:vAlign w:val="center"/>
          </w:tcPr>
          <w:p>
            <w:pPr>
              <w:spacing w:line="360" w:lineRule="exact"/>
              <w:jc w:val="center"/>
              <w:rPr>
                <w:rFonts w:hint="eastAsia" w:ascii="宋体" w:hAnsi="宋体" w:cs="宋体"/>
                <w:color w:val="auto"/>
                <w:szCs w:val="21"/>
                <w:highlight w:val="none"/>
              </w:rPr>
            </w:pPr>
          </w:p>
        </w:tc>
        <w:tc>
          <w:tcPr>
            <w:tcW w:w="988" w:type="pct"/>
            <w:noWrap w:val="0"/>
            <w:vAlign w:val="center"/>
          </w:tcPr>
          <w:p>
            <w:pPr>
              <w:spacing w:line="36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40" w:type="pct"/>
            <w:noWrap w:val="0"/>
            <w:vAlign w:val="center"/>
          </w:tcPr>
          <w:p>
            <w:pPr>
              <w:spacing w:line="360" w:lineRule="exact"/>
              <w:jc w:val="center"/>
              <w:rPr>
                <w:rFonts w:hint="eastAsia" w:ascii="宋体" w:hAnsi="宋体" w:cs="宋体"/>
                <w:color w:val="auto"/>
                <w:szCs w:val="21"/>
                <w:highlight w:val="none"/>
              </w:rPr>
            </w:pPr>
          </w:p>
        </w:tc>
        <w:tc>
          <w:tcPr>
            <w:tcW w:w="541" w:type="pct"/>
            <w:noWrap w:val="0"/>
            <w:vAlign w:val="center"/>
          </w:tcPr>
          <w:p>
            <w:pPr>
              <w:spacing w:line="360" w:lineRule="exact"/>
              <w:jc w:val="center"/>
              <w:rPr>
                <w:rFonts w:hint="eastAsia" w:ascii="宋体" w:hAnsi="宋体" w:cs="宋体"/>
                <w:color w:val="auto"/>
                <w:szCs w:val="21"/>
                <w:highlight w:val="none"/>
              </w:rPr>
            </w:pPr>
          </w:p>
        </w:tc>
        <w:tc>
          <w:tcPr>
            <w:tcW w:w="895" w:type="pct"/>
            <w:noWrap w:val="0"/>
            <w:vAlign w:val="center"/>
          </w:tcPr>
          <w:p>
            <w:pPr>
              <w:spacing w:line="360" w:lineRule="exact"/>
              <w:jc w:val="center"/>
              <w:rPr>
                <w:rFonts w:hint="eastAsia" w:ascii="宋体" w:hAnsi="宋体" w:cs="宋体"/>
                <w:color w:val="auto"/>
                <w:szCs w:val="21"/>
                <w:highlight w:val="none"/>
              </w:rPr>
            </w:pPr>
          </w:p>
        </w:tc>
        <w:tc>
          <w:tcPr>
            <w:tcW w:w="677" w:type="pct"/>
            <w:noWrap w:val="0"/>
            <w:vAlign w:val="center"/>
          </w:tcPr>
          <w:p>
            <w:pPr>
              <w:spacing w:line="360" w:lineRule="exact"/>
              <w:jc w:val="center"/>
              <w:rPr>
                <w:rFonts w:hint="eastAsia" w:ascii="宋体" w:hAnsi="宋体" w:cs="宋体"/>
                <w:color w:val="auto"/>
                <w:szCs w:val="21"/>
                <w:highlight w:val="none"/>
              </w:rPr>
            </w:pPr>
          </w:p>
        </w:tc>
        <w:tc>
          <w:tcPr>
            <w:tcW w:w="1357" w:type="pct"/>
            <w:noWrap w:val="0"/>
            <w:vAlign w:val="center"/>
          </w:tcPr>
          <w:p>
            <w:pPr>
              <w:spacing w:line="360" w:lineRule="exact"/>
              <w:jc w:val="center"/>
              <w:rPr>
                <w:rFonts w:hint="eastAsia" w:ascii="宋体" w:hAnsi="宋体" w:cs="宋体"/>
                <w:color w:val="auto"/>
                <w:szCs w:val="21"/>
                <w:highlight w:val="none"/>
              </w:rPr>
            </w:pPr>
          </w:p>
        </w:tc>
        <w:tc>
          <w:tcPr>
            <w:tcW w:w="988" w:type="pct"/>
            <w:noWrap w:val="0"/>
            <w:vAlign w:val="center"/>
          </w:tcPr>
          <w:p>
            <w:pPr>
              <w:spacing w:line="36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40" w:type="pct"/>
            <w:noWrap w:val="0"/>
            <w:vAlign w:val="center"/>
          </w:tcPr>
          <w:p>
            <w:pPr>
              <w:spacing w:line="360" w:lineRule="exact"/>
              <w:jc w:val="center"/>
              <w:rPr>
                <w:rFonts w:hint="eastAsia" w:ascii="宋体" w:hAnsi="宋体" w:cs="宋体"/>
                <w:color w:val="auto"/>
                <w:szCs w:val="21"/>
                <w:highlight w:val="none"/>
              </w:rPr>
            </w:pPr>
          </w:p>
        </w:tc>
        <w:tc>
          <w:tcPr>
            <w:tcW w:w="541" w:type="pct"/>
            <w:noWrap w:val="0"/>
            <w:vAlign w:val="center"/>
          </w:tcPr>
          <w:p>
            <w:pPr>
              <w:spacing w:line="360" w:lineRule="exact"/>
              <w:jc w:val="center"/>
              <w:rPr>
                <w:rFonts w:hint="eastAsia" w:ascii="宋体" w:hAnsi="宋体" w:cs="宋体"/>
                <w:color w:val="auto"/>
                <w:szCs w:val="21"/>
                <w:highlight w:val="none"/>
              </w:rPr>
            </w:pPr>
          </w:p>
        </w:tc>
        <w:tc>
          <w:tcPr>
            <w:tcW w:w="895" w:type="pct"/>
            <w:noWrap w:val="0"/>
            <w:vAlign w:val="center"/>
          </w:tcPr>
          <w:p>
            <w:pPr>
              <w:spacing w:line="360" w:lineRule="exact"/>
              <w:jc w:val="center"/>
              <w:rPr>
                <w:rFonts w:hint="eastAsia" w:ascii="宋体" w:hAnsi="宋体" w:cs="宋体"/>
                <w:color w:val="auto"/>
                <w:szCs w:val="21"/>
                <w:highlight w:val="none"/>
              </w:rPr>
            </w:pPr>
          </w:p>
        </w:tc>
        <w:tc>
          <w:tcPr>
            <w:tcW w:w="677" w:type="pct"/>
            <w:noWrap w:val="0"/>
            <w:vAlign w:val="center"/>
          </w:tcPr>
          <w:p>
            <w:pPr>
              <w:spacing w:line="360" w:lineRule="exact"/>
              <w:jc w:val="center"/>
              <w:rPr>
                <w:rFonts w:hint="eastAsia" w:ascii="宋体" w:hAnsi="宋体" w:cs="宋体"/>
                <w:color w:val="auto"/>
                <w:szCs w:val="21"/>
                <w:highlight w:val="none"/>
              </w:rPr>
            </w:pPr>
          </w:p>
        </w:tc>
        <w:tc>
          <w:tcPr>
            <w:tcW w:w="1357" w:type="pct"/>
            <w:noWrap w:val="0"/>
            <w:vAlign w:val="center"/>
          </w:tcPr>
          <w:p>
            <w:pPr>
              <w:spacing w:line="360" w:lineRule="exact"/>
              <w:jc w:val="center"/>
              <w:rPr>
                <w:rFonts w:hint="eastAsia" w:ascii="宋体" w:hAnsi="宋体" w:cs="宋体"/>
                <w:color w:val="auto"/>
                <w:szCs w:val="21"/>
                <w:highlight w:val="none"/>
              </w:rPr>
            </w:pPr>
          </w:p>
        </w:tc>
        <w:tc>
          <w:tcPr>
            <w:tcW w:w="988" w:type="pct"/>
            <w:noWrap w:val="0"/>
            <w:vAlign w:val="center"/>
          </w:tcPr>
          <w:p>
            <w:pPr>
              <w:spacing w:line="36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40" w:type="pct"/>
            <w:noWrap w:val="0"/>
            <w:vAlign w:val="center"/>
          </w:tcPr>
          <w:p>
            <w:pPr>
              <w:spacing w:line="360" w:lineRule="exact"/>
              <w:jc w:val="center"/>
              <w:rPr>
                <w:rFonts w:hint="eastAsia" w:ascii="宋体" w:hAnsi="宋体" w:cs="宋体"/>
                <w:color w:val="auto"/>
                <w:szCs w:val="21"/>
                <w:highlight w:val="none"/>
              </w:rPr>
            </w:pPr>
          </w:p>
        </w:tc>
        <w:tc>
          <w:tcPr>
            <w:tcW w:w="541" w:type="pct"/>
            <w:noWrap w:val="0"/>
            <w:vAlign w:val="center"/>
          </w:tcPr>
          <w:p>
            <w:pPr>
              <w:spacing w:line="360" w:lineRule="exact"/>
              <w:jc w:val="center"/>
              <w:rPr>
                <w:rFonts w:hint="eastAsia" w:ascii="宋体" w:hAnsi="宋体" w:cs="宋体"/>
                <w:color w:val="auto"/>
                <w:szCs w:val="21"/>
                <w:highlight w:val="none"/>
              </w:rPr>
            </w:pPr>
          </w:p>
        </w:tc>
        <w:tc>
          <w:tcPr>
            <w:tcW w:w="895" w:type="pct"/>
            <w:noWrap w:val="0"/>
            <w:vAlign w:val="center"/>
          </w:tcPr>
          <w:p>
            <w:pPr>
              <w:spacing w:line="360" w:lineRule="exact"/>
              <w:jc w:val="center"/>
              <w:rPr>
                <w:rFonts w:hint="eastAsia" w:ascii="宋体" w:hAnsi="宋体" w:cs="宋体"/>
                <w:color w:val="auto"/>
                <w:szCs w:val="21"/>
                <w:highlight w:val="none"/>
              </w:rPr>
            </w:pPr>
          </w:p>
        </w:tc>
        <w:tc>
          <w:tcPr>
            <w:tcW w:w="677" w:type="pct"/>
            <w:noWrap w:val="0"/>
            <w:vAlign w:val="center"/>
          </w:tcPr>
          <w:p>
            <w:pPr>
              <w:spacing w:line="360" w:lineRule="exact"/>
              <w:jc w:val="center"/>
              <w:rPr>
                <w:rFonts w:hint="eastAsia" w:ascii="宋体" w:hAnsi="宋体" w:cs="宋体"/>
                <w:color w:val="auto"/>
                <w:szCs w:val="21"/>
                <w:highlight w:val="none"/>
              </w:rPr>
            </w:pPr>
          </w:p>
        </w:tc>
        <w:tc>
          <w:tcPr>
            <w:tcW w:w="1357" w:type="pct"/>
            <w:noWrap w:val="0"/>
            <w:vAlign w:val="center"/>
          </w:tcPr>
          <w:p>
            <w:pPr>
              <w:spacing w:line="360" w:lineRule="exact"/>
              <w:jc w:val="center"/>
              <w:rPr>
                <w:rFonts w:hint="eastAsia" w:ascii="宋体" w:hAnsi="宋体" w:cs="宋体"/>
                <w:color w:val="auto"/>
                <w:szCs w:val="21"/>
                <w:highlight w:val="none"/>
              </w:rPr>
            </w:pPr>
          </w:p>
        </w:tc>
        <w:tc>
          <w:tcPr>
            <w:tcW w:w="988" w:type="pct"/>
            <w:noWrap w:val="0"/>
            <w:vAlign w:val="center"/>
          </w:tcPr>
          <w:p>
            <w:pPr>
              <w:spacing w:line="36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40" w:type="pct"/>
            <w:noWrap w:val="0"/>
            <w:vAlign w:val="center"/>
          </w:tcPr>
          <w:p>
            <w:pPr>
              <w:spacing w:line="360" w:lineRule="exact"/>
              <w:jc w:val="center"/>
              <w:rPr>
                <w:rFonts w:hint="eastAsia" w:ascii="宋体" w:hAnsi="宋体" w:cs="宋体"/>
                <w:color w:val="auto"/>
                <w:szCs w:val="21"/>
                <w:highlight w:val="none"/>
              </w:rPr>
            </w:pPr>
          </w:p>
        </w:tc>
        <w:tc>
          <w:tcPr>
            <w:tcW w:w="541" w:type="pct"/>
            <w:noWrap w:val="0"/>
            <w:vAlign w:val="center"/>
          </w:tcPr>
          <w:p>
            <w:pPr>
              <w:spacing w:line="360" w:lineRule="exact"/>
              <w:jc w:val="center"/>
              <w:rPr>
                <w:rFonts w:hint="eastAsia" w:ascii="宋体" w:hAnsi="宋体" w:cs="宋体"/>
                <w:color w:val="auto"/>
                <w:szCs w:val="21"/>
                <w:highlight w:val="none"/>
              </w:rPr>
            </w:pPr>
          </w:p>
        </w:tc>
        <w:tc>
          <w:tcPr>
            <w:tcW w:w="895" w:type="pct"/>
            <w:noWrap w:val="0"/>
            <w:vAlign w:val="center"/>
          </w:tcPr>
          <w:p>
            <w:pPr>
              <w:spacing w:line="360" w:lineRule="exact"/>
              <w:jc w:val="center"/>
              <w:rPr>
                <w:rFonts w:hint="eastAsia" w:ascii="宋体" w:hAnsi="宋体" w:cs="宋体"/>
                <w:color w:val="auto"/>
                <w:szCs w:val="21"/>
                <w:highlight w:val="none"/>
              </w:rPr>
            </w:pPr>
          </w:p>
        </w:tc>
        <w:tc>
          <w:tcPr>
            <w:tcW w:w="677" w:type="pct"/>
            <w:noWrap w:val="0"/>
            <w:vAlign w:val="center"/>
          </w:tcPr>
          <w:p>
            <w:pPr>
              <w:spacing w:line="360" w:lineRule="exact"/>
              <w:jc w:val="center"/>
              <w:rPr>
                <w:rFonts w:hint="eastAsia" w:ascii="宋体" w:hAnsi="宋体" w:cs="宋体"/>
                <w:color w:val="auto"/>
                <w:szCs w:val="21"/>
                <w:highlight w:val="none"/>
              </w:rPr>
            </w:pPr>
          </w:p>
        </w:tc>
        <w:tc>
          <w:tcPr>
            <w:tcW w:w="1357" w:type="pct"/>
            <w:noWrap w:val="0"/>
            <w:vAlign w:val="center"/>
          </w:tcPr>
          <w:p>
            <w:pPr>
              <w:spacing w:line="360" w:lineRule="exact"/>
              <w:jc w:val="center"/>
              <w:rPr>
                <w:rFonts w:hint="eastAsia" w:ascii="宋体" w:hAnsi="宋体" w:cs="宋体"/>
                <w:color w:val="auto"/>
                <w:szCs w:val="21"/>
                <w:highlight w:val="none"/>
              </w:rPr>
            </w:pPr>
          </w:p>
        </w:tc>
        <w:tc>
          <w:tcPr>
            <w:tcW w:w="988" w:type="pct"/>
            <w:noWrap w:val="0"/>
            <w:vAlign w:val="center"/>
          </w:tcPr>
          <w:p>
            <w:pPr>
              <w:spacing w:line="36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40" w:type="pct"/>
            <w:noWrap w:val="0"/>
            <w:vAlign w:val="center"/>
          </w:tcPr>
          <w:p>
            <w:pPr>
              <w:spacing w:line="360" w:lineRule="exact"/>
              <w:jc w:val="center"/>
              <w:rPr>
                <w:rFonts w:hint="eastAsia" w:ascii="宋体" w:hAnsi="宋体" w:cs="宋体"/>
                <w:color w:val="auto"/>
                <w:szCs w:val="21"/>
                <w:highlight w:val="none"/>
              </w:rPr>
            </w:pPr>
          </w:p>
        </w:tc>
        <w:tc>
          <w:tcPr>
            <w:tcW w:w="541" w:type="pct"/>
            <w:noWrap w:val="0"/>
            <w:vAlign w:val="center"/>
          </w:tcPr>
          <w:p>
            <w:pPr>
              <w:spacing w:line="360" w:lineRule="exact"/>
              <w:jc w:val="center"/>
              <w:rPr>
                <w:rFonts w:hint="eastAsia" w:ascii="宋体" w:hAnsi="宋体" w:cs="宋体"/>
                <w:color w:val="auto"/>
                <w:szCs w:val="21"/>
                <w:highlight w:val="none"/>
              </w:rPr>
            </w:pPr>
          </w:p>
        </w:tc>
        <w:tc>
          <w:tcPr>
            <w:tcW w:w="895" w:type="pct"/>
            <w:noWrap w:val="0"/>
            <w:vAlign w:val="center"/>
          </w:tcPr>
          <w:p>
            <w:pPr>
              <w:spacing w:line="360" w:lineRule="exact"/>
              <w:jc w:val="center"/>
              <w:rPr>
                <w:rFonts w:hint="eastAsia" w:ascii="宋体" w:hAnsi="宋体" w:cs="宋体"/>
                <w:color w:val="auto"/>
                <w:szCs w:val="21"/>
                <w:highlight w:val="none"/>
              </w:rPr>
            </w:pPr>
          </w:p>
        </w:tc>
        <w:tc>
          <w:tcPr>
            <w:tcW w:w="677" w:type="pct"/>
            <w:noWrap w:val="0"/>
            <w:vAlign w:val="center"/>
          </w:tcPr>
          <w:p>
            <w:pPr>
              <w:spacing w:line="360" w:lineRule="exact"/>
              <w:jc w:val="center"/>
              <w:rPr>
                <w:rFonts w:hint="eastAsia" w:ascii="宋体" w:hAnsi="宋体" w:cs="宋体"/>
                <w:color w:val="auto"/>
                <w:szCs w:val="21"/>
                <w:highlight w:val="none"/>
              </w:rPr>
            </w:pPr>
          </w:p>
        </w:tc>
        <w:tc>
          <w:tcPr>
            <w:tcW w:w="1357" w:type="pct"/>
            <w:noWrap w:val="0"/>
            <w:vAlign w:val="center"/>
          </w:tcPr>
          <w:p>
            <w:pPr>
              <w:spacing w:line="360" w:lineRule="exact"/>
              <w:jc w:val="center"/>
              <w:rPr>
                <w:rFonts w:hint="eastAsia" w:ascii="宋体" w:hAnsi="宋体" w:cs="宋体"/>
                <w:color w:val="auto"/>
                <w:szCs w:val="21"/>
                <w:highlight w:val="none"/>
              </w:rPr>
            </w:pPr>
          </w:p>
        </w:tc>
        <w:tc>
          <w:tcPr>
            <w:tcW w:w="988" w:type="pct"/>
            <w:noWrap w:val="0"/>
            <w:vAlign w:val="center"/>
          </w:tcPr>
          <w:p>
            <w:pPr>
              <w:spacing w:line="36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40" w:type="pct"/>
            <w:noWrap w:val="0"/>
            <w:vAlign w:val="center"/>
          </w:tcPr>
          <w:p>
            <w:pPr>
              <w:spacing w:line="360" w:lineRule="exact"/>
              <w:jc w:val="center"/>
              <w:rPr>
                <w:rFonts w:hint="eastAsia" w:ascii="宋体" w:hAnsi="宋体" w:cs="宋体"/>
                <w:color w:val="auto"/>
                <w:szCs w:val="21"/>
                <w:highlight w:val="none"/>
              </w:rPr>
            </w:pPr>
          </w:p>
        </w:tc>
        <w:tc>
          <w:tcPr>
            <w:tcW w:w="541" w:type="pct"/>
            <w:noWrap w:val="0"/>
            <w:vAlign w:val="center"/>
          </w:tcPr>
          <w:p>
            <w:pPr>
              <w:spacing w:line="360" w:lineRule="exact"/>
              <w:jc w:val="center"/>
              <w:rPr>
                <w:rFonts w:hint="eastAsia" w:ascii="宋体" w:hAnsi="宋体" w:cs="宋体"/>
                <w:color w:val="auto"/>
                <w:szCs w:val="21"/>
                <w:highlight w:val="none"/>
              </w:rPr>
            </w:pPr>
          </w:p>
        </w:tc>
        <w:tc>
          <w:tcPr>
            <w:tcW w:w="895" w:type="pct"/>
            <w:noWrap w:val="0"/>
            <w:vAlign w:val="center"/>
          </w:tcPr>
          <w:p>
            <w:pPr>
              <w:spacing w:line="360" w:lineRule="exact"/>
              <w:jc w:val="center"/>
              <w:rPr>
                <w:rFonts w:hint="eastAsia" w:ascii="宋体" w:hAnsi="宋体" w:cs="宋体"/>
                <w:color w:val="auto"/>
                <w:szCs w:val="21"/>
                <w:highlight w:val="none"/>
              </w:rPr>
            </w:pPr>
          </w:p>
        </w:tc>
        <w:tc>
          <w:tcPr>
            <w:tcW w:w="677" w:type="pct"/>
            <w:noWrap w:val="0"/>
            <w:vAlign w:val="center"/>
          </w:tcPr>
          <w:p>
            <w:pPr>
              <w:spacing w:line="360" w:lineRule="exact"/>
              <w:jc w:val="center"/>
              <w:rPr>
                <w:rFonts w:hint="eastAsia" w:ascii="宋体" w:hAnsi="宋体" w:cs="宋体"/>
                <w:color w:val="auto"/>
                <w:szCs w:val="21"/>
                <w:highlight w:val="none"/>
              </w:rPr>
            </w:pPr>
          </w:p>
        </w:tc>
        <w:tc>
          <w:tcPr>
            <w:tcW w:w="1357" w:type="pct"/>
            <w:noWrap w:val="0"/>
            <w:vAlign w:val="center"/>
          </w:tcPr>
          <w:p>
            <w:pPr>
              <w:spacing w:line="360" w:lineRule="exact"/>
              <w:jc w:val="center"/>
              <w:rPr>
                <w:rFonts w:hint="eastAsia" w:ascii="宋体" w:hAnsi="宋体" w:cs="宋体"/>
                <w:color w:val="auto"/>
                <w:szCs w:val="21"/>
                <w:highlight w:val="none"/>
              </w:rPr>
            </w:pPr>
          </w:p>
        </w:tc>
        <w:tc>
          <w:tcPr>
            <w:tcW w:w="988" w:type="pct"/>
            <w:noWrap w:val="0"/>
            <w:vAlign w:val="center"/>
          </w:tcPr>
          <w:p>
            <w:pPr>
              <w:spacing w:line="36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40" w:type="pct"/>
            <w:noWrap w:val="0"/>
            <w:vAlign w:val="center"/>
          </w:tcPr>
          <w:p>
            <w:pPr>
              <w:spacing w:line="360" w:lineRule="exact"/>
              <w:jc w:val="center"/>
              <w:rPr>
                <w:rFonts w:hint="eastAsia" w:ascii="宋体" w:hAnsi="宋体" w:cs="宋体"/>
                <w:color w:val="auto"/>
                <w:szCs w:val="21"/>
                <w:highlight w:val="none"/>
              </w:rPr>
            </w:pPr>
          </w:p>
        </w:tc>
        <w:tc>
          <w:tcPr>
            <w:tcW w:w="541" w:type="pct"/>
            <w:noWrap w:val="0"/>
            <w:vAlign w:val="center"/>
          </w:tcPr>
          <w:p>
            <w:pPr>
              <w:spacing w:line="360" w:lineRule="exact"/>
              <w:jc w:val="center"/>
              <w:rPr>
                <w:rFonts w:hint="eastAsia" w:ascii="宋体" w:hAnsi="宋体" w:cs="宋体"/>
                <w:color w:val="auto"/>
                <w:szCs w:val="21"/>
                <w:highlight w:val="none"/>
              </w:rPr>
            </w:pPr>
          </w:p>
        </w:tc>
        <w:tc>
          <w:tcPr>
            <w:tcW w:w="895" w:type="pct"/>
            <w:noWrap w:val="0"/>
            <w:vAlign w:val="center"/>
          </w:tcPr>
          <w:p>
            <w:pPr>
              <w:spacing w:line="360" w:lineRule="exact"/>
              <w:jc w:val="center"/>
              <w:rPr>
                <w:rFonts w:hint="eastAsia" w:ascii="宋体" w:hAnsi="宋体" w:cs="宋体"/>
                <w:color w:val="auto"/>
                <w:szCs w:val="21"/>
                <w:highlight w:val="none"/>
              </w:rPr>
            </w:pPr>
          </w:p>
        </w:tc>
        <w:tc>
          <w:tcPr>
            <w:tcW w:w="677" w:type="pct"/>
            <w:noWrap w:val="0"/>
            <w:vAlign w:val="center"/>
          </w:tcPr>
          <w:p>
            <w:pPr>
              <w:spacing w:line="360" w:lineRule="exact"/>
              <w:jc w:val="center"/>
              <w:rPr>
                <w:rFonts w:hint="eastAsia" w:ascii="宋体" w:hAnsi="宋体" w:cs="宋体"/>
                <w:color w:val="auto"/>
                <w:szCs w:val="21"/>
                <w:highlight w:val="none"/>
              </w:rPr>
            </w:pPr>
          </w:p>
        </w:tc>
        <w:tc>
          <w:tcPr>
            <w:tcW w:w="1357" w:type="pct"/>
            <w:noWrap w:val="0"/>
            <w:vAlign w:val="center"/>
          </w:tcPr>
          <w:p>
            <w:pPr>
              <w:spacing w:line="360" w:lineRule="exact"/>
              <w:jc w:val="center"/>
              <w:rPr>
                <w:rFonts w:hint="eastAsia" w:ascii="宋体" w:hAnsi="宋体" w:cs="宋体"/>
                <w:color w:val="auto"/>
                <w:szCs w:val="21"/>
                <w:highlight w:val="none"/>
              </w:rPr>
            </w:pPr>
          </w:p>
        </w:tc>
        <w:tc>
          <w:tcPr>
            <w:tcW w:w="988" w:type="pct"/>
            <w:noWrap w:val="0"/>
            <w:vAlign w:val="center"/>
          </w:tcPr>
          <w:p>
            <w:pPr>
              <w:spacing w:line="360" w:lineRule="exact"/>
              <w:jc w:val="center"/>
              <w:rPr>
                <w:rFonts w:hint="eastAsia" w:ascii="宋体" w:hAnsi="宋体" w:cs="宋体"/>
                <w:color w:val="auto"/>
                <w:szCs w:val="21"/>
                <w:highlight w:val="none"/>
              </w:rPr>
            </w:pPr>
          </w:p>
        </w:tc>
      </w:tr>
    </w:tbl>
    <w:p>
      <w:pPr>
        <w:snapToGrid w:val="0"/>
        <w:spacing w:before="156" w:beforeLines="50" w:after="156" w:afterLines="50"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 xml:space="preserve">    注：在填写时，如本表格不适合投标单位的实际情况，可根据本表格式自行划表填写。</w:t>
      </w:r>
    </w:p>
    <w:p>
      <w:pPr>
        <w:snapToGrid w:val="0"/>
        <w:spacing w:before="50" w:after="156" w:afterLines="50" w:line="360" w:lineRule="auto"/>
        <w:jc w:val="left"/>
        <w:rPr>
          <w:rFonts w:hint="eastAsia" w:ascii="宋体" w:hAnsi="宋体" w:cs="宋体"/>
          <w:color w:val="auto"/>
          <w:szCs w:val="21"/>
          <w:highlight w:val="none"/>
        </w:rPr>
      </w:pPr>
    </w:p>
    <w:p>
      <w:pPr>
        <w:spacing w:before="156" w:beforeLines="50" w:after="156" w:afterLines="50" w:line="400" w:lineRule="exact"/>
        <w:rPr>
          <w:rFonts w:hint="eastAsia" w:ascii="宋体" w:hAnsi="宋体" w:cs="宋体"/>
          <w:color w:val="auto"/>
          <w:szCs w:val="21"/>
          <w:highlight w:val="none"/>
        </w:rPr>
      </w:pPr>
      <w:r>
        <w:rPr>
          <w:rFonts w:hint="eastAsia" w:ascii="宋体" w:hAnsi="宋体" w:cs="宋体"/>
          <w:color w:val="auto"/>
          <w:szCs w:val="21"/>
          <w:highlight w:val="none"/>
        </w:rPr>
        <w:t>供应商（盖章）：</w:t>
      </w:r>
    </w:p>
    <w:p>
      <w:pPr>
        <w:spacing w:before="156" w:beforeLines="50" w:after="156" w:afterLines="50" w:line="400" w:lineRule="exact"/>
        <w:rPr>
          <w:rFonts w:hint="eastAsia" w:ascii="宋体" w:hAnsi="宋体" w:cs="宋体"/>
          <w:color w:val="auto"/>
          <w:szCs w:val="21"/>
          <w:highlight w:val="none"/>
        </w:rPr>
      </w:pPr>
      <w:r>
        <w:rPr>
          <w:rFonts w:hint="eastAsia" w:ascii="宋体" w:hAnsi="宋体" w:cs="宋体"/>
          <w:color w:val="auto"/>
          <w:szCs w:val="21"/>
          <w:highlight w:val="none"/>
        </w:rPr>
        <w:t>授权代表（签字）：</w:t>
      </w:r>
    </w:p>
    <w:p>
      <w:pPr>
        <w:adjustRightInd w:val="0"/>
        <w:snapToGrid w:val="0"/>
        <w:spacing w:line="440" w:lineRule="exact"/>
        <w:rPr>
          <w:rFonts w:hint="eastAsia" w:ascii="宋体" w:hAnsi="宋体" w:cs="宋体"/>
          <w:bCs/>
          <w:color w:val="auto"/>
          <w:szCs w:val="21"/>
          <w:highlight w:val="none"/>
        </w:rPr>
      </w:pPr>
      <w:r>
        <w:rPr>
          <w:rFonts w:hint="eastAsia" w:ascii="宋体" w:hAnsi="宋体" w:cs="宋体"/>
          <w:color w:val="auto"/>
          <w:szCs w:val="21"/>
          <w:highlight w:val="none"/>
        </w:rPr>
        <w:t>日期：</w:t>
      </w:r>
    </w:p>
    <w:p>
      <w:pPr>
        <w:adjustRightInd w:val="0"/>
        <w:snapToGrid w:val="0"/>
        <w:spacing w:before="156" w:beforeLines="50" w:after="156" w:afterLines="50" w:line="500" w:lineRule="exact"/>
        <w:rPr>
          <w:rFonts w:hint="eastAsia" w:ascii="宋体" w:hAnsi="宋体" w:cs="宋体"/>
          <w:b/>
          <w:color w:val="auto"/>
          <w:szCs w:val="21"/>
          <w:highlight w:val="none"/>
        </w:rPr>
      </w:pPr>
    </w:p>
    <w:p>
      <w:pPr>
        <w:spacing w:line="400" w:lineRule="exact"/>
        <w:jc w:val="left"/>
        <w:rPr>
          <w:rFonts w:hint="eastAsia" w:ascii="宋体" w:hAnsi="宋体" w:cs="宋体"/>
          <w:color w:val="auto"/>
          <w:szCs w:val="21"/>
          <w:highlight w:val="none"/>
        </w:rPr>
      </w:pPr>
    </w:p>
    <w:p>
      <w:pPr>
        <w:spacing w:line="400" w:lineRule="exact"/>
        <w:jc w:val="left"/>
        <w:rPr>
          <w:rFonts w:hint="eastAsia" w:ascii="宋体" w:hAnsi="宋体" w:cs="宋体"/>
          <w:color w:val="auto"/>
          <w:szCs w:val="21"/>
          <w:highlight w:val="none"/>
        </w:rPr>
      </w:pPr>
    </w:p>
    <w:p>
      <w:pPr>
        <w:spacing w:line="400" w:lineRule="exact"/>
        <w:jc w:val="left"/>
        <w:rPr>
          <w:rFonts w:hint="eastAsia" w:ascii="宋体" w:hAnsi="宋体" w:cs="宋体"/>
          <w:color w:val="auto"/>
          <w:szCs w:val="21"/>
          <w:highlight w:val="none"/>
        </w:rPr>
      </w:pPr>
    </w:p>
    <w:p>
      <w:pPr>
        <w:spacing w:line="400" w:lineRule="exact"/>
        <w:jc w:val="left"/>
        <w:rPr>
          <w:rFonts w:hint="eastAsia" w:ascii="宋体" w:hAnsi="宋体" w:cs="宋体"/>
          <w:color w:val="auto"/>
          <w:szCs w:val="21"/>
          <w:highlight w:val="none"/>
        </w:rPr>
      </w:pPr>
    </w:p>
    <w:p>
      <w:pPr>
        <w:keepNext/>
        <w:pageBreakBefore/>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、供应商同类项目实施情况一览表</w:t>
      </w:r>
    </w:p>
    <w:p>
      <w:pPr>
        <w:spacing w:line="400" w:lineRule="exact"/>
        <w:jc w:val="center"/>
        <w:rPr>
          <w:rFonts w:hint="eastAsia" w:ascii="宋体" w:hAnsi="宋体" w:cs="宋体"/>
          <w:color w:val="auto"/>
          <w:szCs w:val="21"/>
          <w:highlight w:val="none"/>
        </w:rPr>
      </w:pPr>
    </w:p>
    <w:p>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供应商同类项目实施情况一览表</w:t>
      </w:r>
    </w:p>
    <w:tbl>
      <w:tblPr>
        <w:tblStyle w:val="3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1900"/>
        <w:gridCol w:w="2170"/>
        <w:gridCol w:w="2568"/>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 w:hRule="atLeast"/>
          <w:jc w:val="center"/>
        </w:trPr>
        <w:tc>
          <w:tcPr>
            <w:tcW w:w="406" w:type="pct"/>
            <w:noWrap w:val="0"/>
            <w:vAlign w:val="center"/>
          </w:tcPr>
          <w:p>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964" w:type="pct"/>
            <w:noWrap w:val="0"/>
            <w:vAlign w:val="center"/>
          </w:tcPr>
          <w:p>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项目名称</w:t>
            </w:r>
          </w:p>
        </w:tc>
        <w:tc>
          <w:tcPr>
            <w:tcW w:w="1101" w:type="pct"/>
            <w:noWrap w:val="0"/>
            <w:vAlign w:val="center"/>
          </w:tcPr>
          <w:p>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项目实施时间</w:t>
            </w:r>
          </w:p>
        </w:tc>
        <w:tc>
          <w:tcPr>
            <w:tcW w:w="1303" w:type="pct"/>
            <w:noWrap w:val="0"/>
            <w:vAlign w:val="center"/>
          </w:tcPr>
          <w:p>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项目单位名称</w:t>
            </w:r>
          </w:p>
          <w:p>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地址及联系方式</w:t>
            </w:r>
          </w:p>
        </w:tc>
        <w:tc>
          <w:tcPr>
            <w:tcW w:w="1223" w:type="pct"/>
            <w:noWrap w:val="0"/>
            <w:vAlign w:val="center"/>
          </w:tcPr>
          <w:p>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项目合同金额（单位：万元）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06" w:type="pct"/>
            <w:noWrap w:val="0"/>
            <w:vAlign w:val="center"/>
          </w:tcPr>
          <w:p>
            <w:pPr>
              <w:spacing w:line="360" w:lineRule="exact"/>
              <w:jc w:val="center"/>
              <w:rPr>
                <w:rFonts w:hint="eastAsia" w:ascii="宋体" w:hAnsi="宋体" w:cs="宋体"/>
                <w:color w:val="auto"/>
                <w:szCs w:val="21"/>
                <w:highlight w:val="none"/>
              </w:rPr>
            </w:pPr>
          </w:p>
        </w:tc>
        <w:tc>
          <w:tcPr>
            <w:tcW w:w="964" w:type="pct"/>
            <w:noWrap w:val="0"/>
            <w:vAlign w:val="center"/>
          </w:tcPr>
          <w:p>
            <w:pPr>
              <w:spacing w:line="360" w:lineRule="exact"/>
              <w:jc w:val="center"/>
              <w:rPr>
                <w:rFonts w:hint="eastAsia" w:ascii="宋体" w:hAnsi="宋体" w:cs="宋体"/>
                <w:color w:val="auto"/>
                <w:szCs w:val="21"/>
                <w:highlight w:val="none"/>
              </w:rPr>
            </w:pPr>
          </w:p>
        </w:tc>
        <w:tc>
          <w:tcPr>
            <w:tcW w:w="1101" w:type="pct"/>
            <w:noWrap w:val="0"/>
            <w:vAlign w:val="center"/>
          </w:tcPr>
          <w:p>
            <w:pPr>
              <w:spacing w:line="360" w:lineRule="exact"/>
              <w:jc w:val="center"/>
              <w:rPr>
                <w:rFonts w:hint="eastAsia" w:ascii="宋体" w:hAnsi="宋体" w:cs="宋体"/>
                <w:color w:val="auto"/>
                <w:szCs w:val="21"/>
                <w:highlight w:val="none"/>
              </w:rPr>
            </w:pPr>
          </w:p>
        </w:tc>
        <w:tc>
          <w:tcPr>
            <w:tcW w:w="1303" w:type="pct"/>
            <w:noWrap w:val="0"/>
            <w:vAlign w:val="center"/>
          </w:tcPr>
          <w:p>
            <w:pPr>
              <w:spacing w:line="360" w:lineRule="exact"/>
              <w:jc w:val="center"/>
              <w:rPr>
                <w:rFonts w:hint="eastAsia" w:ascii="宋体" w:hAnsi="宋体" w:cs="宋体"/>
                <w:color w:val="auto"/>
                <w:szCs w:val="21"/>
                <w:highlight w:val="none"/>
              </w:rPr>
            </w:pPr>
          </w:p>
        </w:tc>
        <w:tc>
          <w:tcPr>
            <w:tcW w:w="1223" w:type="pct"/>
            <w:noWrap w:val="0"/>
            <w:vAlign w:val="center"/>
          </w:tcPr>
          <w:p>
            <w:pPr>
              <w:spacing w:line="36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06" w:type="pct"/>
            <w:noWrap w:val="0"/>
            <w:vAlign w:val="center"/>
          </w:tcPr>
          <w:p>
            <w:pPr>
              <w:spacing w:line="360" w:lineRule="exact"/>
              <w:jc w:val="center"/>
              <w:rPr>
                <w:rFonts w:hint="eastAsia" w:ascii="宋体" w:hAnsi="宋体" w:cs="宋体"/>
                <w:color w:val="auto"/>
                <w:szCs w:val="21"/>
                <w:highlight w:val="none"/>
              </w:rPr>
            </w:pPr>
          </w:p>
        </w:tc>
        <w:tc>
          <w:tcPr>
            <w:tcW w:w="964" w:type="pct"/>
            <w:noWrap w:val="0"/>
            <w:vAlign w:val="center"/>
          </w:tcPr>
          <w:p>
            <w:pPr>
              <w:spacing w:line="360" w:lineRule="exact"/>
              <w:jc w:val="center"/>
              <w:rPr>
                <w:rFonts w:hint="eastAsia" w:ascii="宋体" w:hAnsi="宋体" w:cs="宋体"/>
                <w:color w:val="auto"/>
                <w:szCs w:val="21"/>
                <w:highlight w:val="none"/>
              </w:rPr>
            </w:pPr>
          </w:p>
        </w:tc>
        <w:tc>
          <w:tcPr>
            <w:tcW w:w="1101" w:type="pct"/>
            <w:noWrap w:val="0"/>
            <w:vAlign w:val="center"/>
          </w:tcPr>
          <w:p>
            <w:pPr>
              <w:spacing w:line="360" w:lineRule="exact"/>
              <w:jc w:val="center"/>
              <w:rPr>
                <w:rFonts w:hint="eastAsia" w:ascii="宋体" w:hAnsi="宋体" w:cs="宋体"/>
                <w:color w:val="auto"/>
                <w:szCs w:val="21"/>
                <w:highlight w:val="none"/>
              </w:rPr>
            </w:pPr>
          </w:p>
        </w:tc>
        <w:tc>
          <w:tcPr>
            <w:tcW w:w="1303" w:type="pct"/>
            <w:noWrap w:val="0"/>
            <w:vAlign w:val="center"/>
          </w:tcPr>
          <w:p>
            <w:pPr>
              <w:spacing w:line="360" w:lineRule="exact"/>
              <w:jc w:val="center"/>
              <w:rPr>
                <w:rFonts w:hint="eastAsia" w:ascii="宋体" w:hAnsi="宋体" w:cs="宋体"/>
                <w:color w:val="auto"/>
                <w:szCs w:val="21"/>
                <w:highlight w:val="none"/>
              </w:rPr>
            </w:pPr>
          </w:p>
        </w:tc>
        <w:tc>
          <w:tcPr>
            <w:tcW w:w="1223" w:type="pct"/>
            <w:noWrap w:val="0"/>
            <w:vAlign w:val="center"/>
          </w:tcPr>
          <w:p>
            <w:pPr>
              <w:spacing w:line="36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06" w:type="pct"/>
            <w:noWrap w:val="0"/>
            <w:vAlign w:val="center"/>
          </w:tcPr>
          <w:p>
            <w:pPr>
              <w:spacing w:line="360" w:lineRule="exact"/>
              <w:jc w:val="center"/>
              <w:rPr>
                <w:rFonts w:hint="eastAsia" w:ascii="宋体" w:hAnsi="宋体" w:cs="宋体"/>
                <w:color w:val="auto"/>
                <w:szCs w:val="21"/>
                <w:highlight w:val="none"/>
              </w:rPr>
            </w:pPr>
          </w:p>
        </w:tc>
        <w:tc>
          <w:tcPr>
            <w:tcW w:w="964" w:type="pct"/>
            <w:noWrap w:val="0"/>
            <w:vAlign w:val="center"/>
          </w:tcPr>
          <w:p>
            <w:pPr>
              <w:spacing w:line="360" w:lineRule="exact"/>
              <w:jc w:val="center"/>
              <w:rPr>
                <w:rFonts w:hint="eastAsia" w:ascii="宋体" w:hAnsi="宋体" w:cs="宋体"/>
                <w:color w:val="auto"/>
                <w:szCs w:val="21"/>
                <w:highlight w:val="none"/>
              </w:rPr>
            </w:pPr>
          </w:p>
        </w:tc>
        <w:tc>
          <w:tcPr>
            <w:tcW w:w="1101" w:type="pct"/>
            <w:noWrap w:val="0"/>
            <w:vAlign w:val="center"/>
          </w:tcPr>
          <w:p>
            <w:pPr>
              <w:spacing w:line="360" w:lineRule="exact"/>
              <w:jc w:val="center"/>
              <w:rPr>
                <w:rFonts w:hint="eastAsia" w:ascii="宋体" w:hAnsi="宋体" w:cs="宋体"/>
                <w:color w:val="auto"/>
                <w:szCs w:val="21"/>
                <w:highlight w:val="none"/>
              </w:rPr>
            </w:pPr>
          </w:p>
        </w:tc>
        <w:tc>
          <w:tcPr>
            <w:tcW w:w="1303" w:type="pct"/>
            <w:noWrap w:val="0"/>
            <w:vAlign w:val="center"/>
          </w:tcPr>
          <w:p>
            <w:pPr>
              <w:spacing w:line="360" w:lineRule="exact"/>
              <w:jc w:val="center"/>
              <w:rPr>
                <w:rFonts w:hint="eastAsia" w:ascii="宋体" w:hAnsi="宋体" w:cs="宋体"/>
                <w:color w:val="auto"/>
                <w:szCs w:val="21"/>
                <w:highlight w:val="none"/>
              </w:rPr>
            </w:pPr>
          </w:p>
        </w:tc>
        <w:tc>
          <w:tcPr>
            <w:tcW w:w="1223" w:type="pct"/>
            <w:noWrap w:val="0"/>
            <w:vAlign w:val="center"/>
          </w:tcPr>
          <w:p>
            <w:pPr>
              <w:spacing w:line="36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06" w:type="pct"/>
            <w:noWrap w:val="0"/>
            <w:vAlign w:val="center"/>
          </w:tcPr>
          <w:p>
            <w:pPr>
              <w:spacing w:line="360" w:lineRule="exact"/>
              <w:jc w:val="center"/>
              <w:rPr>
                <w:rFonts w:hint="eastAsia" w:ascii="宋体" w:hAnsi="宋体" w:cs="宋体"/>
                <w:color w:val="auto"/>
                <w:szCs w:val="21"/>
                <w:highlight w:val="none"/>
              </w:rPr>
            </w:pPr>
          </w:p>
        </w:tc>
        <w:tc>
          <w:tcPr>
            <w:tcW w:w="964" w:type="pct"/>
            <w:noWrap w:val="0"/>
            <w:vAlign w:val="center"/>
          </w:tcPr>
          <w:p>
            <w:pPr>
              <w:spacing w:line="360" w:lineRule="exact"/>
              <w:jc w:val="center"/>
              <w:rPr>
                <w:rFonts w:hint="eastAsia" w:ascii="宋体" w:hAnsi="宋体" w:cs="宋体"/>
                <w:color w:val="auto"/>
                <w:szCs w:val="21"/>
                <w:highlight w:val="none"/>
              </w:rPr>
            </w:pPr>
          </w:p>
        </w:tc>
        <w:tc>
          <w:tcPr>
            <w:tcW w:w="1101" w:type="pct"/>
            <w:noWrap w:val="0"/>
            <w:vAlign w:val="center"/>
          </w:tcPr>
          <w:p>
            <w:pPr>
              <w:spacing w:line="360" w:lineRule="exact"/>
              <w:jc w:val="center"/>
              <w:rPr>
                <w:rFonts w:hint="eastAsia" w:ascii="宋体" w:hAnsi="宋体" w:cs="宋体"/>
                <w:color w:val="auto"/>
                <w:szCs w:val="21"/>
                <w:highlight w:val="none"/>
              </w:rPr>
            </w:pPr>
          </w:p>
        </w:tc>
        <w:tc>
          <w:tcPr>
            <w:tcW w:w="1303" w:type="pct"/>
            <w:noWrap w:val="0"/>
            <w:vAlign w:val="center"/>
          </w:tcPr>
          <w:p>
            <w:pPr>
              <w:spacing w:line="360" w:lineRule="exact"/>
              <w:jc w:val="center"/>
              <w:rPr>
                <w:rFonts w:hint="eastAsia" w:ascii="宋体" w:hAnsi="宋体" w:cs="宋体"/>
                <w:color w:val="auto"/>
                <w:szCs w:val="21"/>
                <w:highlight w:val="none"/>
              </w:rPr>
            </w:pPr>
          </w:p>
        </w:tc>
        <w:tc>
          <w:tcPr>
            <w:tcW w:w="1223" w:type="pct"/>
            <w:noWrap w:val="0"/>
            <w:vAlign w:val="center"/>
          </w:tcPr>
          <w:p>
            <w:pPr>
              <w:spacing w:line="36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06" w:type="pct"/>
            <w:noWrap w:val="0"/>
            <w:vAlign w:val="center"/>
          </w:tcPr>
          <w:p>
            <w:pPr>
              <w:spacing w:line="360" w:lineRule="exact"/>
              <w:jc w:val="center"/>
              <w:rPr>
                <w:rFonts w:hint="eastAsia" w:ascii="宋体" w:hAnsi="宋体" w:cs="宋体"/>
                <w:color w:val="auto"/>
                <w:szCs w:val="21"/>
                <w:highlight w:val="none"/>
              </w:rPr>
            </w:pPr>
          </w:p>
        </w:tc>
        <w:tc>
          <w:tcPr>
            <w:tcW w:w="964" w:type="pct"/>
            <w:noWrap w:val="0"/>
            <w:vAlign w:val="center"/>
          </w:tcPr>
          <w:p>
            <w:pPr>
              <w:spacing w:line="360" w:lineRule="exact"/>
              <w:jc w:val="center"/>
              <w:rPr>
                <w:rFonts w:hint="eastAsia" w:ascii="宋体" w:hAnsi="宋体" w:cs="宋体"/>
                <w:color w:val="auto"/>
                <w:szCs w:val="21"/>
                <w:highlight w:val="none"/>
              </w:rPr>
            </w:pPr>
          </w:p>
        </w:tc>
        <w:tc>
          <w:tcPr>
            <w:tcW w:w="1101" w:type="pct"/>
            <w:noWrap w:val="0"/>
            <w:vAlign w:val="center"/>
          </w:tcPr>
          <w:p>
            <w:pPr>
              <w:spacing w:line="360" w:lineRule="exact"/>
              <w:jc w:val="center"/>
              <w:rPr>
                <w:rFonts w:hint="eastAsia" w:ascii="宋体" w:hAnsi="宋体" w:cs="宋体"/>
                <w:color w:val="auto"/>
                <w:szCs w:val="21"/>
                <w:highlight w:val="none"/>
              </w:rPr>
            </w:pPr>
          </w:p>
        </w:tc>
        <w:tc>
          <w:tcPr>
            <w:tcW w:w="1303" w:type="pct"/>
            <w:noWrap w:val="0"/>
            <w:vAlign w:val="center"/>
          </w:tcPr>
          <w:p>
            <w:pPr>
              <w:spacing w:line="360" w:lineRule="exact"/>
              <w:jc w:val="center"/>
              <w:rPr>
                <w:rFonts w:hint="eastAsia" w:ascii="宋体" w:hAnsi="宋体" w:cs="宋体"/>
                <w:color w:val="auto"/>
                <w:szCs w:val="21"/>
                <w:highlight w:val="none"/>
              </w:rPr>
            </w:pPr>
          </w:p>
        </w:tc>
        <w:tc>
          <w:tcPr>
            <w:tcW w:w="1223" w:type="pct"/>
            <w:noWrap w:val="0"/>
            <w:vAlign w:val="center"/>
          </w:tcPr>
          <w:p>
            <w:pPr>
              <w:spacing w:line="36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06" w:type="pct"/>
            <w:noWrap w:val="0"/>
            <w:vAlign w:val="center"/>
          </w:tcPr>
          <w:p>
            <w:pPr>
              <w:spacing w:line="360" w:lineRule="exact"/>
              <w:jc w:val="center"/>
              <w:rPr>
                <w:rFonts w:hint="eastAsia" w:ascii="宋体" w:hAnsi="宋体" w:cs="宋体"/>
                <w:color w:val="auto"/>
                <w:szCs w:val="21"/>
                <w:highlight w:val="none"/>
              </w:rPr>
            </w:pPr>
          </w:p>
        </w:tc>
        <w:tc>
          <w:tcPr>
            <w:tcW w:w="964" w:type="pct"/>
            <w:noWrap w:val="0"/>
            <w:vAlign w:val="center"/>
          </w:tcPr>
          <w:p>
            <w:pPr>
              <w:spacing w:line="360" w:lineRule="exact"/>
              <w:jc w:val="center"/>
              <w:rPr>
                <w:rFonts w:hint="eastAsia" w:ascii="宋体" w:hAnsi="宋体" w:cs="宋体"/>
                <w:color w:val="auto"/>
                <w:szCs w:val="21"/>
                <w:highlight w:val="none"/>
              </w:rPr>
            </w:pPr>
          </w:p>
        </w:tc>
        <w:tc>
          <w:tcPr>
            <w:tcW w:w="1101" w:type="pct"/>
            <w:noWrap w:val="0"/>
            <w:vAlign w:val="center"/>
          </w:tcPr>
          <w:p>
            <w:pPr>
              <w:spacing w:line="360" w:lineRule="exact"/>
              <w:jc w:val="center"/>
              <w:rPr>
                <w:rFonts w:hint="eastAsia" w:ascii="宋体" w:hAnsi="宋体" w:cs="宋体"/>
                <w:color w:val="auto"/>
                <w:szCs w:val="21"/>
                <w:highlight w:val="none"/>
              </w:rPr>
            </w:pPr>
          </w:p>
        </w:tc>
        <w:tc>
          <w:tcPr>
            <w:tcW w:w="1303" w:type="pct"/>
            <w:noWrap w:val="0"/>
            <w:vAlign w:val="center"/>
          </w:tcPr>
          <w:p>
            <w:pPr>
              <w:spacing w:line="360" w:lineRule="exact"/>
              <w:jc w:val="center"/>
              <w:rPr>
                <w:rFonts w:hint="eastAsia" w:ascii="宋体" w:hAnsi="宋体" w:cs="宋体"/>
                <w:color w:val="auto"/>
                <w:szCs w:val="21"/>
                <w:highlight w:val="none"/>
              </w:rPr>
            </w:pPr>
          </w:p>
        </w:tc>
        <w:tc>
          <w:tcPr>
            <w:tcW w:w="1223" w:type="pct"/>
            <w:noWrap w:val="0"/>
            <w:vAlign w:val="center"/>
          </w:tcPr>
          <w:p>
            <w:pPr>
              <w:spacing w:line="36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06" w:type="pct"/>
            <w:noWrap w:val="0"/>
            <w:vAlign w:val="center"/>
          </w:tcPr>
          <w:p>
            <w:pPr>
              <w:spacing w:line="360" w:lineRule="exact"/>
              <w:jc w:val="center"/>
              <w:rPr>
                <w:rFonts w:hint="eastAsia" w:ascii="宋体" w:hAnsi="宋体" w:cs="宋体"/>
                <w:color w:val="auto"/>
                <w:szCs w:val="21"/>
                <w:highlight w:val="none"/>
              </w:rPr>
            </w:pPr>
          </w:p>
        </w:tc>
        <w:tc>
          <w:tcPr>
            <w:tcW w:w="964" w:type="pct"/>
            <w:noWrap w:val="0"/>
            <w:vAlign w:val="center"/>
          </w:tcPr>
          <w:p>
            <w:pPr>
              <w:spacing w:line="360" w:lineRule="exact"/>
              <w:jc w:val="center"/>
              <w:rPr>
                <w:rFonts w:hint="eastAsia" w:ascii="宋体" w:hAnsi="宋体" w:cs="宋体"/>
                <w:color w:val="auto"/>
                <w:szCs w:val="21"/>
                <w:highlight w:val="none"/>
              </w:rPr>
            </w:pPr>
          </w:p>
        </w:tc>
        <w:tc>
          <w:tcPr>
            <w:tcW w:w="1101" w:type="pct"/>
            <w:noWrap w:val="0"/>
            <w:vAlign w:val="center"/>
          </w:tcPr>
          <w:p>
            <w:pPr>
              <w:spacing w:line="360" w:lineRule="exact"/>
              <w:jc w:val="center"/>
              <w:rPr>
                <w:rFonts w:hint="eastAsia" w:ascii="宋体" w:hAnsi="宋体" w:cs="宋体"/>
                <w:color w:val="auto"/>
                <w:szCs w:val="21"/>
                <w:highlight w:val="none"/>
              </w:rPr>
            </w:pPr>
          </w:p>
        </w:tc>
        <w:tc>
          <w:tcPr>
            <w:tcW w:w="1303" w:type="pct"/>
            <w:noWrap w:val="0"/>
            <w:vAlign w:val="center"/>
          </w:tcPr>
          <w:p>
            <w:pPr>
              <w:spacing w:line="360" w:lineRule="exact"/>
              <w:jc w:val="center"/>
              <w:rPr>
                <w:rFonts w:hint="eastAsia" w:ascii="宋体" w:hAnsi="宋体" w:cs="宋体"/>
                <w:color w:val="auto"/>
                <w:szCs w:val="21"/>
                <w:highlight w:val="none"/>
              </w:rPr>
            </w:pPr>
          </w:p>
        </w:tc>
        <w:tc>
          <w:tcPr>
            <w:tcW w:w="1223" w:type="pct"/>
            <w:noWrap w:val="0"/>
            <w:vAlign w:val="center"/>
          </w:tcPr>
          <w:p>
            <w:pPr>
              <w:spacing w:line="36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06" w:type="pct"/>
            <w:noWrap w:val="0"/>
            <w:vAlign w:val="center"/>
          </w:tcPr>
          <w:p>
            <w:pPr>
              <w:spacing w:line="360" w:lineRule="exact"/>
              <w:jc w:val="center"/>
              <w:rPr>
                <w:rFonts w:hint="eastAsia" w:ascii="宋体" w:hAnsi="宋体" w:cs="宋体"/>
                <w:color w:val="auto"/>
                <w:szCs w:val="21"/>
                <w:highlight w:val="none"/>
              </w:rPr>
            </w:pPr>
          </w:p>
        </w:tc>
        <w:tc>
          <w:tcPr>
            <w:tcW w:w="964" w:type="pct"/>
            <w:noWrap w:val="0"/>
            <w:vAlign w:val="center"/>
          </w:tcPr>
          <w:p>
            <w:pPr>
              <w:spacing w:line="360" w:lineRule="exact"/>
              <w:jc w:val="center"/>
              <w:rPr>
                <w:rFonts w:hint="eastAsia" w:ascii="宋体" w:hAnsi="宋体" w:cs="宋体"/>
                <w:color w:val="auto"/>
                <w:szCs w:val="21"/>
                <w:highlight w:val="none"/>
              </w:rPr>
            </w:pPr>
          </w:p>
        </w:tc>
        <w:tc>
          <w:tcPr>
            <w:tcW w:w="1101" w:type="pct"/>
            <w:noWrap w:val="0"/>
            <w:vAlign w:val="center"/>
          </w:tcPr>
          <w:p>
            <w:pPr>
              <w:spacing w:line="360" w:lineRule="exact"/>
              <w:jc w:val="center"/>
              <w:rPr>
                <w:rFonts w:hint="eastAsia" w:ascii="宋体" w:hAnsi="宋体" w:cs="宋体"/>
                <w:color w:val="auto"/>
                <w:szCs w:val="21"/>
                <w:highlight w:val="none"/>
              </w:rPr>
            </w:pPr>
          </w:p>
        </w:tc>
        <w:tc>
          <w:tcPr>
            <w:tcW w:w="1303" w:type="pct"/>
            <w:noWrap w:val="0"/>
            <w:vAlign w:val="center"/>
          </w:tcPr>
          <w:p>
            <w:pPr>
              <w:spacing w:line="360" w:lineRule="exact"/>
              <w:jc w:val="center"/>
              <w:rPr>
                <w:rFonts w:hint="eastAsia" w:ascii="宋体" w:hAnsi="宋体" w:cs="宋体"/>
                <w:color w:val="auto"/>
                <w:szCs w:val="21"/>
                <w:highlight w:val="none"/>
              </w:rPr>
            </w:pPr>
          </w:p>
        </w:tc>
        <w:tc>
          <w:tcPr>
            <w:tcW w:w="1223" w:type="pct"/>
            <w:noWrap w:val="0"/>
            <w:vAlign w:val="center"/>
          </w:tcPr>
          <w:p>
            <w:pPr>
              <w:spacing w:line="36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06" w:type="pct"/>
            <w:noWrap w:val="0"/>
            <w:vAlign w:val="center"/>
          </w:tcPr>
          <w:p>
            <w:pPr>
              <w:spacing w:line="360" w:lineRule="exact"/>
              <w:jc w:val="center"/>
              <w:rPr>
                <w:rFonts w:hint="eastAsia" w:ascii="宋体" w:hAnsi="宋体" w:cs="宋体"/>
                <w:color w:val="auto"/>
                <w:szCs w:val="21"/>
                <w:highlight w:val="none"/>
              </w:rPr>
            </w:pPr>
          </w:p>
        </w:tc>
        <w:tc>
          <w:tcPr>
            <w:tcW w:w="964" w:type="pct"/>
            <w:noWrap w:val="0"/>
            <w:vAlign w:val="center"/>
          </w:tcPr>
          <w:p>
            <w:pPr>
              <w:spacing w:line="360" w:lineRule="exact"/>
              <w:jc w:val="center"/>
              <w:rPr>
                <w:rFonts w:hint="eastAsia" w:ascii="宋体" w:hAnsi="宋体" w:cs="宋体"/>
                <w:color w:val="auto"/>
                <w:szCs w:val="21"/>
                <w:highlight w:val="none"/>
              </w:rPr>
            </w:pPr>
          </w:p>
        </w:tc>
        <w:tc>
          <w:tcPr>
            <w:tcW w:w="1101" w:type="pct"/>
            <w:noWrap w:val="0"/>
            <w:vAlign w:val="center"/>
          </w:tcPr>
          <w:p>
            <w:pPr>
              <w:spacing w:line="360" w:lineRule="exact"/>
              <w:jc w:val="center"/>
              <w:rPr>
                <w:rFonts w:hint="eastAsia" w:ascii="宋体" w:hAnsi="宋体" w:cs="宋体"/>
                <w:color w:val="auto"/>
                <w:szCs w:val="21"/>
                <w:highlight w:val="none"/>
              </w:rPr>
            </w:pPr>
          </w:p>
        </w:tc>
        <w:tc>
          <w:tcPr>
            <w:tcW w:w="1303" w:type="pct"/>
            <w:noWrap w:val="0"/>
            <w:vAlign w:val="center"/>
          </w:tcPr>
          <w:p>
            <w:pPr>
              <w:spacing w:line="360" w:lineRule="exact"/>
              <w:jc w:val="center"/>
              <w:rPr>
                <w:rFonts w:hint="eastAsia" w:ascii="宋体" w:hAnsi="宋体" w:cs="宋体"/>
                <w:color w:val="auto"/>
                <w:szCs w:val="21"/>
                <w:highlight w:val="none"/>
              </w:rPr>
            </w:pPr>
          </w:p>
        </w:tc>
        <w:tc>
          <w:tcPr>
            <w:tcW w:w="1223" w:type="pct"/>
            <w:noWrap w:val="0"/>
            <w:vAlign w:val="center"/>
          </w:tcPr>
          <w:p>
            <w:pPr>
              <w:spacing w:line="36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06" w:type="pct"/>
            <w:noWrap w:val="0"/>
            <w:vAlign w:val="center"/>
          </w:tcPr>
          <w:p>
            <w:pPr>
              <w:spacing w:line="360" w:lineRule="exact"/>
              <w:jc w:val="center"/>
              <w:rPr>
                <w:rFonts w:hint="eastAsia" w:ascii="宋体" w:hAnsi="宋体" w:cs="宋体"/>
                <w:color w:val="auto"/>
                <w:szCs w:val="21"/>
                <w:highlight w:val="none"/>
              </w:rPr>
            </w:pPr>
          </w:p>
        </w:tc>
        <w:tc>
          <w:tcPr>
            <w:tcW w:w="964" w:type="pct"/>
            <w:noWrap w:val="0"/>
            <w:vAlign w:val="center"/>
          </w:tcPr>
          <w:p>
            <w:pPr>
              <w:spacing w:line="360" w:lineRule="exact"/>
              <w:jc w:val="center"/>
              <w:rPr>
                <w:rFonts w:hint="eastAsia" w:ascii="宋体" w:hAnsi="宋体" w:cs="宋体"/>
                <w:color w:val="auto"/>
                <w:szCs w:val="21"/>
                <w:highlight w:val="none"/>
              </w:rPr>
            </w:pPr>
          </w:p>
        </w:tc>
        <w:tc>
          <w:tcPr>
            <w:tcW w:w="1101" w:type="pct"/>
            <w:noWrap w:val="0"/>
            <w:vAlign w:val="center"/>
          </w:tcPr>
          <w:p>
            <w:pPr>
              <w:spacing w:line="360" w:lineRule="exact"/>
              <w:jc w:val="center"/>
              <w:rPr>
                <w:rFonts w:hint="eastAsia" w:ascii="宋体" w:hAnsi="宋体" w:cs="宋体"/>
                <w:color w:val="auto"/>
                <w:szCs w:val="21"/>
                <w:highlight w:val="none"/>
              </w:rPr>
            </w:pPr>
          </w:p>
        </w:tc>
        <w:tc>
          <w:tcPr>
            <w:tcW w:w="1303" w:type="pct"/>
            <w:noWrap w:val="0"/>
            <w:vAlign w:val="center"/>
          </w:tcPr>
          <w:p>
            <w:pPr>
              <w:spacing w:line="360" w:lineRule="exact"/>
              <w:jc w:val="center"/>
              <w:rPr>
                <w:rFonts w:hint="eastAsia" w:ascii="宋体" w:hAnsi="宋体" w:cs="宋体"/>
                <w:color w:val="auto"/>
                <w:szCs w:val="21"/>
                <w:highlight w:val="none"/>
              </w:rPr>
            </w:pPr>
          </w:p>
        </w:tc>
        <w:tc>
          <w:tcPr>
            <w:tcW w:w="1223" w:type="pct"/>
            <w:noWrap w:val="0"/>
            <w:vAlign w:val="center"/>
          </w:tcPr>
          <w:p>
            <w:pPr>
              <w:spacing w:line="36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06" w:type="pct"/>
            <w:noWrap w:val="0"/>
            <w:vAlign w:val="center"/>
          </w:tcPr>
          <w:p>
            <w:pPr>
              <w:spacing w:line="360" w:lineRule="exact"/>
              <w:jc w:val="center"/>
              <w:rPr>
                <w:rFonts w:hint="eastAsia" w:ascii="宋体" w:hAnsi="宋体" w:cs="宋体"/>
                <w:color w:val="auto"/>
                <w:szCs w:val="21"/>
                <w:highlight w:val="none"/>
              </w:rPr>
            </w:pPr>
          </w:p>
        </w:tc>
        <w:tc>
          <w:tcPr>
            <w:tcW w:w="964" w:type="pct"/>
            <w:noWrap w:val="0"/>
            <w:vAlign w:val="center"/>
          </w:tcPr>
          <w:p>
            <w:pPr>
              <w:spacing w:line="360" w:lineRule="exact"/>
              <w:jc w:val="center"/>
              <w:rPr>
                <w:rFonts w:hint="eastAsia" w:ascii="宋体" w:hAnsi="宋体" w:cs="宋体"/>
                <w:color w:val="auto"/>
                <w:szCs w:val="21"/>
                <w:highlight w:val="none"/>
              </w:rPr>
            </w:pPr>
          </w:p>
        </w:tc>
        <w:tc>
          <w:tcPr>
            <w:tcW w:w="1101" w:type="pct"/>
            <w:noWrap w:val="0"/>
            <w:vAlign w:val="center"/>
          </w:tcPr>
          <w:p>
            <w:pPr>
              <w:spacing w:line="360" w:lineRule="exact"/>
              <w:jc w:val="center"/>
              <w:rPr>
                <w:rFonts w:hint="eastAsia" w:ascii="宋体" w:hAnsi="宋体" w:cs="宋体"/>
                <w:color w:val="auto"/>
                <w:szCs w:val="21"/>
                <w:highlight w:val="none"/>
              </w:rPr>
            </w:pPr>
          </w:p>
        </w:tc>
        <w:tc>
          <w:tcPr>
            <w:tcW w:w="1303" w:type="pct"/>
            <w:noWrap w:val="0"/>
            <w:vAlign w:val="center"/>
          </w:tcPr>
          <w:p>
            <w:pPr>
              <w:spacing w:line="360" w:lineRule="exact"/>
              <w:jc w:val="center"/>
              <w:rPr>
                <w:rFonts w:hint="eastAsia" w:ascii="宋体" w:hAnsi="宋体" w:cs="宋体"/>
                <w:color w:val="auto"/>
                <w:szCs w:val="21"/>
                <w:highlight w:val="none"/>
              </w:rPr>
            </w:pPr>
          </w:p>
        </w:tc>
        <w:tc>
          <w:tcPr>
            <w:tcW w:w="1223" w:type="pct"/>
            <w:noWrap w:val="0"/>
            <w:vAlign w:val="center"/>
          </w:tcPr>
          <w:p>
            <w:pPr>
              <w:spacing w:line="360" w:lineRule="exact"/>
              <w:jc w:val="center"/>
              <w:rPr>
                <w:rFonts w:hint="eastAsia" w:ascii="宋体" w:hAnsi="宋体" w:cs="宋体"/>
                <w:color w:val="auto"/>
                <w:szCs w:val="21"/>
                <w:highlight w:val="none"/>
              </w:rPr>
            </w:pPr>
          </w:p>
        </w:tc>
      </w:tr>
    </w:tbl>
    <w:p>
      <w:pPr>
        <w:snapToGrid w:val="0"/>
        <w:spacing w:line="440" w:lineRule="exact"/>
        <w:rPr>
          <w:rFonts w:hint="eastAsia" w:ascii="宋体" w:hAnsi="宋体" w:cs="宋体"/>
          <w:color w:val="auto"/>
          <w:szCs w:val="21"/>
          <w:highlight w:val="none"/>
        </w:rPr>
      </w:pPr>
    </w:p>
    <w:p>
      <w:pPr>
        <w:snapToGrid w:val="0"/>
        <w:spacing w:line="440" w:lineRule="exact"/>
        <w:rPr>
          <w:rFonts w:hint="eastAsia" w:ascii="宋体" w:hAnsi="宋体" w:cs="宋体"/>
          <w:color w:val="auto"/>
          <w:szCs w:val="21"/>
          <w:highlight w:val="none"/>
          <w:u w:val="single"/>
        </w:rPr>
      </w:pPr>
      <w:r>
        <w:rPr>
          <w:rFonts w:hint="eastAsia" w:ascii="宋体" w:hAnsi="宋体" w:cs="宋体"/>
          <w:color w:val="auto"/>
          <w:szCs w:val="21"/>
          <w:highlight w:val="none"/>
        </w:rPr>
        <w:t>授权代表签名：</w:t>
      </w:r>
      <w:r>
        <w:rPr>
          <w:rFonts w:hint="eastAsia" w:ascii="宋体" w:hAnsi="宋体" w:cs="宋体"/>
          <w:color w:val="auto"/>
          <w:szCs w:val="21"/>
          <w:highlight w:val="none"/>
          <w:u w:val="single"/>
        </w:rPr>
        <w:t xml:space="preserve">              </w:t>
      </w:r>
    </w:p>
    <w:p>
      <w:pPr>
        <w:pStyle w:val="10"/>
        <w:adjustRightInd w:val="0"/>
        <w:snapToGrid w:val="0"/>
        <w:spacing w:after="0" w:line="44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供应商盖章：</w:t>
      </w:r>
      <w:r>
        <w:rPr>
          <w:rFonts w:hint="eastAsia" w:ascii="宋体" w:hAnsi="宋体" w:cs="宋体"/>
          <w:color w:val="auto"/>
          <w:sz w:val="21"/>
          <w:szCs w:val="21"/>
          <w:highlight w:val="none"/>
          <w:u w:val="single"/>
        </w:rPr>
        <w:t xml:space="preserve">                </w:t>
      </w:r>
    </w:p>
    <w:p>
      <w:pPr>
        <w:adjustRightInd w:val="0"/>
        <w:snapToGrid w:val="0"/>
        <w:spacing w:line="440" w:lineRule="exact"/>
        <w:rPr>
          <w:rFonts w:hint="eastAsia" w:ascii="宋体" w:hAnsi="宋体" w:cs="宋体"/>
          <w:bCs/>
          <w:color w:val="auto"/>
          <w:szCs w:val="21"/>
          <w:highlight w:val="none"/>
        </w:rPr>
      </w:pP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年</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月</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日</w:t>
      </w:r>
    </w:p>
    <w:p>
      <w:pPr>
        <w:rPr>
          <w:rFonts w:hint="eastAsia" w:ascii="宋体" w:hAnsi="宋体" w:cs="宋体"/>
          <w:color w:val="auto"/>
          <w:szCs w:val="21"/>
          <w:highlight w:val="none"/>
        </w:rPr>
      </w:pPr>
    </w:p>
    <w:p>
      <w:pPr>
        <w:spacing w:line="400" w:lineRule="exact"/>
        <w:jc w:val="left"/>
        <w:rPr>
          <w:rFonts w:hint="eastAsia" w:ascii="宋体" w:hAnsi="宋体" w:cs="宋体"/>
          <w:color w:val="auto"/>
          <w:szCs w:val="21"/>
          <w:highlight w:val="none"/>
        </w:rPr>
      </w:pPr>
    </w:p>
    <w:p>
      <w:pPr>
        <w:pStyle w:val="71"/>
        <w:rPr>
          <w:rFonts w:hint="eastAsia" w:ascii="宋体" w:hAnsi="宋体" w:cs="宋体"/>
          <w:color w:val="auto"/>
          <w:szCs w:val="21"/>
          <w:highlight w:val="none"/>
        </w:rPr>
      </w:pPr>
    </w:p>
    <w:p>
      <w:pPr>
        <w:spacing w:line="588" w:lineRule="exact"/>
        <w:jc w:val="center"/>
        <w:rPr>
          <w:rFonts w:hint="eastAsia" w:ascii="宋体" w:hAnsi="宋体" w:cs="宋体"/>
          <w:b/>
          <w:color w:val="auto"/>
          <w:spacing w:val="6"/>
          <w:szCs w:val="21"/>
          <w:highlight w:val="none"/>
        </w:rPr>
      </w:pPr>
      <w:r>
        <w:rPr>
          <w:rFonts w:hint="eastAsia" w:ascii="宋体" w:hAnsi="宋体" w:cs="宋体"/>
          <w:b/>
          <w:color w:val="auto"/>
          <w:spacing w:val="6"/>
          <w:szCs w:val="21"/>
          <w:highlight w:val="none"/>
        </w:rPr>
        <w:t xml:space="preserve"> </w:t>
      </w:r>
    </w:p>
    <w:p>
      <w:pPr>
        <w:spacing w:line="480" w:lineRule="exact"/>
        <w:rPr>
          <w:rFonts w:hint="eastAsia" w:ascii="宋体" w:hAnsi="宋体" w:cs="宋体"/>
          <w:color w:val="auto"/>
          <w:szCs w:val="21"/>
          <w:highlight w:val="none"/>
        </w:rPr>
      </w:pPr>
    </w:p>
    <w:p>
      <w:pPr>
        <w:keepNext/>
        <w:pageBreakBefore/>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、技术响应表格式：</w:t>
      </w:r>
    </w:p>
    <w:p>
      <w:pPr>
        <w:adjustRightInd w:val="0"/>
        <w:snapToGrid w:val="0"/>
        <w:spacing w:line="360" w:lineRule="auto"/>
        <w:jc w:val="center"/>
        <w:rPr>
          <w:rFonts w:hint="eastAsia" w:ascii="宋体" w:hAnsi="宋体" w:cs="宋体"/>
          <w:b/>
          <w:color w:val="auto"/>
          <w:szCs w:val="21"/>
          <w:highlight w:val="none"/>
        </w:rPr>
      </w:pPr>
    </w:p>
    <w:p>
      <w:pPr>
        <w:adjustRightInd w:val="0"/>
        <w:snapToGrid w:val="0"/>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技术响应表</w:t>
      </w:r>
    </w:p>
    <w:tbl>
      <w:tblPr>
        <w:tblStyle w:val="30"/>
        <w:tblW w:w="4998" w:type="pct"/>
        <w:tblInd w:w="0" w:type="dxa"/>
        <w:tblLayout w:type="autofit"/>
        <w:tblCellMar>
          <w:top w:w="0" w:type="dxa"/>
          <w:left w:w="108" w:type="dxa"/>
          <w:bottom w:w="0" w:type="dxa"/>
          <w:right w:w="108" w:type="dxa"/>
        </w:tblCellMar>
      </w:tblPr>
      <w:tblGrid>
        <w:gridCol w:w="1090"/>
        <w:gridCol w:w="1655"/>
        <w:gridCol w:w="2605"/>
        <w:gridCol w:w="2603"/>
        <w:gridCol w:w="1897"/>
      </w:tblGrid>
      <w:tr>
        <w:tblPrEx>
          <w:tblCellMar>
            <w:top w:w="0" w:type="dxa"/>
            <w:left w:w="108" w:type="dxa"/>
            <w:bottom w:w="0" w:type="dxa"/>
            <w:right w:w="108" w:type="dxa"/>
          </w:tblCellMar>
        </w:tblPrEx>
        <w:trPr>
          <w:trHeight w:val="831" w:hRule="exact"/>
        </w:trPr>
        <w:tc>
          <w:tcPr>
            <w:tcW w:w="553" w:type="pct"/>
            <w:tcBorders>
              <w:top w:val="single" w:color="auto" w:sz="6" w:space="0"/>
              <w:left w:val="single" w:color="auto" w:sz="6" w:space="0"/>
              <w:bottom w:val="single" w:color="auto" w:sz="6" w:space="0"/>
              <w:right w:val="single" w:color="auto" w:sz="6" w:space="0"/>
            </w:tcBorders>
            <w:noWrap/>
            <w:vAlign w:val="center"/>
          </w:tcPr>
          <w:p>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序 号</w:t>
            </w:r>
          </w:p>
        </w:tc>
        <w:tc>
          <w:tcPr>
            <w:tcW w:w="840" w:type="pct"/>
            <w:tcBorders>
              <w:top w:val="single" w:color="auto" w:sz="6" w:space="0"/>
              <w:left w:val="single" w:color="auto" w:sz="6" w:space="0"/>
              <w:bottom w:val="single" w:color="auto" w:sz="6" w:space="0"/>
              <w:right w:val="single" w:color="auto" w:sz="6" w:space="0"/>
            </w:tcBorders>
            <w:noWrap/>
            <w:vAlign w:val="center"/>
          </w:tcPr>
          <w:p>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内容</w:t>
            </w:r>
          </w:p>
        </w:tc>
        <w:tc>
          <w:tcPr>
            <w:tcW w:w="1322" w:type="pct"/>
            <w:tcBorders>
              <w:top w:val="single" w:color="auto" w:sz="6" w:space="0"/>
              <w:left w:val="single" w:color="auto" w:sz="6" w:space="0"/>
              <w:bottom w:val="single" w:color="auto" w:sz="6" w:space="0"/>
              <w:right w:val="single" w:color="auto" w:sz="6" w:space="0"/>
            </w:tcBorders>
            <w:noWrap/>
            <w:vAlign w:val="center"/>
          </w:tcPr>
          <w:p>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招标文件规范要求</w:t>
            </w:r>
          </w:p>
        </w:tc>
        <w:tc>
          <w:tcPr>
            <w:tcW w:w="1321" w:type="pct"/>
            <w:tcBorders>
              <w:top w:val="single" w:color="auto" w:sz="6" w:space="0"/>
              <w:left w:val="single" w:color="auto" w:sz="6" w:space="0"/>
              <w:bottom w:val="single" w:color="auto" w:sz="6" w:space="0"/>
              <w:right w:val="single" w:color="auto" w:sz="6" w:space="0"/>
            </w:tcBorders>
            <w:noWrap/>
            <w:vAlign w:val="center"/>
          </w:tcPr>
          <w:p>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投标文件对应规范</w:t>
            </w:r>
          </w:p>
        </w:tc>
        <w:tc>
          <w:tcPr>
            <w:tcW w:w="962" w:type="pct"/>
            <w:tcBorders>
              <w:top w:val="single" w:color="auto" w:sz="6" w:space="0"/>
              <w:left w:val="single" w:color="auto" w:sz="6" w:space="0"/>
              <w:bottom w:val="single" w:color="auto" w:sz="6" w:space="0"/>
              <w:right w:val="single" w:color="auto" w:sz="4" w:space="0"/>
            </w:tcBorders>
            <w:noWrap/>
            <w:vAlign w:val="center"/>
          </w:tcPr>
          <w:p>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偏离情况</w:t>
            </w:r>
          </w:p>
        </w:tc>
      </w:tr>
      <w:tr>
        <w:tblPrEx>
          <w:tblCellMar>
            <w:top w:w="0" w:type="dxa"/>
            <w:left w:w="108" w:type="dxa"/>
            <w:bottom w:w="0" w:type="dxa"/>
            <w:right w:w="108" w:type="dxa"/>
          </w:tblCellMar>
        </w:tblPrEx>
        <w:trPr>
          <w:trHeight w:val="567" w:hRule="exact"/>
        </w:trPr>
        <w:tc>
          <w:tcPr>
            <w:tcW w:w="553" w:type="pct"/>
            <w:tcBorders>
              <w:top w:val="single" w:color="auto" w:sz="6" w:space="0"/>
              <w:left w:val="single" w:color="auto" w:sz="6" w:space="0"/>
              <w:bottom w:val="single" w:color="auto" w:sz="6" w:space="0"/>
              <w:right w:val="single" w:color="auto" w:sz="6" w:space="0"/>
            </w:tcBorders>
            <w:noWrap/>
            <w:vAlign w:val="top"/>
          </w:tcPr>
          <w:p>
            <w:pPr>
              <w:spacing w:line="360" w:lineRule="exact"/>
              <w:rPr>
                <w:rFonts w:hint="eastAsia" w:ascii="宋体" w:hAnsi="宋体" w:cs="宋体"/>
                <w:color w:val="auto"/>
                <w:szCs w:val="21"/>
                <w:highlight w:val="none"/>
              </w:rPr>
            </w:pPr>
          </w:p>
        </w:tc>
        <w:tc>
          <w:tcPr>
            <w:tcW w:w="840" w:type="pct"/>
            <w:tcBorders>
              <w:top w:val="single" w:color="auto" w:sz="6" w:space="0"/>
              <w:left w:val="single" w:color="auto" w:sz="6" w:space="0"/>
              <w:bottom w:val="single" w:color="auto" w:sz="6" w:space="0"/>
              <w:right w:val="single" w:color="auto" w:sz="6" w:space="0"/>
            </w:tcBorders>
            <w:noWrap/>
            <w:vAlign w:val="top"/>
          </w:tcPr>
          <w:p>
            <w:pPr>
              <w:spacing w:line="360" w:lineRule="exact"/>
              <w:rPr>
                <w:rFonts w:hint="eastAsia" w:ascii="宋体" w:hAnsi="宋体" w:cs="宋体"/>
                <w:color w:val="auto"/>
                <w:szCs w:val="21"/>
                <w:highlight w:val="none"/>
              </w:rPr>
            </w:pPr>
          </w:p>
        </w:tc>
        <w:tc>
          <w:tcPr>
            <w:tcW w:w="1322" w:type="pct"/>
            <w:tcBorders>
              <w:top w:val="single" w:color="auto" w:sz="6" w:space="0"/>
              <w:left w:val="single" w:color="auto" w:sz="6" w:space="0"/>
              <w:bottom w:val="single" w:color="auto" w:sz="6" w:space="0"/>
              <w:right w:val="single" w:color="auto" w:sz="6" w:space="0"/>
            </w:tcBorders>
            <w:noWrap/>
            <w:vAlign w:val="top"/>
          </w:tcPr>
          <w:p>
            <w:pPr>
              <w:spacing w:line="360" w:lineRule="exact"/>
              <w:rPr>
                <w:rFonts w:hint="eastAsia" w:ascii="宋体" w:hAnsi="宋体" w:cs="宋体"/>
                <w:color w:val="auto"/>
                <w:szCs w:val="21"/>
                <w:highlight w:val="none"/>
              </w:rPr>
            </w:pPr>
          </w:p>
        </w:tc>
        <w:tc>
          <w:tcPr>
            <w:tcW w:w="1321" w:type="pct"/>
            <w:tcBorders>
              <w:top w:val="single" w:color="auto" w:sz="6" w:space="0"/>
              <w:left w:val="single" w:color="auto" w:sz="6" w:space="0"/>
              <w:bottom w:val="single" w:color="auto" w:sz="6" w:space="0"/>
              <w:right w:val="single" w:color="auto" w:sz="6" w:space="0"/>
            </w:tcBorders>
            <w:noWrap/>
            <w:vAlign w:val="top"/>
          </w:tcPr>
          <w:p>
            <w:pPr>
              <w:spacing w:line="360" w:lineRule="exact"/>
              <w:rPr>
                <w:rFonts w:hint="eastAsia" w:ascii="宋体" w:hAnsi="宋体" w:cs="宋体"/>
                <w:color w:val="auto"/>
                <w:szCs w:val="21"/>
                <w:highlight w:val="none"/>
              </w:rPr>
            </w:pPr>
          </w:p>
        </w:tc>
        <w:tc>
          <w:tcPr>
            <w:tcW w:w="962" w:type="pct"/>
            <w:tcBorders>
              <w:top w:val="single" w:color="auto" w:sz="6" w:space="0"/>
              <w:left w:val="single" w:color="auto" w:sz="6" w:space="0"/>
              <w:bottom w:val="single" w:color="auto" w:sz="6" w:space="0"/>
              <w:right w:val="single" w:color="auto" w:sz="4" w:space="0"/>
            </w:tcBorders>
            <w:noWrap/>
            <w:vAlign w:val="top"/>
          </w:tcPr>
          <w:p>
            <w:pPr>
              <w:spacing w:line="360" w:lineRule="exact"/>
              <w:rPr>
                <w:rFonts w:hint="eastAsia" w:ascii="宋体" w:hAnsi="宋体" w:cs="宋体"/>
                <w:color w:val="auto"/>
                <w:szCs w:val="21"/>
                <w:highlight w:val="none"/>
              </w:rPr>
            </w:pPr>
          </w:p>
        </w:tc>
      </w:tr>
      <w:tr>
        <w:tblPrEx>
          <w:tblCellMar>
            <w:top w:w="0" w:type="dxa"/>
            <w:left w:w="108" w:type="dxa"/>
            <w:bottom w:w="0" w:type="dxa"/>
            <w:right w:w="108" w:type="dxa"/>
          </w:tblCellMar>
        </w:tblPrEx>
        <w:trPr>
          <w:trHeight w:val="567" w:hRule="exact"/>
        </w:trPr>
        <w:tc>
          <w:tcPr>
            <w:tcW w:w="553" w:type="pct"/>
            <w:tcBorders>
              <w:top w:val="single" w:color="auto" w:sz="6" w:space="0"/>
              <w:left w:val="single" w:color="auto" w:sz="6" w:space="0"/>
              <w:bottom w:val="single" w:color="auto" w:sz="6" w:space="0"/>
              <w:right w:val="single" w:color="auto" w:sz="6" w:space="0"/>
            </w:tcBorders>
            <w:noWrap/>
            <w:vAlign w:val="top"/>
          </w:tcPr>
          <w:p>
            <w:pPr>
              <w:spacing w:line="360" w:lineRule="exact"/>
              <w:rPr>
                <w:rFonts w:hint="eastAsia" w:ascii="宋体" w:hAnsi="宋体" w:cs="宋体"/>
                <w:color w:val="auto"/>
                <w:szCs w:val="21"/>
                <w:highlight w:val="none"/>
              </w:rPr>
            </w:pPr>
          </w:p>
        </w:tc>
        <w:tc>
          <w:tcPr>
            <w:tcW w:w="840" w:type="pct"/>
            <w:tcBorders>
              <w:top w:val="single" w:color="auto" w:sz="6" w:space="0"/>
              <w:left w:val="single" w:color="auto" w:sz="6" w:space="0"/>
              <w:bottom w:val="single" w:color="auto" w:sz="6" w:space="0"/>
              <w:right w:val="single" w:color="auto" w:sz="6" w:space="0"/>
            </w:tcBorders>
            <w:noWrap/>
            <w:vAlign w:val="top"/>
          </w:tcPr>
          <w:p>
            <w:pPr>
              <w:spacing w:line="360" w:lineRule="exact"/>
              <w:rPr>
                <w:rFonts w:hint="eastAsia" w:ascii="宋体" w:hAnsi="宋体" w:cs="宋体"/>
                <w:color w:val="auto"/>
                <w:szCs w:val="21"/>
                <w:highlight w:val="none"/>
              </w:rPr>
            </w:pPr>
          </w:p>
        </w:tc>
        <w:tc>
          <w:tcPr>
            <w:tcW w:w="1322" w:type="pct"/>
            <w:tcBorders>
              <w:top w:val="single" w:color="auto" w:sz="6" w:space="0"/>
              <w:left w:val="single" w:color="auto" w:sz="6" w:space="0"/>
              <w:bottom w:val="single" w:color="auto" w:sz="6" w:space="0"/>
              <w:right w:val="single" w:color="auto" w:sz="6" w:space="0"/>
            </w:tcBorders>
            <w:noWrap/>
            <w:vAlign w:val="top"/>
          </w:tcPr>
          <w:p>
            <w:pPr>
              <w:spacing w:line="360" w:lineRule="exact"/>
              <w:rPr>
                <w:rFonts w:hint="eastAsia" w:ascii="宋体" w:hAnsi="宋体" w:cs="宋体"/>
                <w:color w:val="auto"/>
                <w:szCs w:val="21"/>
                <w:highlight w:val="none"/>
              </w:rPr>
            </w:pPr>
          </w:p>
        </w:tc>
        <w:tc>
          <w:tcPr>
            <w:tcW w:w="1321" w:type="pct"/>
            <w:tcBorders>
              <w:top w:val="single" w:color="auto" w:sz="6" w:space="0"/>
              <w:left w:val="single" w:color="auto" w:sz="6" w:space="0"/>
              <w:bottom w:val="single" w:color="auto" w:sz="6" w:space="0"/>
              <w:right w:val="single" w:color="auto" w:sz="6" w:space="0"/>
            </w:tcBorders>
            <w:noWrap/>
            <w:vAlign w:val="top"/>
          </w:tcPr>
          <w:p>
            <w:pPr>
              <w:spacing w:line="360" w:lineRule="exact"/>
              <w:rPr>
                <w:rFonts w:hint="eastAsia" w:ascii="宋体" w:hAnsi="宋体" w:cs="宋体"/>
                <w:color w:val="auto"/>
                <w:szCs w:val="21"/>
                <w:highlight w:val="none"/>
              </w:rPr>
            </w:pPr>
          </w:p>
        </w:tc>
        <w:tc>
          <w:tcPr>
            <w:tcW w:w="962" w:type="pct"/>
            <w:tcBorders>
              <w:top w:val="single" w:color="auto" w:sz="6" w:space="0"/>
              <w:left w:val="single" w:color="auto" w:sz="6" w:space="0"/>
              <w:bottom w:val="single" w:color="auto" w:sz="6" w:space="0"/>
              <w:right w:val="single" w:color="auto" w:sz="4" w:space="0"/>
            </w:tcBorders>
            <w:noWrap/>
            <w:vAlign w:val="top"/>
          </w:tcPr>
          <w:p>
            <w:pPr>
              <w:spacing w:line="360" w:lineRule="exact"/>
              <w:rPr>
                <w:rFonts w:hint="eastAsia" w:ascii="宋体" w:hAnsi="宋体" w:cs="宋体"/>
                <w:color w:val="auto"/>
                <w:szCs w:val="21"/>
                <w:highlight w:val="none"/>
              </w:rPr>
            </w:pPr>
          </w:p>
        </w:tc>
      </w:tr>
      <w:tr>
        <w:tblPrEx>
          <w:tblCellMar>
            <w:top w:w="0" w:type="dxa"/>
            <w:left w:w="108" w:type="dxa"/>
            <w:bottom w:w="0" w:type="dxa"/>
            <w:right w:w="108" w:type="dxa"/>
          </w:tblCellMar>
        </w:tblPrEx>
        <w:trPr>
          <w:trHeight w:val="567" w:hRule="exact"/>
        </w:trPr>
        <w:tc>
          <w:tcPr>
            <w:tcW w:w="553" w:type="pct"/>
            <w:tcBorders>
              <w:top w:val="single" w:color="auto" w:sz="6" w:space="0"/>
              <w:left w:val="single" w:color="auto" w:sz="6" w:space="0"/>
              <w:bottom w:val="single" w:color="auto" w:sz="6" w:space="0"/>
              <w:right w:val="single" w:color="auto" w:sz="6" w:space="0"/>
            </w:tcBorders>
            <w:noWrap/>
            <w:vAlign w:val="top"/>
          </w:tcPr>
          <w:p>
            <w:pPr>
              <w:spacing w:line="360" w:lineRule="exact"/>
              <w:rPr>
                <w:rFonts w:hint="eastAsia" w:ascii="宋体" w:hAnsi="宋体" w:cs="宋体"/>
                <w:color w:val="auto"/>
                <w:szCs w:val="21"/>
                <w:highlight w:val="none"/>
              </w:rPr>
            </w:pPr>
          </w:p>
        </w:tc>
        <w:tc>
          <w:tcPr>
            <w:tcW w:w="840" w:type="pct"/>
            <w:tcBorders>
              <w:top w:val="single" w:color="auto" w:sz="6" w:space="0"/>
              <w:left w:val="single" w:color="auto" w:sz="6" w:space="0"/>
              <w:bottom w:val="single" w:color="auto" w:sz="6" w:space="0"/>
              <w:right w:val="single" w:color="auto" w:sz="6" w:space="0"/>
            </w:tcBorders>
            <w:noWrap/>
            <w:vAlign w:val="top"/>
          </w:tcPr>
          <w:p>
            <w:pPr>
              <w:spacing w:line="360" w:lineRule="exact"/>
              <w:rPr>
                <w:rFonts w:hint="eastAsia" w:ascii="宋体" w:hAnsi="宋体" w:cs="宋体"/>
                <w:color w:val="auto"/>
                <w:szCs w:val="21"/>
                <w:highlight w:val="none"/>
              </w:rPr>
            </w:pPr>
          </w:p>
        </w:tc>
        <w:tc>
          <w:tcPr>
            <w:tcW w:w="1322" w:type="pct"/>
            <w:tcBorders>
              <w:top w:val="single" w:color="auto" w:sz="6" w:space="0"/>
              <w:left w:val="single" w:color="auto" w:sz="6" w:space="0"/>
              <w:bottom w:val="single" w:color="auto" w:sz="6" w:space="0"/>
              <w:right w:val="single" w:color="auto" w:sz="6" w:space="0"/>
            </w:tcBorders>
            <w:noWrap/>
            <w:vAlign w:val="top"/>
          </w:tcPr>
          <w:p>
            <w:pPr>
              <w:spacing w:line="360" w:lineRule="exact"/>
              <w:rPr>
                <w:rFonts w:hint="eastAsia" w:ascii="宋体" w:hAnsi="宋体" w:cs="宋体"/>
                <w:color w:val="auto"/>
                <w:szCs w:val="21"/>
                <w:highlight w:val="none"/>
              </w:rPr>
            </w:pPr>
          </w:p>
        </w:tc>
        <w:tc>
          <w:tcPr>
            <w:tcW w:w="1321" w:type="pct"/>
            <w:tcBorders>
              <w:top w:val="single" w:color="auto" w:sz="6" w:space="0"/>
              <w:left w:val="single" w:color="auto" w:sz="6" w:space="0"/>
              <w:bottom w:val="single" w:color="auto" w:sz="6" w:space="0"/>
              <w:right w:val="single" w:color="auto" w:sz="6" w:space="0"/>
            </w:tcBorders>
            <w:noWrap/>
            <w:vAlign w:val="top"/>
          </w:tcPr>
          <w:p>
            <w:pPr>
              <w:spacing w:line="360" w:lineRule="exact"/>
              <w:rPr>
                <w:rFonts w:hint="eastAsia" w:ascii="宋体" w:hAnsi="宋体" w:cs="宋体"/>
                <w:color w:val="auto"/>
                <w:szCs w:val="21"/>
                <w:highlight w:val="none"/>
              </w:rPr>
            </w:pPr>
          </w:p>
        </w:tc>
        <w:tc>
          <w:tcPr>
            <w:tcW w:w="962" w:type="pct"/>
            <w:tcBorders>
              <w:top w:val="single" w:color="auto" w:sz="6" w:space="0"/>
              <w:left w:val="single" w:color="auto" w:sz="6" w:space="0"/>
              <w:bottom w:val="single" w:color="auto" w:sz="6" w:space="0"/>
              <w:right w:val="single" w:color="auto" w:sz="4" w:space="0"/>
            </w:tcBorders>
            <w:noWrap/>
            <w:vAlign w:val="top"/>
          </w:tcPr>
          <w:p>
            <w:pPr>
              <w:spacing w:line="360" w:lineRule="exact"/>
              <w:rPr>
                <w:rFonts w:hint="eastAsia" w:ascii="宋体" w:hAnsi="宋体" w:cs="宋体"/>
                <w:color w:val="auto"/>
                <w:szCs w:val="21"/>
                <w:highlight w:val="none"/>
              </w:rPr>
            </w:pPr>
          </w:p>
        </w:tc>
      </w:tr>
      <w:tr>
        <w:tblPrEx>
          <w:tblCellMar>
            <w:top w:w="0" w:type="dxa"/>
            <w:left w:w="108" w:type="dxa"/>
            <w:bottom w:w="0" w:type="dxa"/>
            <w:right w:w="108" w:type="dxa"/>
          </w:tblCellMar>
        </w:tblPrEx>
        <w:trPr>
          <w:trHeight w:val="567" w:hRule="exact"/>
        </w:trPr>
        <w:tc>
          <w:tcPr>
            <w:tcW w:w="553" w:type="pct"/>
            <w:tcBorders>
              <w:top w:val="single" w:color="auto" w:sz="6" w:space="0"/>
              <w:left w:val="single" w:color="auto" w:sz="6" w:space="0"/>
              <w:bottom w:val="single" w:color="auto" w:sz="6" w:space="0"/>
              <w:right w:val="single" w:color="auto" w:sz="6" w:space="0"/>
            </w:tcBorders>
            <w:noWrap/>
            <w:vAlign w:val="top"/>
          </w:tcPr>
          <w:p>
            <w:pPr>
              <w:spacing w:line="360" w:lineRule="exact"/>
              <w:rPr>
                <w:rFonts w:hint="eastAsia" w:ascii="宋体" w:hAnsi="宋体" w:cs="宋体"/>
                <w:color w:val="auto"/>
                <w:szCs w:val="21"/>
                <w:highlight w:val="none"/>
              </w:rPr>
            </w:pPr>
          </w:p>
        </w:tc>
        <w:tc>
          <w:tcPr>
            <w:tcW w:w="840" w:type="pct"/>
            <w:tcBorders>
              <w:top w:val="single" w:color="auto" w:sz="6" w:space="0"/>
              <w:left w:val="single" w:color="auto" w:sz="6" w:space="0"/>
              <w:bottom w:val="single" w:color="auto" w:sz="6" w:space="0"/>
              <w:right w:val="single" w:color="auto" w:sz="6" w:space="0"/>
            </w:tcBorders>
            <w:noWrap/>
            <w:vAlign w:val="top"/>
          </w:tcPr>
          <w:p>
            <w:pPr>
              <w:spacing w:line="360" w:lineRule="exact"/>
              <w:rPr>
                <w:rFonts w:hint="eastAsia" w:ascii="宋体" w:hAnsi="宋体" w:cs="宋体"/>
                <w:color w:val="auto"/>
                <w:szCs w:val="21"/>
                <w:highlight w:val="none"/>
              </w:rPr>
            </w:pPr>
          </w:p>
        </w:tc>
        <w:tc>
          <w:tcPr>
            <w:tcW w:w="1322" w:type="pct"/>
            <w:tcBorders>
              <w:top w:val="single" w:color="auto" w:sz="6" w:space="0"/>
              <w:left w:val="single" w:color="auto" w:sz="6" w:space="0"/>
              <w:bottom w:val="single" w:color="auto" w:sz="6" w:space="0"/>
              <w:right w:val="single" w:color="auto" w:sz="6" w:space="0"/>
            </w:tcBorders>
            <w:noWrap/>
            <w:vAlign w:val="top"/>
          </w:tcPr>
          <w:p>
            <w:pPr>
              <w:spacing w:line="360" w:lineRule="exact"/>
              <w:rPr>
                <w:rFonts w:hint="eastAsia" w:ascii="宋体" w:hAnsi="宋体" w:cs="宋体"/>
                <w:color w:val="auto"/>
                <w:szCs w:val="21"/>
                <w:highlight w:val="none"/>
              </w:rPr>
            </w:pPr>
          </w:p>
        </w:tc>
        <w:tc>
          <w:tcPr>
            <w:tcW w:w="1321" w:type="pct"/>
            <w:tcBorders>
              <w:top w:val="single" w:color="auto" w:sz="6" w:space="0"/>
              <w:left w:val="single" w:color="auto" w:sz="6" w:space="0"/>
              <w:bottom w:val="single" w:color="auto" w:sz="6" w:space="0"/>
              <w:right w:val="single" w:color="auto" w:sz="6" w:space="0"/>
            </w:tcBorders>
            <w:noWrap/>
            <w:vAlign w:val="top"/>
          </w:tcPr>
          <w:p>
            <w:pPr>
              <w:spacing w:line="360" w:lineRule="exact"/>
              <w:rPr>
                <w:rFonts w:hint="eastAsia" w:ascii="宋体" w:hAnsi="宋体" w:cs="宋体"/>
                <w:color w:val="auto"/>
                <w:szCs w:val="21"/>
                <w:highlight w:val="none"/>
              </w:rPr>
            </w:pPr>
          </w:p>
        </w:tc>
        <w:tc>
          <w:tcPr>
            <w:tcW w:w="962" w:type="pct"/>
            <w:tcBorders>
              <w:top w:val="single" w:color="auto" w:sz="6" w:space="0"/>
              <w:left w:val="single" w:color="auto" w:sz="6" w:space="0"/>
              <w:bottom w:val="single" w:color="auto" w:sz="6" w:space="0"/>
              <w:right w:val="single" w:color="auto" w:sz="4" w:space="0"/>
            </w:tcBorders>
            <w:noWrap/>
            <w:vAlign w:val="top"/>
          </w:tcPr>
          <w:p>
            <w:pPr>
              <w:spacing w:line="360" w:lineRule="exact"/>
              <w:rPr>
                <w:rFonts w:hint="eastAsia" w:ascii="宋体" w:hAnsi="宋体" w:cs="宋体"/>
                <w:color w:val="auto"/>
                <w:szCs w:val="21"/>
                <w:highlight w:val="none"/>
              </w:rPr>
            </w:pPr>
          </w:p>
        </w:tc>
      </w:tr>
      <w:tr>
        <w:tblPrEx>
          <w:tblCellMar>
            <w:top w:w="0" w:type="dxa"/>
            <w:left w:w="108" w:type="dxa"/>
            <w:bottom w:w="0" w:type="dxa"/>
            <w:right w:w="108" w:type="dxa"/>
          </w:tblCellMar>
        </w:tblPrEx>
        <w:trPr>
          <w:trHeight w:val="567" w:hRule="exact"/>
        </w:trPr>
        <w:tc>
          <w:tcPr>
            <w:tcW w:w="553" w:type="pct"/>
            <w:tcBorders>
              <w:top w:val="single" w:color="auto" w:sz="6" w:space="0"/>
              <w:left w:val="single" w:color="auto" w:sz="6" w:space="0"/>
              <w:bottom w:val="single" w:color="auto" w:sz="6" w:space="0"/>
              <w:right w:val="single" w:color="auto" w:sz="6" w:space="0"/>
            </w:tcBorders>
            <w:noWrap/>
            <w:vAlign w:val="top"/>
          </w:tcPr>
          <w:p>
            <w:pPr>
              <w:spacing w:line="360" w:lineRule="exact"/>
              <w:rPr>
                <w:rFonts w:hint="eastAsia" w:ascii="宋体" w:hAnsi="宋体" w:cs="宋体"/>
                <w:color w:val="auto"/>
                <w:szCs w:val="21"/>
                <w:highlight w:val="none"/>
              </w:rPr>
            </w:pPr>
          </w:p>
        </w:tc>
        <w:tc>
          <w:tcPr>
            <w:tcW w:w="840" w:type="pct"/>
            <w:tcBorders>
              <w:top w:val="single" w:color="auto" w:sz="6" w:space="0"/>
              <w:left w:val="single" w:color="auto" w:sz="6" w:space="0"/>
              <w:bottom w:val="single" w:color="auto" w:sz="6" w:space="0"/>
              <w:right w:val="single" w:color="auto" w:sz="6" w:space="0"/>
            </w:tcBorders>
            <w:noWrap/>
            <w:vAlign w:val="top"/>
          </w:tcPr>
          <w:p>
            <w:pPr>
              <w:spacing w:line="360" w:lineRule="exact"/>
              <w:rPr>
                <w:rFonts w:hint="eastAsia" w:ascii="宋体" w:hAnsi="宋体" w:cs="宋体"/>
                <w:color w:val="auto"/>
                <w:szCs w:val="21"/>
                <w:highlight w:val="none"/>
              </w:rPr>
            </w:pPr>
          </w:p>
        </w:tc>
        <w:tc>
          <w:tcPr>
            <w:tcW w:w="1322" w:type="pct"/>
            <w:tcBorders>
              <w:top w:val="single" w:color="auto" w:sz="6" w:space="0"/>
              <w:left w:val="single" w:color="auto" w:sz="6" w:space="0"/>
              <w:bottom w:val="single" w:color="auto" w:sz="6" w:space="0"/>
              <w:right w:val="single" w:color="auto" w:sz="6" w:space="0"/>
            </w:tcBorders>
            <w:noWrap/>
            <w:vAlign w:val="top"/>
          </w:tcPr>
          <w:p>
            <w:pPr>
              <w:spacing w:line="360" w:lineRule="exact"/>
              <w:rPr>
                <w:rFonts w:hint="eastAsia" w:ascii="宋体" w:hAnsi="宋体" w:cs="宋体"/>
                <w:color w:val="auto"/>
                <w:szCs w:val="21"/>
                <w:highlight w:val="none"/>
              </w:rPr>
            </w:pPr>
          </w:p>
        </w:tc>
        <w:tc>
          <w:tcPr>
            <w:tcW w:w="1321" w:type="pct"/>
            <w:tcBorders>
              <w:top w:val="single" w:color="auto" w:sz="6" w:space="0"/>
              <w:left w:val="single" w:color="auto" w:sz="6" w:space="0"/>
              <w:bottom w:val="single" w:color="auto" w:sz="6" w:space="0"/>
              <w:right w:val="single" w:color="auto" w:sz="6" w:space="0"/>
            </w:tcBorders>
            <w:noWrap/>
            <w:vAlign w:val="top"/>
          </w:tcPr>
          <w:p>
            <w:pPr>
              <w:spacing w:line="360" w:lineRule="exact"/>
              <w:rPr>
                <w:rFonts w:hint="eastAsia" w:ascii="宋体" w:hAnsi="宋体" w:cs="宋体"/>
                <w:color w:val="auto"/>
                <w:szCs w:val="21"/>
                <w:highlight w:val="none"/>
              </w:rPr>
            </w:pPr>
          </w:p>
        </w:tc>
        <w:tc>
          <w:tcPr>
            <w:tcW w:w="962" w:type="pct"/>
            <w:tcBorders>
              <w:top w:val="single" w:color="auto" w:sz="6" w:space="0"/>
              <w:left w:val="single" w:color="auto" w:sz="6" w:space="0"/>
              <w:bottom w:val="single" w:color="auto" w:sz="6" w:space="0"/>
              <w:right w:val="single" w:color="auto" w:sz="4" w:space="0"/>
            </w:tcBorders>
            <w:noWrap/>
            <w:vAlign w:val="top"/>
          </w:tcPr>
          <w:p>
            <w:pPr>
              <w:spacing w:line="360" w:lineRule="exact"/>
              <w:rPr>
                <w:rFonts w:hint="eastAsia" w:ascii="宋体" w:hAnsi="宋体" w:cs="宋体"/>
                <w:color w:val="auto"/>
                <w:szCs w:val="21"/>
                <w:highlight w:val="none"/>
              </w:rPr>
            </w:pPr>
          </w:p>
        </w:tc>
      </w:tr>
      <w:tr>
        <w:tblPrEx>
          <w:tblCellMar>
            <w:top w:w="0" w:type="dxa"/>
            <w:left w:w="108" w:type="dxa"/>
            <w:bottom w:w="0" w:type="dxa"/>
            <w:right w:w="108" w:type="dxa"/>
          </w:tblCellMar>
        </w:tblPrEx>
        <w:trPr>
          <w:trHeight w:val="567" w:hRule="exact"/>
        </w:trPr>
        <w:tc>
          <w:tcPr>
            <w:tcW w:w="553" w:type="pct"/>
            <w:tcBorders>
              <w:top w:val="single" w:color="auto" w:sz="6" w:space="0"/>
              <w:left w:val="single" w:color="auto" w:sz="6" w:space="0"/>
              <w:bottom w:val="single" w:color="auto" w:sz="6" w:space="0"/>
              <w:right w:val="single" w:color="auto" w:sz="6" w:space="0"/>
            </w:tcBorders>
            <w:noWrap/>
            <w:vAlign w:val="top"/>
          </w:tcPr>
          <w:p>
            <w:pPr>
              <w:spacing w:line="360" w:lineRule="exact"/>
              <w:rPr>
                <w:rFonts w:hint="eastAsia" w:ascii="宋体" w:hAnsi="宋体" w:cs="宋体"/>
                <w:color w:val="auto"/>
                <w:szCs w:val="21"/>
                <w:highlight w:val="none"/>
              </w:rPr>
            </w:pPr>
          </w:p>
        </w:tc>
        <w:tc>
          <w:tcPr>
            <w:tcW w:w="840" w:type="pct"/>
            <w:tcBorders>
              <w:top w:val="single" w:color="auto" w:sz="6" w:space="0"/>
              <w:left w:val="single" w:color="auto" w:sz="6" w:space="0"/>
              <w:bottom w:val="single" w:color="auto" w:sz="6" w:space="0"/>
              <w:right w:val="single" w:color="auto" w:sz="6" w:space="0"/>
            </w:tcBorders>
            <w:noWrap/>
            <w:vAlign w:val="top"/>
          </w:tcPr>
          <w:p>
            <w:pPr>
              <w:spacing w:line="360" w:lineRule="exact"/>
              <w:rPr>
                <w:rFonts w:hint="eastAsia" w:ascii="宋体" w:hAnsi="宋体" w:cs="宋体"/>
                <w:color w:val="auto"/>
                <w:szCs w:val="21"/>
                <w:highlight w:val="none"/>
              </w:rPr>
            </w:pPr>
          </w:p>
        </w:tc>
        <w:tc>
          <w:tcPr>
            <w:tcW w:w="1322" w:type="pct"/>
            <w:tcBorders>
              <w:top w:val="single" w:color="auto" w:sz="6" w:space="0"/>
              <w:left w:val="single" w:color="auto" w:sz="6" w:space="0"/>
              <w:bottom w:val="single" w:color="auto" w:sz="6" w:space="0"/>
              <w:right w:val="single" w:color="auto" w:sz="6" w:space="0"/>
            </w:tcBorders>
            <w:noWrap/>
            <w:vAlign w:val="top"/>
          </w:tcPr>
          <w:p>
            <w:pPr>
              <w:spacing w:line="360" w:lineRule="exact"/>
              <w:rPr>
                <w:rFonts w:hint="eastAsia" w:ascii="宋体" w:hAnsi="宋体" w:cs="宋体"/>
                <w:color w:val="auto"/>
                <w:szCs w:val="21"/>
                <w:highlight w:val="none"/>
              </w:rPr>
            </w:pPr>
          </w:p>
        </w:tc>
        <w:tc>
          <w:tcPr>
            <w:tcW w:w="1321" w:type="pct"/>
            <w:tcBorders>
              <w:top w:val="single" w:color="auto" w:sz="6" w:space="0"/>
              <w:left w:val="single" w:color="auto" w:sz="6" w:space="0"/>
              <w:bottom w:val="single" w:color="auto" w:sz="6" w:space="0"/>
              <w:right w:val="single" w:color="auto" w:sz="6" w:space="0"/>
            </w:tcBorders>
            <w:noWrap/>
            <w:vAlign w:val="top"/>
          </w:tcPr>
          <w:p>
            <w:pPr>
              <w:spacing w:line="360" w:lineRule="exact"/>
              <w:rPr>
                <w:rFonts w:hint="eastAsia" w:ascii="宋体" w:hAnsi="宋体" w:cs="宋体"/>
                <w:color w:val="auto"/>
                <w:szCs w:val="21"/>
                <w:highlight w:val="none"/>
              </w:rPr>
            </w:pPr>
          </w:p>
        </w:tc>
        <w:tc>
          <w:tcPr>
            <w:tcW w:w="962" w:type="pct"/>
            <w:tcBorders>
              <w:top w:val="single" w:color="auto" w:sz="6" w:space="0"/>
              <w:left w:val="single" w:color="auto" w:sz="6" w:space="0"/>
              <w:bottom w:val="single" w:color="auto" w:sz="6" w:space="0"/>
              <w:right w:val="single" w:color="auto" w:sz="4" w:space="0"/>
            </w:tcBorders>
            <w:noWrap/>
            <w:vAlign w:val="top"/>
          </w:tcPr>
          <w:p>
            <w:pPr>
              <w:spacing w:line="360" w:lineRule="exact"/>
              <w:rPr>
                <w:rFonts w:hint="eastAsia" w:ascii="宋体" w:hAnsi="宋体" w:cs="宋体"/>
                <w:color w:val="auto"/>
                <w:szCs w:val="21"/>
                <w:highlight w:val="none"/>
              </w:rPr>
            </w:pPr>
          </w:p>
        </w:tc>
      </w:tr>
      <w:tr>
        <w:tblPrEx>
          <w:tblCellMar>
            <w:top w:w="0" w:type="dxa"/>
            <w:left w:w="108" w:type="dxa"/>
            <w:bottom w:w="0" w:type="dxa"/>
            <w:right w:w="108" w:type="dxa"/>
          </w:tblCellMar>
        </w:tblPrEx>
        <w:trPr>
          <w:trHeight w:val="567" w:hRule="exact"/>
        </w:trPr>
        <w:tc>
          <w:tcPr>
            <w:tcW w:w="553" w:type="pct"/>
            <w:tcBorders>
              <w:top w:val="single" w:color="auto" w:sz="6" w:space="0"/>
              <w:left w:val="single" w:color="auto" w:sz="6" w:space="0"/>
              <w:bottom w:val="single" w:color="auto" w:sz="6" w:space="0"/>
              <w:right w:val="single" w:color="auto" w:sz="6" w:space="0"/>
            </w:tcBorders>
            <w:noWrap/>
            <w:vAlign w:val="top"/>
          </w:tcPr>
          <w:p>
            <w:pPr>
              <w:spacing w:line="360" w:lineRule="exact"/>
              <w:rPr>
                <w:rFonts w:hint="eastAsia" w:ascii="宋体" w:hAnsi="宋体" w:cs="宋体"/>
                <w:color w:val="auto"/>
                <w:szCs w:val="21"/>
                <w:highlight w:val="none"/>
              </w:rPr>
            </w:pPr>
          </w:p>
        </w:tc>
        <w:tc>
          <w:tcPr>
            <w:tcW w:w="840" w:type="pct"/>
            <w:tcBorders>
              <w:top w:val="single" w:color="auto" w:sz="6" w:space="0"/>
              <w:left w:val="single" w:color="auto" w:sz="6" w:space="0"/>
              <w:bottom w:val="single" w:color="auto" w:sz="6" w:space="0"/>
              <w:right w:val="single" w:color="auto" w:sz="6" w:space="0"/>
            </w:tcBorders>
            <w:noWrap/>
            <w:vAlign w:val="top"/>
          </w:tcPr>
          <w:p>
            <w:pPr>
              <w:spacing w:line="360" w:lineRule="exact"/>
              <w:rPr>
                <w:rFonts w:hint="eastAsia" w:ascii="宋体" w:hAnsi="宋体" w:cs="宋体"/>
                <w:color w:val="auto"/>
                <w:szCs w:val="21"/>
                <w:highlight w:val="none"/>
              </w:rPr>
            </w:pPr>
          </w:p>
        </w:tc>
        <w:tc>
          <w:tcPr>
            <w:tcW w:w="1322" w:type="pct"/>
            <w:tcBorders>
              <w:top w:val="single" w:color="auto" w:sz="6" w:space="0"/>
              <w:left w:val="single" w:color="auto" w:sz="6" w:space="0"/>
              <w:bottom w:val="single" w:color="auto" w:sz="6" w:space="0"/>
              <w:right w:val="single" w:color="auto" w:sz="6" w:space="0"/>
            </w:tcBorders>
            <w:noWrap/>
            <w:vAlign w:val="top"/>
          </w:tcPr>
          <w:p>
            <w:pPr>
              <w:spacing w:line="360" w:lineRule="exact"/>
              <w:rPr>
                <w:rFonts w:hint="eastAsia" w:ascii="宋体" w:hAnsi="宋体" w:cs="宋体"/>
                <w:color w:val="auto"/>
                <w:szCs w:val="21"/>
                <w:highlight w:val="none"/>
              </w:rPr>
            </w:pPr>
          </w:p>
        </w:tc>
        <w:tc>
          <w:tcPr>
            <w:tcW w:w="1321" w:type="pct"/>
            <w:tcBorders>
              <w:top w:val="single" w:color="auto" w:sz="6" w:space="0"/>
              <w:left w:val="single" w:color="auto" w:sz="6" w:space="0"/>
              <w:bottom w:val="single" w:color="auto" w:sz="6" w:space="0"/>
              <w:right w:val="single" w:color="auto" w:sz="6" w:space="0"/>
            </w:tcBorders>
            <w:noWrap/>
            <w:vAlign w:val="top"/>
          </w:tcPr>
          <w:p>
            <w:pPr>
              <w:spacing w:line="360" w:lineRule="exact"/>
              <w:rPr>
                <w:rFonts w:hint="eastAsia" w:ascii="宋体" w:hAnsi="宋体" w:cs="宋体"/>
                <w:color w:val="auto"/>
                <w:szCs w:val="21"/>
                <w:highlight w:val="none"/>
              </w:rPr>
            </w:pPr>
          </w:p>
        </w:tc>
        <w:tc>
          <w:tcPr>
            <w:tcW w:w="962" w:type="pct"/>
            <w:tcBorders>
              <w:top w:val="single" w:color="auto" w:sz="6" w:space="0"/>
              <w:left w:val="single" w:color="auto" w:sz="6" w:space="0"/>
              <w:bottom w:val="single" w:color="auto" w:sz="6" w:space="0"/>
              <w:right w:val="single" w:color="auto" w:sz="4" w:space="0"/>
            </w:tcBorders>
            <w:noWrap/>
            <w:vAlign w:val="top"/>
          </w:tcPr>
          <w:p>
            <w:pPr>
              <w:spacing w:line="360" w:lineRule="exact"/>
              <w:rPr>
                <w:rFonts w:hint="eastAsia" w:ascii="宋体" w:hAnsi="宋体" w:cs="宋体"/>
                <w:color w:val="auto"/>
                <w:szCs w:val="21"/>
                <w:highlight w:val="none"/>
              </w:rPr>
            </w:pPr>
          </w:p>
        </w:tc>
      </w:tr>
      <w:tr>
        <w:tblPrEx>
          <w:tblCellMar>
            <w:top w:w="0" w:type="dxa"/>
            <w:left w:w="108" w:type="dxa"/>
            <w:bottom w:w="0" w:type="dxa"/>
            <w:right w:w="108" w:type="dxa"/>
          </w:tblCellMar>
        </w:tblPrEx>
        <w:trPr>
          <w:trHeight w:val="567" w:hRule="exact"/>
        </w:trPr>
        <w:tc>
          <w:tcPr>
            <w:tcW w:w="553" w:type="pct"/>
            <w:tcBorders>
              <w:top w:val="single" w:color="auto" w:sz="6" w:space="0"/>
              <w:left w:val="single" w:color="auto" w:sz="6" w:space="0"/>
              <w:bottom w:val="single" w:color="auto" w:sz="6" w:space="0"/>
              <w:right w:val="single" w:color="auto" w:sz="6" w:space="0"/>
            </w:tcBorders>
            <w:noWrap/>
            <w:vAlign w:val="top"/>
          </w:tcPr>
          <w:p>
            <w:pPr>
              <w:spacing w:line="360" w:lineRule="exact"/>
              <w:rPr>
                <w:rFonts w:hint="eastAsia" w:ascii="宋体" w:hAnsi="宋体" w:cs="宋体"/>
                <w:color w:val="auto"/>
                <w:szCs w:val="21"/>
                <w:highlight w:val="none"/>
              </w:rPr>
            </w:pPr>
          </w:p>
        </w:tc>
        <w:tc>
          <w:tcPr>
            <w:tcW w:w="840" w:type="pct"/>
            <w:tcBorders>
              <w:top w:val="single" w:color="auto" w:sz="6" w:space="0"/>
              <w:left w:val="single" w:color="auto" w:sz="6" w:space="0"/>
              <w:bottom w:val="single" w:color="auto" w:sz="6" w:space="0"/>
              <w:right w:val="single" w:color="auto" w:sz="6" w:space="0"/>
            </w:tcBorders>
            <w:noWrap/>
            <w:vAlign w:val="top"/>
          </w:tcPr>
          <w:p>
            <w:pPr>
              <w:spacing w:line="360" w:lineRule="exact"/>
              <w:rPr>
                <w:rFonts w:hint="eastAsia" w:ascii="宋体" w:hAnsi="宋体" w:cs="宋体"/>
                <w:color w:val="auto"/>
                <w:szCs w:val="21"/>
                <w:highlight w:val="none"/>
              </w:rPr>
            </w:pPr>
          </w:p>
        </w:tc>
        <w:tc>
          <w:tcPr>
            <w:tcW w:w="1322" w:type="pct"/>
            <w:tcBorders>
              <w:top w:val="single" w:color="auto" w:sz="6" w:space="0"/>
              <w:left w:val="single" w:color="auto" w:sz="6" w:space="0"/>
              <w:bottom w:val="single" w:color="auto" w:sz="6" w:space="0"/>
              <w:right w:val="single" w:color="auto" w:sz="6" w:space="0"/>
            </w:tcBorders>
            <w:noWrap/>
            <w:vAlign w:val="top"/>
          </w:tcPr>
          <w:p>
            <w:pPr>
              <w:spacing w:line="360" w:lineRule="exact"/>
              <w:rPr>
                <w:rFonts w:hint="eastAsia" w:ascii="宋体" w:hAnsi="宋体" w:cs="宋体"/>
                <w:color w:val="auto"/>
                <w:szCs w:val="21"/>
                <w:highlight w:val="none"/>
              </w:rPr>
            </w:pPr>
          </w:p>
        </w:tc>
        <w:tc>
          <w:tcPr>
            <w:tcW w:w="1321" w:type="pct"/>
            <w:tcBorders>
              <w:top w:val="single" w:color="auto" w:sz="6" w:space="0"/>
              <w:left w:val="single" w:color="auto" w:sz="6" w:space="0"/>
              <w:bottom w:val="single" w:color="auto" w:sz="6" w:space="0"/>
              <w:right w:val="single" w:color="auto" w:sz="6" w:space="0"/>
            </w:tcBorders>
            <w:noWrap/>
            <w:vAlign w:val="top"/>
          </w:tcPr>
          <w:p>
            <w:pPr>
              <w:spacing w:line="360" w:lineRule="exact"/>
              <w:rPr>
                <w:rFonts w:hint="eastAsia" w:ascii="宋体" w:hAnsi="宋体" w:cs="宋体"/>
                <w:color w:val="auto"/>
                <w:szCs w:val="21"/>
                <w:highlight w:val="none"/>
              </w:rPr>
            </w:pPr>
          </w:p>
        </w:tc>
        <w:tc>
          <w:tcPr>
            <w:tcW w:w="962" w:type="pct"/>
            <w:tcBorders>
              <w:top w:val="single" w:color="auto" w:sz="6" w:space="0"/>
              <w:left w:val="single" w:color="auto" w:sz="6" w:space="0"/>
              <w:bottom w:val="single" w:color="auto" w:sz="6" w:space="0"/>
              <w:right w:val="single" w:color="auto" w:sz="4" w:space="0"/>
            </w:tcBorders>
            <w:noWrap/>
            <w:vAlign w:val="top"/>
          </w:tcPr>
          <w:p>
            <w:pPr>
              <w:spacing w:line="360" w:lineRule="exact"/>
              <w:rPr>
                <w:rFonts w:hint="eastAsia" w:ascii="宋体" w:hAnsi="宋体" w:cs="宋体"/>
                <w:color w:val="auto"/>
                <w:szCs w:val="21"/>
                <w:highlight w:val="none"/>
              </w:rPr>
            </w:pPr>
          </w:p>
        </w:tc>
      </w:tr>
      <w:tr>
        <w:tblPrEx>
          <w:tblCellMar>
            <w:top w:w="0" w:type="dxa"/>
            <w:left w:w="108" w:type="dxa"/>
            <w:bottom w:w="0" w:type="dxa"/>
            <w:right w:w="108" w:type="dxa"/>
          </w:tblCellMar>
        </w:tblPrEx>
        <w:trPr>
          <w:trHeight w:val="567" w:hRule="exact"/>
        </w:trPr>
        <w:tc>
          <w:tcPr>
            <w:tcW w:w="553" w:type="pct"/>
            <w:tcBorders>
              <w:top w:val="single" w:color="auto" w:sz="6" w:space="0"/>
              <w:left w:val="single" w:color="auto" w:sz="6" w:space="0"/>
              <w:bottom w:val="single" w:color="auto" w:sz="6" w:space="0"/>
              <w:right w:val="single" w:color="auto" w:sz="6" w:space="0"/>
            </w:tcBorders>
            <w:noWrap/>
            <w:vAlign w:val="top"/>
          </w:tcPr>
          <w:p>
            <w:pPr>
              <w:spacing w:line="360" w:lineRule="exact"/>
              <w:rPr>
                <w:rFonts w:hint="eastAsia" w:ascii="宋体" w:hAnsi="宋体" w:cs="宋体"/>
                <w:color w:val="auto"/>
                <w:szCs w:val="21"/>
                <w:highlight w:val="none"/>
              </w:rPr>
            </w:pPr>
          </w:p>
        </w:tc>
        <w:tc>
          <w:tcPr>
            <w:tcW w:w="840" w:type="pct"/>
            <w:tcBorders>
              <w:top w:val="single" w:color="auto" w:sz="6" w:space="0"/>
              <w:left w:val="single" w:color="auto" w:sz="6" w:space="0"/>
              <w:bottom w:val="single" w:color="auto" w:sz="6" w:space="0"/>
              <w:right w:val="single" w:color="auto" w:sz="6" w:space="0"/>
            </w:tcBorders>
            <w:noWrap/>
            <w:vAlign w:val="top"/>
          </w:tcPr>
          <w:p>
            <w:pPr>
              <w:spacing w:line="360" w:lineRule="exact"/>
              <w:rPr>
                <w:rFonts w:hint="eastAsia" w:ascii="宋体" w:hAnsi="宋体" w:cs="宋体"/>
                <w:color w:val="auto"/>
                <w:szCs w:val="21"/>
                <w:highlight w:val="none"/>
              </w:rPr>
            </w:pPr>
          </w:p>
        </w:tc>
        <w:tc>
          <w:tcPr>
            <w:tcW w:w="1322" w:type="pct"/>
            <w:tcBorders>
              <w:top w:val="single" w:color="auto" w:sz="6" w:space="0"/>
              <w:left w:val="single" w:color="auto" w:sz="6" w:space="0"/>
              <w:bottom w:val="single" w:color="auto" w:sz="6" w:space="0"/>
              <w:right w:val="single" w:color="auto" w:sz="6" w:space="0"/>
            </w:tcBorders>
            <w:noWrap/>
            <w:vAlign w:val="top"/>
          </w:tcPr>
          <w:p>
            <w:pPr>
              <w:spacing w:line="360" w:lineRule="exact"/>
              <w:rPr>
                <w:rFonts w:hint="eastAsia" w:ascii="宋体" w:hAnsi="宋体" w:cs="宋体"/>
                <w:color w:val="auto"/>
                <w:szCs w:val="21"/>
                <w:highlight w:val="none"/>
              </w:rPr>
            </w:pPr>
          </w:p>
        </w:tc>
        <w:tc>
          <w:tcPr>
            <w:tcW w:w="1321" w:type="pct"/>
            <w:tcBorders>
              <w:top w:val="single" w:color="auto" w:sz="6" w:space="0"/>
              <w:left w:val="single" w:color="auto" w:sz="6" w:space="0"/>
              <w:bottom w:val="single" w:color="auto" w:sz="6" w:space="0"/>
              <w:right w:val="single" w:color="auto" w:sz="6" w:space="0"/>
            </w:tcBorders>
            <w:noWrap/>
            <w:vAlign w:val="top"/>
          </w:tcPr>
          <w:p>
            <w:pPr>
              <w:spacing w:line="360" w:lineRule="exact"/>
              <w:rPr>
                <w:rFonts w:hint="eastAsia" w:ascii="宋体" w:hAnsi="宋体" w:cs="宋体"/>
                <w:color w:val="auto"/>
                <w:szCs w:val="21"/>
                <w:highlight w:val="none"/>
              </w:rPr>
            </w:pPr>
          </w:p>
        </w:tc>
        <w:tc>
          <w:tcPr>
            <w:tcW w:w="962" w:type="pct"/>
            <w:tcBorders>
              <w:top w:val="single" w:color="auto" w:sz="6" w:space="0"/>
              <w:left w:val="single" w:color="auto" w:sz="6" w:space="0"/>
              <w:bottom w:val="single" w:color="auto" w:sz="6" w:space="0"/>
              <w:right w:val="single" w:color="auto" w:sz="4" w:space="0"/>
            </w:tcBorders>
            <w:noWrap/>
            <w:vAlign w:val="top"/>
          </w:tcPr>
          <w:p>
            <w:pPr>
              <w:spacing w:line="360" w:lineRule="exact"/>
              <w:rPr>
                <w:rFonts w:hint="eastAsia" w:ascii="宋体" w:hAnsi="宋体" w:cs="宋体"/>
                <w:color w:val="auto"/>
                <w:szCs w:val="21"/>
                <w:highlight w:val="none"/>
              </w:rPr>
            </w:pPr>
          </w:p>
        </w:tc>
      </w:tr>
      <w:tr>
        <w:tblPrEx>
          <w:tblCellMar>
            <w:top w:w="0" w:type="dxa"/>
            <w:left w:w="108" w:type="dxa"/>
            <w:bottom w:w="0" w:type="dxa"/>
            <w:right w:w="108" w:type="dxa"/>
          </w:tblCellMar>
        </w:tblPrEx>
        <w:trPr>
          <w:trHeight w:val="567" w:hRule="exact"/>
        </w:trPr>
        <w:tc>
          <w:tcPr>
            <w:tcW w:w="553" w:type="pct"/>
            <w:tcBorders>
              <w:top w:val="single" w:color="auto" w:sz="6" w:space="0"/>
              <w:left w:val="single" w:color="auto" w:sz="6" w:space="0"/>
              <w:bottom w:val="single" w:color="auto" w:sz="6" w:space="0"/>
              <w:right w:val="single" w:color="auto" w:sz="6" w:space="0"/>
            </w:tcBorders>
            <w:noWrap/>
            <w:vAlign w:val="top"/>
          </w:tcPr>
          <w:p>
            <w:pPr>
              <w:spacing w:line="360" w:lineRule="exact"/>
              <w:rPr>
                <w:rFonts w:hint="eastAsia" w:ascii="宋体" w:hAnsi="宋体" w:cs="宋体"/>
                <w:color w:val="auto"/>
                <w:szCs w:val="21"/>
                <w:highlight w:val="none"/>
              </w:rPr>
            </w:pPr>
          </w:p>
        </w:tc>
        <w:tc>
          <w:tcPr>
            <w:tcW w:w="840" w:type="pct"/>
            <w:tcBorders>
              <w:top w:val="single" w:color="auto" w:sz="6" w:space="0"/>
              <w:left w:val="single" w:color="auto" w:sz="6" w:space="0"/>
              <w:bottom w:val="single" w:color="auto" w:sz="6" w:space="0"/>
              <w:right w:val="single" w:color="auto" w:sz="6" w:space="0"/>
            </w:tcBorders>
            <w:noWrap/>
            <w:vAlign w:val="top"/>
          </w:tcPr>
          <w:p>
            <w:pPr>
              <w:spacing w:line="360" w:lineRule="exact"/>
              <w:rPr>
                <w:rFonts w:hint="eastAsia" w:ascii="宋体" w:hAnsi="宋体" w:cs="宋体"/>
                <w:color w:val="auto"/>
                <w:szCs w:val="21"/>
                <w:highlight w:val="none"/>
              </w:rPr>
            </w:pPr>
          </w:p>
        </w:tc>
        <w:tc>
          <w:tcPr>
            <w:tcW w:w="1322" w:type="pct"/>
            <w:tcBorders>
              <w:top w:val="single" w:color="auto" w:sz="6" w:space="0"/>
              <w:left w:val="single" w:color="auto" w:sz="6" w:space="0"/>
              <w:bottom w:val="single" w:color="auto" w:sz="6" w:space="0"/>
              <w:right w:val="single" w:color="auto" w:sz="6" w:space="0"/>
            </w:tcBorders>
            <w:noWrap/>
            <w:vAlign w:val="top"/>
          </w:tcPr>
          <w:p>
            <w:pPr>
              <w:spacing w:line="360" w:lineRule="exact"/>
              <w:rPr>
                <w:rFonts w:hint="eastAsia" w:ascii="宋体" w:hAnsi="宋体" w:cs="宋体"/>
                <w:color w:val="auto"/>
                <w:szCs w:val="21"/>
                <w:highlight w:val="none"/>
              </w:rPr>
            </w:pPr>
          </w:p>
        </w:tc>
        <w:tc>
          <w:tcPr>
            <w:tcW w:w="1321" w:type="pct"/>
            <w:tcBorders>
              <w:top w:val="single" w:color="auto" w:sz="6" w:space="0"/>
              <w:left w:val="single" w:color="auto" w:sz="6" w:space="0"/>
              <w:bottom w:val="single" w:color="auto" w:sz="6" w:space="0"/>
              <w:right w:val="single" w:color="auto" w:sz="6" w:space="0"/>
            </w:tcBorders>
            <w:noWrap/>
            <w:vAlign w:val="top"/>
          </w:tcPr>
          <w:p>
            <w:pPr>
              <w:spacing w:line="360" w:lineRule="exact"/>
              <w:rPr>
                <w:rFonts w:hint="eastAsia" w:ascii="宋体" w:hAnsi="宋体" w:cs="宋体"/>
                <w:color w:val="auto"/>
                <w:szCs w:val="21"/>
                <w:highlight w:val="none"/>
              </w:rPr>
            </w:pPr>
          </w:p>
        </w:tc>
        <w:tc>
          <w:tcPr>
            <w:tcW w:w="962" w:type="pct"/>
            <w:tcBorders>
              <w:top w:val="single" w:color="auto" w:sz="6" w:space="0"/>
              <w:left w:val="single" w:color="auto" w:sz="6" w:space="0"/>
              <w:bottom w:val="single" w:color="auto" w:sz="6" w:space="0"/>
              <w:right w:val="single" w:color="auto" w:sz="4" w:space="0"/>
            </w:tcBorders>
            <w:noWrap/>
            <w:vAlign w:val="top"/>
          </w:tcPr>
          <w:p>
            <w:pPr>
              <w:spacing w:line="360" w:lineRule="exact"/>
              <w:rPr>
                <w:rFonts w:hint="eastAsia" w:ascii="宋体" w:hAnsi="宋体" w:cs="宋体"/>
                <w:color w:val="auto"/>
                <w:szCs w:val="21"/>
                <w:highlight w:val="none"/>
              </w:rPr>
            </w:pPr>
          </w:p>
        </w:tc>
      </w:tr>
      <w:tr>
        <w:tblPrEx>
          <w:tblCellMar>
            <w:top w:w="0" w:type="dxa"/>
            <w:left w:w="108" w:type="dxa"/>
            <w:bottom w:w="0" w:type="dxa"/>
            <w:right w:w="108" w:type="dxa"/>
          </w:tblCellMar>
        </w:tblPrEx>
        <w:trPr>
          <w:trHeight w:val="567" w:hRule="exact"/>
        </w:trPr>
        <w:tc>
          <w:tcPr>
            <w:tcW w:w="553" w:type="pct"/>
            <w:tcBorders>
              <w:top w:val="single" w:color="auto" w:sz="6" w:space="0"/>
              <w:left w:val="single" w:color="auto" w:sz="6" w:space="0"/>
              <w:bottom w:val="single" w:color="auto" w:sz="6" w:space="0"/>
              <w:right w:val="single" w:color="auto" w:sz="6" w:space="0"/>
            </w:tcBorders>
            <w:noWrap/>
            <w:vAlign w:val="top"/>
          </w:tcPr>
          <w:p>
            <w:pPr>
              <w:spacing w:line="360" w:lineRule="exact"/>
              <w:rPr>
                <w:rFonts w:hint="eastAsia" w:ascii="宋体" w:hAnsi="宋体" w:cs="宋体"/>
                <w:color w:val="auto"/>
                <w:szCs w:val="21"/>
                <w:highlight w:val="none"/>
              </w:rPr>
            </w:pPr>
          </w:p>
        </w:tc>
        <w:tc>
          <w:tcPr>
            <w:tcW w:w="840" w:type="pct"/>
            <w:tcBorders>
              <w:top w:val="single" w:color="auto" w:sz="6" w:space="0"/>
              <w:left w:val="single" w:color="auto" w:sz="6" w:space="0"/>
              <w:bottom w:val="single" w:color="auto" w:sz="6" w:space="0"/>
              <w:right w:val="single" w:color="auto" w:sz="6" w:space="0"/>
            </w:tcBorders>
            <w:noWrap/>
            <w:vAlign w:val="top"/>
          </w:tcPr>
          <w:p>
            <w:pPr>
              <w:spacing w:line="360" w:lineRule="exact"/>
              <w:rPr>
                <w:rFonts w:hint="eastAsia" w:ascii="宋体" w:hAnsi="宋体" w:cs="宋体"/>
                <w:color w:val="auto"/>
                <w:szCs w:val="21"/>
                <w:highlight w:val="none"/>
              </w:rPr>
            </w:pPr>
          </w:p>
        </w:tc>
        <w:tc>
          <w:tcPr>
            <w:tcW w:w="1322" w:type="pct"/>
            <w:tcBorders>
              <w:top w:val="single" w:color="auto" w:sz="6" w:space="0"/>
              <w:left w:val="single" w:color="auto" w:sz="6" w:space="0"/>
              <w:bottom w:val="single" w:color="auto" w:sz="6" w:space="0"/>
              <w:right w:val="single" w:color="auto" w:sz="6" w:space="0"/>
            </w:tcBorders>
            <w:noWrap/>
            <w:vAlign w:val="top"/>
          </w:tcPr>
          <w:p>
            <w:pPr>
              <w:spacing w:line="360" w:lineRule="exact"/>
              <w:rPr>
                <w:rFonts w:hint="eastAsia" w:ascii="宋体" w:hAnsi="宋体" w:cs="宋体"/>
                <w:color w:val="auto"/>
                <w:szCs w:val="21"/>
                <w:highlight w:val="none"/>
              </w:rPr>
            </w:pPr>
          </w:p>
        </w:tc>
        <w:tc>
          <w:tcPr>
            <w:tcW w:w="1321" w:type="pct"/>
            <w:tcBorders>
              <w:top w:val="single" w:color="auto" w:sz="6" w:space="0"/>
              <w:left w:val="single" w:color="auto" w:sz="6" w:space="0"/>
              <w:bottom w:val="single" w:color="auto" w:sz="6" w:space="0"/>
              <w:right w:val="single" w:color="auto" w:sz="6" w:space="0"/>
            </w:tcBorders>
            <w:noWrap/>
            <w:vAlign w:val="top"/>
          </w:tcPr>
          <w:p>
            <w:pPr>
              <w:spacing w:line="360" w:lineRule="exact"/>
              <w:rPr>
                <w:rFonts w:hint="eastAsia" w:ascii="宋体" w:hAnsi="宋体" w:cs="宋体"/>
                <w:color w:val="auto"/>
                <w:szCs w:val="21"/>
                <w:highlight w:val="none"/>
              </w:rPr>
            </w:pPr>
          </w:p>
        </w:tc>
        <w:tc>
          <w:tcPr>
            <w:tcW w:w="962" w:type="pct"/>
            <w:tcBorders>
              <w:top w:val="single" w:color="auto" w:sz="6" w:space="0"/>
              <w:left w:val="single" w:color="auto" w:sz="6" w:space="0"/>
              <w:bottom w:val="single" w:color="auto" w:sz="6" w:space="0"/>
              <w:right w:val="single" w:color="auto" w:sz="4" w:space="0"/>
            </w:tcBorders>
            <w:noWrap/>
            <w:vAlign w:val="top"/>
          </w:tcPr>
          <w:p>
            <w:pPr>
              <w:spacing w:line="360" w:lineRule="exact"/>
              <w:rPr>
                <w:rFonts w:hint="eastAsia" w:ascii="宋体" w:hAnsi="宋体" w:cs="宋体"/>
                <w:color w:val="auto"/>
                <w:szCs w:val="21"/>
                <w:highlight w:val="none"/>
              </w:rPr>
            </w:pPr>
          </w:p>
        </w:tc>
      </w:tr>
      <w:tr>
        <w:tblPrEx>
          <w:tblCellMar>
            <w:top w:w="0" w:type="dxa"/>
            <w:left w:w="108" w:type="dxa"/>
            <w:bottom w:w="0" w:type="dxa"/>
            <w:right w:w="108" w:type="dxa"/>
          </w:tblCellMar>
        </w:tblPrEx>
        <w:trPr>
          <w:trHeight w:val="567" w:hRule="exact"/>
        </w:trPr>
        <w:tc>
          <w:tcPr>
            <w:tcW w:w="553" w:type="pct"/>
            <w:tcBorders>
              <w:top w:val="single" w:color="auto" w:sz="6" w:space="0"/>
              <w:left w:val="single" w:color="auto" w:sz="6" w:space="0"/>
              <w:bottom w:val="single" w:color="auto" w:sz="6" w:space="0"/>
              <w:right w:val="single" w:color="auto" w:sz="6" w:space="0"/>
            </w:tcBorders>
            <w:noWrap/>
            <w:vAlign w:val="top"/>
          </w:tcPr>
          <w:p>
            <w:pPr>
              <w:spacing w:line="360" w:lineRule="exact"/>
              <w:rPr>
                <w:rFonts w:hint="eastAsia" w:ascii="宋体" w:hAnsi="宋体" w:cs="宋体"/>
                <w:color w:val="auto"/>
                <w:szCs w:val="21"/>
                <w:highlight w:val="none"/>
              </w:rPr>
            </w:pPr>
          </w:p>
        </w:tc>
        <w:tc>
          <w:tcPr>
            <w:tcW w:w="840" w:type="pct"/>
            <w:tcBorders>
              <w:top w:val="single" w:color="auto" w:sz="6" w:space="0"/>
              <w:left w:val="single" w:color="auto" w:sz="6" w:space="0"/>
              <w:bottom w:val="single" w:color="auto" w:sz="6" w:space="0"/>
              <w:right w:val="single" w:color="auto" w:sz="6" w:space="0"/>
            </w:tcBorders>
            <w:noWrap/>
            <w:vAlign w:val="top"/>
          </w:tcPr>
          <w:p>
            <w:pPr>
              <w:spacing w:line="360" w:lineRule="exact"/>
              <w:rPr>
                <w:rFonts w:hint="eastAsia" w:ascii="宋体" w:hAnsi="宋体" w:cs="宋体"/>
                <w:color w:val="auto"/>
                <w:szCs w:val="21"/>
                <w:highlight w:val="none"/>
              </w:rPr>
            </w:pPr>
          </w:p>
        </w:tc>
        <w:tc>
          <w:tcPr>
            <w:tcW w:w="1322" w:type="pct"/>
            <w:tcBorders>
              <w:top w:val="single" w:color="auto" w:sz="6" w:space="0"/>
              <w:left w:val="single" w:color="auto" w:sz="6" w:space="0"/>
              <w:bottom w:val="single" w:color="auto" w:sz="6" w:space="0"/>
              <w:right w:val="single" w:color="auto" w:sz="6" w:space="0"/>
            </w:tcBorders>
            <w:noWrap/>
            <w:vAlign w:val="top"/>
          </w:tcPr>
          <w:p>
            <w:pPr>
              <w:spacing w:line="360" w:lineRule="exact"/>
              <w:rPr>
                <w:rFonts w:hint="eastAsia" w:ascii="宋体" w:hAnsi="宋体" w:cs="宋体"/>
                <w:color w:val="auto"/>
                <w:szCs w:val="21"/>
                <w:highlight w:val="none"/>
              </w:rPr>
            </w:pPr>
          </w:p>
        </w:tc>
        <w:tc>
          <w:tcPr>
            <w:tcW w:w="1321" w:type="pct"/>
            <w:tcBorders>
              <w:top w:val="single" w:color="auto" w:sz="6" w:space="0"/>
              <w:left w:val="single" w:color="auto" w:sz="6" w:space="0"/>
              <w:bottom w:val="single" w:color="auto" w:sz="6" w:space="0"/>
              <w:right w:val="single" w:color="auto" w:sz="6" w:space="0"/>
            </w:tcBorders>
            <w:noWrap/>
            <w:vAlign w:val="top"/>
          </w:tcPr>
          <w:p>
            <w:pPr>
              <w:spacing w:line="360" w:lineRule="exact"/>
              <w:rPr>
                <w:rFonts w:hint="eastAsia" w:ascii="宋体" w:hAnsi="宋体" w:cs="宋体"/>
                <w:color w:val="auto"/>
                <w:szCs w:val="21"/>
                <w:highlight w:val="none"/>
              </w:rPr>
            </w:pPr>
          </w:p>
        </w:tc>
        <w:tc>
          <w:tcPr>
            <w:tcW w:w="962" w:type="pct"/>
            <w:tcBorders>
              <w:top w:val="single" w:color="auto" w:sz="6" w:space="0"/>
              <w:left w:val="single" w:color="auto" w:sz="6" w:space="0"/>
              <w:bottom w:val="single" w:color="auto" w:sz="6" w:space="0"/>
              <w:right w:val="single" w:color="auto" w:sz="4" w:space="0"/>
            </w:tcBorders>
            <w:noWrap/>
            <w:vAlign w:val="top"/>
          </w:tcPr>
          <w:p>
            <w:pPr>
              <w:spacing w:line="360" w:lineRule="exact"/>
              <w:rPr>
                <w:rFonts w:hint="eastAsia" w:ascii="宋体" w:hAnsi="宋体" w:cs="宋体"/>
                <w:color w:val="auto"/>
                <w:szCs w:val="21"/>
                <w:highlight w:val="none"/>
              </w:rPr>
            </w:pPr>
          </w:p>
        </w:tc>
      </w:tr>
    </w:tbl>
    <w:p>
      <w:pPr>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注：供应商应根据投标设备的性能指标、对照招标文件要求在“偏离情况”栏注明“正偏离”、“负偏离”或“无偏离”。行数可视情况自行添加。不填写视同完全响应招标文件要求。</w:t>
      </w:r>
    </w:p>
    <w:p>
      <w:pPr>
        <w:snapToGrid w:val="0"/>
        <w:spacing w:line="440" w:lineRule="exact"/>
        <w:rPr>
          <w:rFonts w:hint="eastAsia" w:ascii="宋体" w:hAnsi="宋体" w:cs="宋体"/>
          <w:color w:val="auto"/>
          <w:szCs w:val="21"/>
          <w:highlight w:val="none"/>
        </w:rPr>
      </w:pPr>
    </w:p>
    <w:p>
      <w:pPr>
        <w:snapToGrid w:val="0"/>
        <w:spacing w:line="440" w:lineRule="exact"/>
        <w:rPr>
          <w:rFonts w:hint="eastAsia" w:ascii="宋体" w:hAnsi="宋体" w:cs="宋体"/>
          <w:color w:val="auto"/>
          <w:szCs w:val="21"/>
          <w:highlight w:val="none"/>
        </w:rPr>
      </w:pPr>
    </w:p>
    <w:p>
      <w:pPr>
        <w:snapToGrid w:val="0"/>
        <w:spacing w:line="440" w:lineRule="exact"/>
        <w:rPr>
          <w:rFonts w:hint="eastAsia" w:ascii="宋体" w:hAnsi="宋体" w:cs="宋体"/>
          <w:color w:val="auto"/>
          <w:szCs w:val="21"/>
          <w:highlight w:val="none"/>
          <w:u w:val="single"/>
        </w:rPr>
      </w:pPr>
      <w:r>
        <w:rPr>
          <w:rFonts w:hint="eastAsia" w:ascii="宋体" w:hAnsi="宋体" w:cs="宋体"/>
          <w:color w:val="auto"/>
          <w:szCs w:val="21"/>
          <w:highlight w:val="none"/>
        </w:rPr>
        <w:t>授权代表签名：</w:t>
      </w:r>
      <w:r>
        <w:rPr>
          <w:rFonts w:hint="eastAsia" w:ascii="宋体" w:hAnsi="宋体" w:cs="宋体"/>
          <w:color w:val="auto"/>
          <w:szCs w:val="21"/>
          <w:highlight w:val="none"/>
          <w:u w:val="single"/>
        </w:rPr>
        <w:t xml:space="preserve">                  </w:t>
      </w:r>
    </w:p>
    <w:p>
      <w:pPr>
        <w:pStyle w:val="10"/>
        <w:adjustRightInd w:val="0"/>
        <w:snapToGrid w:val="0"/>
        <w:spacing w:after="0" w:line="44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供应商盖章：</w:t>
      </w:r>
      <w:r>
        <w:rPr>
          <w:rFonts w:hint="eastAsia" w:ascii="宋体" w:hAnsi="宋体" w:cs="宋体"/>
          <w:color w:val="auto"/>
          <w:sz w:val="21"/>
          <w:szCs w:val="21"/>
          <w:highlight w:val="none"/>
          <w:u w:val="single"/>
        </w:rPr>
        <w:t xml:space="preserve">               </w:t>
      </w:r>
    </w:p>
    <w:p>
      <w:pPr>
        <w:adjustRightInd w:val="0"/>
        <w:snapToGrid w:val="0"/>
        <w:spacing w:line="440" w:lineRule="exact"/>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bCs/>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bCs/>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bCs/>
          <w:color w:val="auto"/>
          <w:szCs w:val="21"/>
          <w:highlight w:val="none"/>
        </w:rPr>
        <w:t>日</w:t>
      </w:r>
    </w:p>
    <w:p>
      <w:pPr>
        <w:spacing w:line="480" w:lineRule="exact"/>
        <w:rPr>
          <w:rFonts w:hint="eastAsia" w:ascii="宋体" w:hAnsi="宋体" w:cs="宋体"/>
          <w:color w:val="auto"/>
          <w:szCs w:val="21"/>
          <w:highlight w:val="none"/>
        </w:rPr>
      </w:pPr>
    </w:p>
    <w:p>
      <w:pPr>
        <w:spacing w:line="200" w:lineRule="exact"/>
        <w:rPr>
          <w:rFonts w:hint="eastAsia" w:ascii="宋体" w:hAnsi="宋体" w:cs="宋体"/>
          <w:color w:val="auto"/>
          <w:szCs w:val="21"/>
          <w:highlight w:val="none"/>
        </w:rPr>
      </w:pPr>
    </w:p>
    <w:p>
      <w:pPr>
        <w:rPr>
          <w:rFonts w:hint="eastAsia" w:ascii="宋体" w:hAnsi="宋体" w:cs="宋体"/>
          <w:color w:val="auto"/>
          <w:szCs w:val="21"/>
          <w:highlight w:val="none"/>
        </w:rPr>
      </w:pPr>
      <w:bookmarkStart w:id="178" w:name="page34"/>
      <w:bookmarkEnd w:id="178"/>
    </w:p>
    <w:sectPr>
      <w:headerReference r:id="rId9" w:type="default"/>
      <w:footerReference r:id="rId10" w:type="default"/>
      <w:pgSz w:w="11906" w:h="16838"/>
      <w:pgMar w:top="1134" w:right="1134" w:bottom="1134" w:left="1134" w:header="567"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Helvetica">
    <w:panose1 w:val="020B0504020202030204"/>
    <w:charset w:val="00"/>
    <w:family w:val="swiss"/>
    <w:pitch w:val="default"/>
    <w:sig w:usb0="00000007" w:usb1="00000000" w:usb2="00000000" w:usb3="00000000" w:csb0="00000093" w:csb1="00000000"/>
  </w:font>
  <w:font w:name="汉仪仿宋简">
    <w:altName w:val="仿宋"/>
    <w:panose1 w:val="00000000000000000000"/>
    <w:charset w:val="86"/>
    <w:family w:val="auto"/>
    <w:pitch w:val="default"/>
    <w:sig w:usb0="00000000" w:usb1="00000000" w:usb2="00000012" w:usb3="00000000" w:csb0="00040000" w:csb1="00000000"/>
  </w:font>
  <w:font w:name="仿宋">
    <w:panose1 w:val="02010609060101010101"/>
    <w:charset w:val="86"/>
    <w:family w:val="modern"/>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Wingdings 2">
    <w:altName w:val="Wingdings"/>
    <w:panose1 w:val="05020102010507070707"/>
    <w:charset w:val="02"/>
    <w:family w:val="roman"/>
    <w:pitch w:val="default"/>
    <w:sig w:usb0="00000000" w:usb1="00000000" w:usb2="00000000" w:usb3="00000000" w:csb0="80000000" w:csb1="00000000"/>
  </w:font>
  <w:font w:name="Kingsoft Symbol">
    <w:panose1 w:val="05000100010000000000"/>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9"/>
                          </w:pPr>
                          <w:r>
                            <w:fldChar w:fldCharType="begin"/>
                          </w:r>
                          <w:r>
                            <w:instrText xml:space="preserve"> PAGE  \* MERGEFORMAT </w:instrText>
                          </w:r>
                          <w:r>
                            <w:fldChar w:fldCharType="separate"/>
                          </w:r>
                          <w:r>
                            <w:t>I</w:t>
                          </w:r>
                          <w:r>
                            <w:fldChar w:fldCharType="end"/>
                          </w:r>
                        </w:p>
                      </w:txbxContent>
                    </wps:txbx>
                    <wps:bodyPr wrap="none" lIns="0" tIns="0" rIns="0" bIns="0" upright="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gkvTAAAABQEAAA8AAAAAAAAAAQAgAAAAIgAA&#10;AGRycy9kb3ducmV2LnhtbFBLAQIUABQAAAAIAIdO4kBbO1Am1AEAAKYDAAAOAAAAAAAAAAEAIAAA&#10;ACIBAABkcnMvZTJvRG9jLnhtbFBLBQYAAAAABgAGAFkBAABoBQAAAAA=&#10;">
              <v:fill on="f" focussize="0,0"/>
              <v:stroke on="f" weight="1.25pt"/>
              <v:imagedata o:title=""/>
              <o:lock v:ext="edit" aspectratio="f"/>
              <v:textbox inset="0mm,0mm,0mm,0mm" style="mso-fit-shape-to-text:t;">
                <w:txbxContent>
                  <w:p>
                    <w:pPr>
                      <w:pStyle w:val="19"/>
                    </w:pPr>
                    <w:r>
                      <w:fldChar w:fldCharType="begin"/>
                    </w:r>
                    <w:r>
                      <w:instrText xml:space="preserve"> PAGE  \* MERGEFORMAT </w:instrText>
                    </w:r>
                    <w:r>
                      <w:fldChar w:fldCharType="separate"/>
                    </w:r>
                    <w:r>
                      <w:t>I</w:t>
                    </w:r>
                    <w:r>
                      <w:fldChar w:fldCharType="end"/>
                    </w:r>
                  </w:p>
                </w:txbxContent>
              </v:textbox>
            </v:shape>
          </w:pict>
        </mc:Fallback>
      </mc:AlternateContent>
    </w:r>
  </w:p>
  <w:p>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top w:val="single" w:color="auto" w:sz="4" w:space="0"/>
      </w:pBdr>
      <w:jc w:val="both"/>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jc w:val="center"/>
                          </w:pPr>
                          <w:r>
                            <w:fldChar w:fldCharType="begin"/>
                          </w:r>
                          <w:r>
                            <w:instrText xml:space="preserve">PAGE   \* MERGEFORMAT</w:instrText>
                          </w:r>
                          <w:r>
                            <w:fldChar w:fldCharType="separate"/>
                          </w:r>
                          <w:r>
                            <w:rPr>
                              <w:lang w:val="zh-CN"/>
                            </w:rPr>
                            <w:t>10</w:t>
                          </w:r>
                          <w:r>
                            <w:fldChar w:fldCharType="end"/>
                          </w:r>
                        </w:p>
                      </w:txbxContent>
                    </wps:txbx>
                    <wps:bodyPr wrap="none" lIns="0" tIns="0" rIns="0" bIns="0" upright="0">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eBz6csBAACc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r5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3gc+nLAQAAnAMAAA4AAAAAAAAAAQAgAAAAHgEAAGRycy9lMm9E&#10;b2MueG1sUEsFBgAAAAAGAAYAWQEAAFsFAAAAAA==&#10;">
              <v:fill on="f" focussize="0,0"/>
              <v:stroke on="f"/>
              <v:imagedata o:title=""/>
              <o:lock v:ext="edit" aspectratio="f"/>
              <v:textbox inset="0mm,0mm,0mm,0mm" style="mso-fit-shape-to-text:t;">
                <w:txbxContent>
                  <w:p>
                    <w:pPr>
                      <w:pStyle w:val="19"/>
                      <w:jc w:val="center"/>
                    </w:pPr>
                    <w:r>
                      <w:fldChar w:fldCharType="begin"/>
                    </w:r>
                    <w:r>
                      <w:instrText xml:space="preserve">PAGE   \* MERGEFORMAT</w:instrText>
                    </w:r>
                    <w:r>
                      <w:fldChar w:fldCharType="separate"/>
                    </w:r>
                    <w:r>
                      <w:rPr>
                        <w:lang w:val="zh-CN"/>
                      </w:rPr>
                      <w:t>10</w:t>
                    </w:r>
                    <w:r>
                      <w:fldChar w:fldCharType="end"/>
                    </w:r>
                  </w:p>
                </w:txbxContent>
              </v:textbox>
            </v:shape>
          </w:pict>
        </mc:Fallback>
      </mc:AlternateContent>
    </w:r>
    <w:r>
      <w:rPr>
        <w:rFonts w:hint="eastAsia"/>
      </w:rPr>
      <w:t>安吉口碑采购代理服务有限公司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top w:val="single" w:color="auto" w:sz="4" w:space="1"/>
      </w:pBdr>
      <w:tabs>
        <w:tab w:val="left" w:pos="1200"/>
      </w:tabs>
      <w:ind w:right="45"/>
      <w:rPr>
        <w:rFonts w:hint="eastAsia" w:ascii="宋体" w:hAnsi="宋体" w:cs="宋体"/>
      </w:rPr>
    </w:pPr>
    <w:r>
      <w:rPr>
        <w:rFonts w:hint="eastAsia" w:ascii="宋体" w:hAnsi="宋体" w:cs="宋体"/>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9"/>
                            <w:rPr>
                              <w:rFonts w:hint="eastAsia"/>
                            </w:rPr>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CZye1TTAQAApgMAAA4AAAAAAAAAAQAgAAAA&#10;IgEAAGRycy9lMm9Eb2MueG1sUEsFBgAAAAAGAAYAWQEAAGcFAAAAAA==&#10;">
              <v:fill on="f" focussize="0,0"/>
              <v:stroke on="f" weight="1.25pt"/>
              <v:imagedata o:title=""/>
              <o:lock v:ext="edit" aspectratio="f"/>
              <v:textbox inset="0mm,0mm,0mm,0mm" style="mso-fit-shape-to-text:t;">
                <w:txbxContent>
                  <w:p>
                    <w:pPr>
                      <w:pStyle w:val="19"/>
                      <w:rPr>
                        <w:rFonts w:hint="eastAsia"/>
                      </w:rPr>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v:textbox>
            </v:shape>
          </w:pict>
        </mc:Fallback>
      </mc:AlternateContent>
    </w:r>
    <w:r>
      <w:rPr>
        <w:rFonts w:hint="eastAsia" w:ascii="宋体" w:hAnsi="宋体" w:cs="宋体"/>
      </w:rPr>
      <w:t>安吉口碑采购代理服务有限公司</w:t>
    </w:r>
  </w:p>
  <w:p>
    <w:pPr>
      <w:pStyle w:val="19"/>
    </w:pPr>
  </w:p>
  <w:p>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jc w:val="both"/>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jc w:val="both"/>
      <w:rPr>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560" w:lineRule="exact"/>
      <w:ind w:left="7920" w:hanging="7920" w:hangingChars="4400"/>
      <w:jc w:val="left"/>
    </w:pPr>
    <w:r>
      <w:rPr>
        <w:rFonts w:hint="eastAsia"/>
        <w:sz w:val="18"/>
        <w:szCs w:val="18"/>
        <w:lang w:eastAsia="zh-CN"/>
      </w:rPr>
      <w:t>安吉县人民政府灵峰街道办事处2025-2026年度土壤污染状况调查服务项目</w:t>
    </w:r>
    <w:r>
      <w:rPr>
        <w:rFonts w:hint="eastAsia"/>
        <w:sz w:val="18"/>
        <w:szCs w:val="18"/>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jc w:val="both"/>
      <w:rPr>
        <w:rFonts w:hint="eastAsia"/>
      </w:rPr>
    </w:pPr>
  </w:p>
  <w:p>
    <w:pPr>
      <w:pStyle w:val="20"/>
      <w:pBdr>
        <w:bottom w:val="thinThickSmallGap" w:color="auto" w:sz="12" w:space="0"/>
      </w:pBdr>
      <w:jc w:val="left"/>
      <w:rPr>
        <w:rFonts w:hint="eastAsia"/>
        <w:sz w:val="16"/>
        <w:szCs w:val="16"/>
      </w:rPr>
    </w:pPr>
    <w:r>
      <w:rPr>
        <w:rFonts w:hint="eastAsia"/>
        <w:lang w:eastAsia="zh-CN"/>
      </w:rPr>
      <w:t>安吉县人民政府灵峰街道办事处2025-2026年度土壤污染状况调查服务项目</w:t>
    </w:r>
    <w:r>
      <w:rPr>
        <w:rFonts w:hint="eastAsia"/>
        <w:sz w:val="16"/>
        <w:szCs w:val="16"/>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154935"/>
    <w:multiLevelType w:val="singleLevel"/>
    <w:tmpl w:val="9A154935"/>
    <w:lvl w:ilvl="0" w:tentative="0">
      <w:start w:val="1"/>
      <w:numFmt w:val="decimal"/>
      <w:suff w:val="nothing"/>
      <w:lvlText w:val="（%1）"/>
      <w:lvlJc w:val="left"/>
    </w:lvl>
  </w:abstractNum>
  <w:abstractNum w:abstractNumId="1">
    <w:nsid w:val="B9D75C3B"/>
    <w:multiLevelType w:val="singleLevel"/>
    <w:tmpl w:val="B9D75C3B"/>
    <w:lvl w:ilvl="0" w:tentative="0">
      <w:start w:val="1"/>
      <w:numFmt w:val="chineseCounting"/>
      <w:suff w:val="nothing"/>
      <w:lvlText w:val="%1、"/>
      <w:lvlJc w:val="left"/>
      <w:rPr>
        <w:rFonts w:hint="eastAsia"/>
      </w:rPr>
    </w:lvl>
  </w:abstractNum>
  <w:abstractNum w:abstractNumId="2">
    <w:nsid w:val="DA26C505"/>
    <w:multiLevelType w:val="singleLevel"/>
    <w:tmpl w:val="DA26C505"/>
    <w:lvl w:ilvl="0" w:tentative="0">
      <w:start w:val="2"/>
      <w:numFmt w:val="chineseCounting"/>
      <w:suff w:val="nothing"/>
      <w:lvlText w:val="（%1）"/>
      <w:lvlJc w:val="left"/>
      <w:rPr>
        <w:rFonts w:hint="eastAsia"/>
      </w:rPr>
    </w:lvl>
  </w:abstractNum>
  <w:abstractNum w:abstractNumId="3">
    <w:nsid w:val="E8DBA012"/>
    <w:multiLevelType w:val="singleLevel"/>
    <w:tmpl w:val="E8DBA012"/>
    <w:lvl w:ilvl="0" w:tentative="0">
      <w:start w:val="2"/>
      <w:numFmt w:val="decimal"/>
      <w:suff w:val="nothing"/>
      <w:lvlText w:val="%1、"/>
      <w:lvlJc w:val="left"/>
    </w:lvl>
  </w:abstractNum>
  <w:abstractNum w:abstractNumId="4">
    <w:nsid w:val="F8594752"/>
    <w:multiLevelType w:val="singleLevel"/>
    <w:tmpl w:val="F8594752"/>
    <w:lvl w:ilvl="0" w:tentative="0">
      <w:start w:val="1"/>
      <w:numFmt w:val="decimal"/>
      <w:lvlText w:val="(%1)"/>
      <w:lvlJc w:val="left"/>
      <w:pPr>
        <w:ind w:left="635" w:hanging="425"/>
      </w:pPr>
      <w:rPr>
        <w:rFonts w:hint="default"/>
      </w:rPr>
    </w:lvl>
  </w:abstractNum>
  <w:abstractNum w:abstractNumId="5">
    <w:nsid w:val="FFFFFF7E"/>
    <w:multiLevelType w:val="singleLevel"/>
    <w:tmpl w:val="FFFFFF7E"/>
    <w:lvl w:ilvl="0" w:tentative="0">
      <w:start w:val="1"/>
      <w:numFmt w:val="decimal"/>
      <w:pStyle w:val="13"/>
      <w:lvlText w:val="%1."/>
      <w:lvlJc w:val="left"/>
      <w:pPr>
        <w:tabs>
          <w:tab w:val="left" w:pos="1200"/>
        </w:tabs>
        <w:ind w:left="1200" w:hanging="360"/>
      </w:pPr>
    </w:lvl>
  </w:abstractNum>
  <w:num w:numId="1">
    <w:abstractNumId w:val="5"/>
  </w:num>
  <w:num w:numId="2">
    <w:abstractNumId w:val="1"/>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iYjBkMmNmZmY3ZTliYTg3ODIyODdkMDE1ZjE2YWUifQ=="/>
  </w:docVars>
  <w:rsids>
    <w:rsidRoot w:val="00AA54CE"/>
    <w:rsid w:val="00001545"/>
    <w:rsid w:val="000015B1"/>
    <w:rsid w:val="00002F4E"/>
    <w:rsid w:val="000033AF"/>
    <w:rsid w:val="00003CEB"/>
    <w:rsid w:val="0000616C"/>
    <w:rsid w:val="00011A74"/>
    <w:rsid w:val="00013422"/>
    <w:rsid w:val="00015C38"/>
    <w:rsid w:val="0001673C"/>
    <w:rsid w:val="00016D2A"/>
    <w:rsid w:val="000203E6"/>
    <w:rsid w:val="00025313"/>
    <w:rsid w:val="000263C6"/>
    <w:rsid w:val="00026C9E"/>
    <w:rsid w:val="00031C8F"/>
    <w:rsid w:val="000430C1"/>
    <w:rsid w:val="00044981"/>
    <w:rsid w:val="0005129F"/>
    <w:rsid w:val="00060181"/>
    <w:rsid w:val="00060724"/>
    <w:rsid w:val="00061B2F"/>
    <w:rsid w:val="00063361"/>
    <w:rsid w:val="000634EA"/>
    <w:rsid w:val="0006552A"/>
    <w:rsid w:val="000744A3"/>
    <w:rsid w:val="00074B7C"/>
    <w:rsid w:val="0008056D"/>
    <w:rsid w:val="000825BF"/>
    <w:rsid w:val="00092509"/>
    <w:rsid w:val="000969AD"/>
    <w:rsid w:val="00096CCD"/>
    <w:rsid w:val="00096D39"/>
    <w:rsid w:val="000A140A"/>
    <w:rsid w:val="000A27F1"/>
    <w:rsid w:val="000A3461"/>
    <w:rsid w:val="000A576C"/>
    <w:rsid w:val="000A6DFE"/>
    <w:rsid w:val="000A7840"/>
    <w:rsid w:val="000B1C3F"/>
    <w:rsid w:val="000B76D4"/>
    <w:rsid w:val="000C1188"/>
    <w:rsid w:val="000C45BE"/>
    <w:rsid w:val="000C51F3"/>
    <w:rsid w:val="000C6416"/>
    <w:rsid w:val="000E1F65"/>
    <w:rsid w:val="000E2EAD"/>
    <w:rsid w:val="000E46C1"/>
    <w:rsid w:val="000E5BCD"/>
    <w:rsid w:val="000E7414"/>
    <w:rsid w:val="000F6217"/>
    <w:rsid w:val="00104472"/>
    <w:rsid w:val="001107D6"/>
    <w:rsid w:val="001121D9"/>
    <w:rsid w:val="00113774"/>
    <w:rsid w:val="001140D1"/>
    <w:rsid w:val="0011471D"/>
    <w:rsid w:val="001157D0"/>
    <w:rsid w:val="00117E99"/>
    <w:rsid w:val="00127696"/>
    <w:rsid w:val="00127B96"/>
    <w:rsid w:val="00132F04"/>
    <w:rsid w:val="001336C1"/>
    <w:rsid w:val="001339B3"/>
    <w:rsid w:val="00133BB2"/>
    <w:rsid w:val="001346E8"/>
    <w:rsid w:val="00135BA9"/>
    <w:rsid w:val="00137D9D"/>
    <w:rsid w:val="00140A64"/>
    <w:rsid w:val="00142442"/>
    <w:rsid w:val="00142D03"/>
    <w:rsid w:val="00144E44"/>
    <w:rsid w:val="00147224"/>
    <w:rsid w:val="00152697"/>
    <w:rsid w:val="00152F68"/>
    <w:rsid w:val="001545BE"/>
    <w:rsid w:val="00155185"/>
    <w:rsid w:val="00161EFF"/>
    <w:rsid w:val="00162189"/>
    <w:rsid w:val="001621EA"/>
    <w:rsid w:val="001710A5"/>
    <w:rsid w:val="00174BD5"/>
    <w:rsid w:val="00175E3E"/>
    <w:rsid w:val="0017689A"/>
    <w:rsid w:val="00180C61"/>
    <w:rsid w:val="00190C34"/>
    <w:rsid w:val="00193B08"/>
    <w:rsid w:val="00193D58"/>
    <w:rsid w:val="00196C69"/>
    <w:rsid w:val="001A0890"/>
    <w:rsid w:val="001A0BA2"/>
    <w:rsid w:val="001A120D"/>
    <w:rsid w:val="001A16A6"/>
    <w:rsid w:val="001A4783"/>
    <w:rsid w:val="001A632F"/>
    <w:rsid w:val="001A6D98"/>
    <w:rsid w:val="001A7226"/>
    <w:rsid w:val="001B6298"/>
    <w:rsid w:val="001B7314"/>
    <w:rsid w:val="001B7AF2"/>
    <w:rsid w:val="001C114D"/>
    <w:rsid w:val="001D5C43"/>
    <w:rsid w:val="001D7A90"/>
    <w:rsid w:val="001E0026"/>
    <w:rsid w:val="001E2308"/>
    <w:rsid w:val="001E52B2"/>
    <w:rsid w:val="001E56C7"/>
    <w:rsid w:val="001F0ADD"/>
    <w:rsid w:val="001F3A4E"/>
    <w:rsid w:val="0020156D"/>
    <w:rsid w:val="00202902"/>
    <w:rsid w:val="002102AE"/>
    <w:rsid w:val="0021171D"/>
    <w:rsid w:val="0021574D"/>
    <w:rsid w:val="002212F1"/>
    <w:rsid w:val="00225315"/>
    <w:rsid w:val="00230930"/>
    <w:rsid w:val="00230B08"/>
    <w:rsid w:val="00237E5D"/>
    <w:rsid w:val="002426E8"/>
    <w:rsid w:val="002468BF"/>
    <w:rsid w:val="00250FCF"/>
    <w:rsid w:val="002516BA"/>
    <w:rsid w:val="00252F20"/>
    <w:rsid w:val="002569B4"/>
    <w:rsid w:val="00256BC4"/>
    <w:rsid w:val="00257688"/>
    <w:rsid w:val="00257780"/>
    <w:rsid w:val="00263D6B"/>
    <w:rsid w:val="00267599"/>
    <w:rsid w:val="00267FC8"/>
    <w:rsid w:val="002712CE"/>
    <w:rsid w:val="002727BB"/>
    <w:rsid w:val="00275614"/>
    <w:rsid w:val="00282AD0"/>
    <w:rsid w:val="00283054"/>
    <w:rsid w:val="00283CC9"/>
    <w:rsid w:val="00286FCD"/>
    <w:rsid w:val="00290DA2"/>
    <w:rsid w:val="002A4780"/>
    <w:rsid w:val="002B00A2"/>
    <w:rsid w:val="002B06A4"/>
    <w:rsid w:val="002B1CCA"/>
    <w:rsid w:val="002B27C0"/>
    <w:rsid w:val="002B34C5"/>
    <w:rsid w:val="002B38D6"/>
    <w:rsid w:val="002B4D55"/>
    <w:rsid w:val="002B61DD"/>
    <w:rsid w:val="002B6923"/>
    <w:rsid w:val="002C4ED1"/>
    <w:rsid w:val="002C6453"/>
    <w:rsid w:val="002C6B10"/>
    <w:rsid w:val="002C7FA1"/>
    <w:rsid w:val="002D0114"/>
    <w:rsid w:val="002D3E48"/>
    <w:rsid w:val="002D764D"/>
    <w:rsid w:val="002E0F1B"/>
    <w:rsid w:val="002E4C8C"/>
    <w:rsid w:val="002E5BAA"/>
    <w:rsid w:val="00300499"/>
    <w:rsid w:val="00301B69"/>
    <w:rsid w:val="003041B2"/>
    <w:rsid w:val="003047E8"/>
    <w:rsid w:val="0030762C"/>
    <w:rsid w:val="00311BB8"/>
    <w:rsid w:val="0032052F"/>
    <w:rsid w:val="003238DB"/>
    <w:rsid w:val="00330226"/>
    <w:rsid w:val="00331C5C"/>
    <w:rsid w:val="00332FB2"/>
    <w:rsid w:val="00336C47"/>
    <w:rsid w:val="00336C75"/>
    <w:rsid w:val="00341E07"/>
    <w:rsid w:val="00346EA7"/>
    <w:rsid w:val="00350AD6"/>
    <w:rsid w:val="00350C22"/>
    <w:rsid w:val="00350CC9"/>
    <w:rsid w:val="0035105C"/>
    <w:rsid w:val="003544B2"/>
    <w:rsid w:val="00354BED"/>
    <w:rsid w:val="00362D55"/>
    <w:rsid w:val="003636BC"/>
    <w:rsid w:val="00364250"/>
    <w:rsid w:val="00365FE9"/>
    <w:rsid w:val="00374E44"/>
    <w:rsid w:val="00376E0A"/>
    <w:rsid w:val="00377D4F"/>
    <w:rsid w:val="00383688"/>
    <w:rsid w:val="00385992"/>
    <w:rsid w:val="00385E22"/>
    <w:rsid w:val="00392D05"/>
    <w:rsid w:val="00395B28"/>
    <w:rsid w:val="00397C80"/>
    <w:rsid w:val="003A2917"/>
    <w:rsid w:val="003A4BBF"/>
    <w:rsid w:val="003A4FF0"/>
    <w:rsid w:val="003B185A"/>
    <w:rsid w:val="003B21E1"/>
    <w:rsid w:val="003B2678"/>
    <w:rsid w:val="003B4062"/>
    <w:rsid w:val="003B4BF1"/>
    <w:rsid w:val="003B67C3"/>
    <w:rsid w:val="003C0175"/>
    <w:rsid w:val="003C206A"/>
    <w:rsid w:val="003D1492"/>
    <w:rsid w:val="003D1637"/>
    <w:rsid w:val="003E1A6B"/>
    <w:rsid w:val="003E386D"/>
    <w:rsid w:val="003E485C"/>
    <w:rsid w:val="003E4D2E"/>
    <w:rsid w:val="003F3622"/>
    <w:rsid w:val="003F364D"/>
    <w:rsid w:val="003F3A25"/>
    <w:rsid w:val="003F44B7"/>
    <w:rsid w:val="003F5A10"/>
    <w:rsid w:val="004017B7"/>
    <w:rsid w:val="00407BBF"/>
    <w:rsid w:val="00410D6E"/>
    <w:rsid w:val="00413721"/>
    <w:rsid w:val="004152CB"/>
    <w:rsid w:val="00417139"/>
    <w:rsid w:val="00417282"/>
    <w:rsid w:val="00417D9E"/>
    <w:rsid w:val="00422536"/>
    <w:rsid w:val="00422EC8"/>
    <w:rsid w:val="00423C6D"/>
    <w:rsid w:val="00426915"/>
    <w:rsid w:val="00426D29"/>
    <w:rsid w:val="00430635"/>
    <w:rsid w:val="0043390D"/>
    <w:rsid w:val="00435FA3"/>
    <w:rsid w:val="00441752"/>
    <w:rsid w:val="004417EB"/>
    <w:rsid w:val="00444638"/>
    <w:rsid w:val="00453EE0"/>
    <w:rsid w:val="00456454"/>
    <w:rsid w:val="004608BE"/>
    <w:rsid w:val="004610AF"/>
    <w:rsid w:val="0046519A"/>
    <w:rsid w:val="0046723F"/>
    <w:rsid w:val="00472E0F"/>
    <w:rsid w:val="00473788"/>
    <w:rsid w:val="004805C7"/>
    <w:rsid w:val="0048131E"/>
    <w:rsid w:val="00490014"/>
    <w:rsid w:val="004901EC"/>
    <w:rsid w:val="00493D5F"/>
    <w:rsid w:val="004956AC"/>
    <w:rsid w:val="0049587E"/>
    <w:rsid w:val="004A3F5B"/>
    <w:rsid w:val="004A7105"/>
    <w:rsid w:val="004B2A65"/>
    <w:rsid w:val="004B3130"/>
    <w:rsid w:val="004B5089"/>
    <w:rsid w:val="004B6B09"/>
    <w:rsid w:val="004B6EC5"/>
    <w:rsid w:val="004B7448"/>
    <w:rsid w:val="004C0B20"/>
    <w:rsid w:val="004C10B7"/>
    <w:rsid w:val="004C4B3A"/>
    <w:rsid w:val="004C675F"/>
    <w:rsid w:val="004D208B"/>
    <w:rsid w:val="004E32ED"/>
    <w:rsid w:val="004E7A34"/>
    <w:rsid w:val="004F1842"/>
    <w:rsid w:val="004F6F57"/>
    <w:rsid w:val="00503C4F"/>
    <w:rsid w:val="005042B3"/>
    <w:rsid w:val="00504D39"/>
    <w:rsid w:val="00510C42"/>
    <w:rsid w:val="00515618"/>
    <w:rsid w:val="00517DD9"/>
    <w:rsid w:val="00521FE2"/>
    <w:rsid w:val="005250F8"/>
    <w:rsid w:val="00525F6C"/>
    <w:rsid w:val="00526689"/>
    <w:rsid w:val="005320A2"/>
    <w:rsid w:val="005516E2"/>
    <w:rsid w:val="00554FBD"/>
    <w:rsid w:val="005553D7"/>
    <w:rsid w:val="00560A9E"/>
    <w:rsid w:val="005738FE"/>
    <w:rsid w:val="00574712"/>
    <w:rsid w:val="00575126"/>
    <w:rsid w:val="00580752"/>
    <w:rsid w:val="005818CE"/>
    <w:rsid w:val="00582391"/>
    <w:rsid w:val="00585EB4"/>
    <w:rsid w:val="005867EC"/>
    <w:rsid w:val="00587B4E"/>
    <w:rsid w:val="00590E6C"/>
    <w:rsid w:val="00596383"/>
    <w:rsid w:val="005A4852"/>
    <w:rsid w:val="005A4890"/>
    <w:rsid w:val="005A6713"/>
    <w:rsid w:val="005B1079"/>
    <w:rsid w:val="005B1A69"/>
    <w:rsid w:val="005B2167"/>
    <w:rsid w:val="005B3439"/>
    <w:rsid w:val="005B3A1D"/>
    <w:rsid w:val="005C44D7"/>
    <w:rsid w:val="005C5604"/>
    <w:rsid w:val="005E0B4C"/>
    <w:rsid w:val="005E15EA"/>
    <w:rsid w:val="005E1E59"/>
    <w:rsid w:val="005E5401"/>
    <w:rsid w:val="005E6097"/>
    <w:rsid w:val="005E67B8"/>
    <w:rsid w:val="005F3B97"/>
    <w:rsid w:val="005F3D6B"/>
    <w:rsid w:val="005F4579"/>
    <w:rsid w:val="005F5E34"/>
    <w:rsid w:val="005F62E8"/>
    <w:rsid w:val="00606BCF"/>
    <w:rsid w:val="00611E27"/>
    <w:rsid w:val="006131A8"/>
    <w:rsid w:val="0061633E"/>
    <w:rsid w:val="0061678C"/>
    <w:rsid w:val="006175A7"/>
    <w:rsid w:val="00626D27"/>
    <w:rsid w:val="00631BD9"/>
    <w:rsid w:val="00635A15"/>
    <w:rsid w:val="00636355"/>
    <w:rsid w:val="00636AC1"/>
    <w:rsid w:val="00646C8F"/>
    <w:rsid w:val="00646F74"/>
    <w:rsid w:val="006526F1"/>
    <w:rsid w:val="00654734"/>
    <w:rsid w:val="00657387"/>
    <w:rsid w:val="006602FC"/>
    <w:rsid w:val="00662EB6"/>
    <w:rsid w:val="0066698A"/>
    <w:rsid w:val="00670A36"/>
    <w:rsid w:val="00670F75"/>
    <w:rsid w:val="00671913"/>
    <w:rsid w:val="00671DFD"/>
    <w:rsid w:val="00674505"/>
    <w:rsid w:val="00681063"/>
    <w:rsid w:val="00683E5C"/>
    <w:rsid w:val="00684811"/>
    <w:rsid w:val="006910B6"/>
    <w:rsid w:val="006A36E7"/>
    <w:rsid w:val="006A3AAD"/>
    <w:rsid w:val="006B041D"/>
    <w:rsid w:val="006B46C1"/>
    <w:rsid w:val="006B53C9"/>
    <w:rsid w:val="006B6F08"/>
    <w:rsid w:val="006B7768"/>
    <w:rsid w:val="006C4736"/>
    <w:rsid w:val="006D38DA"/>
    <w:rsid w:val="006D7950"/>
    <w:rsid w:val="006E0713"/>
    <w:rsid w:val="006E2AF2"/>
    <w:rsid w:val="006E3DDA"/>
    <w:rsid w:val="006F3FF9"/>
    <w:rsid w:val="006F60A2"/>
    <w:rsid w:val="006F72FD"/>
    <w:rsid w:val="006F7936"/>
    <w:rsid w:val="00700B4B"/>
    <w:rsid w:val="00705057"/>
    <w:rsid w:val="0070649C"/>
    <w:rsid w:val="0070661F"/>
    <w:rsid w:val="00706B0B"/>
    <w:rsid w:val="00706FBB"/>
    <w:rsid w:val="007077A2"/>
    <w:rsid w:val="00707D9E"/>
    <w:rsid w:val="00711017"/>
    <w:rsid w:val="00714646"/>
    <w:rsid w:val="0071538E"/>
    <w:rsid w:val="00725414"/>
    <w:rsid w:val="00725421"/>
    <w:rsid w:val="007347BF"/>
    <w:rsid w:val="00735EFC"/>
    <w:rsid w:val="00736FCC"/>
    <w:rsid w:val="00742614"/>
    <w:rsid w:val="00744898"/>
    <w:rsid w:val="007450FB"/>
    <w:rsid w:val="00746DCE"/>
    <w:rsid w:val="00747EDD"/>
    <w:rsid w:val="00750C31"/>
    <w:rsid w:val="007516CB"/>
    <w:rsid w:val="00751D64"/>
    <w:rsid w:val="00756BAD"/>
    <w:rsid w:val="0076514E"/>
    <w:rsid w:val="0077056F"/>
    <w:rsid w:val="00775766"/>
    <w:rsid w:val="00776E29"/>
    <w:rsid w:val="00785338"/>
    <w:rsid w:val="00790EFD"/>
    <w:rsid w:val="00791C18"/>
    <w:rsid w:val="007924CE"/>
    <w:rsid w:val="007978F7"/>
    <w:rsid w:val="007A611B"/>
    <w:rsid w:val="007A6D46"/>
    <w:rsid w:val="007A6E22"/>
    <w:rsid w:val="007B18BC"/>
    <w:rsid w:val="007C2601"/>
    <w:rsid w:val="007C2BA0"/>
    <w:rsid w:val="007D1B74"/>
    <w:rsid w:val="007D1F6A"/>
    <w:rsid w:val="007D48D6"/>
    <w:rsid w:val="007D4EC1"/>
    <w:rsid w:val="007D5803"/>
    <w:rsid w:val="007D7B5A"/>
    <w:rsid w:val="007E23D6"/>
    <w:rsid w:val="007E30A3"/>
    <w:rsid w:val="007E75E2"/>
    <w:rsid w:val="007F0BEB"/>
    <w:rsid w:val="007F1929"/>
    <w:rsid w:val="007F4916"/>
    <w:rsid w:val="008002B6"/>
    <w:rsid w:val="008023DE"/>
    <w:rsid w:val="0080767D"/>
    <w:rsid w:val="0081050A"/>
    <w:rsid w:val="00812F6B"/>
    <w:rsid w:val="00814795"/>
    <w:rsid w:val="00816A05"/>
    <w:rsid w:val="00816FFB"/>
    <w:rsid w:val="0082007A"/>
    <w:rsid w:val="00821618"/>
    <w:rsid w:val="00822CF6"/>
    <w:rsid w:val="00824BD6"/>
    <w:rsid w:val="00827DA5"/>
    <w:rsid w:val="00833532"/>
    <w:rsid w:val="00840B7F"/>
    <w:rsid w:val="008454DC"/>
    <w:rsid w:val="008530A8"/>
    <w:rsid w:val="008541D0"/>
    <w:rsid w:val="008612AA"/>
    <w:rsid w:val="00864E5F"/>
    <w:rsid w:val="00870AD4"/>
    <w:rsid w:val="00870FF1"/>
    <w:rsid w:val="0088178F"/>
    <w:rsid w:val="00882EC8"/>
    <w:rsid w:val="00885D89"/>
    <w:rsid w:val="00886D68"/>
    <w:rsid w:val="00887A11"/>
    <w:rsid w:val="008954DE"/>
    <w:rsid w:val="008969B5"/>
    <w:rsid w:val="008A22DC"/>
    <w:rsid w:val="008A45EE"/>
    <w:rsid w:val="008A7BFD"/>
    <w:rsid w:val="008B1273"/>
    <w:rsid w:val="008B73F8"/>
    <w:rsid w:val="008D304C"/>
    <w:rsid w:val="008E0C60"/>
    <w:rsid w:val="008E1502"/>
    <w:rsid w:val="008E1815"/>
    <w:rsid w:val="008E2F5A"/>
    <w:rsid w:val="008E55BC"/>
    <w:rsid w:val="008E7179"/>
    <w:rsid w:val="008F094C"/>
    <w:rsid w:val="008F120B"/>
    <w:rsid w:val="008F255A"/>
    <w:rsid w:val="008F2B5D"/>
    <w:rsid w:val="008F4C62"/>
    <w:rsid w:val="008F6679"/>
    <w:rsid w:val="0090208E"/>
    <w:rsid w:val="0090419E"/>
    <w:rsid w:val="00904BAB"/>
    <w:rsid w:val="00905448"/>
    <w:rsid w:val="00911EDC"/>
    <w:rsid w:val="0091414E"/>
    <w:rsid w:val="00915593"/>
    <w:rsid w:val="009157C7"/>
    <w:rsid w:val="009310AD"/>
    <w:rsid w:val="00931790"/>
    <w:rsid w:val="00934602"/>
    <w:rsid w:val="0093788D"/>
    <w:rsid w:val="00940037"/>
    <w:rsid w:val="00942DE2"/>
    <w:rsid w:val="00943333"/>
    <w:rsid w:val="00945657"/>
    <w:rsid w:val="00945755"/>
    <w:rsid w:val="00952222"/>
    <w:rsid w:val="009531C5"/>
    <w:rsid w:val="00961653"/>
    <w:rsid w:val="00966601"/>
    <w:rsid w:val="0096733A"/>
    <w:rsid w:val="009737D1"/>
    <w:rsid w:val="0098327C"/>
    <w:rsid w:val="00985EAF"/>
    <w:rsid w:val="0098605B"/>
    <w:rsid w:val="009877CA"/>
    <w:rsid w:val="00992AAE"/>
    <w:rsid w:val="0099610C"/>
    <w:rsid w:val="009A0015"/>
    <w:rsid w:val="009A2FEF"/>
    <w:rsid w:val="009B1682"/>
    <w:rsid w:val="009B2CF5"/>
    <w:rsid w:val="009B5FC5"/>
    <w:rsid w:val="009C59C7"/>
    <w:rsid w:val="009C5B1E"/>
    <w:rsid w:val="009C6A84"/>
    <w:rsid w:val="009D2944"/>
    <w:rsid w:val="009D75A0"/>
    <w:rsid w:val="009E04F9"/>
    <w:rsid w:val="009E32ED"/>
    <w:rsid w:val="009E4B97"/>
    <w:rsid w:val="009E6357"/>
    <w:rsid w:val="009F44F2"/>
    <w:rsid w:val="00A11EEF"/>
    <w:rsid w:val="00A15453"/>
    <w:rsid w:val="00A168F4"/>
    <w:rsid w:val="00A2019F"/>
    <w:rsid w:val="00A244EB"/>
    <w:rsid w:val="00A2569D"/>
    <w:rsid w:val="00A26BA0"/>
    <w:rsid w:val="00A27ED5"/>
    <w:rsid w:val="00A30DB6"/>
    <w:rsid w:val="00A336A0"/>
    <w:rsid w:val="00A41FD1"/>
    <w:rsid w:val="00A44C7B"/>
    <w:rsid w:val="00A4651F"/>
    <w:rsid w:val="00A468A4"/>
    <w:rsid w:val="00A55B9A"/>
    <w:rsid w:val="00A65FA9"/>
    <w:rsid w:val="00A66EA0"/>
    <w:rsid w:val="00A70818"/>
    <w:rsid w:val="00A7305D"/>
    <w:rsid w:val="00A841FC"/>
    <w:rsid w:val="00A8424C"/>
    <w:rsid w:val="00A86D62"/>
    <w:rsid w:val="00A873E4"/>
    <w:rsid w:val="00A92F8A"/>
    <w:rsid w:val="00A9450F"/>
    <w:rsid w:val="00A94712"/>
    <w:rsid w:val="00A970C0"/>
    <w:rsid w:val="00AA05B2"/>
    <w:rsid w:val="00AA0D56"/>
    <w:rsid w:val="00AA54CE"/>
    <w:rsid w:val="00AB295D"/>
    <w:rsid w:val="00AB48BF"/>
    <w:rsid w:val="00AC0E61"/>
    <w:rsid w:val="00AC49D7"/>
    <w:rsid w:val="00AC7406"/>
    <w:rsid w:val="00AD0C3D"/>
    <w:rsid w:val="00AD24E9"/>
    <w:rsid w:val="00AD7D1D"/>
    <w:rsid w:val="00AE4405"/>
    <w:rsid w:val="00AE7832"/>
    <w:rsid w:val="00AF01C9"/>
    <w:rsid w:val="00AF4A08"/>
    <w:rsid w:val="00AF6348"/>
    <w:rsid w:val="00B07C01"/>
    <w:rsid w:val="00B107AF"/>
    <w:rsid w:val="00B1092E"/>
    <w:rsid w:val="00B1118E"/>
    <w:rsid w:val="00B112E1"/>
    <w:rsid w:val="00B11FAC"/>
    <w:rsid w:val="00B14F98"/>
    <w:rsid w:val="00B211F5"/>
    <w:rsid w:val="00B220BB"/>
    <w:rsid w:val="00B2378D"/>
    <w:rsid w:val="00B274DA"/>
    <w:rsid w:val="00B34A55"/>
    <w:rsid w:val="00B367D1"/>
    <w:rsid w:val="00B3713F"/>
    <w:rsid w:val="00B472C3"/>
    <w:rsid w:val="00B475BC"/>
    <w:rsid w:val="00B51BC2"/>
    <w:rsid w:val="00B62C2D"/>
    <w:rsid w:val="00B639B6"/>
    <w:rsid w:val="00B643DD"/>
    <w:rsid w:val="00B65D0D"/>
    <w:rsid w:val="00B76F91"/>
    <w:rsid w:val="00B8054C"/>
    <w:rsid w:val="00B809E1"/>
    <w:rsid w:val="00B81522"/>
    <w:rsid w:val="00B82775"/>
    <w:rsid w:val="00B82E84"/>
    <w:rsid w:val="00B85E24"/>
    <w:rsid w:val="00B87B9D"/>
    <w:rsid w:val="00B92508"/>
    <w:rsid w:val="00B92657"/>
    <w:rsid w:val="00B92BBD"/>
    <w:rsid w:val="00BA0FD4"/>
    <w:rsid w:val="00BA1E4E"/>
    <w:rsid w:val="00BA2CB7"/>
    <w:rsid w:val="00BA591F"/>
    <w:rsid w:val="00BB04EF"/>
    <w:rsid w:val="00BB0AED"/>
    <w:rsid w:val="00BB2C6B"/>
    <w:rsid w:val="00BC4567"/>
    <w:rsid w:val="00BD0795"/>
    <w:rsid w:val="00BD2809"/>
    <w:rsid w:val="00BD36C7"/>
    <w:rsid w:val="00BD3E28"/>
    <w:rsid w:val="00BD4342"/>
    <w:rsid w:val="00BD524E"/>
    <w:rsid w:val="00BE67FE"/>
    <w:rsid w:val="00BE7B30"/>
    <w:rsid w:val="00BF3C7D"/>
    <w:rsid w:val="00BF48F2"/>
    <w:rsid w:val="00BF4EFE"/>
    <w:rsid w:val="00BF70B7"/>
    <w:rsid w:val="00C008F7"/>
    <w:rsid w:val="00C1046C"/>
    <w:rsid w:val="00C148CC"/>
    <w:rsid w:val="00C15B12"/>
    <w:rsid w:val="00C21B13"/>
    <w:rsid w:val="00C2678D"/>
    <w:rsid w:val="00C3439E"/>
    <w:rsid w:val="00C34C38"/>
    <w:rsid w:val="00C35DB1"/>
    <w:rsid w:val="00C3747C"/>
    <w:rsid w:val="00C4107A"/>
    <w:rsid w:val="00C413CF"/>
    <w:rsid w:val="00C43495"/>
    <w:rsid w:val="00C44570"/>
    <w:rsid w:val="00C4460C"/>
    <w:rsid w:val="00C45871"/>
    <w:rsid w:val="00C471C5"/>
    <w:rsid w:val="00C51D06"/>
    <w:rsid w:val="00C53F36"/>
    <w:rsid w:val="00C56C78"/>
    <w:rsid w:val="00C576C7"/>
    <w:rsid w:val="00C634D3"/>
    <w:rsid w:val="00C73B20"/>
    <w:rsid w:val="00C747F9"/>
    <w:rsid w:val="00C77437"/>
    <w:rsid w:val="00C823CB"/>
    <w:rsid w:val="00C82615"/>
    <w:rsid w:val="00C91119"/>
    <w:rsid w:val="00C9151A"/>
    <w:rsid w:val="00C921A9"/>
    <w:rsid w:val="00C92447"/>
    <w:rsid w:val="00C930E2"/>
    <w:rsid w:val="00C94FF0"/>
    <w:rsid w:val="00C95995"/>
    <w:rsid w:val="00C97CA0"/>
    <w:rsid w:val="00CA48A5"/>
    <w:rsid w:val="00CA507C"/>
    <w:rsid w:val="00CA7036"/>
    <w:rsid w:val="00CB231D"/>
    <w:rsid w:val="00CB4BA0"/>
    <w:rsid w:val="00CB6882"/>
    <w:rsid w:val="00CC23C5"/>
    <w:rsid w:val="00CC3841"/>
    <w:rsid w:val="00CD0C33"/>
    <w:rsid w:val="00CD2A30"/>
    <w:rsid w:val="00CE1F6B"/>
    <w:rsid w:val="00CE26EC"/>
    <w:rsid w:val="00CE32AB"/>
    <w:rsid w:val="00CE36DE"/>
    <w:rsid w:val="00CE7713"/>
    <w:rsid w:val="00CF5C50"/>
    <w:rsid w:val="00D01923"/>
    <w:rsid w:val="00D0250A"/>
    <w:rsid w:val="00D02F34"/>
    <w:rsid w:val="00D04A57"/>
    <w:rsid w:val="00D07BF1"/>
    <w:rsid w:val="00D14A0C"/>
    <w:rsid w:val="00D15046"/>
    <w:rsid w:val="00D16B37"/>
    <w:rsid w:val="00D17C46"/>
    <w:rsid w:val="00D21ABC"/>
    <w:rsid w:val="00D22025"/>
    <w:rsid w:val="00D22510"/>
    <w:rsid w:val="00D22F8F"/>
    <w:rsid w:val="00D24532"/>
    <w:rsid w:val="00D30DA6"/>
    <w:rsid w:val="00D32358"/>
    <w:rsid w:val="00D33D29"/>
    <w:rsid w:val="00D33E6A"/>
    <w:rsid w:val="00D3798D"/>
    <w:rsid w:val="00D42DB9"/>
    <w:rsid w:val="00D442AB"/>
    <w:rsid w:val="00D51117"/>
    <w:rsid w:val="00D53DB1"/>
    <w:rsid w:val="00D549C2"/>
    <w:rsid w:val="00D552CC"/>
    <w:rsid w:val="00D62F06"/>
    <w:rsid w:val="00D72966"/>
    <w:rsid w:val="00D73C16"/>
    <w:rsid w:val="00D73CDC"/>
    <w:rsid w:val="00D7581D"/>
    <w:rsid w:val="00D76D8E"/>
    <w:rsid w:val="00D80014"/>
    <w:rsid w:val="00D81FAF"/>
    <w:rsid w:val="00D85045"/>
    <w:rsid w:val="00D860BC"/>
    <w:rsid w:val="00D876AF"/>
    <w:rsid w:val="00D87ED8"/>
    <w:rsid w:val="00D91FA7"/>
    <w:rsid w:val="00D969BB"/>
    <w:rsid w:val="00D96A89"/>
    <w:rsid w:val="00D97B29"/>
    <w:rsid w:val="00D97F13"/>
    <w:rsid w:val="00DA02BA"/>
    <w:rsid w:val="00DA0315"/>
    <w:rsid w:val="00DA03AF"/>
    <w:rsid w:val="00DA0798"/>
    <w:rsid w:val="00DB0D1D"/>
    <w:rsid w:val="00DB143B"/>
    <w:rsid w:val="00DB61E3"/>
    <w:rsid w:val="00DB7BCB"/>
    <w:rsid w:val="00DC2172"/>
    <w:rsid w:val="00DC5452"/>
    <w:rsid w:val="00DC5DA5"/>
    <w:rsid w:val="00DC6897"/>
    <w:rsid w:val="00DC7DEC"/>
    <w:rsid w:val="00DD182C"/>
    <w:rsid w:val="00DD40E7"/>
    <w:rsid w:val="00DD42D0"/>
    <w:rsid w:val="00DD4AF1"/>
    <w:rsid w:val="00DD6C26"/>
    <w:rsid w:val="00DD6DB2"/>
    <w:rsid w:val="00DE1E76"/>
    <w:rsid w:val="00DE64A4"/>
    <w:rsid w:val="00DF340E"/>
    <w:rsid w:val="00E03832"/>
    <w:rsid w:val="00E0545C"/>
    <w:rsid w:val="00E05D6A"/>
    <w:rsid w:val="00E06C53"/>
    <w:rsid w:val="00E1113B"/>
    <w:rsid w:val="00E11B79"/>
    <w:rsid w:val="00E150F3"/>
    <w:rsid w:val="00E17FAF"/>
    <w:rsid w:val="00E20420"/>
    <w:rsid w:val="00E246B0"/>
    <w:rsid w:val="00E25AC4"/>
    <w:rsid w:val="00E31EE7"/>
    <w:rsid w:val="00E33CCD"/>
    <w:rsid w:val="00E36A97"/>
    <w:rsid w:val="00E37BC9"/>
    <w:rsid w:val="00E430A1"/>
    <w:rsid w:val="00E55AFB"/>
    <w:rsid w:val="00E60336"/>
    <w:rsid w:val="00E606E4"/>
    <w:rsid w:val="00E626EF"/>
    <w:rsid w:val="00E7171C"/>
    <w:rsid w:val="00E727DA"/>
    <w:rsid w:val="00E73ED1"/>
    <w:rsid w:val="00E75C3F"/>
    <w:rsid w:val="00E75F53"/>
    <w:rsid w:val="00E77D08"/>
    <w:rsid w:val="00E82CEE"/>
    <w:rsid w:val="00E90137"/>
    <w:rsid w:val="00E92B73"/>
    <w:rsid w:val="00E938D3"/>
    <w:rsid w:val="00EA4295"/>
    <w:rsid w:val="00EA4A0B"/>
    <w:rsid w:val="00EA4A99"/>
    <w:rsid w:val="00EA4B61"/>
    <w:rsid w:val="00EC19E0"/>
    <w:rsid w:val="00EC409D"/>
    <w:rsid w:val="00EC54E4"/>
    <w:rsid w:val="00EC7909"/>
    <w:rsid w:val="00ED3F5A"/>
    <w:rsid w:val="00ED3FDC"/>
    <w:rsid w:val="00EE44AA"/>
    <w:rsid w:val="00EE5001"/>
    <w:rsid w:val="00EE712A"/>
    <w:rsid w:val="00EF2A2C"/>
    <w:rsid w:val="00EF2FC8"/>
    <w:rsid w:val="00EF341B"/>
    <w:rsid w:val="00EF53E3"/>
    <w:rsid w:val="00F032B7"/>
    <w:rsid w:val="00F06B96"/>
    <w:rsid w:val="00F0791D"/>
    <w:rsid w:val="00F11414"/>
    <w:rsid w:val="00F134E2"/>
    <w:rsid w:val="00F1427F"/>
    <w:rsid w:val="00F14712"/>
    <w:rsid w:val="00F147BD"/>
    <w:rsid w:val="00F17B70"/>
    <w:rsid w:val="00F3056F"/>
    <w:rsid w:val="00F329E4"/>
    <w:rsid w:val="00F34EE3"/>
    <w:rsid w:val="00F372B4"/>
    <w:rsid w:val="00F377C6"/>
    <w:rsid w:val="00F37A83"/>
    <w:rsid w:val="00F448C0"/>
    <w:rsid w:val="00F54F05"/>
    <w:rsid w:val="00F6287A"/>
    <w:rsid w:val="00F6438F"/>
    <w:rsid w:val="00F64E27"/>
    <w:rsid w:val="00F67572"/>
    <w:rsid w:val="00F67D00"/>
    <w:rsid w:val="00F738E1"/>
    <w:rsid w:val="00F7422C"/>
    <w:rsid w:val="00F752AE"/>
    <w:rsid w:val="00F76BD9"/>
    <w:rsid w:val="00F7707A"/>
    <w:rsid w:val="00F817A7"/>
    <w:rsid w:val="00F823D2"/>
    <w:rsid w:val="00F9086E"/>
    <w:rsid w:val="00F913F5"/>
    <w:rsid w:val="00F91CC4"/>
    <w:rsid w:val="00F951DC"/>
    <w:rsid w:val="00F9550F"/>
    <w:rsid w:val="00FA0EBA"/>
    <w:rsid w:val="00FA47AB"/>
    <w:rsid w:val="00FA6046"/>
    <w:rsid w:val="00FB2D04"/>
    <w:rsid w:val="00FB32EB"/>
    <w:rsid w:val="00FC1346"/>
    <w:rsid w:val="00FC2289"/>
    <w:rsid w:val="00FC3582"/>
    <w:rsid w:val="00FC76F9"/>
    <w:rsid w:val="00FD4847"/>
    <w:rsid w:val="00FD7D31"/>
    <w:rsid w:val="00FE60CD"/>
    <w:rsid w:val="00FE693E"/>
    <w:rsid w:val="00FE7F3D"/>
    <w:rsid w:val="00FF502C"/>
    <w:rsid w:val="00FF56BA"/>
    <w:rsid w:val="01080A12"/>
    <w:rsid w:val="01330C40"/>
    <w:rsid w:val="01400F6E"/>
    <w:rsid w:val="015C7C3D"/>
    <w:rsid w:val="015E74D2"/>
    <w:rsid w:val="01677B3A"/>
    <w:rsid w:val="016F0A91"/>
    <w:rsid w:val="017C7168"/>
    <w:rsid w:val="0181010F"/>
    <w:rsid w:val="018207C5"/>
    <w:rsid w:val="01832C7C"/>
    <w:rsid w:val="01B82438"/>
    <w:rsid w:val="01BF1294"/>
    <w:rsid w:val="01C90C4A"/>
    <w:rsid w:val="01DE1773"/>
    <w:rsid w:val="01F15C8E"/>
    <w:rsid w:val="01FF0067"/>
    <w:rsid w:val="020B355F"/>
    <w:rsid w:val="020F6B6A"/>
    <w:rsid w:val="021447C7"/>
    <w:rsid w:val="0223579A"/>
    <w:rsid w:val="022962B0"/>
    <w:rsid w:val="02322C76"/>
    <w:rsid w:val="023D46EC"/>
    <w:rsid w:val="023F4C2E"/>
    <w:rsid w:val="02581AD5"/>
    <w:rsid w:val="026D2559"/>
    <w:rsid w:val="028E26C7"/>
    <w:rsid w:val="02B14E1F"/>
    <w:rsid w:val="02CE604F"/>
    <w:rsid w:val="02DC336F"/>
    <w:rsid w:val="02DD1A2B"/>
    <w:rsid w:val="02EB5C7C"/>
    <w:rsid w:val="0301396B"/>
    <w:rsid w:val="0306706C"/>
    <w:rsid w:val="030B6598"/>
    <w:rsid w:val="0314522A"/>
    <w:rsid w:val="03165668"/>
    <w:rsid w:val="032B6C3A"/>
    <w:rsid w:val="03327DF6"/>
    <w:rsid w:val="033926C3"/>
    <w:rsid w:val="033A7662"/>
    <w:rsid w:val="033E4BBF"/>
    <w:rsid w:val="03425C39"/>
    <w:rsid w:val="0356175A"/>
    <w:rsid w:val="03657B87"/>
    <w:rsid w:val="03BE0E0F"/>
    <w:rsid w:val="03D270B5"/>
    <w:rsid w:val="03D4244A"/>
    <w:rsid w:val="04275653"/>
    <w:rsid w:val="044F7FBF"/>
    <w:rsid w:val="04531E96"/>
    <w:rsid w:val="047C62A1"/>
    <w:rsid w:val="049B394B"/>
    <w:rsid w:val="04C277D5"/>
    <w:rsid w:val="04CB4231"/>
    <w:rsid w:val="050318EA"/>
    <w:rsid w:val="050B0AD1"/>
    <w:rsid w:val="050D2A9B"/>
    <w:rsid w:val="05123C0E"/>
    <w:rsid w:val="052027CE"/>
    <w:rsid w:val="052878D5"/>
    <w:rsid w:val="05322C2F"/>
    <w:rsid w:val="053D139C"/>
    <w:rsid w:val="05600694"/>
    <w:rsid w:val="056523A7"/>
    <w:rsid w:val="056B4C89"/>
    <w:rsid w:val="05713921"/>
    <w:rsid w:val="05720B50"/>
    <w:rsid w:val="05786A20"/>
    <w:rsid w:val="057F49B2"/>
    <w:rsid w:val="05AC3229"/>
    <w:rsid w:val="05C64B26"/>
    <w:rsid w:val="05E1361A"/>
    <w:rsid w:val="05E5378E"/>
    <w:rsid w:val="05EA4B8A"/>
    <w:rsid w:val="05FF38CF"/>
    <w:rsid w:val="060E37AA"/>
    <w:rsid w:val="06272220"/>
    <w:rsid w:val="063220AE"/>
    <w:rsid w:val="065E665E"/>
    <w:rsid w:val="067B57E2"/>
    <w:rsid w:val="067D3C4A"/>
    <w:rsid w:val="069F2389"/>
    <w:rsid w:val="06A04F45"/>
    <w:rsid w:val="06B650DE"/>
    <w:rsid w:val="06C33196"/>
    <w:rsid w:val="06D849E3"/>
    <w:rsid w:val="07066030"/>
    <w:rsid w:val="070A4641"/>
    <w:rsid w:val="070D7332"/>
    <w:rsid w:val="07106873"/>
    <w:rsid w:val="07107BC6"/>
    <w:rsid w:val="07143072"/>
    <w:rsid w:val="07281204"/>
    <w:rsid w:val="072F019A"/>
    <w:rsid w:val="074E293F"/>
    <w:rsid w:val="0763676A"/>
    <w:rsid w:val="077C1812"/>
    <w:rsid w:val="07B216D8"/>
    <w:rsid w:val="07C13406"/>
    <w:rsid w:val="07D81106"/>
    <w:rsid w:val="07DA3804"/>
    <w:rsid w:val="07DB0C2F"/>
    <w:rsid w:val="07E01DA1"/>
    <w:rsid w:val="07E53722"/>
    <w:rsid w:val="07EC6DCD"/>
    <w:rsid w:val="07F331AE"/>
    <w:rsid w:val="07F95346"/>
    <w:rsid w:val="080B18B9"/>
    <w:rsid w:val="08193505"/>
    <w:rsid w:val="081D6377"/>
    <w:rsid w:val="08200168"/>
    <w:rsid w:val="08345035"/>
    <w:rsid w:val="08444A26"/>
    <w:rsid w:val="0850306F"/>
    <w:rsid w:val="086D25D3"/>
    <w:rsid w:val="08DA7138"/>
    <w:rsid w:val="08E81855"/>
    <w:rsid w:val="08F71A98"/>
    <w:rsid w:val="08FE7548"/>
    <w:rsid w:val="093920B1"/>
    <w:rsid w:val="09457D37"/>
    <w:rsid w:val="094D16B8"/>
    <w:rsid w:val="095A150F"/>
    <w:rsid w:val="095F3199"/>
    <w:rsid w:val="096E09DC"/>
    <w:rsid w:val="097A7FD3"/>
    <w:rsid w:val="098067D7"/>
    <w:rsid w:val="09AF5ECF"/>
    <w:rsid w:val="09D3748B"/>
    <w:rsid w:val="09E162A4"/>
    <w:rsid w:val="0A031354"/>
    <w:rsid w:val="0A096DD5"/>
    <w:rsid w:val="0A157CFC"/>
    <w:rsid w:val="0A3429BB"/>
    <w:rsid w:val="0A355BF7"/>
    <w:rsid w:val="0A40746F"/>
    <w:rsid w:val="0A5D410E"/>
    <w:rsid w:val="0A5F2024"/>
    <w:rsid w:val="0A8A222E"/>
    <w:rsid w:val="0A8A693C"/>
    <w:rsid w:val="0A913826"/>
    <w:rsid w:val="0AAB0D8C"/>
    <w:rsid w:val="0AB81E6D"/>
    <w:rsid w:val="0ABE2142"/>
    <w:rsid w:val="0ABE3A5B"/>
    <w:rsid w:val="0B015613"/>
    <w:rsid w:val="0B071CF5"/>
    <w:rsid w:val="0B217D3F"/>
    <w:rsid w:val="0B2853F0"/>
    <w:rsid w:val="0B304DED"/>
    <w:rsid w:val="0B3A53E7"/>
    <w:rsid w:val="0B8D66E4"/>
    <w:rsid w:val="0BA10403"/>
    <w:rsid w:val="0BB43C70"/>
    <w:rsid w:val="0BB45B9B"/>
    <w:rsid w:val="0BB640B7"/>
    <w:rsid w:val="0BBF2EB2"/>
    <w:rsid w:val="0BC41407"/>
    <w:rsid w:val="0BC929F4"/>
    <w:rsid w:val="0BD53BE7"/>
    <w:rsid w:val="0BD620A9"/>
    <w:rsid w:val="0BDC3B36"/>
    <w:rsid w:val="0BE87CEE"/>
    <w:rsid w:val="0C23344D"/>
    <w:rsid w:val="0C4C0D01"/>
    <w:rsid w:val="0C4F3999"/>
    <w:rsid w:val="0C664A3F"/>
    <w:rsid w:val="0C7620CF"/>
    <w:rsid w:val="0C767178"/>
    <w:rsid w:val="0C8B16D1"/>
    <w:rsid w:val="0CA84E57"/>
    <w:rsid w:val="0CE01EB4"/>
    <w:rsid w:val="0CEA3957"/>
    <w:rsid w:val="0CEE37C4"/>
    <w:rsid w:val="0CF602B9"/>
    <w:rsid w:val="0D3A1F53"/>
    <w:rsid w:val="0D3F24A9"/>
    <w:rsid w:val="0D63265E"/>
    <w:rsid w:val="0D8633EB"/>
    <w:rsid w:val="0D892EDB"/>
    <w:rsid w:val="0DD34156"/>
    <w:rsid w:val="0DDA089A"/>
    <w:rsid w:val="0E0E66D9"/>
    <w:rsid w:val="0E0F5260"/>
    <w:rsid w:val="0E1D7F43"/>
    <w:rsid w:val="0E2412A2"/>
    <w:rsid w:val="0E2A0B9E"/>
    <w:rsid w:val="0E2A466A"/>
    <w:rsid w:val="0E2A4679"/>
    <w:rsid w:val="0E8536A2"/>
    <w:rsid w:val="0EA51ACA"/>
    <w:rsid w:val="0EE02A09"/>
    <w:rsid w:val="0EFB70B9"/>
    <w:rsid w:val="0F0071CD"/>
    <w:rsid w:val="0F0A1DF9"/>
    <w:rsid w:val="0F186B3B"/>
    <w:rsid w:val="0F360E40"/>
    <w:rsid w:val="0F5B2655"/>
    <w:rsid w:val="0F6C03BE"/>
    <w:rsid w:val="0F7B7DAE"/>
    <w:rsid w:val="0F8A6A96"/>
    <w:rsid w:val="0F8B60CF"/>
    <w:rsid w:val="0F8E5C6A"/>
    <w:rsid w:val="0F9E5390"/>
    <w:rsid w:val="0FB72F08"/>
    <w:rsid w:val="0FBD0C1A"/>
    <w:rsid w:val="0FD20B69"/>
    <w:rsid w:val="0FDB2B80"/>
    <w:rsid w:val="0FDF7383"/>
    <w:rsid w:val="0FE443F8"/>
    <w:rsid w:val="0FED59A3"/>
    <w:rsid w:val="0FFA3C1C"/>
    <w:rsid w:val="0FFE4FDB"/>
    <w:rsid w:val="10040034"/>
    <w:rsid w:val="102315B1"/>
    <w:rsid w:val="10466832"/>
    <w:rsid w:val="1074597A"/>
    <w:rsid w:val="107E65FB"/>
    <w:rsid w:val="10950BCF"/>
    <w:rsid w:val="10AD0C8E"/>
    <w:rsid w:val="10B6757A"/>
    <w:rsid w:val="10C36CD7"/>
    <w:rsid w:val="10D10E21"/>
    <w:rsid w:val="11072367"/>
    <w:rsid w:val="112453F4"/>
    <w:rsid w:val="11553800"/>
    <w:rsid w:val="116F1F8F"/>
    <w:rsid w:val="11A16A45"/>
    <w:rsid w:val="11AA5901"/>
    <w:rsid w:val="11AB1672"/>
    <w:rsid w:val="11C91AF8"/>
    <w:rsid w:val="11CC348D"/>
    <w:rsid w:val="11EB763F"/>
    <w:rsid w:val="11F327F2"/>
    <w:rsid w:val="12011292"/>
    <w:rsid w:val="12012C1E"/>
    <w:rsid w:val="12045226"/>
    <w:rsid w:val="120C72C4"/>
    <w:rsid w:val="12176D07"/>
    <w:rsid w:val="121D3C9D"/>
    <w:rsid w:val="122431D2"/>
    <w:rsid w:val="1229506F"/>
    <w:rsid w:val="122F47F6"/>
    <w:rsid w:val="124302B5"/>
    <w:rsid w:val="124D3A4F"/>
    <w:rsid w:val="125225C8"/>
    <w:rsid w:val="1255782F"/>
    <w:rsid w:val="125E519D"/>
    <w:rsid w:val="125E5D37"/>
    <w:rsid w:val="126F08F1"/>
    <w:rsid w:val="12897608"/>
    <w:rsid w:val="12937D14"/>
    <w:rsid w:val="12966151"/>
    <w:rsid w:val="1297339E"/>
    <w:rsid w:val="12C50F89"/>
    <w:rsid w:val="12CA6698"/>
    <w:rsid w:val="12D8743E"/>
    <w:rsid w:val="12EC2C3C"/>
    <w:rsid w:val="12F35C10"/>
    <w:rsid w:val="12FB3CFB"/>
    <w:rsid w:val="13074FDB"/>
    <w:rsid w:val="131C1BCB"/>
    <w:rsid w:val="13340C2D"/>
    <w:rsid w:val="133D73B2"/>
    <w:rsid w:val="134F6DC5"/>
    <w:rsid w:val="135A6D83"/>
    <w:rsid w:val="13723823"/>
    <w:rsid w:val="137D0DEC"/>
    <w:rsid w:val="13832220"/>
    <w:rsid w:val="13A951F4"/>
    <w:rsid w:val="13B91EDA"/>
    <w:rsid w:val="13BD568C"/>
    <w:rsid w:val="13C413C8"/>
    <w:rsid w:val="13D27379"/>
    <w:rsid w:val="13D93BCD"/>
    <w:rsid w:val="13F60350"/>
    <w:rsid w:val="140B0CB3"/>
    <w:rsid w:val="14157276"/>
    <w:rsid w:val="141C63B6"/>
    <w:rsid w:val="143A0DA4"/>
    <w:rsid w:val="143F2545"/>
    <w:rsid w:val="14444944"/>
    <w:rsid w:val="144B398A"/>
    <w:rsid w:val="145C39CB"/>
    <w:rsid w:val="14641FAC"/>
    <w:rsid w:val="14746B0E"/>
    <w:rsid w:val="14781554"/>
    <w:rsid w:val="148476E6"/>
    <w:rsid w:val="14867E54"/>
    <w:rsid w:val="14950150"/>
    <w:rsid w:val="14C36CD2"/>
    <w:rsid w:val="14D709D0"/>
    <w:rsid w:val="14ED3D4F"/>
    <w:rsid w:val="14FE2EB6"/>
    <w:rsid w:val="150A5B5D"/>
    <w:rsid w:val="152946ED"/>
    <w:rsid w:val="15366927"/>
    <w:rsid w:val="15390044"/>
    <w:rsid w:val="153D4CD7"/>
    <w:rsid w:val="15510782"/>
    <w:rsid w:val="155302AD"/>
    <w:rsid w:val="157D79CB"/>
    <w:rsid w:val="15804496"/>
    <w:rsid w:val="158312A8"/>
    <w:rsid w:val="15907FDC"/>
    <w:rsid w:val="15973CBB"/>
    <w:rsid w:val="16195B47"/>
    <w:rsid w:val="162567A9"/>
    <w:rsid w:val="162D2457"/>
    <w:rsid w:val="16361726"/>
    <w:rsid w:val="16505471"/>
    <w:rsid w:val="165D4F05"/>
    <w:rsid w:val="1675224E"/>
    <w:rsid w:val="167631F1"/>
    <w:rsid w:val="16796819"/>
    <w:rsid w:val="168562EF"/>
    <w:rsid w:val="168B3CA4"/>
    <w:rsid w:val="16940BAF"/>
    <w:rsid w:val="16A55FA4"/>
    <w:rsid w:val="16A62152"/>
    <w:rsid w:val="16DA0303"/>
    <w:rsid w:val="173F50D5"/>
    <w:rsid w:val="17420953"/>
    <w:rsid w:val="174A7237"/>
    <w:rsid w:val="174B6C8A"/>
    <w:rsid w:val="175E7186"/>
    <w:rsid w:val="17761707"/>
    <w:rsid w:val="179F2AAF"/>
    <w:rsid w:val="17AC3DF0"/>
    <w:rsid w:val="17AF353E"/>
    <w:rsid w:val="17D81BE9"/>
    <w:rsid w:val="17F1399C"/>
    <w:rsid w:val="180B16BF"/>
    <w:rsid w:val="181D0356"/>
    <w:rsid w:val="182A7068"/>
    <w:rsid w:val="184410B8"/>
    <w:rsid w:val="18441ED8"/>
    <w:rsid w:val="185A214C"/>
    <w:rsid w:val="186D469E"/>
    <w:rsid w:val="18782EFC"/>
    <w:rsid w:val="18A81DA2"/>
    <w:rsid w:val="18DA283C"/>
    <w:rsid w:val="19341F4D"/>
    <w:rsid w:val="19380C07"/>
    <w:rsid w:val="194505FE"/>
    <w:rsid w:val="19726F19"/>
    <w:rsid w:val="19A8293B"/>
    <w:rsid w:val="19AB3D59"/>
    <w:rsid w:val="19AF5293"/>
    <w:rsid w:val="19B07BE2"/>
    <w:rsid w:val="19B232C5"/>
    <w:rsid w:val="19BA322A"/>
    <w:rsid w:val="1A5977FE"/>
    <w:rsid w:val="1A5F749D"/>
    <w:rsid w:val="1A622AE9"/>
    <w:rsid w:val="1A6751A7"/>
    <w:rsid w:val="1A701171"/>
    <w:rsid w:val="1A937147"/>
    <w:rsid w:val="1A974B9C"/>
    <w:rsid w:val="1A9C29CA"/>
    <w:rsid w:val="1AB60C2D"/>
    <w:rsid w:val="1ABA13C6"/>
    <w:rsid w:val="1AC17A6A"/>
    <w:rsid w:val="1AC6569F"/>
    <w:rsid w:val="1AD25EC1"/>
    <w:rsid w:val="1ADA6B24"/>
    <w:rsid w:val="1ADE4866"/>
    <w:rsid w:val="1AED1401"/>
    <w:rsid w:val="1B132809"/>
    <w:rsid w:val="1B1D07A3"/>
    <w:rsid w:val="1B2B737F"/>
    <w:rsid w:val="1B365A71"/>
    <w:rsid w:val="1B4A1EFB"/>
    <w:rsid w:val="1B610FF3"/>
    <w:rsid w:val="1B660B37"/>
    <w:rsid w:val="1B724FAE"/>
    <w:rsid w:val="1B73527D"/>
    <w:rsid w:val="1B8265A0"/>
    <w:rsid w:val="1B8A679C"/>
    <w:rsid w:val="1BA23AE5"/>
    <w:rsid w:val="1BA84E74"/>
    <w:rsid w:val="1BC03F6C"/>
    <w:rsid w:val="1BC32AE7"/>
    <w:rsid w:val="1BCC3EE5"/>
    <w:rsid w:val="1BD47A17"/>
    <w:rsid w:val="1BD97114"/>
    <w:rsid w:val="1BE85270"/>
    <w:rsid w:val="1BF975BF"/>
    <w:rsid w:val="1C0A168B"/>
    <w:rsid w:val="1C265C92"/>
    <w:rsid w:val="1C32486A"/>
    <w:rsid w:val="1C3C1CC3"/>
    <w:rsid w:val="1C45364B"/>
    <w:rsid w:val="1C47468D"/>
    <w:rsid w:val="1C562614"/>
    <w:rsid w:val="1C5727E7"/>
    <w:rsid w:val="1C6B64BC"/>
    <w:rsid w:val="1CA7512B"/>
    <w:rsid w:val="1CAF0ADE"/>
    <w:rsid w:val="1CB33AD0"/>
    <w:rsid w:val="1CB57843"/>
    <w:rsid w:val="1CE123EB"/>
    <w:rsid w:val="1CE17B26"/>
    <w:rsid w:val="1CE356A9"/>
    <w:rsid w:val="1CE91A0A"/>
    <w:rsid w:val="1D0875FE"/>
    <w:rsid w:val="1D141AA1"/>
    <w:rsid w:val="1D1C5EE0"/>
    <w:rsid w:val="1D1F09C5"/>
    <w:rsid w:val="1D2B7DB5"/>
    <w:rsid w:val="1D3A5FA0"/>
    <w:rsid w:val="1D3D3A60"/>
    <w:rsid w:val="1D4C199F"/>
    <w:rsid w:val="1D532AFE"/>
    <w:rsid w:val="1D622B62"/>
    <w:rsid w:val="1D7B2840"/>
    <w:rsid w:val="1D83660F"/>
    <w:rsid w:val="1D885188"/>
    <w:rsid w:val="1D9C276E"/>
    <w:rsid w:val="1D9F5E03"/>
    <w:rsid w:val="1DC54F71"/>
    <w:rsid w:val="1DCD67B1"/>
    <w:rsid w:val="1DEE2277"/>
    <w:rsid w:val="1E0C0F88"/>
    <w:rsid w:val="1E1736EA"/>
    <w:rsid w:val="1E1D5C42"/>
    <w:rsid w:val="1E2A6014"/>
    <w:rsid w:val="1E3D10C6"/>
    <w:rsid w:val="1E466128"/>
    <w:rsid w:val="1E4B428A"/>
    <w:rsid w:val="1E683E10"/>
    <w:rsid w:val="1E8007A9"/>
    <w:rsid w:val="1E8066E5"/>
    <w:rsid w:val="1E875C83"/>
    <w:rsid w:val="1E9142D9"/>
    <w:rsid w:val="1EC36948"/>
    <w:rsid w:val="1EC7207A"/>
    <w:rsid w:val="1EC975DB"/>
    <w:rsid w:val="1ECE2E43"/>
    <w:rsid w:val="1EF70EBC"/>
    <w:rsid w:val="1EF73293"/>
    <w:rsid w:val="1F32048C"/>
    <w:rsid w:val="1F3F4BB1"/>
    <w:rsid w:val="1F595B6B"/>
    <w:rsid w:val="1F9279CD"/>
    <w:rsid w:val="1FA0658E"/>
    <w:rsid w:val="1FAF4CA8"/>
    <w:rsid w:val="1FD27DED"/>
    <w:rsid w:val="1FFB2D50"/>
    <w:rsid w:val="20093140"/>
    <w:rsid w:val="202E4B31"/>
    <w:rsid w:val="20727346"/>
    <w:rsid w:val="209413A3"/>
    <w:rsid w:val="20947775"/>
    <w:rsid w:val="20B35E4D"/>
    <w:rsid w:val="20DB35F6"/>
    <w:rsid w:val="20E25071"/>
    <w:rsid w:val="20FD7411"/>
    <w:rsid w:val="210D0325"/>
    <w:rsid w:val="210D6F13"/>
    <w:rsid w:val="21161DC5"/>
    <w:rsid w:val="211A411E"/>
    <w:rsid w:val="21207298"/>
    <w:rsid w:val="21242C09"/>
    <w:rsid w:val="213C3352"/>
    <w:rsid w:val="215F0650"/>
    <w:rsid w:val="216C6BF5"/>
    <w:rsid w:val="21712ED9"/>
    <w:rsid w:val="21A460DD"/>
    <w:rsid w:val="21B3572F"/>
    <w:rsid w:val="21D20823"/>
    <w:rsid w:val="21D40771"/>
    <w:rsid w:val="21EC5628"/>
    <w:rsid w:val="2211244F"/>
    <w:rsid w:val="22122F5C"/>
    <w:rsid w:val="2214007A"/>
    <w:rsid w:val="22140B6D"/>
    <w:rsid w:val="223842D0"/>
    <w:rsid w:val="22491A77"/>
    <w:rsid w:val="224F429B"/>
    <w:rsid w:val="22516B8F"/>
    <w:rsid w:val="22552064"/>
    <w:rsid w:val="226851E0"/>
    <w:rsid w:val="22A2111E"/>
    <w:rsid w:val="22A465F7"/>
    <w:rsid w:val="22B60E3E"/>
    <w:rsid w:val="22D50325"/>
    <w:rsid w:val="22D84291"/>
    <w:rsid w:val="22F173EE"/>
    <w:rsid w:val="22F32E79"/>
    <w:rsid w:val="23042A22"/>
    <w:rsid w:val="230D372C"/>
    <w:rsid w:val="231559B0"/>
    <w:rsid w:val="232D2AC7"/>
    <w:rsid w:val="233D0405"/>
    <w:rsid w:val="233D398A"/>
    <w:rsid w:val="2346744C"/>
    <w:rsid w:val="23492A98"/>
    <w:rsid w:val="235D2C72"/>
    <w:rsid w:val="235E35F5"/>
    <w:rsid w:val="23827D58"/>
    <w:rsid w:val="23A64B10"/>
    <w:rsid w:val="23D700A4"/>
    <w:rsid w:val="23E86805"/>
    <w:rsid w:val="2401226E"/>
    <w:rsid w:val="242A28CA"/>
    <w:rsid w:val="2439366C"/>
    <w:rsid w:val="24417C14"/>
    <w:rsid w:val="245E07C6"/>
    <w:rsid w:val="24696B5F"/>
    <w:rsid w:val="246A334C"/>
    <w:rsid w:val="2476229D"/>
    <w:rsid w:val="248B0E8F"/>
    <w:rsid w:val="2493439B"/>
    <w:rsid w:val="24942DFB"/>
    <w:rsid w:val="249F2A5C"/>
    <w:rsid w:val="24C0322E"/>
    <w:rsid w:val="24EC7B7F"/>
    <w:rsid w:val="24F51456"/>
    <w:rsid w:val="24F54B14"/>
    <w:rsid w:val="24FA2BA5"/>
    <w:rsid w:val="25020A66"/>
    <w:rsid w:val="25070E5D"/>
    <w:rsid w:val="250A1958"/>
    <w:rsid w:val="25161D04"/>
    <w:rsid w:val="251E1D03"/>
    <w:rsid w:val="25245F91"/>
    <w:rsid w:val="252F51BD"/>
    <w:rsid w:val="253E6F9A"/>
    <w:rsid w:val="254446E2"/>
    <w:rsid w:val="25445C0D"/>
    <w:rsid w:val="254A3258"/>
    <w:rsid w:val="25627E42"/>
    <w:rsid w:val="25781413"/>
    <w:rsid w:val="25792CCA"/>
    <w:rsid w:val="258332B5"/>
    <w:rsid w:val="259E4E53"/>
    <w:rsid w:val="25A246E2"/>
    <w:rsid w:val="25A5099E"/>
    <w:rsid w:val="25A663F8"/>
    <w:rsid w:val="25A779D5"/>
    <w:rsid w:val="25A93CC2"/>
    <w:rsid w:val="25AA7CDA"/>
    <w:rsid w:val="25C90C9A"/>
    <w:rsid w:val="25D55FA5"/>
    <w:rsid w:val="25D80104"/>
    <w:rsid w:val="25E410CE"/>
    <w:rsid w:val="25F25669"/>
    <w:rsid w:val="25F7163A"/>
    <w:rsid w:val="260064D2"/>
    <w:rsid w:val="26102FC2"/>
    <w:rsid w:val="26235823"/>
    <w:rsid w:val="26261377"/>
    <w:rsid w:val="26280DF4"/>
    <w:rsid w:val="262C18C8"/>
    <w:rsid w:val="26395046"/>
    <w:rsid w:val="26403E70"/>
    <w:rsid w:val="265A376F"/>
    <w:rsid w:val="266613DF"/>
    <w:rsid w:val="266A0869"/>
    <w:rsid w:val="26B11D6D"/>
    <w:rsid w:val="26B26DF7"/>
    <w:rsid w:val="26BC6432"/>
    <w:rsid w:val="26C03072"/>
    <w:rsid w:val="26CD6050"/>
    <w:rsid w:val="26DF2689"/>
    <w:rsid w:val="26E71EAD"/>
    <w:rsid w:val="26F05EFD"/>
    <w:rsid w:val="27104ED3"/>
    <w:rsid w:val="272B515E"/>
    <w:rsid w:val="272C05D7"/>
    <w:rsid w:val="274C6FFB"/>
    <w:rsid w:val="2767173F"/>
    <w:rsid w:val="276F7FE5"/>
    <w:rsid w:val="2797697B"/>
    <w:rsid w:val="27B97CFB"/>
    <w:rsid w:val="27DA0163"/>
    <w:rsid w:val="27DF48B7"/>
    <w:rsid w:val="27E51B0B"/>
    <w:rsid w:val="27EE6C05"/>
    <w:rsid w:val="27F9071F"/>
    <w:rsid w:val="28151385"/>
    <w:rsid w:val="281771FE"/>
    <w:rsid w:val="282910EA"/>
    <w:rsid w:val="28754330"/>
    <w:rsid w:val="28785183"/>
    <w:rsid w:val="28884063"/>
    <w:rsid w:val="28940C77"/>
    <w:rsid w:val="289949B8"/>
    <w:rsid w:val="28A512AE"/>
    <w:rsid w:val="28C77A19"/>
    <w:rsid w:val="28DB7C12"/>
    <w:rsid w:val="28DF0FA4"/>
    <w:rsid w:val="28E65763"/>
    <w:rsid w:val="28E866B3"/>
    <w:rsid w:val="28F35E0C"/>
    <w:rsid w:val="292204E8"/>
    <w:rsid w:val="292D69B8"/>
    <w:rsid w:val="29544489"/>
    <w:rsid w:val="296B663A"/>
    <w:rsid w:val="298567F4"/>
    <w:rsid w:val="298A5082"/>
    <w:rsid w:val="29947266"/>
    <w:rsid w:val="29A60398"/>
    <w:rsid w:val="29AB625B"/>
    <w:rsid w:val="29BD1AEA"/>
    <w:rsid w:val="29C0708B"/>
    <w:rsid w:val="29D11A83"/>
    <w:rsid w:val="29D870DB"/>
    <w:rsid w:val="29EC0622"/>
    <w:rsid w:val="29FB71D3"/>
    <w:rsid w:val="2A092F82"/>
    <w:rsid w:val="2A202079"/>
    <w:rsid w:val="2A2172CB"/>
    <w:rsid w:val="2A2344C1"/>
    <w:rsid w:val="2A2618AF"/>
    <w:rsid w:val="2A272AFD"/>
    <w:rsid w:val="2A691232"/>
    <w:rsid w:val="2A6B1546"/>
    <w:rsid w:val="2A7F7519"/>
    <w:rsid w:val="2A846AAC"/>
    <w:rsid w:val="2A8D1A21"/>
    <w:rsid w:val="2AA646BC"/>
    <w:rsid w:val="2AB033FD"/>
    <w:rsid w:val="2AB47391"/>
    <w:rsid w:val="2AC36665"/>
    <w:rsid w:val="2B087FF4"/>
    <w:rsid w:val="2B230073"/>
    <w:rsid w:val="2B2A115D"/>
    <w:rsid w:val="2B2D02A6"/>
    <w:rsid w:val="2B501388"/>
    <w:rsid w:val="2B604E23"/>
    <w:rsid w:val="2BAE619F"/>
    <w:rsid w:val="2BBB19F8"/>
    <w:rsid w:val="2BC60287"/>
    <w:rsid w:val="2BCC316D"/>
    <w:rsid w:val="2BCE6A3C"/>
    <w:rsid w:val="2BD01FF1"/>
    <w:rsid w:val="2BE9306B"/>
    <w:rsid w:val="2BF42AA2"/>
    <w:rsid w:val="2BF67536"/>
    <w:rsid w:val="2BFF463C"/>
    <w:rsid w:val="2C182062"/>
    <w:rsid w:val="2C2160E0"/>
    <w:rsid w:val="2C245AA8"/>
    <w:rsid w:val="2C2B5431"/>
    <w:rsid w:val="2C3B2738"/>
    <w:rsid w:val="2C7D20ED"/>
    <w:rsid w:val="2C842D93"/>
    <w:rsid w:val="2C9D564A"/>
    <w:rsid w:val="2CB33BBA"/>
    <w:rsid w:val="2CC87124"/>
    <w:rsid w:val="2CDC3517"/>
    <w:rsid w:val="2CE00F12"/>
    <w:rsid w:val="2CFB0041"/>
    <w:rsid w:val="2D1C2738"/>
    <w:rsid w:val="2D2105E2"/>
    <w:rsid w:val="2D2A393B"/>
    <w:rsid w:val="2D3E19C7"/>
    <w:rsid w:val="2D426585"/>
    <w:rsid w:val="2D4F25CE"/>
    <w:rsid w:val="2D594220"/>
    <w:rsid w:val="2D63193C"/>
    <w:rsid w:val="2D635560"/>
    <w:rsid w:val="2D677863"/>
    <w:rsid w:val="2D7828F8"/>
    <w:rsid w:val="2D8868B3"/>
    <w:rsid w:val="2DB651CE"/>
    <w:rsid w:val="2DB75B57"/>
    <w:rsid w:val="2DBC0C9E"/>
    <w:rsid w:val="2DCA0C7A"/>
    <w:rsid w:val="2DCC2C44"/>
    <w:rsid w:val="2DE0224B"/>
    <w:rsid w:val="2DEA4E78"/>
    <w:rsid w:val="2E06749A"/>
    <w:rsid w:val="2E224612"/>
    <w:rsid w:val="2E2A036E"/>
    <w:rsid w:val="2E4B1DBB"/>
    <w:rsid w:val="2E4C5B33"/>
    <w:rsid w:val="2E4F77CF"/>
    <w:rsid w:val="2E584207"/>
    <w:rsid w:val="2E760361"/>
    <w:rsid w:val="2E825ECE"/>
    <w:rsid w:val="2EAD4F3B"/>
    <w:rsid w:val="2EB37960"/>
    <w:rsid w:val="2ED27DE6"/>
    <w:rsid w:val="2EEC7DD7"/>
    <w:rsid w:val="2EEF5152"/>
    <w:rsid w:val="2F1321AD"/>
    <w:rsid w:val="2F1A353B"/>
    <w:rsid w:val="2F1A5141"/>
    <w:rsid w:val="2F285C58"/>
    <w:rsid w:val="2F354433"/>
    <w:rsid w:val="2F3B1E2F"/>
    <w:rsid w:val="2F5C7FF7"/>
    <w:rsid w:val="2F63356A"/>
    <w:rsid w:val="2F7E50F1"/>
    <w:rsid w:val="2F963509"/>
    <w:rsid w:val="2FA21EAE"/>
    <w:rsid w:val="2FB746DE"/>
    <w:rsid w:val="2FD4296E"/>
    <w:rsid w:val="2FD61B58"/>
    <w:rsid w:val="2FF92003"/>
    <w:rsid w:val="2FFA3A98"/>
    <w:rsid w:val="300541EB"/>
    <w:rsid w:val="300A26BB"/>
    <w:rsid w:val="30313F05"/>
    <w:rsid w:val="303F3688"/>
    <w:rsid w:val="306058C5"/>
    <w:rsid w:val="306D5F26"/>
    <w:rsid w:val="30815308"/>
    <w:rsid w:val="30831517"/>
    <w:rsid w:val="3089052D"/>
    <w:rsid w:val="308E18D3"/>
    <w:rsid w:val="309163BB"/>
    <w:rsid w:val="309336C7"/>
    <w:rsid w:val="30A77050"/>
    <w:rsid w:val="30B8479E"/>
    <w:rsid w:val="30C47F27"/>
    <w:rsid w:val="30D8545C"/>
    <w:rsid w:val="30EB1AE7"/>
    <w:rsid w:val="30EB7D82"/>
    <w:rsid w:val="30F05A82"/>
    <w:rsid w:val="30F91888"/>
    <w:rsid w:val="313727E6"/>
    <w:rsid w:val="313E79B5"/>
    <w:rsid w:val="31402441"/>
    <w:rsid w:val="319A0963"/>
    <w:rsid w:val="319B6C78"/>
    <w:rsid w:val="31B25CAD"/>
    <w:rsid w:val="31D12582"/>
    <w:rsid w:val="3235785D"/>
    <w:rsid w:val="32AC391C"/>
    <w:rsid w:val="32B83797"/>
    <w:rsid w:val="32BE70D4"/>
    <w:rsid w:val="32BF4AEF"/>
    <w:rsid w:val="32C263F9"/>
    <w:rsid w:val="32CC0FF0"/>
    <w:rsid w:val="32D229B4"/>
    <w:rsid w:val="32D90296"/>
    <w:rsid w:val="32EF65C6"/>
    <w:rsid w:val="33150BE9"/>
    <w:rsid w:val="331F7372"/>
    <w:rsid w:val="33217D3D"/>
    <w:rsid w:val="333472C1"/>
    <w:rsid w:val="3337176D"/>
    <w:rsid w:val="334804BF"/>
    <w:rsid w:val="33546569"/>
    <w:rsid w:val="33905AF5"/>
    <w:rsid w:val="33C04749"/>
    <w:rsid w:val="33C97718"/>
    <w:rsid w:val="33CB113F"/>
    <w:rsid w:val="33D25C33"/>
    <w:rsid w:val="33D35C3E"/>
    <w:rsid w:val="33E93E10"/>
    <w:rsid w:val="33FA64A6"/>
    <w:rsid w:val="33FF3066"/>
    <w:rsid w:val="340316B8"/>
    <w:rsid w:val="342E2857"/>
    <w:rsid w:val="343626AF"/>
    <w:rsid w:val="3438483D"/>
    <w:rsid w:val="343A0363"/>
    <w:rsid w:val="34417097"/>
    <w:rsid w:val="344F012B"/>
    <w:rsid w:val="344F1F6D"/>
    <w:rsid w:val="345F12D7"/>
    <w:rsid w:val="346C56AC"/>
    <w:rsid w:val="347100A1"/>
    <w:rsid w:val="34806536"/>
    <w:rsid w:val="34906BAC"/>
    <w:rsid w:val="34A42225"/>
    <w:rsid w:val="34CA0D23"/>
    <w:rsid w:val="34CD378C"/>
    <w:rsid w:val="34E22D4D"/>
    <w:rsid w:val="34ED738F"/>
    <w:rsid w:val="350727B3"/>
    <w:rsid w:val="35096358"/>
    <w:rsid w:val="35215856"/>
    <w:rsid w:val="35337105"/>
    <w:rsid w:val="3538471B"/>
    <w:rsid w:val="354A19CA"/>
    <w:rsid w:val="3555351F"/>
    <w:rsid w:val="35607D2F"/>
    <w:rsid w:val="35645510"/>
    <w:rsid w:val="35727C2D"/>
    <w:rsid w:val="358856A2"/>
    <w:rsid w:val="35A63D7A"/>
    <w:rsid w:val="35BC0C8D"/>
    <w:rsid w:val="35BC0D35"/>
    <w:rsid w:val="35D22DC1"/>
    <w:rsid w:val="35E64B3E"/>
    <w:rsid w:val="35E72F3B"/>
    <w:rsid w:val="35F60D4D"/>
    <w:rsid w:val="36010FB1"/>
    <w:rsid w:val="360C62D3"/>
    <w:rsid w:val="36173E72"/>
    <w:rsid w:val="36404A09"/>
    <w:rsid w:val="3643781B"/>
    <w:rsid w:val="364C1E51"/>
    <w:rsid w:val="36530C79"/>
    <w:rsid w:val="36593EF9"/>
    <w:rsid w:val="3677016B"/>
    <w:rsid w:val="3678368B"/>
    <w:rsid w:val="369462C9"/>
    <w:rsid w:val="369A198D"/>
    <w:rsid w:val="36A2789C"/>
    <w:rsid w:val="36DA7901"/>
    <w:rsid w:val="36E37CAA"/>
    <w:rsid w:val="37070849"/>
    <w:rsid w:val="37081C80"/>
    <w:rsid w:val="370C7EDF"/>
    <w:rsid w:val="37136290"/>
    <w:rsid w:val="37275DF8"/>
    <w:rsid w:val="372F1B4E"/>
    <w:rsid w:val="374D50ED"/>
    <w:rsid w:val="37500442"/>
    <w:rsid w:val="3756532C"/>
    <w:rsid w:val="376B702A"/>
    <w:rsid w:val="376E08C8"/>
    <w:rsid w:val="3786160F"/>
    <w:rsid w:val="37935F12"/>
    <w:rsid w:val="37A42301"/>
    <w:rsid w:val="37C640CA"/>
    <w:rsid w:val="37CA44C3"/>
    <w:rsid w:val="37D22C05"/>
    <w:rsid w:val="37D61625"/>
    <w:rsid w:val="37EA2644"/>
    <w:rsid w:val="3801173C"/>
    <w:rsid w:val="381A759F"/>
    <w:rsid w:val="381B1940"/>
    <w:rsid w:val="3821593A"/>
    <w:rsid w:val="383E64EC"/>
    <w:rsid w:val="384E39BC"/>
    <w:rsid w:val="38743F6E"/>
    <w:rsid w:val="388C36FB"/>
    <w:rsid w:val="388C54AA"/>
    <w:rsid w:val="38964AAE"/>
    <w:rsid w:val="38AD71CE"/>
    <w:rsid w:val="38E52CAE"/>
    <w:rsid w:val="38EA0422"/>
    <w:rsid w:val="38F44DFD"/>
    <w:rsid w:val="39130728"/>
    <w:rsid w:val="391C1D28"/>
    <w:rsid w:val="393048AB"/>
    <w:rsid w:val="39395848"/>
    <w:rsid w:val="394501FE"/>
    <w:rsid w:val="39475A73"/>
    <w:rsid w:val="394E275F"/>
    <w:rsid w:val="39637917"/>
    <w:rsid w:val="39800B5D"/>
    <w:rsid w:val="39803A8D"/>
    <w:rsid w:val="398F0D2E"/>
    <w:rsid w:val="398F1990"/>
    <w:rsid w:val="39912CD3"/>
    <w:rsid w:val="399A647B"/>
    <w:rsid w:val="39A36682"/>
    <w:rsid w:val="39A86313"/>
    <w:rsid w:val="39B25440"/>
    <w:rsid w:val="39B5458C"/>
    <w:rsid w:val="39F83C4E"/>
    <w:rsid w:val="3A143D91"/>
    <w:rsid w:val="3A2D2830"/>
    <w:rsid w:val="3A346080"/>
    <w:rsid w:val="3A3F2EE4"/>
    <w:rsid w:val="3A4027A2"/>
    <w:rsid w:val="3A4B4EF0"/>
    <w:rsid w:val="3A533294"/>
    <w:rsid w:val="3A5E4C24"/>
    <w:rsid w:val="3A6F0BDF"/>
    <w:rsid w:val="3AAB5F8B"/>
    <w:rsid w:val="3AAB6C4F"/>
    <w:rsid w:val="3AD8709E"/>
    <w:rsid w:val="3ADF5529"/>
    <w:rsid w:val="3AF604E6"/>
    <w:rsid w:val="3B133C60"/>
    <w:rsid w:val="3B37435C"/>
    <w:rsid w:val="3B3E796D"/>
    <w:rsid w:val="3B4F0934"/>
    <w:rsid w:val="3B624BE4"/>
    <w:rsid w:val="3B7D4A60"/>
    <w:rsid w:val="3B7E3082"/>
    <w:rsid w:val="3B7F4030"/>
    <w:rsid w:val="3B8C756F"/>
    <w:rsid w:val="3B9B5BA7"/>
    <w:rsid w:val="3BAC0F6E"/>
    <w:rsid w:val="3BB014AF"/>
    <w:rsid w:val="3BBD4D3D"/>
    <w:rsid w:val="3BE64ED1"/>
    <w:rsid w:val="3BE76D49"/>
    <w:rsid w:val="3C5366EB"/>
    <w:rsid w:val="3C5635AB"/>
    <w:rsid w:val="3C65673D"/>
    <w:rsid w:val="3C8A6140"/>
    <w:rsid w:val="3C8E413E"/>
    <w:rsid w:val="3C8F7316"/>
    <w:rsid w:val="3CA2510A"/>
    <w:rsid w:val="3CC2435A"/>
    <w:rsid w:val="3CC340CE"/>
    <w:rsid w:val="3CCB3672"/>
    <w:rsid w:val="3CF165CE"/>
    <w:rsid w:val="3D03796B"/>
    <w:rsid w:val="3D1C4922"/>
    <w:rsid w:val="3D281C6B"/>
    <w:rsid w:val="3D47512B"/>
    <w:rsid w:val="3D503F93"/>
    <w:rsid w:val="3D924E21"/>
    <w:rsid w:val="3DD12CFB"/>
    <w:rsid w:val="3DFD6502"/>
    <w:rsid w:val="3E157CEF"/>
    <w:rsid w:val="3E1C2E2C"/>
    <w:rsid w:val="3E261EFC"/>
    <w:rsid w:val="3E28111A"/>
    <w:rsid w:val="3E2C6DE7"/>
    <w:rsid w:val="3E3208A1"/>
    <w:rsid w:val="3E345210"/>
    <w:rsid w:val="3E3B295B"/>
    <w:rsid w:val="3E5006D8"/>
    <w:rsid w:val="3E5F71BC"/>
    <w:rsid w:val="3E71571F"/>
    <w:rsid w:val="3E8574BE"/>
    <w:rsid w:val="3E8C67D0"/>
    <w:rsid w:val="3EA80B63"/>
    <w:rsid w:val="3EAE173E"/>
    <w:rsid w:val="3EB56DDC"/>
    <w:rsid w:val="3EBF4B4B"/>
    <w:rsid w:val="3ECD0756"/>
    <w:rsid w:val="3EE71644"/>
    <w:rsid w:val="3EEB67AF"/>
    <w:rsid w:val="3EFB73C4"/>
    <w:rsid w:val="3F260B3C"/>
    <w:rsid w:val="3F2A5A1C"/>
    <w:rsid w:val="3F385583"/>
    <w:rsid w:val="3F3E5024"/>
    <w:rsid w:val="3F5353DC"/>
    <w:rsid w:val="3F650930"/>
    <w:rsid w:val="3F801255"/>
    <w:rsid w:val="3FAF4B16"/>
    <w:rsid w:val="3FCC0881"/>
    <w:rsid w:val="3FE56F1E"/>
    <w:rsid w:val="3FE72D54"/>
    <w:rsid w:val="3FEC5316"/>
    <w:rsid w:val="3FF971CD"/>
    <w:rsid w:val="40055B41"/>
    <w:rsid w:val="40077B0C"/>
    <w:rsid w:val="40093884"/>
    <w:rsid w:val="400B3158"/>
    <w:rsid w:val="40161AFD"/>
    <w:rsid w:val="403D46F7"/>
    <w:rsid w:val="404228F2"/>
    <w:rsid w:val="404F314F"/>
    <w:rsid w:val="40744771"/>
    <w:rsid w:val="40790F14"/>
    <w:rsid w:val="409C1ED6"/>
    <w:rsid w:val="40B557B9"/>
    <w:rsid w:val="40CD48B1"/>
    <w:rsid w:val="41171FD0"/>
    <w:rsid w:val="41517290"/>
    <w:rsid w:val="4160363D"/>
    <w:rsid w:val="416E0761"/>
    <w:rsid w:val="41A7743D"/>
    <w:rsid w:val="41AA074E"/>
    <w:rsid w:val="41AC096A"/>
    <w:rsid w:val="41B96BE3"/>
    <w:rsid w:val="41C757A4"/>
    <w:rsid w:val="41D43A1D"/>
    <w:rsid w:val="41E51A59"/>
    <w:rsid w:val="42044303"/>
    <w:rsid w:val="42185A06"/>
    <w:rsid w:val="42187DAE"/>
    <w:rsid w:val="422D0F9E"/>
    <w:rsid w:val="4246797C"/>
    <w:rsid w:val="424E373B"/>
    <w:rsid w:val="42554B5E"/>
    <w:rsid w:val="425F778B"/>
    <w:rsid w:val="426923B8"/>
    <w:rsid w:val="427047AD"/>
    <w:rsid w:val="42812140"/>
    <w:rsid w:val="42981012"/>
    <w:rsid w:val="42A06CAD"/>
    <w:rsid w:val="42A96112"/>
    <w:rsid w:val="42DE53F7"/>
    <w:rsid w:val="42F245C7"/>
    <w:rsid w:val="42F72E19"/>
    <w:rsid w:val="43337A74"/>
    <w:rsid w:val="433774B9"/>
    <w:rsid w:val="433E55F2"/>
    <w:rsid w:val="4341405C"/>
    <w:rsid w:val="43565624"/>
    <w:rsid w:val="43647798"/>
    <w:rsid w:val="436550BE"/>
    <w:rsid w:val="4379487C"/>
    <w:rsid w:val="437C04FB"/>
    <w:rsid w:val="43904E3D"/>
    <w:rsid w:val="439459B6"/>
    <w:rsid w:val="43A0005B"/>
    <w:rsid w:val="43AE09CA"/>
    <w:rsid w:val="43B95C20"/>
    <w:rsid w:val="43C92A53"/>
    <w:rsid w:val="43D234C2"/>
    <w:rsid w:val="43E91A02"/>
    <w:rsid w:val="43EB631B"/>
    <w:rsid w:val="43FB6092"/>
    <w:rsid w:val="44120E71"/>
    <w:rsid w:val="4416107A"/>
    <w:rsid w:val="4426250F"/>
    <w:rsid w:val="4427252A"/>
    <w:rsid w:val="443B5FD6"/>
    <w:rsid w:val="444E5D09"/>
    <w:rsid w:val="44586B88"/>
    <w:rsid w:val="446577F3"/>
    <w:rsid w:val="4470139D"/>
    <w:rsid w:val="447119F7"/>
    <w:rsid w:val="44880C4A"/>
    <w:rsid w:val="449657A1"/>
    <w:rsid w:val="44A535E6"/>
    <w:rsid w:val="44AB6CB7"/>
    <w:rsid w:val="44B53510"/>
    <w:rsid w:val="44C33A20"/>
    <w:rsid w:val="44CE29A6"/>
    <w:rsid w:val="44D2693A"/>
    <w:rsid w:val="44DF4545"/>
    <w:rsid w:val="44E23A1D"/>
    <w:rsid w:val="44EA7076"/>
    <w:rsid w:val="45027F1D"/>
    <w:rsid w:val="45046F57"/>
    <w:rsid w:val="4517434D"/>
    <w:rsid w:val="451A3E3D"/>
    <w:rsid w:val="4528245B"/>
    <w:rsid w:val="452A365C"/>
    <w:rsid w:val="454219A7"/>
    <w:rsid w:val="455430D7"/>
    <w:rsid w:val="455831E2"/>
    <w:rsid w:val="455C2857"/>
    <w:rsid w:val="45790B64"/>
    <w:rsid w:val="45943BEF"/>
    <w:rsid w:val="45BB73CE"/>
    <w:rsid w:val="45BC47DC"/>
    <w:rsid w:val="45C1250B"/>
    <w:rsid w:val="45DF4370"/>
    <w:rsid w:val="45E22BAD"/>
    <w:rsid w:val="45EA1A61"/>
    <w:rsid w:val="46162856"/>
    <w:rsid w:val="461A46B9"/>
    <w:rsid w:val="46205483"/>
    <w:rsid w:val="464C01DE"/>
    <w:rsid w:val="4659102E"/>
    <w:rsid w:val="46870682"/>
    <w:rsid w:val="46957C1F"/>
    <w:rsid w:val="469B0FAE"/>
    <w:rsid w:val="46AE0CE1"/>
    <w:rsid w:val="46B314BF"/>
    <w:rsid w:val="46BE6ED5"/>
    <w:rsid w:val="46D05169"/>
    <w:rsid w:val="46DC3AA0"/>
    <w:rsid w:val="46EE732F"/>
    <w:rsid w:val="46F30DEA"/>
    <w:rsid w:val="46F36A6D"/>
    <w:rsid w:val="46FA2178"/>
    <w:rsid w:val="470F3C79"/>
    <w:rsid w:val="47130934"/>
    <w:rsid w:val="47305832"/>
    <w:rsid w:val="474D077B"/>
    <w:rsid w:val="475A5F5D"/>
    <w:rsid w:val="4768510A"/>
    <w:rsid w:val="476B6BD2"/>
    <w:rsid w:val="477F193B"/>
    <w:rsid w:val="478F466E"/>
    <w:rsid w:val="479C6F9E"/>
    <w:rsid w:val="47AD250C"/>
    <w:rsid w:val="47C6635A"/>
    <w:rsid w:val="47C83F0B"/>
    <w:rsid w:val="47D55F2F"/>
    <w:rsid w:val="48300DF2"/>
    <w:rsid w:val="48360F8E"/>
    <w:rsid w:val="48484653"/>
    <w:rsid w:val="48735D3E"/>
    <w:rsid w:val="488663E2"/>
    <w:rsid w:val="488C6E00"/>
    <w:rsid w:val="489B28AD"/>
    <w:rsid w:val="489E7A6A"/>
    <w:rsid w:val="48C86C1F"/>
    <w:rsid w:val="48C90054"/>
    <w:rsid w:val="48CD0334"/>
    <w:rsid w:val="48CE11C6"/>
    <w:rsid w:val="48D6451F"/>
    <w:rsid w:val="48F86243"/>
    <w:rsid w:val="491357D2"/>
    <w:rsid w:val="491C12FE"/>
    <w:rsid w:val="49214D6C"/>
    <w:rsid w:val="493556E9"/>
    <w:rsid w:val="4954670F"/>
    <w:rsid w:val="49613E14"/>
    <w:rsid w:val="497E78FD"/>
    <w:rsid w:val="49865F45"/>
    <w:rsid w:val="499F05C8"/>
    <w:rsid w:val="49B20AE8"/>
    <w:rsid w:val="49B22896"/>
    <w:rsid w:val="49BA3220"/>
    <w:rsid w:val="49C47821"/>
    <w:rsid w:val="49D23B02"/>
    <w:rsid w:val="49D66C00"/>
    <w:rsid w:val="4A224F9F"/>
    <w:rsid w:val="4A3907AB"/>
    <w:rsid w:val="4A3B288C"/>
    <w:rsid w:val="4A6B3C27"/>
    <w:rsid w:val="4A6B49EA"/>
    <w:rsid w:val="4A757E64"/>
    <w:rsid w:val="4A83031A"/>
    <w:rsid w:val="4A86659B"/>
    <w:rsid w:val="4A9363E9"/>
    <w:rsid w:val="4AA743C5"/>
    <w:rsid w:val="4ADA579B"/>
    <w:rsid w:val="4AE253FD"/>
    <w:rsid w:val="4AF64A29"/>
    <w:rsid w:val="4B091163"/>
    <w:rsid w:val="4B176400"/>
    <w:rsid w:val="4B180CCB"/>
    <w:rsid w:val="4B1F7E2F"/>
    <w:rsid w:val="4B230900"/>
    <w:rsid w:val="4B263FD8"/>
    <w:rsid w:val="4B297783"/>
    <w:rsid w:val="4B37174D"/>
    <w:rsid w:val="4B5D6E05"/>
    <w:rsid w:val="4B6202EC"/>
    <w:rsid w:val="4B8E3692"/>
    <w:rsid w:val="4BA206E8"/>
    <w:rsid w:val="4BB548C0"/>
    <w:rsid w:val="4BC66ACD"/>
    <w:rsid w:val="4BCC6367"/>
    <w:rsid w:val="4BDE3E16"/>
    <w:rsid w:val="4BEB02E1"/>
    <w:rsid w:val="4BEF3890"/>
    <w:rsid w:val="4BF04D08"/>
    <w:rsid w:val="4C1A4723"/>
    <w:rsid w:val="4C1C66ED"/>
    <w:rsid w:val="4C35155C"/>
    <w:rsid w:val="4C4733B0"/>
    <w:rsid w:val="4C4A325A"/>
    <w:rsid w:val="4C765DFD"/>
    <w:rsid w:val="4C7B2D4A"/>
    <w:rsid w:val="4C8672F7"/>
    <w:rsid w:val="4C91078C"/>
    <w:rsid w:val="4CAA1F4A"/>
    <w:rsid w:val="4CB97E79"/>
    <w:rsid w:val="4CC0351C"/>
    <w:rsid w:val="4CC629D5"/>
    <w:rsid w:val="4CCB6BC6"/>
    <w:rsid w:val="4CDE3574"/>
    <w:rsid w:val="4CF15559"/>
    <w:rsid w:val="4CFB41AB"/>
    <w:rsid w:val="4CFD63FA"/>
    <w:rsid w:val="4D043409"/>
    <w:rsid w:val="4D1675E0"/>
    <w:rsid w:val="4D176086"/>
    <w:rsid w:val="4D1A57C1"/>
    <w:rsid w:val="4D1D271C"/>
    <w:rsid w:val="4D290F03"/>
    <w:rsid w:val="4D302450"/>
    <w:rsid w:val="4D3E64AE"/>
    <w:rsid w:val="4D61085B"/>
    <w:rsid w:val="4D7B7443"/>
    <w:rsid w:val="4D8207D1"/>
    <w:rsid w:val="4D84693C"/>
    <w:rsid w:val="4D8E7869"/>
    <w:rsid w:val="4D9D560B"/>
    <w:rsid w:val="4D9D57B5"/>
    <w:rsid w:val="4DA62155"/>
    <w:rsid w:val="4DA6314F"/>
    <w:rsid w:val="4DA6489A"/>
    <w:rsid w:val="4DA90985"/>
    <w:rsid w:val="4DCD6B9F"/>
    <w:rsid w:val="4DF92CF4"/>
    <w:rsid w:val="4E0110FF"/>
    <w:rsid w:val="4E09337F"/>
    <w:rsid w:val="4E1753BE"/>
    <w:rsid w:val="4E233D62"/>
    <w:rsid w:val="4E237B2A"/>
    <w:rsid w:val="4E3A1018"/>
    <w:rsid w:val="4E541B4B"/>
    <w:rsid w:val="4E791BD4"/>
    <w:rsid w:val="4E83178F"/>
    <w:rsid w:val="4EB50F84"/>
    <w:rsid w:val="4EC45545"/>
    <w:rsid w:val="4EC731AC"/>
    <w:rsid w:val="4ECC57C7"/>
    <w:rsid w:val="4EEC23A6"/>
    <w:rsid w:val="4EF72A60"/>
    <w:rsid w:val="4F596B85"/>
    <w:rsid w:val="4F6B5078"/>
    <w:rsid w:val="4F6C2D3D"/>
    <w:rsid w:val="4F786330"/>
    <w:rsid w:val="4F8433BC"/>
    <w:rsid w:val="4F942E56"/>
    <w:rsid w:val="4F9F38BD"/>
    <w:rsid w:val="4FBF45F7"/>
    <w:rsid w:val="4FC8052D"/>
    <w:rsid w:val="4FD15816"/>
    <w:rsid w:val="4FD31589"/>
    <w:rsid w:val="4FD317B8"/>
    <w:rsid w:val="4FF92FBF"/>
    <w:rsid w:val="500A734E"/>
    <w:rsid w:val="501778F7"/>
    <w:rsid w:val="50185F28"/>
    <w:rsid w:val="50243DC2"/>
    <w:rsid w:val="50506965"/>
    <w:rsid w:val="505C2011"/>
    <w:rsid w:val="505C34FF"/>
    <w:rsid w:val="506D39BB"/>
    <w:rsid w:val="5070232D"/>
    <w:rsid w:val="50801DCA"/>
    <w:rsid w:val="508C501E"/>
    <w:rsid w:val="508F56DF"/>
    <w:rsid w:val="50971779"/>
    <w:rsid w:val="50A6515E"/>
    <w:rsid w:val="50B27620"/>
    <w:rsid w:val="50BA786B"/>
    <w:rsid w:val="50BC4ACB"/>
    <w:rsid w:val="510C31D4"/>
    <w:rsid w:val="51147522"/>
    <w:rsid w:val="512F7F80"/>
    <w:rsid w:val="51376111"/>
    <w:rsid w:val="513C5D82"/>
    <w:rsid w:val="5143250C"/>
    <w:rsid w:val="51AE7DE7"/>
    <w:rsid w:val="51B00003"/>
    <w:rsid w:val="51B031CD"/>
    <w:rsid w:val="51B04FDC"/>
    <w:rsid w:val="51CE39A4"/>
    <w:rsid w:val="51F07C19"/>
    <w:rsid w:val="51F231A6"/>
    <w:rsid w:val="51FB5AB5"/>
    <w:rsid w:val="51FF37D4"/>
    <w:rsid w:val="521E2410"/>
    <w:rsid w:val="522B1438"/>
    <w:rsid w:val="5245699D"/>
    <w:rsid w:val="52466320"/>
    <w:rsid w:val="5251726B"/>
    <w:rsid w:val="525210BA"/>
    <w:rsid w:val="52A01D28"/>
    <w:rsid w:val="52C66671"/>
    <w:rsid w:val="52C83663"/>
    <w:rsid w:val="52CA0C50"/>
    <w:rsid w:val="52CF0B6A"/>
    <w:rsid w:val="5302663C"/>
    <w:rsid w:val="531A3309"/>
    <w:rsid w:val="531B7DBF"/>
    <w:rsid w:val="531D66D7"/>
    <w:rsid w:val="53312A7E"/>
    <w:rsid w:val="53366B04"/>
    <w:rsid w:val="534A1D91"/>
    <w:rsid w:val="53762B86"/>
    <w:rsid w:val="537E1A3B"/>
    <w:rsid w:val="53BF3EB7"/>
    <w:rsid w:val="53C2401E"/>
    <w:rsid w:val="53C659A5"/>
    <w:rsid w:val="53D578AD"/>
    <w:rsid w:val="53E47AF0"/>
    <w:rsid w:val="53F031F2"/>
    <w:rsid w:val="53F341D7"/>
    <w:rsid w:val="5402441A"/>
    <w:rsid w:val="540D3547"/>
    <w:rsid w:val="541505F1"/>
    <w:rsid w:val="54637423"/>
    <w:rsid w:val="54745318"/>
    <w:rsid w:val="54815E32"/>
    <w:rsid w:val="548553F0"/>
    <w:rsid w:val="54CC424B"/>
    <w:rsid w:val="54D63BE1"/>
    <w:rsid w:val="54ED0C26"/>
    <w:rsid w:val="5501635D"/>
    <w:rsid w:val="5512694D"/>
    <w:rsid w:val="551C62C9"/>
    <w:rsid w:val="554329FC"/>
    <w:rsid w:val="55711D31"/>
    <w:rsid w:val="55935C72"/>
    <w:rsid w:val="55992B5C"/>
    <w:rsid w:val="55A04AF4"/>
    <w:rsid w:val="55A75B86"/>
    <w:rsid w:val="55AF05D2"/>
    <w:rsid w:val="55B300C2"/>
    <w:rsid w:val="55B80C8D"/>
    <w:rsid w:val="55D17A0F"/>
    <w:rsid w:val="55DF2C65"/>
    <w:rsid w:val="55EC37CD"/>
    <w:rsid w:val="561F1AC8"/>
    <w:rsid w:val="56231719"/>
    <w:rsid w:val="5638483F"/>
    <w:rsid w:val="563B0804"/>
    <w:rsid w:val="563F3703"/>
    <w:rsid w:val="56831A2E"/>
    <w:rsid w:val="56951D81"/>
    <w:rsid w:val="5697709C"/>
    <w:rsid w:val="56DA2E2C"/>
    <w:rsid w:val="56F269C8"/>
    <w:rsid w:val="570469A2"/>
    <w:rsid w:val="570861EB"/>
    <w:rsid w:val="572476B0"/>
    <w:rsid w:val="572E67EF"/>
    <w:rsid w:val="57557C15"/>
    <w:rsid w:val="57684EDC"/>
    <w:rsid w:val="5775155A"/>
    <w:rsid w:val="577801EC"/>
    <w:rsid w:val="57780712"/>
    <w:rsid w:val="57877110"/>
    <w:rsid w:val="57961DC1"/>
    <w:rsid w:val="57B64AE0"/>
    <w:rsid w:val="57D638D5"/>
    <w:rsid w:val="57DF5BAB"/>
    <w:rsid w:val="58112409"/>
    <w:rsid w:val="583152CE"/>
    <w:rsid w:val="58562F86"/>
    <w:rsid w:val="5858444C"/>
    <w:rsid w:val="586D63EB"/>
    <w:rsid w:val="589870FB"/>
    <w:rsid w:val="58A74BCC"/>
    <w:rsid w:val="58B71C77"/>
    <w:rsid w:val="58DA5965"/>
    <w:rsid w:val="58DA7713"/>
    <w:rsid w:val="58DD0FB2"/>
    <w:rsid w:val="58F06585"/>
    <w:rsid w:val="58F44C79"/>
    <w:rsid w:val="59046D87"/>
    <w:rsid w:val="59123A84"/>
    <w:rsid w:val="592E5FDC"/>
    <w:rsid w:val="59361DB3"/>
    <w:rsid w:val="59432C5D"/>
    <w:rsid w:val="59437C63"/>
    <w:rsid w:val="59487CD4"/>
    <w:rsid w:val="594A2AEB"/>
    <w:rsid w:val="595079D6"/>
    <w:rsid w:val="59787398"/>
    <w:rsid w:val="59AC6C4C"/>
    <w:rsid w:val="59D625D1"/>
    <w:rsid w:val="59F760A3"/>
    <w:rsid w:val="5A0013FC"/>
    <w:rsid w:val="5A116179"/>
    <w:rsid w:val="5A4F7C8D"/>
    <w:rsid w:val="5A5B4884"/>
    <w:rsid w:val="5A643376"/>
    <w:rsid w:val="5A6523F3"/>
    <w:rsid w:val="5A6B0EEF"/>
    <w:rsid w:val="5A747429"/>
    <w:rsid w:val="5A7C4F26"/>
    <w:rsid w:val="5A825130"/>
    <w:rsid w:val="5A8836A8"/>
    <w:rsid w:val="5A8C579E"/>
    <w:rsid w:val="5A9B29A5"/>
    <w:rsid w:val="5AA44CE5"/>
    <w:rsid w:val="5AB775BC"/>
    <w:rsid w:val="5AE66844"/>
    <w:rsid w:val="5AEA3A70"/>
    <w:rsid w:val="5AF013CF"/>
    <w:rsid w:val="5AF81198"/>
    <w:rsid w:val="5B097C9D"/>
    <w:rsid w:val="5B1038C0"/>
    <w:rsid w:val="5B12188D"/>
    <w:rsid w:val="5B266C40"/>
    <w:rsid w:val="5B2D7FCE"/>
    <w:rsid w:val="5B3C3C97"/>
    <w:rsid w:val="5B5405FB"/>
    <w:rsid w:val="5B6F4A8B"/>
    <w:rsid w:val="5B834092"/>
    <w:rsid w:val="5B897168"/>
    <w:rsid w:val="5B995664"/>
    <w:rsid w:val="5BB55D3F"/>
    <w:rsid w:val="5BC37E11"/>
    <w:rsid w:val="5BD72AFC"/>
    <w:rsid w:val="5BDD49DB"/>
    <w:rsid w:val="5BF53766"/>
    <w:rsid w:val="5BF810FD"/>
    <w:rsid w:val="5C136587"/>
    <w:rsid w:val="5C15468A"/>
    <w:rsid w:val="5C1A7208"/>
    <w:rsid w:val="5C44048B"/>
    <w:rsid w:val="5C49708A"/>
    <w:rsid w:val="5C4A2849"/>
    <w:rsid w:val="5C6B34A4"/>
    <w:rsid w:val="5C7242C1"/>
    <w:rsid w:val="5C824737"/>
    <w:rsid w:val="5C9522CF"/>
    <w:rsid w:val="5CB974AD"/>
    <w:rsid w:val="5CC74453"/>
    <w:rsid w:val="5CCE3A33"/>
    <w:rsid w:val="5CD1347A"/>
    <w:rsid w:val="5CE0366C"/>
    <w:rsid w:val="5D215911"/>
    <w:rsid w:val="5D38775F"/>
    <w:rsid w:val="5D3A2E77"/>
    <w:rsid w:val="5D3F1174"/>
    <w:rsid w:val="5DCD75CB"/>
    <w:rsid w:val="5DD24E5D"/>
    <w:rsid w:val="5DE66B5A"/>
    <w:rsid w:val="5E2C6E70"/>
    <w:rsid w:val="5E357973"/>
    <w:rsid w:val="5E3A20D5"/>
    <w:rsid w:val="5E3E06E5"/>
    <w:rsid w:val="5E4A533B"/>
    <w:rsid w:val="5E58443E"/>
    <w:rsid w:val="5E7D21B3"/>
    <w:rsid w:val="5E9E20FC"/>
    <w:rsid w:val="5EA07AA3"/>
    <w:rsid w:val="5EA7453C"/>
    <w:rsid w:val="5EA902B4"/>
    <w:rsid w:val="5EB56C59"/>
    <w:rsid w:val="5EBF5943"/>
    <w:rsid w:val="5F061262"/>
    <w:rsid w:val="5F07514A"/>
    <w:rsid w:val="5F08270F"/>
    <w:rsid w:val="5F2028E1"/>
    <w:rsid w:val="5F230066"/>
    <w:rsid w:val="5F5F0972"/>
    <w:rsid w:val="5F604DF4"/>
    <w:rsid w:val="5F7721EF"/>
    <w:rsid w:val="5FAF36A8"/>
    <w:rsid w:val="5FB05672"/>
    <w:rsid w:val="5FE17F2A"/>
    <w:rsid w:val="602A4600"/>
    <w:rsid w:val="603B13E0"/>
    <w:rsid w:val="60420F9B"/>
    <w:rsid w:val="60511808"/>
    <w:rsid w:val="60634492"/>
    <w:rsid w:val="6085130E"/>
    <w:rsid w:val="60A94A39"/>
    <w:rsid w:val="60AA5E37"/>
    <w:rsid w:val="60B46A9C"/>
    <w:rsid w:val="60B5113E"/>
    <w:rsid w:val="60FC351A"/>
    <w:rsid w:val="61165853"/>
    <w:rsid w:val="61330309"/>
    <w:rsid w:val="6136553C"/>
    <w:rsid w:val="615056C3"/>
    <w:rsid w:val="61664963"/>
    <w:rsid w:val="617516A8"/>
    <w:rsid w:val="617D622B"/>
    <w:rsid w:val="618E3FCB"/>
    <w:rsid w:val="61A03F32"/>
    <w:rsid w:val="61B12374"/>
    <w:rsid w:val="61B21710"/>
    <w:rsid w:val="61B719C0"/>
    <w:rsid w:val="620A72BB"/>
    <w:rsid w:val="622D760F"/>
    <w:rsid w:val="623460E6"/>
    <w:rsid w:val="62446268"/>
    <w:rsid w:val="624535E4"/>
    <w:rsid w:val="624D53FA"/>
    <w:rsid w:val="62556CCF"/>
    <w:rsid w:val="62620291"/>
    <w:rsid w:val="62624CE8"/>
    <w:rsid w:val="626540D0"/>
    <w:rsid w:val="627666FF"/>
    <w:rsid w:val="628232F6"/>
    <w:rsid w:val="629F5CB0"/>
    <w:rsid w:val="62BD7CE4"/>
    <w:rsid w:val="62E11B73"/>
    <w:rsid w:val="62EE2D4B"/>
    <w:rsid w:val="6300421A"/>
    <w:rsid w:val="631A396D"/>
    <w:rsid w:val="631E0515"/>
    <w:rsid w:val="632E0D88"/>
    <w:rsid w:val="633C5749"/>
    <w:rsid w:val="635051A2"/>
    <w:rsid w:val="6353259C"/>
    <w:rsid w:val="636E5628"/>
    <w:rsid w:val="639F0C82"/>
    <w:rsid w:val="63AB76CB"/>
    <w:rsid w:val="63D610CC"/>
    <w:rsid w:val="63EA66F6"/>
    <w:rsid w:val="63F746BA"/>
    <w:rsid w:val="640D5EFB"/>
    <w:rsid w:val="641469B2"/>
    <w:rsid w:val="642E704C"/>
    <w:rsid w:val="643E12CC"/>
    <w:rsid w:val="64433F40"/>
    <w:rsid w:val="645A392E"/>
    <w:rsid w:val="64676364"/>
    <w:rsid w:val="646D768E"/>
    <w:rsid w:val="64967B7F"/>
    <w:rsid w:val="6497295D"/>
    <w:rsid w:val="64A97C0F"/>
    <w:rsid w:val="64AE04B2"/>
    <w:rsid w:val="64BD3832"/>
    <w:rsid w:val="64D63F0F"/>
    <w:rsid w:val="64E04304"/>
    <w:rsid w:val="651F027D"/>
    <w:rsid w:val="652E0C40"/>
    <w:rsid w:val="654523B9"/>
    <w:rsid w:val="654F7507"/>
    <w:rsid w:val="656662CE"/>
    <w:rsid w:val="65670E6D"/>
    <w:rsid w:val="65D35C16"/>
    <w:rsid w:val="65D774B5"/>
    <w:rsid w:val="65E1359C"/>
    <w:rsid w:val="65E903B7"/>
    <w:rsid w:val="65F74891"/>
    <w:rsid w:val="662D1964"/>
    <w:rsid w:val="662F5543"/>
    <w:rsid w:val="663E4758"/>
    <w:rsid w:val="664A412A"/>
    <w:rsid w:val="66517486"/>
    <w:rsid w:val="665925BF"/>
    <w:rsid w:val="66957780"/>
    <w:rsid w:val="669C06FE"/>
    <w:rsid w:val="66A01E20"/>
    <w:rsid w:val="66B04FFE"/>
    <w:rsid w:val="66BC5FE0"/>
    <w:rsid w:val="67236729"/>
    <w:rsid w:val="672E002D"/>
    <w:rsid w:val="67373964"/>
    <w:rsid w:val="677671A1"/>
    <w:rsid w:val="678216A2"/>
    <w:rsid w:val="6799184F"/>
    <w:rsid w:val="67992463"/>
    <w:rsid w:val="679F4F83"/>
    <w:rsid w:val="67CB3049"/>
    <w:rsid w:val="67D82672"/>
    <w:rsid w:val="67EB1865"/>
    <w:rsid w:val="680448CE"/>
    <w:rsid w:val="6813679E"/>
    <w:rsid w:val="681F4FFC"/>
    <w:rsid w:val="6824093F"/>
    <w:rsid w:val="686213F4"/>
    <w:rsid w:val="686E3734"/>
    <w:rsid w:val="6878047D"/>
    <w:rsid w:val="687D1247"/>
    <w:rsid w:val="68843A54"/>
    <w:rsid w:val="688F15F9"/>
    <w:rsid w:val="689C5D54"/>
    <w:rsid w:val="68D80739"/>
    <w:rsid w:val="68E66DF6"/>
    <w:rsid w:val="68F656F3"/>
    <w:rsid w:val="68FC6CDB"/>
    <w:rsid w:val="69001FB5"/>
    <w:rsid w:val="69204579"/>
    <w:rsid w:val="69676DA1"/>
    <w:rsid w:val="69782785"/>
    <w:rsid w:val="697964A0"/>
    <w:rsid w:val="699D0A15"/>
    <w:rsid w:val="69A1722F"/>
    <w:rsid w:val="69A21516"/>
    <w:rsid w:val="69A72ABF"/>
    <w:rsid w:val="69AC2A06"/>
    <w:rsid w:val="69B52FE2"/>
    <w:rsid w:val="69BB0E9B"/>
    <w:rsid w:val="69BE49D5"/>
    <w:rsid w:val="69C266CE"/>
    <w:rsid w:val="69DD1F80"/>
    <w:rsid w:val="69EE74C3"/>
    <w:rsid w:val="69F72CA8"/>
    <w:rsid w:val="69FD3262"/>
    <w:rsid w:val="6A065370"/>
    <w:rsid w:val="6A114F5F"/>
    <w:rsid w:val="6A284D1E"/>
    <w:rsid w:val="6A2F5622"/>
    <w:rsid w:val="6A5C15A5"/>
    <w:rsid w:val="6A5E4190"/>
    <w:rsid w:val="6A6606D0"/>
    <w:rsid w:val="6A6C3978"/>
    <w:rsid w:val="6A7D0052"/>
    <w:rsid w:val="6A885221"/>
    <w:rsid w:val="6A887328"/>
    <w:rsid w:val="6A8D0A8A"/>
    <w:rsid w:val="6A935974"/>
    <w:rsid w:val="6A941E18"/>
    <w:rsid w:val="6AA06A0F"/>
    <w:rsid w:val="6AA638F9"/>
    <w:rsid w:val="6AA9572F"/>
    <w:rsid w:val="6ABE6E95"/>
    <w:rsid w:val="6AE47699"/>
    <w:rsid w:val="6AFB3C45"/>
    <w:rsid w:val="6B0625EA"/>
    <w:rsid w:val="6B106FC5"/>
    <w:rsid w:val="6B1D3BCB"/>
    <w:rsid w:val="6B2B174C"/>
    <w:rsid w:val="6B39476E"/>
    <w:rsid w:val="6B406C21"/>
    <w:rsid w:val="6B43739A"/>
    <w:rsid w:val="6B574937"/>
    <w:rsid w:val="6B7F69D2"/>
    <w:rsid w:val="6B8237AB"/>
    <w:rsid w:val="6B827EC3"/>
    <w:rsid w:val="6B981494"/>
    <w:rsid w:val="6BA35411"/>
    <w:rsid w:val="6BA41E2C"/>
    <w:rsid w:val="6BB77A32"/>
    <w:rsid w:val="6BD57C03"/>
    <w:rsid w:val="6C3D25C6"/>
    <w:rsid w:val="6C3E5445"/>
    <w:rsid w:val="6C467142"/>
    <w:rsid w:val="6C64057B"/>
    <w:rsid w:val="6C823EF2"/>
    <w:rsid w:val="6C88625E"/>
    <w:rsid w:val="6C9A02BA"/>
    <w:rsid w:val="6C9B1366"/>
    <w:rsid w:val="6CAB3449"/>
    <w:rsid w:val="6CBB610D"/>
    <w:rsid w:val="6CC07F10"/>
    <w:rsid w:val="6CC21310"/>
    <w:rsid w:val="6CD7423E"/>
    <w:rsid w:val="6CF802BA"/>
    <w:rsid w:val="6D0112BB"/>
    <w:rsid w:val="6D0A5080"/>
    <w:rsid w:val="6D0D1A0E"/>
    <w:rsid w:val="6D1D35F4"/>
    <w:rsid w:val="6D2E0A58"/>
    <w:rsid w:val="6D321474"/>
    <w:rsid w:val="6D6E28A1"/>
    <w:rsid w:val="6D947AC3"/>
    <w:rsid w:val="6DB12017"/>
    <w:rsid w:val="6DB462B5"/>
    <w:rsid w:val="6DE44E65"/>
    <w:rsid w:val="6E1141A4"/>
    <w:rsid w:val="6E654FC5"/>
    <w:rsid w:val="6E677844"/>
    <w:rsid w:val="6E9437BA"/>
    <w:rsid w:val="6EA36ACE"/>
    <w:rsid w:val="6EBC193D"/>
    <w:rsid w:val="6ECE1671"/>
    <w:rsid w:val="6ED50385"/>
    <w:rsid w:val="6EDF201F"/>
    <w:rsid w:val="6EE15CBE"/>
    <w:rsid w:val="6F067098"/>
    <w:rsid w:val="6F080338"/>
    <w:rsid w:val="6F11769C"/>
    <w:rsid w:val="6F1639B1"/>
    <w:rsid w:val="6F1A6664"/>
    <w:rsid w:val="6F215C44"/>
    <w:rsid w:val="6F2317E3"/>
    <w:rsid w:val="6F4F59D4"/>
    <w:rsid w:val="6F6124E5"/>
    <w:rsid w:val="6F712728"/>
    <w:rsid w:val="6F770DD6"/>
    <w:rsid w:val="6F775864"/>
    <w:rsid w:val="6F7B6FC4"/>
    <w:rsid w:val="6F8844C7"/>
    <w:rsid w:val="6F8F711D"/>
    <w:rsid w:val="6F997E18"/>
    <w:rsid w:val="6F9D4AB4"/>
    <w:rsid w:val="6FB21D83"/>
    <w:rsid w:val="6FB62251"/>
    <w:rsid w:val="6FC523EB"/>
    <w:rsid w:val="6FD71C4D"/>
    <w:rsid w:val="6FD76A3D"/>
    <w:rsid w:val="6FDE0311"/>
    <w:rsid w:val="6FEE246B"/>
    <w:rsid w:val="6FF9096F"/>
    <w:rsid w:val="6FFD220E"/>
    <w:rsid w:val="700C5673"/>
    <w:rsid w:val="701337DF"/>
    <w:rsid w:val="702C664F"/>
    <w:rsid w:val="702E5347"/>
    <w:rsid w:val="702F388F"/>
    <w:rsid w:val="704D278A"/>
    <w:rsid w:val="706C4666"/>
    <w:rsid w:val="70717761"/>
    <w:rsid w:val="707A1AB0"/>
    <w:rsid w:val="707D6EAA"/>
    <w:rsid w:val="708A15C7"/>
    <w:rsid w:val="709B6886"/>
    <w:rsid w:val="70C9553C"/>
    <w:rsid w:val="70CB5E68"/>
    <w:rsid w:val="70D70CB1"/>
    <w:rsid w:val="70DE3ABD"/>
    <w:rsid w:val="70E41C98"/>
    <w:rsid w:val="70E673D9"/>
    <w:rsid w:val="70F514DC"/>
    <w:rsid w:val="71182845"/>
    <w:rsid w:val="71755DD4"/>
    <w:rsid w:val="717C7162"/>
    <w:rsid w:val="717D77DC"/>
    <w:rsid w:val="717F172E"/>
    <w:rsid w:val="718A5D23"/>
    <w:rsid w:val="71A17E25"/>
    <w:rsid w:val="71B40FF2"/>
    <w:rsid w:val="71BC3A9A"/>
    <w:rsid w:val="71BF367A"/>
    <w:rsid w:val="71CF489A"/>
    <w:rsid w:val="71EF3DD8"/>
    <w:rsid w:val="721750DD"/>
    <w:rsid w:val="72287B01"/>
    <w:rsid w:val="72343EE1"/>
    <w:rsid w:val="723E08BB"/>
    <w:rsid w:val="7242215A"/>
    <w:rsid w:val="724A7260"/>
    <w:rsid w:val="726218A5"/>
    <w:rsid w:val="72853095"/>
    <w:rsid w:val="729D6F83"/>
    <w:rsid w:val="72A169BE"/>
    <w:rsid w:val="72A30264"/>
    <w:rsid w:val="72A40FB3"/>
    <w:rsid w:val="72BB1F0C"/>
    <w:rsid w:val="72BD760E"/>
    <w:rsid w:val="72CD6775"/>
    <w:rsid w:val="72D111A5"/>
    <w:rsid w:val="73025D8D"/>
    <w:rsid w:val="731A162D"/>
    <w:rsid w:val="732A48C9"/>
    <w:rsid w:val="734D53B5"/>
    <w:rsid w:val="73504D4A"/>
    <w:rsid w:val="73676811"/>
    <w:rsid w:val="73682094"/>
    <w:rsid w:val="736A630D"/>
    <w:rsid w:val="736C1812"/>
    <w:rsid w:val="73863CEF"/>
    <w:rsid w:val="739E27B8"/>
    <w:rsid w:val="73A10E32"/>
    <w:rsid w:val="73A446AD"/>
    <w:rsid w:val="73AD0352"/>
    <w:rsid w:val="73B47F66"/>
    <w:rsid w:val="73B726D3"/>
    <w:rsid w:val="73C25796"/>
    <w:rsid w:val="73D239B1"/>
    <w:rsid w:val="73F10F26"/>
    <w:rsid w:val="73F202E0"/>
    <w:rsid w:val="740A250C"/>
    <w:rsid w:val="740B755E"/>
    <w:rsid w:val="74106863"/>
    <w:rsid w:val="74216634"/>
    <w:rsid w:val="7431366F"/>
    <w:rsid w:val="743D52CE"/>
    <w:rsid w:val="744476A9"/>
    <w:rsid w:val="74485B23"/>
    <w:rsid w:val="744A79EB"/>
    <w:rsid w:val="744F5002"/>
    <w:rsid w:val="74604AFE"/>
    <w:rsid w:val="74614436"/>
    <w:rsid w:val="746565D3"/>
    <w:rsid w:val="74757AE7"/>
    <w:rsid w:val="74872EB5"/>
    <w:rsid w:val="74A52E74"/>
    <w:rsid w:val="74A54E21"/>
    <w:rsid w:val="74B0081B"/>
    <w:rsid w:val="74BB4445"/>
    <w:rsid w:val="74BC72D7"/>
    <w:rsid w:val="74C2787E"/>
    <w:rsid w:val="74C921F9"/>
    <w:rsid w:val="74D06BDE"/>
    <w:rsid w:val="74DC1E43"/>
    <w:rsid w:val="74FE2A5F"/>
    <w:rsid w:val="750167A9"/>
    <w:rsid w:val="75141D4A"/>
    <w:rsid w:val="752C7D25"/>
    <w:rsid w:val="754B57C9"/>
    <w:rsid w:val="754E0E15"/>
    <w:rsid w:val="756A030B"/>
    <w:rsid w:val="75915DBC"/>
    <w:rsid w:val="759F78C3"/>
    <w:rsid w:val="75B20134"/>
    <w:rsid w:val="75B55338"/>
    <w:rsid w:val="75BA630A"/>
    <w:rsid w:val="75D07FED"/>
    <w:rsid w:val="75DA2D6F"/>
    <w:rsid w:val="75DD049E"/>
    <w:rsid w:val="75FC2F67"/>
    <w:rsid w:val="7645046A"/>
    <w:rsid w:val="76493E46"/>
    <w:rsid w:val="76525848"/>
    <w:rsid w:val="76613F7D"/>
    <w:rsid w:val="766A7ED1"/>
    <w:rsid w:val="76782867"/>
    <w:rsid w:val="76804B9D"/>
    <w:rsid w:val="76944E2C"/>
    <w:rsid w:val="76A365EB"/>
    <w:rsid w:val="76A875DD"/>
    <w:rsid w:val="76C07AF1"/>
    <w:rsid w:val="76D4241C"/>
    <w:rsid w:val="77171B2C"/>
    <w:rsid w:val="77353C07"/>
    <w:rsid w:val="77506126"/>
    <w:rsid w:val="777E3905"/>
    <w:rsid w:val="779C67B0"/>
    <w:rsid w:val="779D37F4"/>
    <w:rsid w:val="77A41230"/>
    <w:rsid w:val="77C17F69"/>
    <w:rsid w:val="77D505BF"/>
    <w:rsid w:val="77E7507A"/>
    <w:rsid w:val="77E92187"/>
    <w:rsid w:val="77EA751B"/>
    <w:rsid w:val="77FB25D4"/>
    <w:rsid w:val="78342545"/>
    <w:rsid w:val="783764D9"/>
    <w:rsid w:val="7856054D"/>
    <w:rsid w:val="788F1E71"/>
    <w:rsid w:val="78941235"/>
    <w:rsid w:val="78A47DD7"/>
    <w:rsid w:val="78A95879"/>
    <w:rsid w:val="78AF2513"/>
    <w:rsid w:val="78B813C8"/>
    <w:rsid w:val="78C31B1A"/>
    <w:rsid w:val="78DB3308"/>
    <w:rsid w:val="78E46FDB"/>
    <w:rsid w:val="78E64A6E"/>
    <w:rsid w:val="78ED02E6"/>
    <w:rsid w:val="78EF46BD"/>
    <w:rsid w:val="78F56A5E"/>
    <w:rsid w:val="78F56CE3"/>
    <w:rsid w:val="79115CB2"/>
    <w:rsid w:val="7943259B"/>
    <w:rsid w:val="79501600"/>
    <w:rsid w:val="796C2EC5"/>
    <w:rsid w:val="79711576"/>
    <w:rsid w:val="797157C7"/>
    <w:rsid w:val="797571F5"/>
    <w:rsid w:val="797F1EE5"/>
    <w:rsid w:val="799E363A"/>
    <w:rsid w:val="79A65926"/>
    <w:rsid w:val="79D81E6E"/>
    <w:rsid w:val="79DC7183"/>
    <w:rsid w:val="79E9735F"/>
    <w:rsid w:val="7A010B4C"/>
    <w:rsid w:val="7A08012D"/>
    <w:rsid w:val="7A150154"/>
    <w:rsid w:val="7A1A51A5"/>
    <w:rsid w:val="7A374F60"/>
    <w:rsid w:val="7A3915CB"/>
    <w:rsid w:val="7A5C5D83"/>
    <w:rsid w:val="7A6231C6"/>
    <w:rsid w:val="7A6B246A"/>
    <w:rsid w:val="7A792DD8"/>
    <w:rsid w:val="7A796935"/>
    <w:rsid w:val="7A7D7A76"/>
    <w:rsid w:val="7A8D418E"/>
    <w:rsid w:val="7AE31134"/>
    <w:rsid w:val="7AEE2624"/>
    <w:rsid w:val="7AF96E72"/>
    <w:rsid w:val="7AFD7566"/>
    <w:rsid w:val="7AFE25E8"/>
    <w:rsid w:val="7B205F71"/>
    <w:rsid w:val="7B4362CE"/>
    <w:rsid w:val="7B551150"/>
    <w:rsid w:val="7B574229"/>
    <w:rsid w:val="7B596E2B"/>
    <w:rsid w:val="7B5C2ED7"/>
    <w:rsid w:val="7B6C6499"/>
    <w:rsid w:val="7B6F7D36"/>
    <w:rsid w:val="7B7A6E08"/>
    <w:rsid w:val="7BA844F4"/>
    <w:rsid w:val="7BAE78E8"/>
    <w:rsid w:val="7BC6204D"/>
    <w:rsid w:val="7BD375DD"/>
    <w:rsid w:val="7BEB5709"/>
    <w:rsid w:val="7BEE2619"/>
    <w:rsid w:val="7BFC5A6F"/>
    <w:rsid w:val="7C0C1FD9"/>
    <w:rsid w:val="7C0E12FE"/>
    <w:rsid w:val="7C102992"/>
    <w:rsid w:val="7C12435F"/>
    <w:rsid w:val="7C127041"/>
    <w:rsid w:val="7C1F48E2"/>
    <w:rsid w:val="7C6B6751"/>
    <w:rsid w:val="7C9F0649"/>
    <w:rsid w:val="7CB309B1"/>
    <w:rsid w:val="7CB71996"/>
    <w:rsid w:val="7CBF6342"/>
    <w:rsid w:val="7CDD2A5A"/>
    <w:rsid w:val="7D0E20A1"/>
    <w:rsid w:val="7D1B7795"/>
    <w:rsid w:val="7D561BA5"/>
    <w:rsid w:val="7D580A83"/>
    <w:rsid w:val="7D621902"/>
    <w:rsid w:val="7D733B0F"/>
    <w:rsid w:val="7D746249"/>
    <w:rsid w:val="7D7E3DF9"/>
    <w:rsid w:val="7D870A88"/>
    <w:rsid w:val="7D957F29"/>
    <w:rsid w:val="7D9D293A"/>
    <w:rsid w:val="7DB04C1B"/>
    <w:rsid w:val="7DB24114"/>
    <w:rsid w:val="7DC720AD"/>
    <w:rsid w:val="7DCE343B"/>
    <w:rsid w:val="7DCE7735"/>
    <w:rsid w:val="7DEC38C1"/>
    <w:rsid w:val="7DF72E41"/>
    <w:rsid w:val="7DF804B8"/>
    <w:rsid w:val="7E066BDD"/>
    <w:rsid w:val="7E4234E1"/>
    <w:rsid w:val="7E450CC9"/>
    <w:rsid w:val="7E492AC2"/>
    <w:rsid w:val="7E4B683A"/>
    <w:rsid w:val="7E66301C"/>
    <w:rsid w:val="7E663674"/>
    <w:rsid w:val="7E7A7358"/>
    <w:rsid w:val="7E832AB1"/>
    <w:rsid w:val="7EA12E39"/>
    <w:rsid w:val="7EAC0FD8"/>
    <w:rsid w:val="7EB22415"/>
    <w:rsid w:val="7EBB6508"/>
    <w:rsid w:val="7ECD0F86"/>
    <w:rsid w:val="7EDE76AE"/>
    <w:rsid w:val="7EF40C80"/>
    <w:rsid w:val="7EF93EB2"/>
    <w:rsid w:val="7F1B15E4"/>
    <w:rsid w:val="7F1E7AAB"/>
    <w:rsid w:val="7F264F79"/>
    <w:rsid w:val="7F2D2714"/>
    <w:rsid w:val="7F2D5F40"/>
    <w:rsid w:val="7F3134E2"/>
    <w:rsid w:val="7F345520"/>
    <w:rsid w:val="7F3A208E"/>
    <w:rsid w:val="7F3C4DA6"/>
    <w:rsid w:val="7F7122D0"/>
    <w:rsid w:val="7F936601"/>
    <w:rsid w:val="7FA759E7"/>
    <w:rsid w:val="7FB51C5B"/>
    <w:rsid w:val="7FBA5C12"/>
    <w:rsid w:val="7FC5261C"/>
    <w:rsid w:val="7FC90A42"/>
    <w:rsid w:val="7FD12D6F"/>
    <w:rsid w:val="7FF33FB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9"/>
    <w:qFormat/>
    <w:uiPriority w:val="0"/>
    <w:pPr>
      <w:keepNext/>
      <w:keepLines/>
      <w:spacing w:before="50" w:beforeLines="50" w:after="50" w:afterLines="50" w:line="360" w:lineRule="auto"/>
      <w:jc w:val="center"/>
      <w:outlineLvl w:val="0"/>
    </w:pPr>
    <w:rPr>
      <w:rFonts w:ascii="Times New Roman" w:hAnsi="Times New Roman" w:eastAsia="宋体"/>
      <w:b/>
      <w:bCs/>
      <w:kern w:val="44"/>
      <w:sz w:val="32"/>
      <w:szCs w:val="44"/>
    </w:rPr>
  </w:style>
  <w:style w:type="paragraph" w:styleId="5">
    <w:name w:val="heading 2"/>
    <w:basedOn w:val="1"/>
    <w:next w:val="1"/>
    <w:link w:val="38"/>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tabs>
        <w:tab w:val="left" w:pos="709"/>
      </w:tabs>
      <w:autoSpaceDE w:val="0"/>
      <w:autoSpaceDN w:val="0"/>
      <w:adjustRightInd w:val="0"/>
      <w:spacing w:line="300" w:lineRule="auto"/>
      <w:ind w:left="709" w:hanging="709"/>
      <w:textAlignment w:val="baseline"/>
      <w:outlineLvl w:val="2"/>
    </w:pPr>
    <w:rPr>
      <w:rFonts w:ascii="黑体" w:eastAsia="黑体"/>
      <w:b/>
      <w:color w:val="000000"/>
      <w:kern w:val="0"/>
      <w:sz w:val="28"/>
      <w:szCs w:val="20"/>
    </w:rPr>
  </w:style>
  <w:style w:type="paragraph" w:styleId="7">
    <w:name w:val="heading 4"/>
    <w:basedOn w:val="1"/>
    <w:next w:val="1"/>
    <w:qFormat/>
    <w:uiPriority w:val="0"/>
    <w:pPr>
      <w:pBdr>
        <w:bottom w:val="single" w:color="B8CCE4" w:sz="4" w:space="2"/>
      </w:pBdr>
      <w:spacing w:before="200" w:beforeLines="0" w:after="80" w:afterLines="0"/>
      <w:outlineLvl w:val="3"/>
    </w:pPr>
    <w:rPr>
      <w:rFonts w:ascii="Cambria" w:hAnsi="Cambria" w:cs="宋体"/>
      <w:i/>
      <w:iCs/>
      <w:color w:val="4F81BD"/>
      <w:sz w:val="24"/>
    </w:rPr>
  </w:style>
  <w:style w:type="character" w:default="1" w:styleId="32">
    <w:name w:val="Default Paragraph Font"/>
    <w:semiHidden/>
    <w:qFormat/>
    <w:uiPriority w:val="0"/>
  </w:style>
  <w:style w:type="table" w:default="1" w:styleId="30">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widowControl/>
      <w:spacing w:before="100" w:beforeAutospacing="1" w:after="100" w:afterAutospacing="1"/>
      <w:jc w:val="left"/>
    </w:pPr>
    <w:rPr>
      <w:rFonts w:ascii="宋体" w:hAnsi="宋体" w:cs="宋体"/>
      <w:kern w:val="0"/>
      <w:sz w:val="24"/>
    </w:rPr>
  </w:style>
  <w:style w:type="paragraph" w:styleId="3">
    <w:name w:val="Normal Indent"/>
    <w:basedOn w:val="1"/>
    <w:next w:val="1"/>
    <w:link w:val="40"/>
    <w:qFormat/>
    <w:uiPriority w:val="0"/>
    <w:pPr>
      <w:ind w:firstLine="420"/>
    </w:pPr>
    <w:rPr>
      <w:szCs w:val="20"/>
    </w:rPr>
  </w:style>
  <w:style w:type="paragraph" w:styleId="8">
    <w:name w:val="index 5"/>
    <w:basedOn w:val="1"/>
    <w:next w:val="1"/>
    <w:qFormat/>
    <w:uiPriority w:val="0"/>
    <w:pPr>
      <w:ind w:left="800" w:leftChars="800"/>
    </w:pPr>
  </w:style>
  <w:style w:type="paragraph" w:styleId="9">
    <w:name w:val="annotation text"/>
    <w:basedOn w:val="1"/>
    <w:link w:val="41"/>
    <w:qFormat/>
    <w:uiPriority w:val="0"/>
    <w:pPr>
      <w:jc w:val="left"/>
    </w:pPr>
  </w:style>
  <w:style w:type="paragraph" w:styleId="10">
    <w:name w:val="Body Text"/>
    <w:basedOn w:val="1"/>
    <w:next w:val="11"/>
    <w:qFormat/>
    <w:uiPriority w:val="0"/>
    <w:pPr>
      <w:spacing w:after="120"/>
    </w:pPr>
    <w:rPr>
      <w:sz w:val="28"/>
    </w:rPr>
  </w:style>
  <w:style w:type="paragraph" w:styleId="11">
    <w:name w:val="Body Text First Indent"/>
    <w:basedOn w:val="10"/>
    <w:next w:val="12"/>
    <w:qFormat/>
    <w:uiPriority w:val="0"/>
    <w:pPr>
      <w:spacing w:line="360" w:lineRule="auto"/>
      <w:ind w:firstLine="200" w:firstLineChars="200"/>
      <w:jc w:val="left"/>
    </w:pPr>
    <w:rPr>
      <w:bCs/>
      <w:sz w:val="24"/>
    </w:rPr>
  </w:style>
  <w:style w:type="paragraph" w:styleId="12">
    <w:name w:val="toc 6"/>
    <w:basedOn w:val="1"/>
    <w:next w:val="1"/>
    <w:qFormat/>
    <w:uiPriority w:val="0"/>
    <w:pPr>
      <w:spacing w:line="360" w:lineRule="auto"/>
      <w:ind w:left="1200" w:firstLine="200" w:firstLineChars="200"/>
      <w:jc w:val="left"/>
    </w:pPr>
    <w:rPr>
      <w:rFonts w:ascii="Calibri" w:hAnsi="Calibri" w:cs="Calibri"/>
      <w:sz w:val="18"/>
      <w:szCs w:val="18"/>
    </w:rPr>
  </w:style>
  <w:style w:type="paragraph" w:styleId="13">
    <w:name w:val="List Number 3"/>
    <w:basedOn w:val="1"/>
    <w:qFormat/>
    <w:uiPriority w:val="0"/>
    <w:pPr>
      <w:numPr>
        <w:ilvl w:val="0"/>
        <w:numId w:val="1"/>
      </w:numPr>
    </w:pPr>
  </w:style>
  <w:style w:type="paragraph" w:styleId="14">
    <w:name w:val="toc 3"/>
    <w:basedOn w:val="1"/>
    <w:next w:val="1"/>
    <w:qFormat/>
    <w:uiPriority w:val="39"/>
    <w:pPr>
      <w:ind w:left="840" w:leftChars="400"/>
    </w:pPr>
  </w:style>
  <w:style w:type="paragraph" w:styleId="15">
    <w:name w:val="Plain Text"/>
    <w:basedOn w:val="1"/>
    <w:next w:val="1"/>
    <w:link w:val="42"/>
    <w:qFormat/>
    <w:uiPriority w:val="0"/>
    <w:pPr>
      <w:widowControl/>
      <w:spacing w:before="100" w:beforeAutospacing="1" w:after="100" w:afterAutospacing="1"/>
      <w:jc w:val="left"/>
    </w:pPr>
    <w:rPr>
      <w:rFonts w:ascii="宋体" w:hAnsi="宋体"/>
      <w:kern w:val="0"/>
      <w:sz w:val="24"/>
    </w:rPr>
  </w:style>
  <w:style w:type="paragraph" w:styleId="16">
    <w:name w:val="Date"/>
    <w:basedOn w:val="1"/>
    <w:next w:val="1"/>
    <w:link w:val="43"/>
    <w:qFormat/>
    <w:uiPriority w:val="0"/>
    <w:pPr>
      <w:widowControl/>
      <w:spacing w:before="100" w:beforeAutospacing="1" w:after="100" w:afterAutospacing="1"/>
      <w:jc w:val="left"/>
    </w:pPr>
    <w:rPr>
      <w:rFonts w:ascii="宋体" w:hAnsi="宋体"/>
      <w:kern w:val="0"/>
      <w:sz w:val="24"/>
    </w:rPr>
  </w:style>
  <w:style w:type="paragraph" w:styleId="17">
    <w:name w:val="Body Text Indent 2"/>
    <w:basedOn w:val="1"/>
    <w:link w:val="44"/>
    <w:qFormat/>
    <w:uiPriority w:val="0"/>
    <w:pPr>
      <w:spacing w:after="120" w:line="480" w:lineRule="auto"/>
      <w:ind w:left="420" w:leftChars="200"/>
    </w:pPr>
  </w:style>
  <w:style w:type="paragraph" w:styleId="18">
    <w:name w:val="Balloon Text"/>
    <w:basedOn w:val="1"/>
    <w:semiHidden/>
    <w:qFormat/>
    <w:uiPriority w:val="0"/>
    <w:rPr>
      <w:sz w:val="18"/>
      <w:szCs w:val="18"/>
    </w:rPr>
  </w:style>
  <w:style w:type="paragraph" w:styleId="19">
    <w:name w:val="footer"/>
    <w:basedOn w:val="1"/>
    <w:link w:val="45"/>
    <w:qFormat/>
    <w:uiPriority w:val="99"/>
    <w:pPr>
      <w:tabs>
        <w:tab w:val="center" w:pos="4153"/>
        <w:tab w:val="right" w:pos="8306"/>
      </w:tabs>
      <w:snapToGrid w:val="0"/>
      <w:jc w:val="left"/>
    </w:pPr>
    <w:rPr>
      <w:sz w:val="18"/>
      <w:szCs w:val="18"/>
    </w:rPr>
  </w:style>
  <w:style w:type="paragraph" w:styleId="20">
    <w:name w:val="header"/>
    <w:basedOn w:val="1"/>
    <w:link w:val="46"/>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tabs>
        <w:tab w:val="right" w:leader="dot" w:pos="8494"/>
      </w:tabs>
    </w:pPr>
    <w:rPr>
      <w:rFonts w:ascii="宋体" w:hAnsi="宋体"/>
      <w:sz w:val="32"/>
    </w:rPr>
  </w:style>
  <w:style w:type="paragraph" w:styleId="22">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23">
    <w:name w:val="table of figures"/>
    <w:basedOn w:val="1"/>
    <w:next w:val="1"/>
    <w:unhideWhenUsed/>
    <w:qFormat/>
    <w:uiPriority w:val="99"/>
    <w:pPr>
      <w:tabs>
        <w:tab w:val="left" w:pos="1270"/>
      </w:tabs>
      <w:spacing w:line="360" w:lineRule="auto"/>
      <w:ind w:left="1270" w:hanging="420"/>
      <w:jc w:val="left"/>
    </w:pPr>
    <w:rPr>
      <w:rFonts w:ascii="Times New Roman" w:hAnsi="Times New Roman"/>
      <w:smallCaps/>
      <w:sz w:val="20"/>
      <w:szCs w:val="20"/>
    </w:rPr>
  </w:style>
  <w:style w:type="paragraph" w:styleId="24">
    <w:name w:val="toc 2"/>
    <w:basedOn w:val="1"/>
    <w:next w:val="1"/>
    <w:qFormat/>
    <w:uiPriority w:val="39"/>
    <w:pPr>
      <w:tabs>
        <w:tab w:val="right" w:leader="dot" w:pos="8494"/>
      </w:tabs>
    </w:pPr>
    <w:rPr>
      <w:sz w:val="30"/>
    </w:rPr>
  </w:style>
  <w:style w:type="paragraph" w:styleId="25">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cs="Calibri Light"/>
      <w:sz w:val="24"/>
      <w:szCs w:val="24"/>
    </w:rPr>
  </w:style>
  <w:style w:type="paragraph" w:styleId="26">
    <w:name w:val="Normal (Web)"/>
    <w:basedOn w:val="1"/>
    <w:qFormat/>
    <w:uiPriority w:val="0"/>
    <w:pPr>
      <w:spacing w:before="100" w:beforeLines="0" w:beforeAutospacing="1" w:after="100" w:afterLines="0" w:afterAutospacing="1"/>
    </w:pPr>
    <w:rPr>
      <w:rFonts w:ascii="Arial Unicode MS" w:hAnsi="Arial Unicode MS" w:eastAsia="Times New Roman"/>
      <w:color w:val="000000"/>
      <w:sz w:val="24"/>
      <w:szCs w:val="24"/>
    </w:rPr>
  </w:style>
  <w:style w:type="paragraph" w:styleId="27">
    <w:name w:val="Title"/>
    <w:basedOn w:val="1"/>
    <w:next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28">
    <w:name w:val="annotation subject"/>
    <w:basedOn w:val="9"/>
    <w:next w:val="9"/>
    <w:link w:val="47"/>
    <w:qFormat/>
    <w:uiPriority w:val="0"/>
    <w:rPr>
      <w:b/>
      <w:bCs/>
    </w:rPr>
  </w:style>
  <w:style w:type="paragraph" w:styleId="29">
    <w:name w:val="Body Text First Indent 2"/>
    <w:basedOn w:val="2"/>
    <w:qFormat/>
    <w:uiPriority w:val="0"/>
    <w:pPr>
      <w:spacing w:after="120" w:afterLines="0" w:line="240" w:lineRule="auto"/>
      <w:ind w:left="420" w:leftChars="200" w:firstLine="420" w:firstLineChars="200"/>
    </w:pPr>
    <w:rPr>
      <w:sz w:val="21"/>
      <w:szCs w:val="24"/>
    </w:rPr>
  </w:style>
  <w:style w:type="table" w:styleId="31">
    <w:name w:val="Table Grid"/>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qFormat/>
    <w:uiPriority w:val="0"/>
    <w:rPr>
      <w:b/>
      <w:bCs/>
    </w:rPr>
  </w:style>
  <w:style w:type="character" w:styleId="34">
    <w:name w:val="page number"/>
    <w:qFormat/>
    <w:uiPriority w:val="0"/>
  </w:style>
  <w:style w:type="character" w:styleId="35">
    <w:name w:val="FollowedHyperlink"/>
    <w:qFormat/>
    <w:uiPriority w:val="0"/>
    <w:rPr>
      <w:color w:val="800080"/>
      <w:u w:val="none"/>
    </w:rPr>
  </w:style>
  <w:style w:type="character" w:styleId="36">
    <w:name w:val="Hyperlink"/>
    <w:qFormat/>
    <w:uiPriority w:val="99"/>
    <w:rPr>
      <w:color w:val="0000FF"/>
      <w:u w:val="none"/>
    </w:rPr>
  </w:style>
  <w:style w:type="character" w:styleId="37">
    <w:name w:val="annotation reference"/>
    <w:qFormat/>
    <w:uiPriority w:val="0"/>
    <w:rPr>
      <w:sz w:val="21"/>
      <w:szCs w:val="21"/>
    </w:rPr>
  </w:style>
  <w:style w:type="character" w:customStyle="1" w:styleId="38">
    <w:name w:val="标题 2 字符"/>
    <w:link w:val="5"/>
    <w:qFormat/>
    <w:uiPriority w:val="0"/>
    <w:rPr>
      <w:rFonts w:ascii="Arial" w:hAnsi="Arial" w:eastAsia="黑体"/>
      <w:b/>
      <w:bCs/>
      <w:kern w:val="2"/>
      <w:sz w:val="32"/>
      <w:szCs w:val="32"/>
    </w:rPr>
  </w:style>
  <w:style w:type="character" w:customStyle="1" w:styleId="39">
    <w:name w:val="标题 1 字符"/>
    <w:link w:val="4"/>
    <w:qFormat/>
    <w:uiPriority w:val="0"/>
    <w:rPr>
      <w:rFonts w:ascii="Times New Roman" w:hAnsi="Times New Roman" w:eastAsia="宋体"/>
      <w:b/>
      <w:bCs/>
      <w:kern w:val="44"/>
      <w:sz w:val="32"/>
      <w:szCs w:val="44"/>
    </w:rPr>
  </w:style>
  <w:style w:type="character" w:customStyle="1" w:styleId="40">
    <w:name w:val="正文缩进 字符"/>
    <w:link w:val="3"/>
    <w:qFormat/>
    <w:uiPriority w:val="0"/>
    <w:rPr>
      <w:kern w:val="2"/>
      <w:sz w:val="21"/>
    </w:rPr>
  </w:style>
  <w:style w:type="character" w:customStyle="1" w:styleId="41">
    <w:name w:val="批注文字 字符"/>
    <w:link w:val="9"/>
    <w:qFormat/>
    <w:uiPriority w:val="0"/>
    <w:rPr>
      <w:kern w:val="2"/>
      <w:sz w:val="21"/>
      <w:szCs w:val="24"/>
    </w:rPr>
  </w:style>
  <w:style w:type="character" w:customStyle="1" w:styleId="42">
    <w:name w:val="纯文本 字符"/>
    <w:link w:val="15"/>
    <w:qFormat/>
    <w:uiPriority w:val="0"/>
    <w:rPr>
      <w:rFonts w:ascii="宋体" w:hAnsi="宋体" w:cs="宋体"/>
      <w:sz w:val="24"/>
      <w:szCs w:val="24"/>
    </w:rPr>
  </w:style>
  <w:style w:type="character" w:customStyle="1" w:styleId="43">
    <w:name w:val="日期 字符"/>
    <w:link w:val="16"/>
    <w:qFormat/>
    <w:uiPriority w:val="0"/>
    <w:rPr>
      <w:rFonts w:ascii="宋体" w:hAnsi="宋体" w:cs="宋体"/>
      <w:sz w:val="24"/>
      <w:szCs w:val="24"/>
    </w:rPr>
  </w:style>
  <w:style w:type="character" w:customStyle="1" w:styleId="44">
    <w:name w:val="正文文本缩进 2 字符"/>
    <w:link w:val="17"/>
    <w:qFormat/>
    <w:uiPriority w:val="0"/>
    <w:rPr>
      <w:kern w:val="2"/>
      <w:sz w:val="21"/>
      <w:szCs w:val="24"/>
    </w:rPr>
  </w:style>
  <w:style w:type="character" w:customStyle="1" w:styleId="45">
    <w:name w:val="页脚 字符"/>
    <w:link w:val="19"/>
    <w:qFormat/>
    <w:uiPriority w:val="99"/>
    <w:rPr>
      <w:kern w:val="2"/>
      <w:sz w:val="18"/>
      <w:szCs w:val="18"/>
    </w:rPr>
  </w:style>
  <w:style w:type="character" w:customStyle="1" w:styleId="46">
    <w:name w:val="页眉 字符"/>
    <w:link w:val="20"/>
    <w:qFormat/>
    <w:uiPriority w:val="99"/>
    <w:rPr>
      <w:kern w:val="2"/>
      <w:sz w:val="18"/>
      <w:szCs w:val="18"/>
    </w:rPr>
  </w:style>
  <w:style w:type="character" w:customStyle="1" w:styleId="47">
    <w:name w:val="批注主题 字符"/>
    <w:link w:val="28"/>
    <w:qFormat/>
    <w:uiPriority w:val="0"/>
    <w:rPr>
      <w:b/>
      <w:bCs/>
      <w:kern w:val="2"/>
      <w:sz w:val="21"/>
      <w:szCs w:val="24"/>
    </w:rPr>
  </w:style>
  <w:style w:type="paragraph" w:customStyle="1" w:styleId="48">
    <w:name w:val="Default"/>
    <w:next w:val="1"/>
    <w:qFormat/>
    <w:uiPriority w:val="0"/>
    <w:pPr>
      <w:widowControl w:val="0"/>
      <w:autoSpaceDE w:val="0"/>
      <w:autoSpaceDN w:val="0"/>
      <w:adjustRightInd w:val="0"/>
      <w:spacing w:line="360" w:lineRule="auto"/>
    </w:pPr>
    <w:rPr>
      <w:rFonts w:ascii="宋体" w:hAnsi="宋体" w:eastAsia="微软雅黑" w:cs="Times New Roman"/>
      <w:color w:val="000000"/>
      <w:sz w:val="24"/>
      <w:lang w:val="en-US" w:eastAsia="zh-CN" w:bidi="ar-SA"/>
    </w:rPr>
  </w:style>
  <w:style w:type="paragraph" w:customStyle="1" w:styleId="49">
    <w:name w:val="正文1"/>
    <w:basedOn w:val="14"/>
    <w:next w:val="1"/>
    <w:qFormat/>
    <w:uiPriority w:val="0"/>
    <w:pPr>
      <w:tabs>
        <w:tab w:val="right" w:leader="dot" w:pos="8268"/>
      </w:tabs>
      <w:ind w:left="0" w:leftChars="0" w:firstLine="480" w:firstLineChars="200"/>
    </w:pPr>
    <w:rPr>
      <w:rFonts w:ascii="仿宋_GB2312" w:hAnsi="Courier New" w:eastAsia="仿宋_GB2312"/>
      <w:kern w:val="28"/>
      <w:sz w:val="24"/>
    </w:rPr>
  </w:style>
  <w:style w:type="character" w:customStyle="1" w:styleId="50">
    <w:name w:val="无间隔 字符"/>
    <w:link w:val="51"/>
    <w:qFormat/>
    <w:uiPriority w:val="1"/>
    <w:rPr>
      <w:sz w:val="22"/>
      <w:szCs w:val="22"/>
      <w:lang w:val="en-US" w:eastAsia="zh-CN" w:bidi="ar-SA"/>
    </w:rPr>
  </w:style>
  <w:style w:type="paragraph" w:styleId="51">
    <w:name w:val="No Spacing"/>
    <w:link w:val="50"/>
    <w:qFormat/>
    <w:uiPriority w:val="1"/>
    <w:rPr>
      <w:rFonts w:ascii="Times New Roman" w:hAnsi="Times New Roman" w:eastAsia="宋体" w:cs="Times New Roman"/>
      <w:sz w:val="22"/>
      <w:szCs w:val="22"/>
      <w:lang w:val="en-US" w:eastAsia="zh-CN" w:bidi="ar-SA"/>
    </w:rPr>
  </w:style>
  <w:style w:type="character" w:customStyle="1" w:styleId="52">
    <w:name w:val="NormalCharacter"/>
    <w:qFormat/>
    <w:uiPriority w:val="0"/>
    <w:rPr>
      <w:rFonts w:ascii="Times New Roman" w:hAnsi="Times New Roman" w:eastAsia="宋体"/>
      <w:lang w:val="en-US"/>
    </w:rPr>
  </w:style>
  <w:style w:type="character" w:customStyle="1" w:styleId="53">
    <w:name w:val="纯文本 Char1"/>
    <w:qFormat/>
    <w:uiPriority w:val="0"/>
    <w:rPr>
      <w:rFonts w:ascii="宋体" w:hAnsi="Courier New" w:eastAsia="宋体"/>
      <w:kern w:val="2"/>
      <w:sz w:val="24"/>
      <w:szCs w:val="24"/>
      <w:lang w:val="en-US" w:eastAsia="zh-CN" w:bidi="ar-SA"/>
    </w:rPr>
  </w:style>
  <w:style w:type="character" w:customStyle="1" w:styleId="54">
    <w:name w:val="标题1 Char"/>
    <w:link w:val="55"/>
    <w:qFormat/>
    <w:uiPriority w:val="0"/>
    <w:rPr>
      <w:rFonts w:ascii="宋体" w:hAnsi="Courier New"/>
      <w:b/>
      <w:sz w:val="30"/>
      <w:szCs w:val="21"/>
    </w:rPr>
  </w:style>
  <w:style w:type="paragraph" w:customStyle="1" w:styleId="55">
    <w:name w:val="标题1"/>
    <w:basedOn w:val="1"/>
    <w:link w:val="54"/>
    <w:qFormat/>
    <w:uiPriority w:val="0"/>
    <w:pPr>
      <w:spacing w:line="360" w:lineRule="auto"/>
    </w:pPr>
    <w:rPr>
      <w:rFonts w:ascii="宋体" w:hAnsi="Courier New"/>
      <w:b/>
      <w:kern w:val="0"/>
      <w:sz w:val="30"/>
      <w:szCs w:val="21"/>
    </w:rPr>
  </w:style>
  <w:style w:type="paragraph" w:customStyle="1" w:styleId="56">
    <w:name w:val="Plain Text"/>
    <w:basedOn w:val="1"/>
    <w:qFormat/>
    <w:uiPriority w:val="0"/>
    <w:pPr>
      <w:widowControl/>
      <w:adjustRightInd w:val="0"/>
      <w:jc w:val="left"/>
      <w:textAlignment w:val="baseline"/>
    </w:pPr>
    <w:rPr>
      <w:rFonts w:ascii="宋体" w:hAnsi="Courier New" w:eastAsia="楷体_GB2312"/>
      <w:kern w:val="0"/>
      <w:sz w:val="26"/>
      <w:szCs w:val="20"/>
    </w:rPr>
  </w:style>
  <w:style w:type="paragraph" w:customStyle="1" w:styleId="57">
    <w:name w:val="Char"/>
    <w:basedOn w:val="1"/>
    <w:qFormat/>
    <w:uiPriority w:val="0"/>
    <w:pPr>
      <w:tabs>
        <w:tab w:val="left" w:pos="420"/>
      </w:tabs>
      <w:ind w:left="420" w:hanging="420"/>
    </w:pPr>
    <w:rPr>
      <w:rFonts w:ascii="Times New Roman" w:hAnsi="Times New Roman" w:eastAsia="宋体" w:cs="Times New Roman"/>
      <w:szCs w:val="24"/>
    </w:rPr>
  </w:style>
  <w:style w:type="paragraph" w:customStyle="1" w:styleId="58">
    <w:name w:val="List Paragraph1"/>
    <w:basedOn w:val="1"/>
    <w:next w:val="59"/>
    <w:unhideWhenUsed/>
    <w:qFormat/>
    <w:uiPriority w:val="99"/>
    <w:pPr>
      <w:ind w:firstLine="420" w:firstLineChars="200"/>
    </w:pPr>
  </w:style>
  <w:style w:type="paragraph" w:customStyle="1" w:styleId="59">
    <w:name w:val="彩色列表1"/>
    <w:basedOn w:val="1"/>
    <w:next w:val="3"/>
    <w:qFormat/>
    <w:uiPriority w:val="0"/>
    <w:pPr>
      <w:widowControl w:val="0"/>
      <w:autoSpaceDE/>
      <w:autoSpaceDN/>
      <w:spacing w:before="0" w:after="0" w:line="240" w:lineRule="auto"/>
      <w:ind w:left="420" w:firstLine="3748"/>
      <w:jc w:val="both"/>
    </w:pPr>
    <w:rPr>
      <w:rFonts w:ascii="Times New Roman" w:hAnsi="Times New Roman" w:eastAsia="宋体" w:cs="Times New Roman"/>
    </w:rPr>
  </w:style>
  <w:style w:type="paragraph" w:customStyle="1" w:styleId="60">
    <w:name w:val="正文段"/>
    <w:basedOn w:val="1"/>
    <w:next w:val="8"/>
    <w:qFormat/>
    <w:uiPriority w:val="0"/>
    <w:pPr>
      <w:widowControl/>
      <w:autoSpaceDE/>
      <w:autoSpaceDN/>
      <w:adjustRightInd/>
      <w:snapToGrid w:val="0"/>
      <w:spacing w:after="156" w:afterLines="50"/>
      <w:ind w:firstLine="200" w:firstLineChars="200"/>
    </w:pPr>
    <w:rPr>
      <w:color w:val="auto"/>
      <w:sz w:val="24"/>
      <w:szCs w:val="20"/>
    </w:rPr>
  </w:style>
  <w:style w:type="paragraph" w:styleId="61">
    <w:name w:val="List Paragraph"/>
    <w:basedOn w:val="1"/>
    <w:qFormat/>
    <w:uiPriority w:val="34"/>
    <w:pPr>
      <w:ind w:firstLine="420" w:firstLineChars="200"/>
    </w:pPr>
  </w:style>
  <w:style w:type="paragraph" w:customStyle="1" w:styleId="62">
    <w:name w:val="此正文"/>
    <w:basedOn w:val="1"/>
    <w:qFormat/>
    <w:uiPriority w:val="0"/>
    <w:pPr>
      <w:spacing w:line="360" w:lineRule="auto"/>
      <w:ind w:firstLine="200" w:firstLineChars="200"/>
    </w:pPr>
    <w:rPr>
      <w:sz w:val="24"/>
      <w:szCs w:val="20"/>
    </w:rPr>
  </w:style>
  <w:style w:type="paragraph" w:customStyle="1" w:styleId="63">
    <w:name w:val="列出段落111"/>
    <w:basedOn w:val="1"/>
    <w:qFormat/>
    <w:uiPriority w:val="99"/>
    <w:pPr>
      <w:ind w:firstLine="420" w:firstLineChars="200"/>
    </w:pPr>
    <w:rPr>
      <w:rFonts w:ascii="Calibri" w:hAnsi="Calibri" w:eastAsia="仿宋_GB2312" w:cs="仿宋_GB2312"/>
      <w:b/>
      <w:spacing w:val="4"/>
      <w:sz w:val="24"/>
    </w:rPr>
  </w:style>
  <w:style w:type="paragraph" w:customStyle="1" w:styleId="64">
    <w:name w:val="正文 A"/>
    <w:qFormat/>
    <w:uiPriority w:val="0"/>
    <w:pPr>
      <w:framePr w:wrap="around" w:vAnchor="margin" w:hAnchor="text" w:yAlign="top"/>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65">
    <w:name w:val="列出段落1"/>
    <w:basedOn w:val="1"/>
    <w:qFormat/>
    <w:uiPriority w:val="34"/>
    <w:pPr>
      <w:ind w:firstLine="420" w:firstLineChars="200"/>
    </w:pPr>
  </w:style>
  <w:style w:type="paragraph" w:customStyle="1" w:styleId="66">
    <w:name w:val="Table Paragraph"/>
    <w:basedOn w:val="1"/>
    <w:qFormat/>
    <w:uiPriority w:val="1"/>
    <w:pPr>
      <w:jc w:val="left"/>
    </w:pPr>
    <w:rPr>
      <w:rFonts w:ascii="等线" w:hAnsi="等线" w:eastAsia="等线"/>
      <w:kern w:val="0"/>
      <w:sz w:val="22"/>
      <w:szCs w:val="22"/>
      <w:lang w:eastAsia="en-US"/>
    </w:rPr>
  </w:style>
  <w:style w:type="paragraph" w:customStyle="1" w:styleId="67">
    <w:name w:val="L正文"/>
    <w:basedOn w:val="1"/>
    <w:qFormat/>
    <w:uiPriority w:val="0"/>
  </w:style>
  <w:style w:type="paragraph" w:customStyle="1" w:styleId="68">
    <w:name w:val="默认段落字体 Para Char Char Char Char Char Char Char Char Char1 Char Char Char Char"/>
    <w:basedOn w:val="1"/>
    <w:qFormat/>
    <w:uiPriority w:val="0"/>
    <w:rPr>
      <w:rFonts w:ascii="Tahoma" w:hAnsi="Tahoma"/>
      <w:sz w:val="24"/>
      <w:szCs w:val="20"/>
    </w:rPr>
  </w:style>
  <w:style w:type="paragraph" w:customStyle="1" w:styleId="69">
    <w:name w:val="列出段落2"/>
    <w:basedOn w:val="1"/>
    <w:qFormat/>
    <w:uiPriority w:val="34"/>
    <w:pPr>
      <w:ind w:firstLine="420" w:firstLineChars="200"/>
    </w:pPr>
  </w:style>
  <w:style w:type="paragraph" w:customStyle="1" w:styleId="70">
    <w:name w:val="Char Char Char"/>
    <w:basedOn w:val="1"/>
    <w:qFormat/>
    <w:uiPriority w:val="0"/>
    <w:rPr>
      <w:rFonts w:ascii="Tahoma" w:hAnsi="Tahoma"/>
      <w:sz w:val="24"/>
      <w:szCs w:val="20"/>
    </w:rPr>
  </w:style>
  <w:style w:type="paragraph" w:customStyle="1" w:styleId="71">
    <w:name w:val="表格文字"/>
    <w:basedOn w:val="1"/>
    <w:next w:val="10"/>
    <w:qFormat/>
    <w:uiPriority w:val="0"/>
    <w:pPr>
      <w:adjustRightInd w:val="0"/>
      <w:spacing w:line="420" w:lineRule="atLeast"/>
      <w:jc w:val="left"/>
      <w:textAlignment w:val="baseline"/>
    </w:pPr>
    <w:rPr>
      <w:rFonts w:ascii="Times New Roman" w:hAnsi="Times New Roman" w:eastAsia="宋体" w:cs="Times New Roman"/>
      <w:kern w:val="0"/>
      <w:szCs w:val="24"/>
    </w:rPr>
  </w:style>
  <w:style w:type="paragraph" w:customStyle="1" w:styleId="72">
    <w:name w:val="[Normal]"/>
    <w:qFormat/>
    <w:uiPriority w:val="0"/>
    <w:rPr>
      <w:rFonts w:ascii="宋体" w:hAnsi="宋体" w:eastAsia="宋体" w:cs="Times New Roman"/>
      <w:sz w:val="24"/>
      <w:szCs w:val="22"/>
      <w:lang w:val="zh-CN" w:eastAsia="zh-CN" w:bidi="ar-SA"/>
    </w:rPr>
  </w:style>
  <w:style w:type="paragraph" w:customStyle="1" w:styleId="73">
    <w:name w:val="章正文"/>
    <w:basedOn w:val="1"/>
    <w:qFormat/>
    <w:uiPriority w:val="0"/>
    <w:pPr>
      <w:spacing w:before="50" w:beforeLines="50" w:after="120" w:line="300" w:lineRule="auto"/>
      <w:ind w:firstLine="480"/>
    </w:pPr>
    <w:rPr>
      <w:rFonts w:ascii="Helvetica" w:hAnsi="Helvetica"/>
      <w:kern w:val="0"/>
      <w:sz w:val="24"/>
    </w:rPr>
  </w:style>
  <w:style w:type="paragraph" w:customStyle="1" w:styleId="74">
    <w:name w:val="*正文"/>
    <w:basedOn w:val="1"/>
    <w:qFormat/>
    <w:uiPriority w:val="0"/>
    <w:pPr>
      <w:widowControl/>
      <w:spacing w:line="360" w:lineRule="auto"/>
      <w:ind w:firstLine="480" w:firstLineChars="200"/>
    </w:pPr>
    <w:rPr>
      <w:rFonts w:ascii="仿宋_GB2312" w:hAnsi="Calibri" w:eastAsia="宋体" w:cs="Times New Roman"/>
      <w:sz w:val="24"/>
      <w:szCs w:val="28"/>
    </w:rPr>
  </w:style>
  <w:style w:type="paragraph" w:customStyle="1" w:styleId="75">
    <w:name w:val="A正文"/>
    <w:basedOn w:val="1"/>
    <w:qFormat/>
    <w:uiPriority w:val="0"/>
    <w:pPr>
      <w:suppressAutoHyphens/>
      <w:autoSpaceDE w:val="0"/>
      <w:autoSpaceDN w:val="0"/>
      <w:adjustRightInd w:val="0"/>
      <w:spacing w:line="360" w:lineRule="auto"/>
      <w:ind w:firstLine="480" w:firstLineChars="200"/>
    </w:pPr>
    <w:rPr>
      <w:rFonts w:ascii="Times New Roman" w:hAnsi="Times New Roman" w:eastAsia="宋体" w:cs="Times New Roman"/>
      <w:kern w:val="0"/>
      <w:sz w:val="24"/>
      <w:szCs w:val="24"/>
    </w:rPr>
  </w:style>
  <w:style w:type="paragraph" w:customStyle="1" w:styleId="76">
    <w:name w:val="表格内容"/>
    <w:basedOn w:val="10"/>
    <w:qFormat/>
    <w:uiPriority w:val="2"/>
    <w:pPr>
      <w:suppressLineNumbers/>
      <w:suppressAutoHyphens/>
    </w:pPr>
    <w:rPr>
      <w:kern w:val="1"/>
      <w:lang w:eastAsia="ar-SA"/>
    </w:rPr>
  </w:style>
  <w:style w:type="paragraph" w:customStyle="1" w:styleId="77">
    <w:name w:val="0-正文"/>
    <w:basedOn w:val="1"/>
    <w:qFormat/>
    <w:uiPriority w:val="0"/>
    <w:pPr>
      <w:spacing w:line="360" w:lineRule="auto"/>
      <w:ind w:firstLine="420" w:firstLineChars="200"/>
    </w:pPr>
    <w:rPr>
      <w:rFonts w:ascii="汉仪仿宋简" w:hAnsi="仿宋"/>
      <w:kern w:val="0"/>
      <w:sz w:val="24"/>
      <w:szCs w:val="28"/>
    </w:rPr>
  </w:style>
  <w:style w:type="paragraph" w:customStyle="1" w:styleId="78">
    <w:name w:val="Table Text"/>
    <w:basedOn w:val="1"/>
    <w:semiHidden/>
    <w:qFormat/>
    <w:uiPriority w:val="0"/>
    <w:rPr>
      <w:rFonts w:ascii="宋体" w:hAnsi="宋体" w:eastAsia="宋体" w:cs="宋体"/>
      <w:sz w:val="24"/>
      <w:szCs w:val="24"/>
      <w:lang w:val="en-US" w:eastAsia="en-US" w:bidi="ar-SA"/>
    </w:rPr>
  </w:style>
  <w:style w:type="table" w:customStyle="1" w:styleId="79">
    <w:name w:val="Table Normal"/>
    <w:unhideWhenUsed/>
    <w:qFormat/>
    <w:uiPriority w:val="0"/>
    <w:rPr>
      <w:lang w:val="en-US" w:eastAsia="zh-CN" w:bidi="ar-SA"/>
    </w:rPr>
    <w:tblPr>
      <w:tblCellMar>
        <w:top w:w="0" w:type="dxa"/>
        <w:left w:w="0" w:type="dxa"/>
        <w:bottom w:w="0" w:type="dxa"/>
        <w:right w:w="0" w:type="dxa"/>
      </w:tblCellMar>
    </w:tblPr>
  </w:style>
  <w:style w:type="paragraph" w:customStyle="1" w:styleId="80">
    <w:name w:val="目录 91"/>
    <w:next w:val="1"/>
    <w:qFormat/>
    <w:uiPriority w:val="0"/>
    <w:pPr>
      <w:wordWrap w:val="0"/>
      <w:ind w:left="3400"/>
      <w:jc w:val="both"/>
    </w:pPr>
    <w:rPr>
      <w:rFonts w:ascii="宋体" w:hAnsi="宋体" w:eastAsia="Times New Roman" w:cs="Times New Roman"/>
      <w:sz w:val="21"/>
      <w:lang w:val="en-US" w:eastAsia="zh-CN" w:bidi="ar-SA"/>
    </w:rPr>
  </w:style>
  <w:style w:type="character" w:customStyle="1" w:styleId="81">
    <w:name w:val="font11"/>
    <w:basedOn w:val="32"/>
    <w:qFormat/>
    <w:uiPriority w:val="0"/>
    <w:rPr>
      <w:rFonts w:hint="default" w:ascii="MingLiU" w:hAnsi="MingLiU" w:eastAsia="MingLiU" w:cs="MingLiU"/>
      <w:color w:val="000000"/>
      <w:sz w:val="18"/>
      <w:szCs w:val="18"/>
      <w:u w:val="none"/>
    </w:rPr>
  </w:style>
  <w:style w:type="character" w:customStyle="1" w:styleId="82">
    <w:name w:val="font21"/>
    <w:basedOn w:val="32"/>
    <w:qFormat/>
    <w:uiPriority w:val="0"/>
    <w:rPr>
      <w:rFonts w:hint="default" w:ascii="MingLiU" w:hAnsi="MingLiU" w:eastAsia="MingLiU" w:cs="MingLiU"/>
      <w:color w:val="000000"/>
      <w:sz w:val="18"/>
      <w:szCs w:val="18"/>
      <w:u w:val="none"/>
    </w:rPr>
  </w:style>
  <w:style w:type="character" w:customStyle="1" w:styleId="83">
    <w:name w:val="font51"/>
    <w:basedOn w:val="32"/>
    <w:qFormat/>
    <w:uiPriority w:val="0"/>
    <w:rPr>
      <w:rFonts w:hint="default" w:ascii="Times New Roman" w:hAnsi="Times New Roman" w:cs="Times New Roman"/>
      <w:b/>
      <w:color w:val="000000"/>
      <w:sz w:val="20"/>
      <w:szCs w:val="20"/>
      <w:u w:val="none"/>
    </w:rPr>
  </w:style>
  <w:style w:type="character" w:customStyle="1" w:styleId="84">
    <w:name w:val="font31"/>
    <w:basedOn w:val="32"/>
    <w:qFormat/>
    <w:uiPriority w:val="0"/>
    <w:rPr>
      <w:rFonts w:hint="default" w:ascii="Times New Roman" w:hAnsi="Times New Roman" w:cs="Times New Roman"/>
      <w:color w:val="000000"/>
      <w:sz w:val="22"/>
      <w:szCs w:val="22"/>
      <w:u w:val="none"/>
    </w:rPr>
  </w:style>
  <w:style w:type="character" w:customStyle="1" w:styleId="85">
    <w:name w:val="font41"/>
    <w:basedOn w:val="32"/>
    <w:qFormat/>
    <w:uiPriority w:val="0"/>
    <w:rPr>
      <w:rFonts w:hint="default" w:ascii="Times New Roman" w:hAnsi="Times New Roman" w:cs="Times New Roman"/>
      <w:color w:val="000000"/>
      <w:sz w:val="18"/>
      <w:szCs w:val="18"/>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49</Pages>
  <Words>26132</Words>
  <Characters>27578</Characters>
  <Lines>246</Lines>
  <Paragraphs>69</Paragraphs>
  <TotalTime>8</TotalTime>
  <ScaleCrop>false</ScaleCrop>
  <LinksUpToDate>false</LinksUpToDate>
  <CharactersWithSpaces>29311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2024-11-29T06:13:00Z</dcterms:created>
  <dc:creator>Administrator</dc:creator>
  <cp:lastModifiedBy>WPS_1540348732</cp:lastModifiedBy>
  <cp:lastPrinted>2025-02-12T05:54:00Z</cp:lastPrinted>
  <dcterms:modified xsi:type="dcterms:W3CDTF">2025-02-19T08:40:36Z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0FC820260030434FA247DE442DB8A485_13</vt:lpwstr>
  </property>
  <property fmtid="{D5CDD505-2E9C-101B-9397-08002B2CF9AE}" pid="4" name="KSOTemplateDocerSaveRecord">
    <vt:lpwstr>eyJoZGlkIjoiYmU4NjdmM2IwZjMzZjMxZDMyYTMwZTE3YzkyMmEzODgiLCJ1c2VySWQiOiI3MTQzOTY4NDAifQ==</vt:lpwstr>
  </property>
</Properties>
</file>