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33F8E">
      <w:pPr>
        <w:keepNext w:val="0"/>
        <w:keepLines w:val="0"/>
        <w:pageBreakBefore w:val="0"/>
        <w:widowControl w:val="0"/>
        <w:shd w:val="clear"/>
        <w:kinsoku/>
        <w:wordWrap/>
        <w:overflowPunct/>
        <w:topLinePunct w:val="0"/>
        <w:autoSpaceDE/>
        <w:autoSpaceDN/>
        <w:bidi w:val="0"/>
        <w:adjustRightInd/>
        <w:snapToGrid/>
        <w:spacing w:before="156" w:beforeLines="50" w:line="920" w:lineRule="exact"/>
        <w:jc w:val="center"/>
        <w:textAlignment w:val="auto"/>
        <w:rPr>
          <w:rFonts w:hint="eastAsia"/>
          <w:color w:val="auto"/>
          <w:spacing w:val="6"/>
          <w:sz w:val="56"/>
          <w:szCs w:val="56"/>
          <w:highlight w:val="none"/>
          <w:lang w:eastAsia="zh-CN"/>
        </w:rPr>
      </w:pPr>
      <w:r>
        <w:rPr>
          <w:rStyle w:val="60"/>
          <w:rFonts w:hint="eastAsia" w:ascii="宋体" w:hAnsi="宋体" w:cs="宋体"/>
          <w:color w:val="auto"/>
          <w:spacing w:val="6"/>
          <w:sz w:val="56"/>
          <w:szCs w:val="56"/>
          <w:highlight w:val="none"/>
          <w:lang w:eastAsia="zh-CN"/>
        </w:rPr>
        <w:t>2025年安吉县农药包装废弃物回收和集中处置服务采购项目</w:t>
      </w:r>
    </w:p>
    <w:p w14:paraId="7D360FF4">
      <w:pPr>
        <w:shd w:val="clear"/>
        <w:spacing w:before="0" w:beforeLines="0" w:line="240" w:lineRule="auto"/>
        <w:jc w:val="left"/>
        <w:rPr>
          <w:rFonts w:hint="eastAsia"/>
          <w:highlight w:val="none"/>
        </w:rPr>
      </w:pPr>
    </w:p>
    <w:p w14:paraId="0C554DEC">
      <w:pPr>
        <w:shd w:val="clear"/>
        <w:tabs>
          <w:tab w:val="left" w:pos="7692"/>
        </w:tabs>
        <w:spacing w:before="0" w:beforeLines="0" w:line="480" w:lineRule="auto"/>
        <w:jc w:val="left"/>
        <w:rPr>
          <w:rFonts w:hint="eastAsia" w:eastAsia="宋体"/>
          <w:highlight w:val="none"/>
          <w:lang w:eastAsia="zh-CN"/>
        </w:rPr>
      </w:pPr>
      <w:r>
        <w:rPr>
          <w:rFonts w:hint="eastAsia"/>
          <w:highlight w:val="none"/>
          <w:lang w:eastAsia="zh-CN"/>
        </w:rPr>
        <w:tab/>
      </w:r>
    </w:p>
    <w:p w14:paraId="48376527">
      <w:pPr>
        <w:shd w:val="clear"/>
        <w:spacing w:before="156" w:beforeLines="50" w:line="700" w:lineRule="exact"/>
        <w:jc w:val="center"/>
        <w:outlineLvl w:val="0"/>
        <w:rPr>
          <w:rStyle w:val="60"/>
          <w:rFonts w:hint="eastAsia" w:ascii="宋体" w:hAnsi="宋体" w:cs="宋体"/>
          <w:color w:val="auto"/>
          <w:spacing w:val="0"/>
          <w:sz w:val="72"/>
          <w:szCs w:val="44"/>
          <w:highlight w:val="none"/>
        </w:rPr>
      </w:pPr>
      <w:bookmarkStart w:id="0" w:name="_Toc13549"/>
      <w:r>
        <w:rPr>
          <w:rStyle w:val="60"/>
          <w:rFonts w:hint="eastAsia" w:ascii="宋体" w:hAnsi="宋体" w:cs="宋体"/>
          <w:color w:val="auto"/>
          <w:spacing w:val="0"/>
          <w:sz w:val="72"/>
          <w:szCs w:val="44"/>
          <w:highlight w:val="none"/>
        </w:rPr>
        <w:t>公</w:t>
      </w:r>
      <w:bookmarkEnd w:id="0"/>
    </w:p>
    <w:p w14:paraId="41ED7849">
      <w:pPr>
        <w:shd w:val="clear"/>
        <w:spacing w:before="156" w:beforeLines="50" w:line="800" w:lineRule="exact"/>
        <w:jc w:val="center"/>
        <w:outlineLvl w:val="0"/>
        <w:rPr>
          <w:rStyle w:val="60"/>
          <w:rFonts w:hint="eastAsia" w:ascii="宋体" w:hAnsi="宋体" w:cs="宋体"/>
          <w:color w:val="auto"/>
          <w:spacing w:val="0"/>
          <w:sz w:val="72"/>
          <w:szCs w:val="44"/>
          <w:highlight w:val="none"/>
        </w:rPr>
      </w:pPr>
      <w:bookmarkStart w:id="1" w:name="_Toc15128"/>
      <w:r>
        <w:rPr>
          <w:rStyle w:val="60"/>
          <w:rFonts w:hint="eastAsia" w:ascii="宋体" w:hAnsi="宋体" w:cs="宋体"/>
          <w:color w:val="auto"/>
          <w:spacing w:val="0"/>
          <w:sz w:val="72"/>
          <w:szCs w:val="44"/>
          <w:highlight w:val="none"/>
        </w:rPr>
        <w:t>开</w:t>
      </w:r>
      <w:bookmarkEnd w:id="1"/>
    </w:p>
    <w:p w14:paraId="55BC8418">
      <w:pPr>
        <w:shd w:val="clear"/>
        <w:spacing w:before="156" w:beforeLines="50" w:line="800" w:lineRule="exact"/>
        <w:jc w:val="center"/>
        <w:outlineLvl w:val="0"/>
        <w:rPr>
          <w:rStyle w:val="60"/>
          <w:rFonts w:hint="eastAsia" w:ascii="宋体" w:hAnsi="宋体" w:cs="宋体"/>
          <w:color w:val="auto"/>
          <w:spacing w:val="0"/>
          <w:sz w:val="72"/>
          <w:szCs w:val="44"/>
          <w:highlight w:val="none"/>
        </w:rPr>
      </w:pPr>
      <w:bookmarkStart w:id="2" w:name="_Toc1748"/>
      <w:r>
        <w:rPr>
          <w:rStyle w:val="60"/>
          <w:rFonts w:hint="eastAsia" w:ascii="宋体" w:hAnsi="宋体" w:cs="宋体"/>
          <w:color w:val="auto"/>
          <w:spacing w:val="0"/>
          <w:sz w:val="72"/>
          <w:szCs w:val="44"/>
          <w:highlight w:val="none"/>
        </w:rPr>
        <w:t>招</w:t>
      </w:r>
      <w:bookmarkEnd w:id="2"/>
    </w:p>
    <w:p w14:paraId="2AAD355A">
      <w:pPr>
        <w:shd w:val="clear"/>
        <w:spacing w:before="156" w:beforeLines="50" w:line="800" w:lineRule="exact"/>
        <w:jc w:val="center"/>
        <w:outlineLvl w:val="0"/>
        <w:rPr>
          <w:rStyle w:val="60"/>
          <w:rFonts w:hint="eastAsia" w:ascii="宋体" w:hAnsi="宋体" w:cs="宋体"/>
          <w:color w:val="auto"/>
          <w:spacing w:val="0"/>
          <w:sz w:val="72"/>
          <w:szCs w:val="44"/>
          <w:highlight w:val="none"/>
        </w:rPr>
      </w:pPr>
      <w:bookmarkStart w:id="3" w:name="_Toc6231"/>
      <w:r>
        <w:rPr>
          <w:rStyle w:val="60"/>
          <w:rFonts w:hint="eastAsia" w:ascii="宋体" w:hAnsi="宋体" w:cs="宋体"/>
          <w:color w:val="auto"/>
          <w:spacing w:val="0"/>
          <w:sz w:val="72"/>
          <w:szCs w:val="44"/>
          <w:highlight w:val="none"/>
        </w:rPr>
        <w:t>标</w:t>
      </w:r>
      <w:bookmarkEnd w:id="3"/>
    </w:p>
    <w:p w14:paraId="57A13F71">
      <w:pPr>
        <w:shd w:val="clear"/>
        <w:spacing w:before="156" w:beforeLines="50" w:line="800" w:lineRule="exact"/>
        <w:jc w:val="center"/>
        <w:outlineLvl w:val="0"/>
        <w:rPr>
          <w:rStyle w:val="60"/>
          <w:rFonts w:hint="eastAsia" w:ascii="宋体" w:hAnsi="宋体" w:cs="宋体"/>
          <w:color w:val="auto"/>
          <w:spacing w:val="0"/>
          <w:sz w:val="72"/>
          <w:szCs w:val="72"/>
          <w:highlight w:val="none"/>
        </w:rPr>
      </w:pPr>
      <w:bookmarkStart w:id="4" w:name="_Toc5973"/>
      <w:r>
        <w:rPr>
          <w:rStyle w:val="60"/>
          <w:rFonts w:hint="eastAsia" w:ascii="宋体" w:hAnsi="宋体" w:cs="宋体"/>
          <w:color w:val="auto"/>
          <w:spacing w:val="0"/>
          <w:sz w:val="72"/>
          <w:szCs w:val="72"/>
          <w:highlight w:val="none"/>
        </w:rPr>
        <w:t>采</w:t>
      </w:r>
      <w:bookmarkEnd w:id="4"/>
    </w:p>
    <w:p w14:paraId="40B25872">
      <w:pPr>
        <w:shd w:val="clear"/>
        <w:spacing w:before="156" w:beforeLines="50" w:line="800" w:lineRule="exact"/>
        <w:jc w:val="center"/>
        <w:outlineLvl w:val="0"/>
        <w:rPr>
          <w:rStyle w:val="60"/>
          <w:rFonts w:hint="eastAsia" w:ascii="宋体" w:hAnsi="宋体" w:cs="宋体"/>
          <w:color w:val="auto"/>
          <w:spacing w:val="0"/>
          <w:sz w:val="72"/>
          <w:szCs w:val="72"/>
          <w:highlight w:val="none"/>
        </w:rPr>
      </w:pPr>
      <w:bookmarkStart w:id="5" w:name="_Toc2746"/>
      <w:r>
        <w:rPr>
          <w:rStyle w:val="60"/>
          <w:rFonts w:hint="eastAsia" w:ascii="宋体" w:hAnsi="宋体" w:cs="宋体"/>
          <w:color w:val="auto"/>
          <w:spacing w:val="0"/>
          <w:sz w:val="72"/>
          <w:szCs w:val="72"/>
          <w:highlight w:val="none"/>
        </w:rPr>
        <w:t>购</w:t>
      </w:r>
      <w:bookmarkEnd w:id="5"/>
    </w:p>
    <w:p w14:paraId="5274A96F">
      <w:pPr>
        <w:shd w:val="clear"/>
        <w:spacing w:before="156" w:beforeLines="50" w:line="800" w:lineRule="exact"/>
        <w:jc w:val="center"/>
        <w:outlineLvl w:val="0"/>
        <w:rPr>
          <w:rStyle w:val="60"/>
          <w:rFonts w:hint="eastAsia" w:ascii="宋体" w:hAnsi="宋体" w:cs="宋体"/>
          <w:color w:val="auto"/>
          <w:spacing w:val="0"/>
          <w:sz w:val="72"/>
          <w:szCs w:val="72"/>
          <w:highlight w:val="none"/>
        </w:rPr>
      </w:pPr>
      <w:bookmarkStart w:id="6" w:name="_Toc32416"/>
      <w:r>
        <w:rPr>
          <w:rStyle w:val="60"/>
          <w:rFonts w:hint="eastAsia" w:ascii="宋体" w:hAnsi="宋体" w:cs="宋体"/>
          <w:color w:val="auto"/>
          <w:spacing w:val="0"/>
          <w:sz w:val="72"/>
          <w:szCs w:val="72"/>
          <w:highlight w:val="none"/>
        </w:rPr>
        <w:t>文</w:t>
      </w:r>
      <w:bookmarkEnd w:id="6"/>
    </w:p>
    <w:p w14:paraId="2A65DC5D">
      <w:pPr>
        <w:shd w:val="clear"/>
        <w:spacing w:before="156" w:beforeLines="50" w:line="800" w:lineRule="exact"/>
        <w:jc w:val="center"/>
        <w:outlineLvl w:val="0"/>
        <w:rPr>
          <w:rStyle w:val="60"/>
          <w:rFonts w:hint="eastAsia" w:ascii="宋体" w:hAnsi="宋体" w:cs="宋体"/>
          <w:color w:val="auto"/>
          <w:spacing w:val="0"/>
          <w:sz w:val="72"/>
          <w:szCs w:val="72"/>
          <w:highlight w:val="none"/>
        </w:rPr>
      </w:pPr>
      <w:bookmarkStart w:id="7" w:name="_Toc6942"/>
      <w:r>
        <w:rPr>
          <w:rStyle w:val="60"/>
          <w:rFonts w:hint="eastAsia" w:ascii="宋体" w:hAnsi="宋体" w:cs="宋体"/>
          <w:color w:val="auto"/>
          <w:spacing w:val="0"/>
          <w:sz w:val="72"/>
          <w:szCs w:val="72"/>
          <w:highlight w:val="none"/>
        </w:rPr>
        <w:t>件</w:t>
      </w:r>
      <w:bookmarkEnd w:id="7"/>
    </w:p>
    <w:p w14:paraId="4C2DC543">
      <w:pPr>
        <w:pStyle w:val="16"/>
        <w:shd w:val="clear"/>
        <w:snapToGrid w:val="0"/>
        <w:spacing w:beforeLines="0" w:afterLines="0" w:line="300" w:lineRule="exact"/>
        <w:rPr>
          <w:rFonts w:hint="eastAsia" w:hAnsi="宋体" w:cs="宋体"/>
          <w:color w:val="auto"/>
          <w:highlight w:val="none"/>
        </w:rPr>
      </w:pPr>
    </w:p>
    <w:p w14:paraId="539622C6">
      <w:pPr>
        <w:pStyle w:val="16"/>
        <w:shd w:val="clear"/>
        <w:snapToGrid w:val="0"/>
        <w:spacing w:beforeLines="0" w:afterLines="0" w:line="300" w:lineRule="exact"/>
        <w:outlineLvl w:val="0"/>
        <w:rPr>
          <w:rFonts w:hint="eastAsia" w:hAnsi="宋体" w:eastAsia="宋体" w:cs="宋体"/>
          <w:color w:val="auto"/>
          <w:highlight w:val="none"/>
          <w:lang w:eastAsia="zh-CN"/>
        </w:rPr>
      </w:pPr>
      <w:bookmarkStart w:id="8" w:name="_Toc30153"/>
      <w:r>
        <w:rPr>
          <w:rFonts w:hint="eastAsia" w:hAnsi="宋体" w:cs="宋体"/>
          <w:color w:val="auto"/>
          <w:highlight w:val="none"/>
        </w:rPr>
        <w:t>项目编号：</w:t>
      </w:r>
      <w:bookmarkEnd w:id="8"/>
      <w:r>
        <w:rPr>
          <w:rFonts w:hint="eastAsia" w:hAnsi="宋体" w:cs="宋体"/>
          <w:color w:val="auto"/>
          <w:highlight w:val="none"/>
          <w:lang w:eastAsia="zh-CN"/>
        </w:rPr>
        <w:t>HZSY20250215</w:t>
      </w:r>
    </w:p>
    <w:p w14:paraId="715BFCDA">
      <w:pPr>
        <w:pStyle w:val="16"/>
        <w:shd w:val="clear"/>
        <w:snapToGrid w:val="0"/>
        <w:spacing w:beforeLines="0" w:afterLines="0" w:line="300" w:lineRule="exact"/>
        <w:rPr>
          <w:rFonts w:hint="eastAsia" w:hAnsi="宋体" w:cs="宋体"/>
          <w:color w:val="auto"/>
          <w:highlight w:val="none"/>
          <w:lang w:val="en-US" w:eastAsia="zh-CN"/>
        </w:rPr>
      </w:pPr>
      <w:r>
        <w:rPr>
          <w:rFonts w:hint="eastAsia" w:hAnsi="宋体" w:cs="宋体"/>
          <w:color w:val="auto"/>
          <w:highlight w:val="none"/>
        </w:rPr>
        <w:t>项目名称：</w:t>
      </w:r>
      <w:r>
        <w:rPr>
          <w:rFonts w:hint="eastAsia" w:hAnsi="宋体" w:cs="宋体"/>
          <w:color w:val="auto"/>
          <w:highlight w:val="none"/>
          <w:lang w:val="en-US" w:eastAsia="zh-CN"/>
        </w:rPr>
        <w:tab/>
      </w:r>
      <w:r>
        <w:rPr>
          <w:rFonts w:hint="eastAsia" w:hAnsi="宋体" w:cs="宋体"/>
          <w:color w:val="auto"/>
          <w:highlight w:val="none"/>
          <w:lang w:val="en-US" w:eastAsia="zh-CN"/>
        </w:rPr>
        <w:t>2025年安吉县农药包装废弃物回收和集中处置服务采购项目</w:t>
      </w:r>
    </w:p>
    <w:p w14:paraId="61B79B39">
      <w:pPr>
        <w:pStyle w:val="16"/>
        <w:shd w:val="clear"/>
        <w:snapToGrid w:val="0"/>
        <w:spacing w:beforeLines="0" w:afterLines="0" w:line="300" w:lineRule="exact"/>
        <w:rPr>
          <w:rFonts w:hint="eastAsia" w:hAnsi="宋体" w:eastAsia="宋体" w:cs="宋体"/>
          <w:color w:val="auto"/>
          <w:highlight w:val="none"/>
          <w:lang w:eastAsia="zh-CN"/>
        </w:rPr>
      </w:pPr>
      <w:r>
        <w:rPr>
          <w:rFonts w:hint="eastAsia" w:hAnsi="宋体" w:cs="宋体"/>
          <w:color w:val="auto"/>
          <w:highlight w:val="none"/>
        </w:rPr>
        <w:t>采购单位：</w:t>
      </w:r>
      <w:r>
        <w:rPr>
          <w:rFonts w:hint="eastAsia" w:hAnsi="宋体" w:cs="宋体"/>
          <w:color w:val="auto"/>
          <w:highlight w:val="none"/>
          <w:lang w:eastAsia="zh-CN"/>
        </w:rPr>
        <w:t>安吉县农业农村局</w:t>
      </w:r>
    </w:p>
    <w:p w14:paraId="13005037">
      <w:pPr>
        <w:pStyle w:val="16"/>
        <w:shd w:val="clear"/>
        <w:snapToGrid w:val="0"/>
        <w:spacing w:beforeLines="0" w:afterLines="0" w:line="300" w:lineRule="exact"/>
        <w:rPr>
          <w:rFonts w:hint="eastAsia" w:hAnsi="宋体" w:eastAsia="宋体" w:cs="宋体"/>
          <w:color w:val="auto"/>
          <w:highlight w:val="none"/>
          <w:lang w:eastAsia="zh-CN"/>
        </w:rPr>
      </w:pPr>
      <w:r>
        <w:rPr>
          <w:rFonts w:hint="eastAsia" w:hAnsi="宋体" w:cs="宋体"/>
          <w:color w:val="auto"/>
          <w:highlight w:val="none"/>
        </w:rPr>
        <w:t>采购代理机构：</w:t>
      </w:r>
      <w:r>
        <w:rPr>
          <w:rFonts w:hint="eastAsia" w:hAnsi="宋体" w:cs="宋体"/>
          <w:color w:val="auto"/>
          <w:highlight w:val="none"/>
          <w:lang w:eastAsia="zh-CN"/>
        </w:rPr>
        <w:t>湖州盛远招标代理有限公司</w:t>
      </w:r>
    </w:p>
    <w:p w14:paraId="0BD10B36">
      <w:pPr>
        <w:pStyle w:val="16"/>
        <w:shd w:val="clear"/>
        <w:snapToGrid w:val="0"/>
        <w:spacing w:beforeLines="0" w:afterLines="0" w:line="300" w:lineRule="exact"/>
        <w:rPr>
          <w:rFonts w:hint="eastAsia" w:hAnsi="宋体" w:cs="宋体"/>
          <w:color w:val="auto"/>
          <w:highlight w:val="none"/>
        </w:rPr>
      </w:pPr>
      <w:r>
        <w:rPr>
          <w:rFonts w:hint="eastAsia" w:hAnsi="宋体" w:cs="宋体"/>
          <w:color w:val="auto"/>
          <w:highlight w:val="none"/>
        </w:rPr>
        <w:t>采购类型：分散采购委托代理</w:t>
      </w:r>
    </w:p>
    <w:p w14:paraId="01C79396">
      <w:pPr>
        <w:pStyle w:val="16"/>
        <w:shd w:val="clear"/>
        <w:snapToGrid w:val="0"/>
        <w:spacing w:beforeLines="0" w:afterLines="0" w:line="300" w:lineRule="exact"/>
        <w:jc w:val="right"/>
        <w:rPr>
          <w:rFonts w:hint="eastAsia" w:hAnsi="宋体" w:cs="宋体"/>
          <w:color w:val="auto"/>
          <w:highlight w:val="none"/>
        </w:rPr>
      </w:pPr>
    </w:p>
    <w:p w14:paraId="5B35ED6E">
      <w:pPr>
        <w:pStyle w:val="16"/>
        <w:shd w:val="clear"/>
        <w:snapToGrid w:val="0"/>
        <w:spacing w:beforeLines="0" w:afterLines="0" w:line="300" w:lineRule="exact"/>
        <w:jc w:val="right"/>
        <w:rPr>
          <w:rFonts w:hint="eastAsia" w:hAnsi="宋体" w:cs="宋体"/>
          <w:b/>
          <w:color w:val="auto"/>
          <w:sz w:val="44"/>
          <w:szCs w:val="44"/>
          <w:highlight w:val="none"/>
        </w:rPr>
      </w:pPr>
      <w:r>
        <w:rPr>
          <w:rFonts w:hint="eastAsia" w:hAnsi="宋体" w:cs="宋体"/>
          <w:color w:val="auto"/>
          <w:highlight w:val="none"/>
        </w:rPr>
        <w:t>202</w:t>
      </w:r>
      <w:r>
        <w:rPr>
          <w:rFonts w:hint="eastAsia" w:hAnsi="宋体" w:cs="宋体"/>
          <w:color w:val="auto"/>
          <w:highlight w:val="none"/>
          <w:lang w:val="en-US" w:eastAsia="zh-CN"/>
        </w:rPr>
        <w:t>5</w:t>
      </w:r>
      <w:r>
        <w:rPr>
          <w:rFonts w:hint="eastAsia" w:hAnsi="宋体" w:cs="宋体"/>
          <w:color w:val="auto"/>
          <w:highlight w:val="none"/>
        </w:rPr>
        <w:t>年</w:t>
      </w:r>
      <w:r>
        <w:rPr>
          <w:rFonts w:hint="eastAsia" w:hAnsi="宋体" w:cs="宋体"/>
          <w:color w:val="auto"/>
          <w:highlight w:val="none"/>
          <w:lang w:val="en-US" w:eastAsia="zh-CN"/>
        </w:rPr>
        <w:t>2</w:t>
      </w:r>
      <w:r>
        <w:rPr>
          <w:rFonts w:hint="eastAsia" w:hAnsi="宋体" w:cs="宋体"/>
          <w:color w:val="auto"/>
          <w:highlight w:val="none"/>
        </w:rPr>
        <w:t>月</w:t>
      </w:r>
    </w:p>
    <w:p w14:paraId="41AAAF68">
      <w:pPr>
        <w:pStyle w:val="16"/>
        <w:shd w:val="clear"/>
        <w:snapToGrid w:val="0"/>
        <w:spacing w:beforeLines="0" w:afterLines="0" w:line="480" w:lineRule="auto"/>
        <w:jc w:val="center"/>
        <w:outlineLvl w:val="0"/>
        <w:rPr>
          <w:rFonts w:hint="eastAsia" w:hAnsi="宋体" w:cs="宋体"/>
          <w:b/>
          <w:color w:val="auto"/>
          <w:sz w:val="44"/>
          <w:szCs w:val="44"/>
          <w:highlight w:val="none"/>
        </w:rPr>
      </w:pPr>
      <w:bookmarkStart w:id="9" w:name="_Toc19273"/>
      <w:r>
        <w:rPr>
          <w:rFonts w:hint="eastAsia" w:hAnsi="宋体" w:cs="宋体"/>
          <w:b/>
          <w:color w:val="auto"/>
          <w:sz w:val="44"/>
          <w:szCs w:val="44"/>
          <w:highlight w:val="none"/>
        </w:rPr>
        <w:t>目      录</w:t>
      </w:r>
      <w:bookmarkEnd w:id="9"/>
    </w:p>
    <w:sdt>
      <w:sdtPr>
        <w:rPr>
          <w:rFonts w:ascii="宋体" w:hAnsi="宋体" w:eastAsia="宋体" w:cs="Times New Roman"/>
          <w:kern w:val="2"/>
          <w:sz w:val="21"/>
          <w:szCs w:val="24"/>
          <w:highlight w:val="none"/>
          <w:lang w:val="en-US" w:eastAsia="zh-CN" w:bidi="ar-SA"/>
        </w:rPr>
        <w:id w:val="147455096"/>
        <w15:color w:val="DBDBDB"/>
        <w:docPartObj>
          <w:docPartGallery w:val="Table of Contents"/>
          <w:docPartUnique/>
        </w:docPartObj>
      </w:sdtPr>
      <w:sdtEndPr>
        <w:rPr>
          <w:rFonts w:hint="eastAsia" w:ascii="宋体" w:hAnsi="宋体" w:eastAsia="宋体" w:cs="宋体"/>
          <w:b/>
          <w:bCs w:val="0"/>
          <w:color w:val="auto"/>
          <w:kern w:val="2"/>
          <w:sz w:val="44"/>
          <w:szCs w:val="24"/>
          <w:highlight w:val="none"/>
          <w:lang w:val="en-US" w:eastAsia="zh-CN" w:bidi="ar-SA"/>
        </w:rPr>
      </w:sdtEndPr>
      <w:sdtContent>
        <w:p w14:paraId="1E63DF14">
          <w:pPr>
            <w:spacing w:before="0" w:beforeLines="0" w:after="0" w:afterLines="0" w:line="240" w:lineRule="auto"/>
            <w:ind w:left="0" w:leftChars="0" w:right="0" w:rightChars="0" w:firstLine="0" w:firstLineChars="0"/>
            <w:jc w:val="center"/>
            <w:rPr>
              <w:highlight w:val="none"/>
            </w:rPr>
          </w:pPr>
          <w:bookmarkStart w:id="10" w:name="_Toc317341927"/>
          <w:r>
            <w:rPr>
              <w:rFonts w:hint="eastAsia" w:ascii="宋体" w:hAnsi="宋体" w:cs="宋体"/>
              <w:b w:val="0"/>
              <w:bCs w:val="0"/>
              <w:color w:val="auto"/>
              <w:kern w:val="2"/>
              <w:sz w:val="24"/>
              <w:szCs w:val="24"/>
              <w:highlight w:val="none"/>
            </w:rPr>
            <w:fldChar w:fldCharType="begin"/>
          </w:r>
          <w:r>
            <w:rPr>
              <w:rFonts w:hint="eastAsia" w:ascii="宋体" w:hAnsi="宋体" w:cs="宋体"/>
              <w:b w:val="0"/>
              <w:bCs w:val="0"/>
              <w:color w:val="auto"/>
              <w:kern w:val="2"/>
              <w:sz w:val="24"/>
              <w:szCs w:val="24"/>
              <w:highlight w:val="none"/>
            </w:rPr>
            <w:instrText xml:space="preserve">TOC \o "1-1" \h \u </w:instrText>
          </w:r>
          <w:r>
            <w:rPr>
              <w:rFonts w:hint="eastAsia" w:ascii="宋体" w:hAnsi="宋体" w:cs="宋体"/>
              <w:b w:val="0"/>
              <w:bCs w:val="0"/>
              <w:color w:val="auto"/>
              <w:kern w:val="2"/>
              <w:sz w:val="24"/>
              <w:szCs w:val="24"/>
              <w:highlight w:val="none"/>
            </w:rPr>
            <w:fldChar w:fldCharType="separate"/>
          </w:r>
        </w:p>
        <w:p w14:paraId="372556D0">
          <w:pPr>
            <w:pStyle w:val="81"/>
            <w:tabs>
              <w:tab w:val="right" w:leader="dot" w:pos="9072"/>
            </w:tabs>
            <w:spacing w:line="480" w:lineRule="auto"/>
            <w:rPr>
              <w:sz w:val="28"/>
              <w:szCs w:val="28"/>
              <w:highlight w:val="none"/>
            </w:rPr>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_Toc30834 </w:instrText>
          </w:r>
          <w:r>
            <w:rPr>
              <w:rFonts w:hint="eastAsia" w:ascii="宋体" w:hAnsi="宋体" w:cs="宋体"/>
              <w:bCs w:val="0"/>
              <w:kern w:val="2"/>
              <w:sz w:val="28"/>
              <w:szCs w:val="40"/>
              <w:highlight w:val="none"/>
            </w:rPr>
            <w:fldChar w:fldCharType="separate"/>
          </w:r>
          <w:r>
            <w:rPr>
              <w:rFonts w:hint="eastAsia" w:ascii="宋体" w:hAnsi="宋体" w:eastAsia="宋体" w:cs="宋体"/>
              <w:snapToGrid w:val="0"/>
              <w:sz w:val="28"/>
              <w:szCs w:val="52"/>
              <w:highlight w:val="none"/>
            </w:rPr>
            <w:t xml:space="preserve">第一章 </w:t>
          </w:r>
          <w:r>
            <w:rPr>
              <w:rFonts w:hint="eastAsia" w:ascii="宋体" w:hAnsi="宋体" w:eastAsia="宋体" w:cs="宋体"/>
              <w:snapToGrid w:val="0"/>
              <w:sz w:val="28"/>
              <w:szCs w:val="52"/>
              <w:highlight w:val="none"/>
              <w:lang w:val="en-US" w:eastAsia="zh-CN"/>
            </w:rPr>
            <w:t xml:space="preserve"> </w:t>
          </w:r>
          <w:r>
            <w:rPr>
              <w:rFonts w:hint="eastAsia" w:ascii="宋体" w:hAnsi="宋体" w:eastAsia="宋体" w:cs="宋体"/>
              <w:snapToGrid w:val="0"/>
              <w:sz w:val="28"/>
              <w:szCs w:val="52"/>
              <w:highlight w:val="none"/>
            </w:rPr>
            <w:t>招标公告</w:t>
          </w:r>
          <w:r>
            <w:rPr>
              <w:sz w:val="28"/>
              <w:szCs w:val="28"/>
              <w:highlight w:val="none"/>
            </w:rPr>
            <w:tab/>
          </w:r>
          <w:r>
            <w:rPr>
              <w:sz w:val="28"/>
              <w:szCs w:val="28"/>
              <w:highlight w:val="none"/>
            </w:rPr>
            <w:fldChar w:fldCharType="begin"/>
          </w:r>
          <w:r>
            <w:rPr>
              <w:sz w:val="28"/>
              <w:szCs w:val="28"/>
              <w:highlight w:val="none"/>
            </w:rPr>
            <w:instrText xml:space="preserve"> PAGEREF _Toc30834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宋体" w:hAnsi="宋体" w:cs="宋体"/>
              <w:bCs w:val="0"/>
              <w:color w:val="auto"/>
              <w:kern w:val="2"/>
              <w:sz w:val="28"/>
              <w:szCs w:val="40"/>
              <w:highlight w:val="none"/>
            </w:rPr>
            <w:fldChar w:fldCharType="end"/>
          </w:r>
        </w:p>
        <w:p w14:paraId="67C7C233">
          <w:pPr>
            <w:pStyle w:val="81"/>
            <w:tabs>
              <w:tab w:val="right" w:leader="dot" w:pos="9072"/>
            </w:tabs>
            <w:spacing w:line="480" w:lineRule="auto"/>
            <w:rPr>
              <w:sz w:val="28"/>
              <w:szCs w:val="28"/>
              <w:highlight w:val="none"/>
            </w:rPr>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_Toc3433 </w:instrText>
          </w:r>
          <w:r>
            <w:rPr>
              <w:rFonts w:hint="eastAsia" w:ascii="宋体" w:hAnsi="宋体" w:cs="宋体"/>
              <w:bCs w:val="0"/>
              <w:kern w:val="2"/>
              <w:sz w:val="28"/>
              <w:szCs w:val="40"/>
              <w:highlight w:val="none"/>
            </w:rPr>
            <w:fldChar w:fldCharType="separate"/>
          </w:r>
          <w:r>
            <w:rPr>
              <w:rFonts w:hint="eastAsia" w:ascii="宋体" w:hAnsi="宋体" w:cs="宋体"/>
              <w:snapToGrid w:val="0"/>
              <w:sz w:val="28"/>
              <w:szCs w:val="52"/>
              <w:highlight w:val="none"/>
            </w:rPr>
            <w:t>第二章  招标需求</w:t>
          </w:r>
          <w:r>
            <w:rPr>
              <w:sz w:val="28"/>
              <w:szCs w:val="28"/>
              <w:highlight w:val="none"/>
            </w:rPr>
            <w:tab/>
          </w:r>
          <w:r>
            <w:rPr>
              <w:sz w:val="28"/>
              <w:szCs w:val="28"/>
              <w:highlight w:val="none"/>
            </w:rPr>
            <w:fldChar w:fldCharType="begin"/>
          </w:r>
          <w:r>
            <w:rPr>
              <w:sz w:val="28"/>
              <w:szCs w:val="28"/>
              <w:highlight w:val="none"/>
            </w:rPr>
            <w:instrText xml:space="preserve"> PAGEREF _Toc3433 \h </w:instrText>
          </w:r>
          <w:r>
            <w:rPr>
              <w:sz w:val="28"/>
              <w:szCs w:val="28"/>
              <w:highlight w:val="none"/>
            </w:rPr>
            <w:fldChar w:fldCharType="separate"/>
          </w:r>
          <w:r>
            <w:rPr>
              <w:sz w:val="28"/>
              <w:szCs w:val="28"/>
              <w:highlight w:val="none"/>
            </w:rPr>
            <w:t>4</w:t>
          </w:r>
          <w:r>
            <w:rPr>
              <w:sz w:val="28"/>
              <w:szCs w:val="28"/>
              <w:highlight w:val="none"/>
            </w:rPr>
            <w:fldChar w:fldCharType="end"/>
          </w:r>
          <w:r>
            <w:rPr>
              <w:rFonts w:hint="eastAsia" w:ascii="宋体" w:hAnsi="宋体" w:cs="宋体"/>
              <w:bCs w:val="0"/>
              <w:color w:val="auto"/>
              <w:kern w:val="2"/>
              <w:sz w:val="28"/>
              <w:szCs w:val="40"/>
              <w:highlight w:val="none"/>
            </w:rPr>
            <w:fldChar w:fldCharType="end"/>
          </w:r>
        </w:p>
        <w:p w14:paraId="017D2987">
          <w:pPr>
            <w:pStyle w:val="81"/>
            <w:tabs>
              <w:tab w:val="right" w:leader="dot" w:pos="9072"/>
            </w:tabs>
            <w:spacing w:line="480" w:lineRule="auto"/>
            <w:rPr>
              <w:sz w:val="28"/>
              <w:szCs w:val="28"/>
              <w:highlight w:val="none"/>
            </w:rPr>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_Toc18658 </w:instrText>
          </w:r>
          <w:r>
            <w:rPr>
              <w:rFonts w:hint="eastAsia" w:ascii="宋体" w:hAnsi="宋体" w:cs="宋体"/>
              <w:bCs w:val="0"/>
              <w:kern w:val="2"/>
              <w:sz w:val="28"/>
              <w:szCs w:val="40"/>
              <w:highlight w:val="none"/>
            </w:rPr>
            <w:fldChar w:fldCharType="separate"/>
          </w:r>
          <w:r>
            <w:rPr>
              <w:rFonts w:hint="eastAsia" w:ascii="宋体" w:hAnsi="宋体" w:cs="宋体"/>
              <w:snapToGrid w:val="0"/>
              <w:sz w:val="28"/>
              <w:szCs w:val="52"/>
              <w:highlight w:val="none"/>
            </w:rPr>
            <w:t>第三章  投标人须知</w:t>
          </w:r>
          <w:r>
            <w:rPr>
              <w:sz w:val="28"/>
              <w:szCs w:val="28"/>
              <w:highlight w:val="none"/>
            </w:rPr>
            <w:tab/>
          </w:r>
          <w:r>
            <w:rPr>
              <w:sz w:val="28"/>
              <w:szCs w:val="28"/>
              <w:highlight w:val="none"/>
            </w:rPr>
            <w:fldChar w:fldCharType="begin"/>
          </w:r>
          <w:r>
            <w:rPr>
              <w:sz w:val="28"/>
              <w:szCs w:val="28"/>
              <w:highlight w:val="none"/>
            </w:rPr>
            <w:instrText xml:space="preserve"> PAGEREF _Toc18658 \h </w:instrText>
          </w:r>
          <w:r>
            <w:rPr>
              <w:sz w:val="28"/>
              <w:szCs w:val="28"/>
              <w:highlight w:val="none"/>
            </w:rPr>
            <w:fldChar w:fldCharType="separate"/>
          </w:r>
          <w:r>
            <w:rPr>
              <w:sz w:val="28"/>
              <w:szCs w:val="28"/>
              <w:highlight w:val="none"/>
            </w:rPr>
            <w:t>7</w:t>
          </w:r>
          <w:r>
            <w:rPr>
              <w:sz w:val="28"/>
              <w:szCs w:val="28"/>
              <w:highlight w:val="none"/>
            </w:rPr>
            <w:fldChar w:fldCharType="end"/>
          </w:r>
          <w:r>
            <w:rPr>
              <w:rFonts w:hint="eastAsia" w:ascii="宋体" w:hAnsi="宋体" w:cs="宋体"/>
              <w:bCs w:val="0"/>
              <w:color w:val="auto"/>
              <w:kern w:val="2"/>
              <w:sz w:val="28"/>
              <w:szCs w:val="40"/>
              <w:highlight w:val="none"/>
            </w:rPr>
            <w:fldChar w:fldCharType="end"/>
          </w:r>
        </w:p>
        <w:p w14:paraId="3E079B8E">
          <w:pPr>
            <w:pStyle w:val="81"/>
            <w:tabs>
              <w:tab w:val="right" w:leader="dot" w:pos="9072"/>
            </w:tabs>
            <w:spacing w:line="480" w:lineRule="auto"/>
            <w:rPr>
              <w:sz w:val="28"/>
              <w:szCs w:val="28"/>
              <w:highlight w:val="none"/>
            </w:rPr>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_Toc30794 </w:instrText>
          </w:r>
          <w:r>
            <w:rPr>
              <w:rFonts w:hint="eastAsia" w:ascii="宋体" w:hAnsi="宋体" w:cs="宋体"/>
              <w:bCs w:val="0"/>
              <w:kern w:val="2"/>
              <w:sz w:val="28"/>
              <w:szCs w:val="40"/>
              <w:highlight w:val="none"/>
            </w:rPr>
            <w:fldChar w:fldCharType="separate"/>
          </w:r>
          <w:r>
            <w:rPr>
              <w:rFonts w:hint="eastAsia" w:ascii="宋体" w:hAnsi="宋体" w:eastAsia="宋体" w:cs="宋体"/>
              <w:snapToGrid w:val="0"/>
              <w:sz w:val="28"/>
              <w:szCs w:val="52"/>
              <w:highlight w:val="none"/>
            </w:rPr>
            <w:t>第四章  评标办法及标准</w:t>
          </w:r>
          <w:r>
            <w:rPr>
              <w:sz w:val="28"/>
              <w:szCs w:val="28"/>
              <w:highlight w:val="none"/>
            </w:rPr>
            <w:tab/>
          </w:r>
          <w:r>
            <w:rPr>
              <w:sz w:val="28"/>
              <w:szCs w:val="28"/>
              <w:highlight w:val="none"/>
            </w:rPr>
            <w:fldChar w:fldCharType="begin"/>
          </w:r>
          <w:r>
            <w:rPr>
              <w:sz w:val="28"/>
              <w:szCs w:val="28"/>
              <w:highlight w:val="none"/>
            </w:rPr>
            <w:instrText xml:space="preserve"> PAGEREF _Toc30794 \h </w:instrText>
          </w:r>
          <w:r>
            <w:rPr>
              <w:sz w:val="28"/>
              <w:szCs w:val="28"/>
              <w:highlight w:val="none"/>
            </w:rPr>
            <w:fldChar w:fldCharType="separate"/>
          </w:r>
          <w:r>
            <w:rPr>
              <w:sz w:val="28"/>
              <w:szCs w:val="28"/>
              <w:highlight w:val="none"/>
            </w:rPr>
            <w:t>24</w:t>
          </w:r>
          <w:r>
            <w:rPr>
              <w:sz w:val="28"/>
              <w:szCs w:val="28"/>
              <w:highlight w:val="none"/>
            </w:rPr>
            <w:fldChar w:fldCharType="end"/>
          </w:r>
          <w:r>
            <w:rPr>
              <w:rFonts w:hint="eastAsia" w:ascii="宋体" w:hAnsi="宋体" w:cs="宋体"/>
              <w:bCs w:val="0"/>
              <w:color w:val="auto"/>
              <w:kern w:val="2"/>
              <w:sz w:val="28"/>
              <w:szCs w:val="40"/>
              <w:highlight w:val="none"/>
            </w:rPr>
            <w:fldChar w:fldCharType="end"/>
          </w:r>
        </w:p>
        <w:p w14:paraId="325485A7">
          <w:pPr>
            <w:pStyle w:val="81"/>
            <w:tabs>
              <w:tab w:val="right" w:leader="dot" w:pos="9072"/>
            </w:tabs>
            <w:spacing w:line="480" w:lineRule="auto"/>
            <w:rPr>
              <w:sz w:val="28"/>
              <w:szCs w:val="28"/>
              <w:highlight w:val="none"/>
            </w:rPr>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_Toc4556 </w:instrText>
          </w:r>
          <w:r>
            <w:rPr>
              <w:rFonts w:hint="eastAsia" w:ascii="宋体" w:hAnsi="宋体" w:cs="宋体"/>
              <w:bCs w:val="0"/>
              <w:kern w:val="2"/>
              <w:sz w:val="28"/>
              <w:szCs w:val="40"/>
              <w:highlight w:val="none"/>
            </w:rPr>
            <w:fldChar w:fldCharType="separate"/>
          </w:r>
          <w:r>
            <w:rPr>
              <w:rFonts w:hint="eastAsia" w:ascii="宋体" w:hAnsi="宋体" w:cs="宋体"/>
              <w:snapToGrid w:val="0"/>
              <w:sz w:val="28"/>
              <w:szCs w:val="52"/>
              <w:highlight w:val="none"/>
            </w:rPr>
            <w:t xml:space="preserve">第五章 </w:t>
          </w:r>
          <w:r>
            <w:rPr>
              <w:rFonts w:hint="eastAsia" w:ascii="宋体" w:hAnsi="宋体" w:cs="宋体"/>
              <w:snapToGrid w:val="0"/>
              <w:sz w:val="28"/>
              <w:szCs w:val="52"/>
              <w:highlight w:val="none"/>
              <w:lang w:val="en-US" w:eastAsia="zh-CN"/>
            </w:rPr>
            <w:t xml:space="preserve"> </w:t>
          </w:r>
          <w:r>
            <w:rPr>
              <w:rFonts w:hint="eastAsia" w:ascii="宋体" w:hAnsi="宋体" w:cs="宋体"/>
              <w:snapToGrid w:val="0"/>
              <w:sz w:val="28"/>
              <w:szCs w:val="52"/>
              <w:highlight w:val="none"/>
            </w:rPr>
            <w:t>合同主要条款</w:t>
          </w:r>
          <w:r>
            <w:rPr>
              <w:sz w:val="28"/>
              <w:szCs w:val="28"/>
              <w:highlight w:val="none"/>
            </w:rPr>
            <w:tab/>
          </w:r>
          <w:r>
            <w:rPr>
              <w:sz w:val="28"/>
              <w:szCs w:val="28"/>
              <w:highlight w:val="none"/>
            </w:rPr>
            <w:fldChar w:fldCharType="begin"/>
          </w:r>
          <w:r>
            <w:rPr>
              <w:sz w:val="28"/>
              <w:szCs w:val="28"/>
              <w:highlight w:val="none"/>
            </w:rPr>
            <w:instrText xml:space="preserve"> PAGEREF _Toc4556 \h </w:instrText>
          </w:r>
          <w:r>
            <w:rPr>
              <w:sz w:val="28"/>
              <w:szCs w:val="28"/>
              <w:highlight w:val="none"/>
            </w:rPr>
            <w:fldChar w:fldCharType="separate"/>
          </w:r>
          <w:r>
            <w:rPr>
              <w:sz w:val="28"/>
              <w:szCs w:val="28"/>
              <w:highlight w:val="none"/>
            </w:rPr>
            <w:t>28</w:t>
          </w:r>
          <w:r>
            <w:rPr>
              <w:sz w:val="28"/>
              <w:szCs w:val="28"/>
              <w:highlight w:val="none"/>
            </w:rPr>
            <w:fldChar w:fldCharType="end"/>
          </w:r>
          <w:r>
            <w:rPr>
              <w:rFonts w:hint="eastAsia" w:ascii="宋体" w:hAnsi="宋体" w:cs="宋体"/>
              <w:bCs w:val="0"/>
              <w:color w:val="auto"/>
              <w:kern w:val="2"/>
              <w:sz w:val="28"/>
              <w:szCs w:val="40"/>
              <w:highlight w:val="none"/>
            </w:rPr>
            <w:fldChar w:fldCharType="end"/>
          </w:r>
        </w:p>
        <w:p w14:paraId="64DD00C7">
          <w:pPr>
            <w:pStyle w:val="81"/>
            <w:tabs>
              <w:tab w:val="right" w:leader="dot" w:pos="9072"/>
            </w:tabs>
            <w:spacing w:line="480" w:lineRule="auto"/>
            <w:rPr>
              <w:highlight w:val="none"/>
            </w:rPr>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_Toc9861 </w:instrText>
          </w:r>
          <w:r>
            <w:rPr>
              <w:rFonts w:hint="eastAsia" w:ascii="宋体" w:hAnsi="宋体" w:cs="宋体"/>
              <w:bCs w:val="0"/>
              <w:kern w:val="2"/>
              <w:sz w:val="28"/>
              <w:szCs w:val="40"/>
              <w:highlight w:val="none"/>
            </w:rPr>
            <w:fldChar w:fldCharType="separate"/>
          </w:r>
          <w:r>
            <w:rPr>
              <w:rFonts w:hint="eastAsia" w:ascii="宋体" w:hAnsi="宋体" w:cs="宋体"/>
              <w:snapToGrid w:val="0"/>
              <w:sz w:val="28"/>
              <w:szCs w:val="52"/>
              <w:highlight w:val="none"/>
            </w:rPr>
            <w:t>第六章  投标文件的格式</w:t>
          </w:r>
          <w:r>
            <w:rPr>
              <w:sz w:val="28"/>
              <w:szCs w:val="28"/>
              <w:highlight w:val="none"/>
            </w:rPr>
            <w:tab/>
          </w:r>
          <w:r>
            <w:rPr>
              <w:sz w:val="28"/>
              <w:szCs w:val="28"/>
              <w:highlight w:val="none"/>
            </w:rPr>
            <w:fldChar w:fldCharType="begin"/>
          </w:r>
          <w:r>
            <w:rPr>
              <w:sz w:val="28"/>
              <w:szCs w:val="28"/>
              <w:highlight w:val="none"/>
            </w:rPr>
            <w:instrText xml:space="preserve"> PAGEREF _Toc9861 \h </w:instrText>
          </w:r>
          <w:r>
            <w:rPr>
              <w:sz w:val="28"/>
              <w:szCs w:val="28"/>
              <w:highlight w:val="none"/>
            </w:rPr>
            <w:fldChar w:fldCharType="separate"/>
          </w:r>
          <w:r>
            <w:rPr>
              <w:sz w:val="28"/>
              <w:szCs w:val="28"/>
              <w:highlight w:val="none"/>
            </w:rPr>
            <w:t>31</w:t>
          </w:r>
          <w:r>
            <w:rPr>
              <w:sz w:val="28"/>
              <w:szCs w:val="28"/>
              <w:highlight w:val="none"/>
            </w:rPr>
            <w:fldChar w:fldCharType="end"/>
          </w:r>
          <w:r>
            <w:rPr>
              <w:rFonts w:hint="eastAsia" w:ascii="宋体" w:hAnsi="宋体" w:cs="宋体"/>
              <w:bCs w:val="0"/>
              <w:color w:val="auto"/>
              <w:kern w:val="2"/>
              <w:sz w:val="28"/>
              <w:szCs w:val="40"/>
              <w:highlight w:val="none"/>
            </w:rPr>
            <w:fldChar w:fldCharType="end"/>
          </w:r>
        </w:p>
        <w:p w14:paraId="32F9CBA0">
          <w:pPr>
            <w:pStyle w:val="4"/>
            <w:shd w:val="clear"/>
            <w:spacing w:before="0" w:after="0" w:line="480" w:lineRule="auto"/>
            <w:jc w:val="center"/>
            <w:outlineLvl w:val="9"/>
            <w:rPr>
              <w:rFonts w:hint="eastAsia" w:ascii="宋体" w:hAnsi="宋体" w:eastAsia="宋体" w:cs="宋体"/>
              <w:b/>
              <w:bCs w:val="0"/>
              <w:color w:val="auto"/>
              <w:kern w:val="2"/>
              <w:sz w:val="44"/>
              <w:szCs w:val="24"/>
              <w:highlight w:val="none"/>
              <w:lang w:val="en-US" w:eastAsia="zh-CN" w:bidi="ar-SA"/>
            </w:rPr>
          </w:pPr>
          <w:r>
            <w:rPr>
              <w:rFonts w:hint="eastAsia" w:ascii="宋体" w:hAnsi="宋体" w:cs="宋体"/>
              <w:bCs w:val="0"/>
              <w:color w:val="auto"/>
              <w:kern w:val="2"/>
              <w:szCs w:val="24"/>
              <w:highlight w:val="none"/>
            </w:rPr>
            <w:fldChar w:fldCharType="end"/>
          </w:r>
        </w:p>
      </w:sdtContent>
    </w:sdt>
    <w:p w14:paraId="4EC6FB6F">
      <w:pPr>
        <w:rPr>
          <w:rFonts w:hint="eastAsia"/>
          <w:highlight w:val="none"/>
        </w:rPr>
      </w:pPr>
    </w:p>
    <w:p w14:paraId="2695C141">
      <w:pPr>
        <w:shd w:val="clear"/>
        <w:rPr>
          <w:rFonts w:hint="eastAsia" w:ascii="宋体" w:hAnsi="宋体" w:cs="宋体"/>
          <w:color w:val="auto"/>
          <w:highlight w:val="none"/>
        </w:rPr>
      </w:pPr>
    </w:p>
    <w:p w14:paraId="03ABBA5E">
      <w:pPr>
        <w:shd w:val="clear"/>
        <w:rPr>
          <w:rFonts w:hint="eastAsia" w:ascii="宋体" w:hAnsi="宋体" w:cs="宋体"/>
          <w:color w:val="auto"/>
          <w:highlight w:val="none"/>
        </w:rPr>
      </w:pPr>
    </w:p>
    <w:p w14:paraId="555FEFB4">
      <w:pPr>
        <w:shd w:val="clear"/>
        <w:rPr>
          <w:rFonts w:hint="eastAsia" w:ascii="宋体" w:hAnsi="宋体" w:cs="宋体"/>
          <w:color w:val="auto"/>
          <w:highlight w:val="none"/>
        </w:rPr>
      </w:pPr>
    </w:p>
    <w:p w14:paraId="5ECE7206">
      <w:pPr>
        <w:pStyle w:val="4"/>
        <w:shd w:val="clear"/>
        <w:outlineLvl w:val="9"/>
        <w:rPr>
          <w:rFonts w:hint="eastAsia"/>
          <w:color w:val="auto"/>
          <w:highlight w:val="none"/>
        </w:rPr>
      </w:pPr>
    </w:p>
    <w:p w14:paraId="6AECC6F5">
      <w:pPr>
        <w:shd w:val="clear"/>
        <w:rPr>
          <w:rFonts w:hint="eastAsia"/>
          <w:color w:val="auto"/>
          <w:highlight w:val="none"/>
        </w:rPr>
      </w:pPr>
    </w:p>
    <w:p w14:paraId="5E917B4E">
      <w:pPr>
        <w:shd w:val="clear"/>
        <w:rPr>
          <w:rFonts w:hint="eastAsia" w:ascii="宋体" w:hAnsi="宋体" w:cs="宋体"/>
          <w:color w:val="auto"/>
          <w:highlight w:val="none"/>
        </w:rPr>
      </w:pPr>
    </w:p>
    <w:p w14:paraId="098611B4">
      <w:pPr>
        <w:shd w:val="clear"/>
        <w:rPr>
          <w:rFonts w:hint="eastAsia" w:ascii="宋体" w:hAnsi="宋体" w:cs="宋体"/>
          <w:color w:val="auto"/>
          <w:highlight w:val="none"/>
        </w:rPr>
      </w:pPr>
    </w:p>
    <w:p w14:paraId="37B302E7">
      <w:pPr>
        <w:pStyle w:val="3"/>
        <w:shd w:val="clear"/>
        <w:rPr>
          <w:rFonts w:hint="eastAsia" w:ascii="宋体" w:hAnsi="宋体" w:cs="宋体"/>
          <w:color w:val="auto"/>
          <w:highlight w:val="none"/>
        </w:rPr>
      </w:pPr>
    </w:p>
    <w:p w14:paraId="69FCA1E7">
      <w:pPr>
        <w:pStyle w:val="25"/>
        <w:shd w:val="clear"/>
        <w:rPr>
          <w:rFonts w:hint="eastAsia" w:ascii="宋体" w:hAnsi="宋体" w:cs="宋体"/>
          <w:color w:val="auto"/>
          <w:highlight w:val="none"/>
        </w:rPr>
      </w:pPr>
    </w:p>
    <w:p w14:paraId="1A374B11">
      <w:pPr>
        <w:shd w:val="clear"/>
        <w:rPr>
          <w:rFonts w:hint="eastAsia" w:ascii="宋体" w:hAnsi="宋体" w:cs="宋体"/>
          <w:color w:val="auto"/>
          <w:highlight w:val="none"/>
        </w:rPr>
      </w:pPr>
    </w:p>
    <w:p w14:paraId="3228876C">
      <w:pPr>
        <w:pStyle w:val="3"/>
        <w:shd w:val="clear"/>
        <w:rPr>
          <w:rFonts w:hint="eastAsia" w:ascii="宋体" w:hAnsi="宋体" w:cs="宋体"/>
          <w:color w:val="auto"/>
          <w:highlight w:val="none"/>
        </w:rPr>
      </w:pPr>
    </w:p>
    <w:p w14:paraId="221AA752">
      <w:pPr>
        <w:pStyle w:val="25"/>
        <w:shd w:val="clear"/>
        <w:rPr>
          <w:rFonts w:hint="eastAsia" w:ascii="宋体" w:hAnsi="宋体" w:cs="宋体"/>
          <w:color w:val="auto"/>
          <w:highlight w:val="none"/>
        </w:rPr>
      </w:pPr>
    </w:p>
    <w:p w14:paraId="229CFE70">
      <w:pPr>
        <w:shd w:val="clear"/>
        <w:rPr>
          <w:rFonts w:hint="eastAsia" w:ascii="宋体" w:hAnsi="宋体" w:cs="宋体"/>
          <w:color w:val="auto"/>
          <w:highlight w:val="none"/>
        </w:rPr>
      </w:pPr>
    </w:p>
    <w:p w14:paraId="349D7171">
      <w:pPr>
        <w:pStyle w:val="3"/>
        <w:shd w:val="clear"/>
        <w:rPr>
          <w:rFonts w:hint="eastAsia" w:ascii="宋体" w:hAnsi="宋体" w:cs="宋体"/>
          <w:color w:val="auto"/>
          <w:highlight w:val="none"/>
        </w:rPr>
      </w:pPr>
    </w:p>
    <w:p w14:paraId="06201665">
      <w:pPr>
        <w:pStyle w:val="25"/>
        <w:shd w:val="clear"/>
        <w:rPr>
          <w:rFonts w:hint="eastAsia" w:ascii="宋体" w:hAnsi="宋体" w:cs="宋体"/>
          <w:color w:val="auto"/>
          <w:highlight w:val="none"/>
        </w:rPr>
      </w:pPr>
    </w:p>
    <w:p w14:paraId="61DABB92">
      <w:pPr>
        <w:pStyle w:val="4"/>
        <w:shd w:val="clear"/>
        <w:spacing w:before="0" w:after="0" w:line="240" w:lineRule="auto"/>
        <w:jc w:val="center"/>
        <w:outlineLvl w:val="9"/>
        <w:rPr>
          <w:rFonts w:hint="eastAsia" w:ascii="宋体" w:hAnsi="宋体" w:cs="宋体"/>
          <w:snapToGrid w:val="0"/>
          <w:color w:val="auto"/>
          <w:sz w:val="36"/>
          <w:szCs w:val="36"/>
          <w:highlight w:val="none"/>
        </w:rPr>
        <w:sectPr>
          <w:head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11" w:name="_Toc26811"/>
      <w:bookmarkStart w:id="12" w:name="_Toc22016"/>
      <w:bookmarkStart w:id="13" w:name="_Toc16068"/>
      <w:bookmarkStart w:id="14" w:name="_Toc31677"/>
    </w:p>
    <w:p w14:paraId="3CD6543E">
      <w:pPr>
        <w:pStyle w:val="4"/>
        <w:shd w:val="clear"/>
        <w:spacing w:before="0" w:after="0" w:line="480" w:lineRule="exact"/>
        <w:jc w:val="center"/>
        <w:rPr>
          <w:rFonts w:hint="eastAsia" w:ascii="宋体" w:hAnsi="宋体" w:eastAsia="宋体" w:cs="宋体"/>
          <w:snapToGrid w:val="0"/>
          <w:color w:val="auto"/>
          <w:sz w:val="36"/>
          <w:szCs w:val="36"/>
          <w:highlight w:val="none"/>
        </w:rPr>
      </w:pPr>
      <w:bookmarkStart w:id="15" w:name="_Toc30834"/>
      <w:r>
        <w:rPr>
          <w:rFonts w:hint="eastAsia" w:ascii="宋体" w:hAnsi="宋体" w:eastAsia="宋体" w:cs="宋体"/>
          <w:snapToGrid w:val="0"/>
          <w:color w:val="auto"/>
          <w:sz w:val="36"/>
          <w:szCs w:val="36"/>
          <w:highlight w:val="none"/>
        </w:rPr>
        <w:t>第一章 招标公告</w:t>
      </w:r>
      <w:bookmarkEnd w:id="10"/>
      <w:bookmarkEnd w:id="11"/>
      <w:bookmarkEnd w:id="12"/>
      <w:bookmarkEnd w:id="13"/>
      <w:bookmarkEnd w:id="14"/>
      <w:bookmarkEnd w:id="15"/>
    </w:p>
    <w:tbl>
      <w:tblPr>
        <w:tblStyle w:val="35"/>
        <w:tblpPr w:leftFromText="180" w:rightFromText="180" w:vertAnchor="text" w:tblpXSpec="center" w:tblpY="29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9"/>
      </w:tblGrid>
      <w:tr w14:paraId="3C5A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9189" w:type="dxa"/>
            <w:noWrap w:val="0"/>
            <w:vAlign w:val="top"/>
          </w:tcPr>
          <w:p w14:paraId="224449C2">
            <w:pPr>
              <w:shd w:val="clear"/>
              <w:spacing w:line="400" w:lineRule="exact"/>
              <w:ind w:firstLine="422" w:firstLineChars="200"/>
              <w:rPr>
                <w:rFonts w:hint="eastAsia" w:ascii="宋体" w:hAnsi="宋体" w:cs="宋体"/>
                <w:color w:val="auto"/>
                <w:szCs w:val="21"/>
                <w:highlight w:val="none"/>
              </w:rPr>
            </w:pPr>
            <w:bookmarkStart w:id="16" w:name="OLE_LINK3"/>
            <w:bookmarkStart w:id="17" w:name="_Toc317341935"/>
            <w:bookmarkStart w:id="18" w:name="_Toc222632752"/>
            <w:r>
              <w:rPr>
                <w:rFonts w:hint="eastAsia" w:ascii="宋体" w:hAnsi="宋体" w:cs="宋体"/>
                <w:b/>
                <w:bCs/>
                <w:color w:val="auto"/>
                <w:szCs w:val="21"/>
                <w:highlight w:val="none"/>
              </w:rPr>
              <w:t>项目概况</w:t>
            </w:r>
          </w:p>
          <w:p w14:paraId="7B728F53">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2025年安吉县农药包装废弃物回收和集中处置服务采购项目</w:t>
            </w:r>
            <w:r>
              <w:rPr>
                <w:rFonts w:hint="eastAsia" w:ascii="宋体" w:hAnsi="宋体" w:cs="宋体"/>
                <w:color w:val="auto"/>
                <w:szCs w:val="21"/>
                <w:highlight w:val="none"/>
              </w:rPr>
              <w:t xml:space="preserve">的潜在投标人应在政府采购云平台http://www.zcygov.cn（以下简称“政采云平台”）；获取（下载）招标文件，并于 </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14：00</w:t>
            </w:r>
            <w:r>
              <w:rPr>
                <w:rFonts w:hint="eastAsia" w:ascii="宋体" w:hAnsi="宋体" w:cs="宋体"/>
                <w:color w:val="auto"/>
                <w:szCs w:val="21"/>
                <w:highlight w:val="none"/>
              </w:rPr>
              <w:t xml:space="preserve">（北京时间）前递交（上传）投标文件。 </w:t>
            </w:r>
          </w:p>
        </w:tc>
      </w:tr>
    </w:tbl>
    <w:p w14:paraId="093E1E92">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一、项目基本情况  </w:t>
      </w:r>
    </w:p>
    <w:p w14:paraId="65DEDBAE">
      <w:pPr>
        <w:keepNext w:val="0"/>
        <w:keepLines w:val="0"/>
        <w:pageBreakBefore w:val="0"/>
        <w:widowControl w:val="0"/>
        <w:shd w:val="clea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HZSY20250215</w:t>
      </w:r>
    </w:p>
    <w:p w14:paraId="58F8F34C">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2025年安吉县农药包装废弃物回收和集中处置服务采购项目</w:t>
      </w:r>
    </w:p>
    <w:p w14:paraId="37F6F1E3">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4500000</w:t>
      </w:r>
    </w:p>
    <w:p w14:paraId="0842AE25">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4500000</w:t>
      </w:r>
    </w:p>
    <w:p w14:paraId="2C3BD62A">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采购需求：</w:t>
      </w:r>
    </w:p>
    <w:p w14:paraId="4C4A4D7A">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szCs w:val="21"/>
          <w:highlight w:val="none"/>
        </w:rPr>
      </w:pPr>
      <w:r>
        <w:rPr>
          <w:rFonts w:hint="eastAsia" w:ascii="宋体" w:hAnsi="宋体" w:cs="宋体"/>
          <w:szCs w:val="21"/>
          <w:highlight w:val="none"/>
        </w:rPr>
        <w:t>标项一</w:t>
      </w:r>
    </w:p>
    <w:p w14:paraId="0922A232">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szCs w:val="21"/>
          <w:highlight w:val="none"/>
        </w:rPr>
        <w:t>标项名称:</w:t>
      </w:r>
      <w:r>
        <w:rPr>
          <w:rFonts w:hint="eastAsia" w:ascii="宋体" w:hAnsi="宋体" w:cs="宋体"/>
          <w:color w:val="auto"/>
          <w:szCs w:val="21"/>
          <w:highlight w:val="none"/>
          <w:lang w:eastAsia="zh-CN"/>
        </w:rPr>
        <w:t>2025年安吉县农药包装废弃物回收和集中处置服务采购项目</w:t>
      </w:r>
    </w:p>
    <w:p w14:paraId="48EC5512">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1项</w:t>
      </w:r>
      <w:r>
        <w:rPr>
          <w:rFonts w:hint="eastAsia" w:ascii="宋体" w:hAnsi="宋体" w:cs="宋体"/>
          <w:color w:val="auto"/>
          <w:szCs w:val="21"/>
          <w:highlight w:val="none"/>
        </w:rPr>
        <w:t xml:space="preserve"> </w:t>
      </w:r>
    </w:p>
    <w:p w14:paraId="60A2A7DC">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4500000</w:t>
      </w:r>
    </w:p>
    <w:p w14:paraId="68BC7415">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安吉县农药包装废弃物回收和集中处置服务</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详见招标文件。</w:t>
      </w:r>
    </w:p>
    <w:p w14:paraId="665EF7C7">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备注：投标报价不得超预算，否则投标无效。</w:t>
      </w:r>
    </w:p>
    <w:p w14:paraId="4AB14406">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合同履约期限：标项1，</w:t>
      </w:r>
      <w:r>
        <w:rPr>
          <w:rFonts w:hint="eastAsia" w:ascii="宋体" w:hAnsi="宋体" w:cs="宋体"/>
          <w:color w:val="auto"/>
          <w:szCs w:val="21"/>
          <w:highlight w:val="none"/>
          <w:lang w:eastAsia="zh-CN"/>
        </w:rPr>
        <w:t>本项目服务期三年，合同一年一签，第一年服务期满后，若中标单位的服务质量达到招标人要求的，可续签下一年度合同，最多续签二次</w:t>
      </w:r>
      <w:r>
        <w:rPr>
          <w:rFonts w:hint="eastAsia" w:ascii="宋体" w:hAnsi="宋体" w:eastAsia="宋体" w:cs="宋体"/>
          <w:kern w:val="0"/>
          <w:szCs w:val="21"/>
          <w:highlight w:val="none"/>
          <w:lang w:val="en-US" w:eastAsia="zh-CN"/>
        </w:rPr>
        <w:t>。</w:t>
      </w:r>
    </w:p>
    <w:p w14:paraId="0A360E0A">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本项目（否）接受联合体投标。</w:t>
      </w:r>
    </w:p>
    <w:p w14:paraId="767CBB90">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二、申请人的资格要求</w:t>
      </w:r>
    </w:p>
    <w:p w14:paraId="798280D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14:paraId="1D9D37B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ascii="宋体" w:hAnsi="宋体" w:cs="宋体"/>
          <w:color w:val="auto"/>
          <w:szCs w:val="21"/>
          <w:highlight w:val="none"/>
        </w:rPr>
        <w:t>2.落实政府采购政策需满足的资格要求：</w:t>
      </w:r>
      <w:r>
        <w:rPr>
          <w:rFonts w:hint="eastAsia" w:ascii="宋体" w:hAnsi="宋体" w:eastAsia="宋体" w:cs="宋体"/>
          <w:b/>
          <w:bCs/>
          <w:sz w:val="21"/>
          <w:szCs w:val="21"/>
          <w:highlight w:val="none"/>
        </w:rPr>
        <w:t>本项目为专门面向中小企业采购，提供服务的供应商非中小企业的，资格审查不通过；符合上述条件的中小微型企业应按照磋商文件附件的格式要求在资格文件中提供《中小企业声明函》</w:t>
      </w:r>
      <w:r>
        <w:rPr>
          <w:rFonts w:hint="eastAsia" w:ascii="宋体" w:hAnsi="宋体" w:cs="宋体"/>
          <w:color w:val="auto"/>
          <w:szCs w:val="21"/>
          <w:highlight w:val="none"/>
        </w:rPr>
        <w:t>；</w:t>
      </w:r>
    </w:p>
    <w:p w14:paraId="4309EE86">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kern w:val="0"/>
          <w:szCs w:val="21"/>
          <w:highlight w:val="none"/>
          <w:lang w:bidi="ar"/>
        </w:rPr>
      </w:pPr>
      <w:r>
        <w:rPr>
          <w:rFonts w:hint="eastAsia" w:ascii="宋体" w:hAnsi="宋体" w:cs="宋体"/>
          <w:color w:val="auto"/>
          <w:szCs w:val="21"/>
          <w:highlight w:val="none"/>
        </w:rPr>
        <w:t>3.本项目的特定资格要求：</w:t>
      </w:r>
      <w:r>
        <w:rPr>
          <w:rFonts w:hint="eastAsia" w:ascii="宋体" w:hAnsi="宋体" w:cs="宋体"/>
          <w:color w:val="auto"/>
          <w:kern w:val="2"/>
          <w:sz w:val="21"/>
          <w:szCs w:val="21"/>
          <w:highlight w:val="none"/>
          <w:u w:val="none" w:color="000000"/>
          <w:lang w:val="en-US" w:eastAsia="zh-CN" w:bidi="ar-SA"/>
        </w:rPr>
        <w:t>无</w:t>
      </w:r>
      <w:r>
        <w:rPr>
          <w:rFonts w:hint="eastAsia" w:ascii="宋体" w:hAnsi="宋体" w:cs="宋体"/>
          <w:color w:val="auto"/>
          <w:kern w:val="0"/>
          <w:szCs w:val="21"/>
          <w:highlight w:val="none"/>
          <w:lang w:bidi="ar"/>
        </w:rPr>
        <w:t>。</w:t>
      </w:r>
    </w:p>
    <w:p w14:paraId="0451E4BC">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三、获取招标文件 </w:t>
      </w:r>
    </w:p>
    <w:p w14:paraId="7C09D976">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时间：/至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color w:val="auto"/>
          <w:szCs w:val="21"/>
          <w:highlight w:val="none"/>
        </w:rPr>
        <w:t xml:space="preserve"> ，每天上午00:00至12:00 ，下午12:00至23:59（北京时间，线上获取法定节假日均可，线下获取文件法定节假日除外）</w:t>
      </w:r>
    </w:p>
    <w:p w14:paraId="0A5C2818">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地点（网址）：政府采购云平台http://www.zcygov.cn（以下简称“政采云平台”）； </w:t>
      </w:r>
    </w:p>
    <w:p w14:paraId="7F6614A0">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方式：供应商登录政采云平台https://www.zcygov.cn/在线申请获取采购文件（进入“项目采购”应用，在获取采购文件菜单中选择项目，申请获取采购文件）</w:t>
      </w:r>
    </w:p>
    <w:p w14:paraId="534425AE">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售价（元）：0 </w:t>
      </w:r>
    </w:p>
    <w:p w14:paraId="127D42B3">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四、提交投标文件截止时间、开标时间和地点</w:t>
      </w:r>
    </w:p>
    <w:p w14:paraId="4E50F219">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b/>
          <w:bCs/>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14：00</w:t>
      </w:r>
      <w:r>
        <w:rPr>
          <w:rFonts w:hint="eastAsia" w:ascii="宋体" w:hAnsi="宋体" w:cs="宋体"/>
          <w:color w:val="auto"/>
          <w:szCs w:val="21"/>
          <w:highlight w:val="none"/>
        </w:rPr>
        <w:t>（北京时间）</w:t>
      </w:r>
    </w:p>
    <w:p w14:paraId="49A94CDD">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投标地点（网址）：通过“政府采购云平台（www.zcygov.cn）”实行在线投标及开标。 </w:t>
      </w:r>
    </w:p>
    <w:p w14:paraId="58FC86A5">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14：00</w:t>
      </w:r>
    </w:p>
    <w:p w14:paraId="41901505">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开标地点（网址）：通过“政府采购云平台（www.zcygov.cn）”实行在线投标及开标。</w:t>
      </w:r>
    </w:p>
    <w:p w14:paraId="0AF2C7C4">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五、公告期限 </w:t>
      </w:r>
    </w:p>
    <w:p w14:paraId="469A3F61">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008BCD3E">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六、其他补充事宜</w:t>
      </w:r>
    </w:p>
    <w:p w14:paraId="0DC3861F">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1.《浙江省财政厅关于进一步加大政府采购支持中小企业力度助力扎实稳住经济的通知》 （浙财采监（2022）8号）、《浙江省财政厅关于进一步促进政府采购公平竞争打造最优营商环境的通知》（浙财采监（2021）22号）已分别于2022年1月29日和2022年2月1日开始实施，此前有关规定与上述文件内容不一致的，按上述文件要求执行。</w:t>
      </w:r>
    </w:p>
    <w:p w14:paraId="28339CC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CD1A79">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90429B">
      <w:pPr>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 http://zfcg.czt.zj.gov.cn 安吉县公共资源交易网 http：//www.ajztb.com 4）采购代理费用 由中标人支付。5）本采购项目中标单位与采购单位签订的政府采购合同适用于浙江省政府采购贷款政策，简称“政采贷”，具体内容可参阅《安吉财政“政采贷”办理指引》。网址：</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"http://www.anji.gov.cn/hzgov/front/s553/zwgk/gggs/20231228/i3691136.html"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http://www.anji.gov.cn/hzgov/front/s553/zwgk/gggs/20231228/i3691136.html</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rPr>
        <w:t>。</w:t>
      </w:r>
    </w:p>
    <w:p w14:paraId="305805CC">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七、对本次采购提出询问、质疑、投诉，请按以下方式联系</w:t>
      </w:r>
    </w:p>
    <w:p w14:paraId="716AFA8F">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334B05F3">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安吉县农业农村局</w:t>
      </w:r>
    </w:p>
    <w:p w14:paraId="7C694176">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安吉县昌硕街道天荒坪南路267号</w:t>
      </w:r>
      <w:r>
        <w:rPr>
          <w:rFonts w:hint="eastAsia" w:ascii="宋体" w:hAnsi="宋体" w:cs="宋体"/>
          <w:color w:val="auto"/>
          <w:szCs w:val="21"/>
          <w:highlight w:val="none"/>
          <w:lang w:val="en-US" w:eastAsia="zh-CN"/>
        </w:rPr>
        <w:t xml:space="preserve">  </w:t>
      </w:r>
    </w:p>
    <w:p w14:paraId="23E38740">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传    真：/</w:t>
      </w:r>
    </w:p>
    <w:p w14:paraId="574F7922">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项目联系人（询</w:t>
      </w:r>
      <w:r>
        <w:rPr>
          <w:rFonts w:hint="eastAsia" w:ascii="宋体" w:hAnsi="宋体" w:eastAsia="宋体" w:cs="宋体"/>
          <w:color w:val="auto"/>
          <w:szCs w:val="21"/>
          <w:highlight w:val="none"/>
        </w:rPr>
        <w:t>问）：</w:t>
      </w:r>
      <w:r>
        <w:rPr>
          <w:rFonts w:hint="eastAsia" w:ascii="宋体" w:hAnsi="宋体" w:cs="宋体"/>
          <w:color w:val="auto"/>
          <w:szCs w:val="21"/>
          <w:highlight w:val="none"/>
          <w:lang w:eastAsia="zh-CN"/>
        </w:rPr>
        <w:t>游女士</w:t>
      </w:r>
      <w:r>
        <w:rPr>
          <w:rFonts w:hint="eastAsia" w:ascii="宋体" w:hAnsi="宋体" w:eastAsia="宋体" w:cs="宋体"/>
          <w:color w:val="auto"/>
          <w:szCs w:val="21"/>
          <w:highlight w:val="none"/>
          <w:lang w:val="en-US" w:eastAsia="zh-CN"/>
        </w:rPr>
        <w:t xml:space="preserve">   </w:t>
      </w:r>
    </w:p>
    <w:p w14:paraId="00A00FDD">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项目联系方式（询问）：</w:t>
      </w:r>
      <w:r>
        <w:rPr>
          <w:rFonts w:hint="eastAsia" w:ascii="宋体" w:hAnsi="宋体" w:cs="宋体"/>
          <w:color w:val="auto"/>
          <w:szCs w:val="21"/>
          <w:highlight w:val="none"/>
          <w:lang w:eastAsia="zh-CN"/>
        </w:rPr>
        <w:t>17706822559</w:t>
      </w:r>
      <w:r>
        <w:rPr>
          <w:rFonts w:hint="eastAsia" w:ascii="宋体" w:hAnsi="宋体" w:eastAsia="宋体" w:cs="宋体"/>
          <w:color w:val="auto"/>
          <w:szCs w:val="21"/>
          <w:highlight w:val="none"/>
          <w:lang w:val="en-US" w:eastAsia="zh-CN"/>
        </w:rPr>
        <w:t xml:space="preserve"> </w:t>
      </w:r>
    </w:p>
    <w:p w14:paraId="1B800482">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eastAsia="zh-CN"/>
        </w:rPr>
        <w:t>彭先生</w:t>
      </w:r>
      <w:r>
        <w:rPr>
          <w:rFonts w:hint="eastAsia" w:ascii="宋体" w:hAnsi="宋体" w:eastAsia="宋体" w:cs="宋体"/>
          <w:color w:val="auto"/>
          <w:szCs w:val="21"/>
          <w:highlight w:val="none"/>
          <w:lang w:val="en-US" w:eastAsia="zh-CN"/>
        </w:rPr>
        <w:t xml:space="preserve"> </w:t>
      </w:r>
    </w:p>
    <w:p w14:paraId="63DA972B">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质疑联系方式：13989478822</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564C6A6F">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57740553">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湖州盛远招标代理有限公司</w:t>
      </w:r>
    </w:p>
    <w:p w14:paraId="6ECC506C">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安吉县昌硕街道上郎新村6-9幢上郎社区文化服务楼3楼</w:t>
      </w:r>
    </w:p>
    <w:p w14:paraId="45FAC253">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传    真：</w:t>
      </w:r>
      <w:r>
        <w:rPr>
          <w:rFonts w:hint="eastAsia" w:ascii="宋体" w:hAnsi="宋体" w:cs="宋体"/>
          <w:color w:val="auto"/>
          <w:szCs w:val="21"/>
          <w:highlight w:val="none"/>
          <w:lang w:val="en-US" w:eastAsia="zh-CN"/>
        </w:rPr>
        <w:t>/</w:t>
      </w:r>
    </w:p>
    <w:p w14:paraId="4481AF66">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陈俐玮</w:t>
      </w:r>
    </w:p>
    <w:p w14:paraId="61E9D2B2">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eastAsia="zh-CN"/>
        </w:rPr>
        <w:t>13385728189</w:t>
      </w:r>
    </w:p>
    <w:p w14:paraId="365131D2">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沈珂</w:t>
      </w:r>
    </w:p>
    <w:p w14:paraId="2665F020">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 xml:space="preserve"> 19884266829</w:t>
      </w:r>
    </w:p>
    <w:p w14:paraId="13EC0E4A">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3.同级政府采购监督管理部门</w:t>
      </w:r>
    </w:p>
    <w:p w14:paraId="3EC6A9BF">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名    称：安吉县财政局</w:t>
      </w:r>
    </w:p>
    <w:p w14:paraId="5C4DD547">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址：安吉县昌硕街道凤凰路凤凰五区188号</w:t>
      </w:r>
    </w:p>
    <w:p w14:paraId="233FA82D">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传    真：/ </w:t>
      </w:r>
    </w:p>
    <w:p w14:paraId="5F9DDF52">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 ：</w:t>
      </w:r>
      <w:r>
        <w:rPr>
          <w:rFonts w:hint="eastAsia" w:ascii="宋体" w:hAnsi="宋体" w:cs="宋体"/>
          <w:color w:val="auto"/>
          <w:szCs w:val="21"/>
          <w:highlight w:val="none"/>
          <w:lang w:val="en-US" w:eastAsia="zh-CN"/>
        </w:rPr>
        <w:t>采监科王庭</w:t>
      </w:r>
    </w:p>
    <w:p w14:paraId="1611A2C4">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监督投诉电话：0572-5807951</w:t>
      </w:r>
    </w:p>
    <w:bookmarkEnd w:id="16"/>
    <w:p w14:paraId="4C3323CB">
      <w:pPr>
        <w:shd w:val="clear"/>
        <w:spacing w:line="340" w:lineRule="exact"/>
        <w:jc w:val="both"/>
        <w:rPr>
          <w:rFonts w:hint="eastAsia" w:ascii="宋体" w:hAnsi="宋体" w:cs="宋体"/>
          <w:color w:val="auto"/>
          <w:szCs w:val="21"/>
          <w:highlight w:val="none"/>
        </w:rPr>
      </w:pPr>
    </w:p>
    <w:p w14:paraId="584F9C1A">
      <w:pPr>
        <w:pStyle w:val="4"/>
        <w:shd w:val="clear"/>
        <w:spacing w:before="0" w:after="0" w:line="240" w:lineRule="auto"/>
        <w:jc w:val="center"/>
        <w:rPr>
          <w:rFonts w:hint="eastAsia" w:ascii="宋体" w:hAnsi="宋体" w:cs="宋体"/>
          <w:snapToGrid w:val="0"/>
          <w:color w:val="auto"/>
          <w:sz w:val="36"/>
          <w:szCs w:val="36"/>
          <w:highlight w:val="none"/>
        </w:rPr>
      </w:pPr>
      <w:bookmarkStart w:id="19" w:name="_Toc4523"/>
      <w:bookmarkStart w:id="20" w:name="_Toc22570"/>
      <w:bookmarkStart w:id="21" w:name="_Toc31379"/>
      <w:r>
        <w:rPr>
          <w:color w:val="auto"/>
          <w:highlight w:val="none"/>
        </w:rPr>
        <w:br w:type="page"/>
      </w:r>
      <w:bookmarkStart w:id="22" w:name="_Toc24817"/>
      <w:bookmarkStart w:id="23" w:name="_Toc3433"/>
      <w:r>
        <w:rPr>
          <w:rFonts w:hint="eastAsia" w:ascii="宋体" w:hAnsi="宋体" w:cs="宋体"/>
          <w:snapToGrid w:val="0"/>
          <w:color w:val="auto"/>
          <w:sz w:val="36"/>
          <w:szCs w:val="36"/>
          <w:highlight w:val="none"/>
        </w:rPr>
        <w:t xml:space="preserve">第二章  </w:t>
      </w:r>
      <w:bookmarkEnd w:id="17"/>
      <w:bookmarkEnd w:id="19"/>
      <w:r>
        <w:rPr>
          <w:rFonts w:hint="eastAsia" w:ascii="宋体" w:hAnsi="宋体" w:cs="宋体"/>
          <w:snapToGrid w:val="0"/>
          <w:color w:val="auto"/>
          <w:sz w:val="36"/>
          <w:szCs w:val="36"/>
          <w:highlight w:val="none"/>
        </w:rPr>
        <w:t>招标需求</w:t>
      </w:r>
      <w:bookmarkEnd w:id="20"/>
      <w:bookmarkEnd w:id="21"/>
      <w:bookmarkEnd w:id="22"/>
      <w:bookmarkEnd w:id="23"/>
      <w:bookmarkStart w:id="24" w:name="_Toc435954913"/>
      <w:bookmarkStart w:id="25" w:name="_Toc317341936"/>
    </w:p>
    <w:bookmarkEnd w:id="24"/>
    <w:p w14:paraId="57647FAB">
      <w:pPr>
        <w:pStyle w:val="5"/>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bCs w:val="0"/>
          <w:color w:val="auto"/>
          <w:sz w:val="24"/>
          <w:szCs w:val="24"/>
          <w:highlight w:val="none"/>
        </w:rPr>
      </w:pPr>
      <w:bookmarkStart w:id="26" w:name="_Toc32753"/>
      <w:bookmarkStart w:id="27" w:name="_Toc18981"/>
      <w:bookmarkStart w:id="28" w:name="_Toc10242"/>
      <w:bookmarkStart w:id="29" w:name="_Toc406664504"/>
      <w:r>
        <w:rPr>
          <w:rFonts w:hint="eastAsia" w:ascii="宋体" w:hAnsi="宋体" w:eastAsia="宋体" w:cs="宋体"/>
          <w:bCs w:val="0"/>
          <w:color w:val="auto"/>
          <w:sz w:val="24"/>
          <w:szCs w:val="24"/>
          <w:highlight w:val="none"/>
        </w:rPr>
        <w:t>一、项目概况</w:t>
      </w:r>
      <w:bookmarkEnd w:id="26"/>
      <w:bookmarkEnd w:id="27"/>
      <w:bookmarkEnd w:id="28"/>
      <w:bookmarkEnd w:id="29"/>
    </w:p>
    <w:p w14:paraId="1269ADAA">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HZSY20250215</w:t>
      </w:r>
    </w:p>
    <w:p w14:paraId="7394390D">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bookmarkStart w:id="30" w:name="_Toc293915932"/>
      <w:bookmarkStart w:id="31" w:name="_Toc293916283"/>
      <w:bookmarkStart w:id="32" w:name="_Toc293916801"/>
      <w:bookmarkStart w:id="33" w:name="_Toc293916181"/>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2025年安吉县农药包装废弃物回收和集中处置服务采购项目</w:t>
      </w:r>
    </w:p>
    <w:p w14:paraId="23766E9D">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8"/>
          <w:highlight w:val="none"/>
          <w:lang w:eastAsia="zh-CN"/>
        </w:rPr>
      </w:pPr>
      <w:r>
        <w:rPr>
          <w:rFonts w:hint="eastAsia" w:ascii="宋体" w:hAnsi="宋体" w:cs="宋体"/>
          <w:color w:val="auto"/>
          <w:szCs w:val="21"/>
          <w:highlight w:val="none"/>
        </w:rPr>
        <w:t>3、采购单位名称：</w:t>
      </w:r>
      <w:bookmarkEnd w:id="30"/>
      <w:bookmarkEnd w:id="31"/>
      <w:bookmarkEnd w:id="32"/>
      <w:bookmarkEnd w:id="33"/>
      <w:r>
        <w:rPr>
          <w:rFonts w:hint="eastAsia" w:ascii="宋体" w:hAnsi="宋体" w:cs="宋体"/>
          <w:color w:val="auto"/>
          <w:szCs w:val="28"/>
          <w:highlight w:val="none"/>
          <w:lang w:eastAsia="zh-CN"/>
        </w:rPr>
        <w:t>安吉县农业农村局</w:t>
      </w:r>
    </w:p>
    <w:p w14:paraId="33E394B9">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lang w:val="en-US" w:eastAsia="zh-CN"/>
        </w:rPr>
        <w:t>4、</w:t>
      </w:r>
      <w:r>
        <w:rPr>
          <w:rFonts w:hint="eastAsia" w:ascii="宋体" w:hAnsi="宋体" w:eastAsia="宋体" w:cs="宋体"/>
          <w:b w:val="0"/>
          <w:color w:val="auto"/>
          <w:szCs w:val="21"/>
          <w:highlight w:val="none"/>
        </w:rPr>
        <w:t>采购项目一览表</w:t>
      </w:r>
    </w:p>
    <w:tbl>
      <w:tblPr>
        <w:tblStyle w:val="3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344"/>
        <w:gridCol w:w="956"/>
        <w:gridCol w:w="3631"/>
        <w:gridCol w:w="1381"/>
      </w:tblGrid>
      <w:tr w14:paraId="2542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48" w:type="dxa"/>
            <w:noWrap w:val="0"/>
            <w:vAlign w:val="center"/>
          </w:tcPr>
          <w:p w14:paraId="1B128A3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pacing w:val="0"/>
                <w:kern w:val="0"/>
                <w:sz w:val="21"/>
                <w:szCs w:val="21"/>
                <w:highlight w:val="none"/>
              </w:rPr>
            </w:pPr>
            <w:bookmarkStart w:id="34" w:name="_Toc9984"/>
            <w:bookmarkStart w:id="35" w:name="_Toc29848"/>
            <w:bookmarkStart w:id="36" w:name="_Toc25128"/>
            <w:bookmarkStart w:id="37" w:name="_Toc32212"/>
            <w:r>
              <w:rPr>
                <w:rFonts w:hint="eastAsia" w:ascii="宋体" w:hAnsi="宋体" w:eastAsia="宋体" w:cs="宋体"/>
                <w:b/>
                <w:bCs/>
                <w:color w:val="auto"/>
                <w:spacing w:val="0"/>
                <w:kern w:val="0"/>
                <w:sz w:val="21"/>
                <w:szCs w:val="21"/>
                <w:highlight w:val="none"/>
              </w:rPr>
              <w:t>序号</w:t>
            </w:r>
          </w:p>
        </w:tc>
        <w:tc>
          <w:tcPr>
            <w:tcW w:w="2344" w:type="dxa"/>
            <w:noWrap w:val="0"/>
            <w:vAlign w:val="center"/>
          </w:tcPr>
          <w:p w14:paraId="7D9112D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pacing w:val="0"/>
                <w:kern w:val="0"/>
                <w:sz w:val="21"/>
                <w:szCs w:val="21"/>
                <w:highlight w:val="none"/>
              </w:rPr>
            </w:pPr>
            <w:r>
              <w:rPr>
                <w:rFonts w:hint="eastAsia" w:ascii="宋体" w:hAnsi="宋体" w:eastAsia="宋体" w:cs="宋体"/>
                <w:b/>
                <w:bCs/>
                <w:color w:val="auto"/>
                <w:spacing w:val="0"/>
                <w:kern w:val="0"/>
                <w:sz w:val="21"/>
                <w:szCs w:val="21"/>
                <w:highlight w:val="none"/>
              </w:rPr>
              <w:t>项目内容</w:t>
            </w:r>
          </w:p>
        </w:tc>
        <w:tc>
          <w:tcPr>
            <w:tcW w:w="956" w:type="dxa"/>
            <w:noWrap w:val="0"/>
            <w:vAlign w:val="center"/>
          </w:tcPr>
          <w:p w14:paraId="1791ED6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pacing w:val="0"/>
                <w:kern w:val="0"/>
                <w:sz w:val="21"/>
                <w:szCs w:val="21"/>
                <w:highlight w:val="none"/>
                <w:lang w:eastAsia="zh-CN"/>
              </w:rPr>
            </w:pPr>
            <w:r>
              <w:rPr>
                <w:rFonts w:hint="eastAsia" w:ascii="宋体" w:hAnsi="宋体" w:eastAsia="宋体" w:cs="宋体"/>
                <w:b/>
                <w:bCs/>
                <w:color w:val="auto"/>
                <w:spacing w:val="0"/>
                <w:kern w:val="0"/>
                <w:sz w:val="21"/>
                <w:szCs w:val="21"/>
                <w:highlight w:val="none"/>
                <w:lang w:eastAsia="zh-CN"/>
              </w:rPr>
              <w:t>数量</w:t>
            </w:r>
          </w:p>
        </w:tc>
        <w:tc>
          <w:tcPr>
            <w:tcW w:w="3631" w:type="dxa"/>
            <w:noWrap w:val="0"/>
            <w:vAlign w:val="center"/>
          </w:tcPr>
          <w:p w14:paraId="2371E95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pacing w:val="0"/>
                <w:kern w:val="0"/>
                <w:sz w:val="21"/>
                <w:szCs w:val="21"/>
                <w:highlight w:val="none"/>
                <w:lang w:val="en-US" w:eastAsia="zh-CN"/>
              </w:rPr>
            </w:pPr>
            <w:r>
              <w:rPr>
                <w:rFonts w:hint="eastAsia" w:ascii="宋体" w:hAnsi="宋体" w:eastAsia="宋体" w:cs="宋体"/>
                <w:b/>
                <w:bCs/>
                <w:color w:val="auto"/>
                <w:spacing w:val="0"/>
                <w:kern w:val="0"/>
                <w:sz w:val="21"/>
                <w:szCs w:val="21"/>
                <w:highlight w:val="none"/>
              </w:rPr>
              <w:t>服务内容及要求</w:t>
            </w:r>
          </w:p>
        </w:tc>
        <w:tc>
          <w:tcPr>
            <w:tcW w:w="1381" w:type="dxa"/>
            <w:noWrap w:val="0"/>
            <w:vAlign w:val="center"/>
          </w:tcPr>
          <w:p w14:paraId="4DA9317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pacing w:val="0"/>
                <w:kern w:val="0"/>
                <w:sz w:val="21"/>
                <w:szCs w:val="21"/>
                <w:highlight w:val="none"/>
                <w:lang w:eastAsia="zh-CN"/>
              </w:rPr>
            </w:pPr>
            <w:r>
              <w:rPr>
                <w:rFonts w:hint="eastAsia" w:ascii="宋体" w:hAnsi="宋体" w:eastAsia="宋体" w:cs="宋体"/>
                <w:b/>
                <w:bCs/>
                <w:color w:val="auto"/>
                <w:kern w:val="0"/>
                <w:sz w:val="21"/>
                <w:szCs w:val="21"/>
                <w:highlight w:val="none"/>
                <w:lang w:eastAsia="zh-CN"/>
              </w:rPr>
              <w:t>预算</w:t>
            </w:r>
          </w:p>
        </w:tc>
      </w:tr>
      <w:tr w14:paraId="2F08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48" w:type="dxa"/>
            <w:noWrap w:val="0"/>
            <w:vAlign w:val="center"/>
          </w:tcPr>
          <w:p w14:paraId="448255C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1</w:t>
            </w:r>
          </w:p>
        </w:tc>
        <w:tc>
          <w:tcPr>
            <w:tcW w:w="2344" w:type="dxa"/>
            <w:noWrap w:val="0"/>
            <w:vAlign w:val="center"/>
          </w:tcPr>
          <w:p w14:paraId="114AAF4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pacing w:val="0"/>
                <w:kern w:val="0"/>
                <w:sz w:val="21"/>
                <w:szCs w:val="21"/>
                <w:highlight w:val="none"/>
                <w:lang w:val="en-US" w:eastAsia="zh-CN"/>
              </w:rPr>
            </w:pPr>
            <w:r>
              <w:rPr>
                <w:rFonts w:hint="eastAsia" w:ascii="宋体" w:hAnsi="宋体" w:cs="宋体"/>
                <w:color w:val="auto"/>
                <w:szCs w:val="21"/>
                <w:highlight w:val="none"/>
                <w:lang w:eastAsia="zh-CN"/>
              </w:rPr>
              <w:t>2025年安吉县农药包装废弃物回收和集中处置服务采购项目</w:t>
            </w:r>
          </w:p>
        </w:tc>
        <w:tc>
          <w:tcPr>
            <w:tcW w:w="956" w:type="dxa"/>
            <w:noWrap w:val="0"/>
            <w:vAlign w:val="center"/>
          </w:tcPr>
          <w:p w14:paraId="46D82C4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pacing w:val="0"/>
                <w:kern w:val="0"/>
                <w:sz w:val="21"/>
                <w:szCs w:val="21"/>
                <w:highlight w:val="none"/>
                <w:lang w:val="en-US" w:eastAsia="zh-CN"/>
              </w:rPr>
            </w:pPr>
            <w:r>
              <w:rPr>
                <w:rFonts w:hint="eastAsia" w:ascii="宋体" w:hAnsi="宋体" w:cs="宋体"/>
                <w:color w:val="auto"/>
                <w:spacing w:val="0"/>
                <w:kern w:val="0"/>
                <w:sz w:val="21"/>
                <w:szCs w:val="21"/>
                <w:highlight w:val="none"/>
                <w:lang w:val="en-US" w:eastAsia="zh-CN"/>
              </w:rPr>
              <w:t>1项</w:t>
            </w:r>
          </w:p>
        </w:tc>
        <w:tc>
          <w:tcPr>
            <w:tcW w:w="3631" w:type="dxa"/>
            <w:noWrap w:val="0"/>
            <w:vAlign w:val="center"/>
          </w:tcPr>
          <w:p w14:paraId="001E368B">
            <w:pPr>
              <w:keepNext w:val="0"/>
              <w:keepLines w:val="0"/>
              <w:pageBreakBefore w:val="0"/>
              <w:widowControl w:val="0"/>
              <w:tabs>
                <w:tab w:val="left" w:pos="0"/>
              </w:tabs>
              <w:kinsoku/>
              <w:wordWrap/>
              <w:overflowPunct/>
              <w:topLinePunct w:val="0"/>
              <w:autoSpaceDE/>
              <w:autoSpaceDN/>
              <w:bidi w:val="0"/>
              <w:adjustRightInd/>
              <w:spacing w:line="400" w:lineRule="exact"/>
              <w:jc w:val="left"/>
              <w:textAlignment w:val="auto"/>
              <w:rPr>
                <w:rFonts w:hint="eastAsia" w:ascii="宋体" w:hAnsi="宋体" w:eastAsia="宋体" w:cs="宋体"/>
                <w:b w:val="0"/>
                <w:bCs w:val="0"/>
                <w:color w:val="auto"/>
                <w:spacing w:val="0"/>
                <w:kern w:val="0"/>
                <w:sz w:val="21"/>
                <w:szCs w:val="21"/>
                <w:highlight w:val="none"/>
                <w:lang w:val="en-US" w:eastAsia="zh-CN"/>
              </w:rPr>
            </w:pPr>
            <w:r>
              <w:rPr>
                <w:rFonts w:hint="default" w:ascii="宋体" w:hAnsi="宋体" w:cs="宋体"/>
                <w:color w:val="auto"/>
                <w:spacing w:val="0"/>
                <w:kern w:val="0"/>
                <w:sz w:val="21"/>
                <w:szCs w:val="21"/>
                <w:highlight w:val="none"/>
                <w:lang w:eastAsia="zh-CN"/>
              </w:rPr>
              <w:t>负责</w:t>
            </w:r>
            <w:r>
              <w:rPr>
                <w:rFonts w:hint="default" w:ascii="宋体" w:hAnsi="宋体" w:cs="宋体"/>
                <w:color w:val="auto"/>
                <w:spacing w:val="0"/>
                <w:kern w:val="0"/>
                <w:sz w:val="21"/>
                <w:szCs w:val="21"/>
                <w:highlight w:val="none"/>
                <w:lang w:val="en-US" w:eastAsia="zh-CN"/>
              </w:rPr>
              <w:t>全县</w:t>
            </w:r>
            <w:r>
              <w:rPr>
                <w:rFonts w:hint="default" w:ascii="宋体" w:hAnsi="宋体" w:cs="宋体"/>
                <w:color w:val="auto"/>
                <w:spacing w:val="0"/>
                <w:kern w:val="0"/>
                <w:sz w:val="21"/>
                <w:szCs w:val="21"/>
                <w:highlight w:val="none"/>
                <w:lang w:eastAsia="zh-CN"/>
              </w:rPr>
              <w:t>农药包装废弃物的归集、运输、</w:t>
            </w:r>
            <w:r>
              <w:rPr>
                <w:rFonts w:hint="default" w:ascii="宋体" w:hAnsi="宋体" w:cs="宋体"/>
                <w:color w:val="auto"/>
                <w:spacing w:val="0"/>
                <w:kern w:val="0"/>
                <w:sz w:val="21"/>
                <w:szCs w:val="21"/>
                <w:highlight w:val="none"/>
                <w:lang w:val="en-US" w:eastAsia="zh-CN"/>
              </w:rPr>
              <w:t>存放和处置</w:t>
            </w:r>
            <w:r>
              <w:rPr>
                <w:rFonts w:hint="eastAsia" w:ascii="宋体" w:hAnsi="宋体" w:cs="宋体"/>
                <w:color w:val="auto"/>
                <w:spacing w:val="0"/>
                <w:kern w:val="0"/>
                <w:sz w:val="21"/>
                <w:szCs w:val="21"/>
                <w:highlight w:val="none"/>
                <w:lang w:val="en-US" w:eastAsia="zh-CN"/>
              </w:rPr>
              <w:t>及</w:t>
            </w:r>
            <w:r>
              <w:rPr>
                <w:rFonts w:hint="eastAsia" w:ascii="宋体" w:hAnsi="宋体" w:cs="宋体"/>
                <w:color w:val="auto"/>
                <w:spacing w:val="0"/>
                <w:kern w:val="0"/>
                <w:sz w:val="21"/>
                <w:szCs w:val="21"/>
                <w:highlight w:val="none"/>
                <w:lang w:eastAsia="zh-CN"/>
              </w:rPr>
              <w:t>信息上报等服务，具体详见采购文件</w:t>
            </w:r>
          </w:p>
        </w:tc>
        <w:tc>
          <w:tcPr>
            <w:tcW w:w="1381" w:type="dxa"/>
            <w:noWrap w:val="0"/>
            <w:vAlign w:val="center"/>
          </w:tcPr>
          <w:p w14:paraId="13D17DA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pacing w:val="0"/>
                <w:kern w:val="0"/>
                <w:sz w:val="21"/>
                <w:szCs w:val="21"/>
                <w:highlight w:val="none"/>
                <w:lang w:val="en-US" w:eastAsia="zh-CN"/>
              </w:rPr>
            </w:pPr>
            <w:r>
              <w:rPr>
                <w:rFonts w:hint="eastAsia" w:ascii="宋体" w:hAnsi="宋体" w:cs="宋体"/>
                <w:b w:val="0"/>
                <w:bCs w:val="0"/>
                <w:color w:val="auto"/>
                <w:spacing w:val="0"/>
                <w:kern w:val="0"/>
                <w:sz w:val="21"/>
                <w:szCs w:val="21"/>
                <w:highlight w:val="none"/>
                <w:lang w:val="en-US" w:eastAsia="zh-CN"/>
              </w:rPr>
              <w:t>450</w:t>
            </w:r>
            <w:r>
              <w:rPr>
                <w:rFonts w:hint="eastAsia" w:ascii="宋体" w:hAnsi="宋体" w:eastAsia="宋体" w:cs="宋体"/>
                <w:b w:val="0"/>
                <w:bCs w:val="0"/>
                <w:color w:val="auto"/>
                <w:spacing w:val="0"/>
                <w:kern w:val="0"/>
                <w:sz w:val="21"/>
                <w:szCs w:val="21"/>
                <w:highlight w:val="none"/>
                <w:lang w:val="en-US" w:eastAsia="zh-CN"/>
              </w:rPr>
              <w:t>万元</w:t>
            </w:r>
          </w:p>
        </w:tc>
      </w:tr>
      <w:tr w14:paraId="7520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060" w:type="dxa"/>
            <w:gridSpan w:val="5"/>
            <w:noWrap w:val="0"/>
            <w:vAlign w:val="center"/>
          </w:tcPr>
          <w:p w14:paraId="0C387832">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注：</w:t>
            </w:r>
          </w:p>
          <w:p w14:paraId="7944632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auto"/>
                <w:spacing w:val="0"/>
                <w:kern w:val="0"/>
                <w:sz w:val="21"/>
                <w:szCs w:val="21"/>
                <w:highlight w:val="none"/>
                <w:lang w:eastAsia="zh-CN"/>
              </w:rPr>
            </w:pPr>
            <w:r>
              <w:rPr>
                <w:rFonts w:hint="eastAsia" w:ascii="宋体" w:hAnsi="宋体" w:cs="宋体"/>
                <w:b w:val="0"/>
                <w:bCs w:val="0"/>
                <w:color w:val="auto"/>
                <w:spacing w:val="0"/>
                <w:kern w:val="0"/>
                <w:sz w:val="21"/>
                <w:szCs w:val="21"/>
                <w:highlight w:val="none"/>
                <w:lang w:val="en-US" w:eastAsia="zh-CN"/>
              </w:rPr>
              <w:t>1、</w:t>
            </w:r>
            <w:r>
              <w:rPr>
                <w:rFonts w:hint="eastAsia" w:ascii="宋体" w:hAnsi="宋体" w:cs="宋体"/>
                <w:color w:val="auto"/>
                <w:szCs w:val="21"/>
                <w:highlight w:val="none"/>
                <w:lang w:val="en-US" w:eastAsia="zh-CN"/>
              </w:rPr>
              <w:t>投标时</w:t>
            </w:r>
            <w:r>
              <w:rPr>
                <w:rFonts w:hint="default" w:ascii="宋体" w:hAnsi="宋体" w:cs="宋体"/>
                <w:color w:val="auto"/>
                <w:szCs w:val="21"/>
                <w:highlight w:val="none"/>
                <w:lang w:eastAsia="zh-CN"/>
              </w:rPr>
              <w:t>以回收处置每吨的单价进行报价，</w:t>
            </w:r>
            <w:r>
              <w:rPr>
                <w:rFonts w:hint="eastAsia" w:ascii="宋体" w:hAnsi="宋体" w:cs="宋体"/>
                <w:color w:val="auto"/>
                <w:szCs w:val="21"/>
                <w:highlight w:val="none"/>
                <w:lang w:val="en-US" w:eastAsia="zh-CN"/>
              </w:rPr>
              <w:t>单价上限价为20000元/吨。</w:t>
            </w:r>
            <w:r>
              <w:rPr>
                <w:rFonts w:hint="default" w:ascii="宋体" w:hAnsi="宋体" w:cs="宋体"/>
                <w:color w:val="auto"/>
                <w:szCs w:val="21"/>
                <w:highlight w:val="none"/>
                <w:lang w:eastAsia="zh-CN"/>
              </w:rPr>
              <w:t>中标单位每年回收量不少于60吨，做到全年回收处置率100%。每年回收处置费低于150万时，按照实际回收量乘以中标单价根据财务审计报告据实结算，如超过150万则按照150万进行结算</w:t>
            </w:r>
            <w:r>
              <w:rPr>
                <w:rFonts w:hint="eastAsia" w:ascii="宋体" w:hAnsi="宋体" w:cs="宋体"/>
                <w:color w:val="auto"/>
                <w:szCs w:val="21"/>
                <w:highlight w:val="none"/>
                <w:lang w:eastAsia="zh-CN"/>
              </w:rPr>
              <w:t>。</w:t>
            </w:r>
          </w:p>
          <w:p w14:paraId="65F11A1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b w:val="0"/>
                <w:bCs w:val="0"/>
                <w:color w:val="auto"/>
                <w:spacing w:val="0"/>
                <w:kern w:val="0"/>
                <w:sz w:val="21"/>
                <w:szCs w:val="21"/>
                <w:highlight w:val="none"/>
                <w:lang w:val="en-US" w:eastAsia="zh-CN"/>
              </w:rPr>
            </w:pPr>
            <w:r>
              <w:rPr>
                <w:rFonts w:hint="eastAsia" w:ascii="宋体" w:hAnsi="宋体" w:cs="宋体"/>
                <w:b w:val="0"/>
                <w:bCs w:val="0"/>
                <w:color w:val="auto"/>
                <w:spacing w:val="0"/>
                <w:kern w:val="0"/>
                <w:sz w:val="21"/>
                <w:szCs w:val="21"/>
                <w:highlight w:val="none"/>
                <w:lang w:val="en-US" w:eastAsia="zh-CN"/>
              </w:rPr>
              <w:t>2、</w:t>
            </w:r>
            <w:r>
              <w:rPr>
                <w:rFonts w:hint="eastAsia" w:ascii="宋体" w:hAnsi="宋体" w:cs="宋体"/>
                <w:color w:val="auto"/>
                <w:szCs w:val="21"/>
                <w:highlight w:val="none"/>
                <w:lang w:eastAsia="zh-CN"/>
              </w:rPr>
              <w:t>本项目服务期三年，合同一年一签，第一年服务期满后，若中标单位的服务质量达到招标人要求的，可续签下一年度合同，最多续签二次</w:t>
            </w:r>
            <w:r>
              <w:rPr>
                <w:rFonts w:hint="eastAsia" w:ascii="宋体" w:hAnsi="宋体" w:eastAsia="宋体" w:cs="宋体"/>
                <w:kern w:val="0"/>
                <w:szCs w:val="21"/>
                <w:highlight w:val="none"/>
                <w:lang w:val="en-US" w:eastAsia="zh-CN"/>
              </w:rPr>
              <w:t>。</w:t>
            </w:r>
          </w:p>
        </w:tc>
      </w:tr>
    </w:tbl>
    <w:p w14:paraId="6ADB9A93">
      <w:pPr>
        <w:pStyle w:val="5"/>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 xml:space="preserve">二、项目背景 </w:t>
      </w:r>
    </w:p>
    <w:p w14:paraId="1A75288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default" w:ascii="宋体" w:hAnsi="宋体" w:eastAsia="宋体" w:cs="宋体"/>
          <w:b w:val="0"/>
          <w:bCs/>
          <w:kern w:val="2"/>
          <w:sz w:val="21"/>
          <w:szCs w:val="21"/>
          <w:highlight w:val="none"/>
          <w:lang w:val="en-US" w:eastAsia="zh-CN" w:bidi="ar-SA"/>
        </w:rPr>
        <w:t>为推动农业绿色高质量发展，打好农业面源污染防治攻坚战，巩固生态安吉和全域 “无废城市”建设成效，根据《浙江省农业农村厅关于做好2024年农药包装废弃物回收工作的通知》、《浙江省农业农村厅浙江省生态环境厅关于推进农药包装废弃物回收处置体系数字化升级的通知》（浙农字函</w:t>
      </w:r>
      <w:r>
        <w:rPr>
          <w:rFonts w:hint="eastAsia" w:ascii="宋体" w:hAnsi="宋体" w:eastAsia="宋体" w:cs="宋体"/>
          <w:b w:val="0"/>
          <w:bCs/>
          <w:kern w:val="2"/>
          <w:sz w:val="21"/>
          <w:szCs w:val="21"/>
          <w:highlight w:val="none"/>
          <w:lang w:val="en-US" w:eastAsia="zh-CN" w:bidi="ar-SA"/>
        </w:rPr>
        <w:t>〔</w:t>
      </w:r>
      <w:r>
        <w:rPr>
          <w:rFonts w:hint="default" w:ascii="宋体" w:hAnsi="宋体" w:eastAsia="宋体" w:cs="宋体"/>
          <w:b w:val="0"/>
          <w:bCs/>
          <w:kern w:val="2"/>
          <w:sz w:val="21"/>
          <w:szCs w:val="21"/>
          <w:highlight w:val="none"/>
          <w:lang w:val="en-US" w:eastAsia="zh-CN" w:bidi="ar-SA"/>
        </w:rPr>
        <w:t>2022</w:t>
      </w:r>
      <w:r>
        <w:rPr>
          <w:rFonts w:hint="eastAsia" w:ascii="宋体" w:hAnsi="宋体" w:eastAsia="宋体" w:cs="宋体"/>
          <w:b w:val="0"/>
          <w:bCs/>
          <w:kern w:val="2"/>
          <w:sz w:val="21"/>
          <w:szCs w:val="21"/>
          <w:highlight w:val="none"/>
          <w:lang w:val="en-US" w:eastAsia="zh-CN" w:bidi="ar-SA"/>
        </w:rPr>
        <w:t>〕</w:t>
      </w:r>
      <w:r>
        <w:rPr>
          <w:rFonts w:hint="default" w:ascii="宋体" w:hAnsi="宋体" w:eastAsia="宋体" w:cs="宋体"/>
          <w:b w:val="0"/>
          <w:bCs/>
          <w:kern w:val="2"/>
          <w:sz w:val="21"/>
          <w:szCs w:val="21"/>
          <w:highlight w:val="none"/>
          <w:lang w:val="en-US" w:eastAsia="zh-CN" w:bidi="ar-SA"/>
        </w:rPr>
        <w:t>12号）等文件精神</w:t>
      </w:r>
      <w:r>
        <w:rPr>
          <w:rFonts w:hint="eastAsia" w:ascii="宋体" w:hAnsi="宋体" w:eastAsia="宋体" w:cs="宋体"/>
          <w:b w:val="0"/>
          <w:bCs/>
          <w:kern w:val="2"/>
          <w:sz w:val="21"/>
          <w:szCs w:val="21"/>
          <w:highlight w:val="none"/>
          <w:lang w:val="en-US" w:eastAsia="zh-CN" w:bidi="ar-SA"/>
        </w:rPr>
        <w:t>，拟采购一家服务供应商</w:t>
      </w:r>
      <w:r>
        <w:rPr>
          <w:rFonts w:hint="default" w:ascii="宋体" w:hAnsi="宋体" w:eastAsia="宋体" w:cs="宋体"/>
          <w:b w:val="0"/>
          <w:bCs/>
          <w:kern w:val="2"/>
          <w:sz w:val="21"/>
          <w:szCs w:val="21"/>
          <w:highlight w:val="none"/>
          <w:lang w:val="en-US" w:eastAsia="zh-CN" w:bidi="ar-SA"/>
        </w:rPr>
        <w:t>负责全县农药包装废弃物的归集、运输、存放和处置</w:t>
      </w:r>
      <w:r>
        <w:rPr>
          <w:rFonts w:hint="eastAsia" w:ascii="宋体" w:hAnsi="宋体" w:eastAsia="宋体" w:cs="宋体"/>
          <w:b w:val="0"/>
          <w:bCs/>
          <w:kern w:val="2"/>
          <w:sz w:val="21"/>
          <w:szCs w:val="21"/>
          <w:highlight w:val="none"/>
          <w:lang w:val="en-US" w:eastAsia="zh-CN" w:bidi="ar-SA"/>
        </w:rPr>
        <w:t>及信息上报等服务</w:t>
      </w:r>
      <w:r>
        <w:rPr>
          <w:rFonts w:hint="default" w:ascii="宋体" w:hAnsi="宋体" w:eastAsia="宋体" w:cs="宋体"/>
          <w:b w:val="0"/>
          <w:bCs/>
          <w:kern w:val="2"/>
          <w:sz w:val="21"/>
          <w:szCs w:val="21"/>
          <w:highlight w:val="none"/>
          <w:lang w:val="en-US" w:eastAsia="zh-CN" w:bidi="ar-SA"/>
        </w:rPr>
        <w:t>。</w:t>
      </w:r>
    </w:p>
    <w:p w14:paraId="0C7AE29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color w:val="auto"/>
          <w:sz w:val="24"/>
          <w:szCs w:val="24"/>
          <w:lang w:val="en-US" w:eastAsia="zh-CN"/>
        </w:rPr>
      </w:pPr>
      <w:bookmarkStart w:id="38" w:name="_Toc7444"/>
      <w:bookmarkStart w:id="39" w:name="_Toc24571"/>
      <w:r>
        <w:rPr>
          <w:rFonts w:hint="eastAsia" w:ascii="宋体" w:hAnsi="宋体" w:cs="宋体"/>
          <w:b/>
          <w:bCs/>
          <w:color w:val="auto"/>
          <w:sz w:val="24"/>
          <w:szCs w:val="24"/>
          <w:lang w:val="en-US" w:eastAsia="zh-CN"/>
        </w:rPr>
        <w:t>三、人员</w:t>
      </w:r>
      <w:r>
        <w:rPr>
          <w:rFonts w:hint="eastAsia" w:ascii="宋体" w:hAnsi="宋体" w:eastAsia="宋体" w:cs="宋体"/>
          <w:b/>
          <w:bCs/>
          <w:color w:val="auto"/>
          <w:sz w:val="24"/>
          <w:szCs w:val="24"/>
          <w:lang w:val="en-US" w:eastAsia="zh-CN"/>
        </w:rPr>
        <w:t>要求</w:t>
      </w:r>
    </w:p>
    <w:p w14:paraId="2B7653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eastAsia="宋体" w:cs="宋体"/>
          <w:color w:val="auto"/>
          <w:kern w:val="2"/>
          <w:sz w:val="21"/>
          <w:szCs w:val="21"/>
          <w:highlight w:val="none"/>
          <w:lang w:val="en-US" w:eastAsia="zh-CN" w:bidi="ar-SA"/>
        </w:rPr>
      </w:pPr>
      <w:r>
        <w:rPr>
          <w:rFonts w:hint="eastAsia" w:ascii="宋体" w:hAnsi="Times New Roman" w:eastAsia="宋体" w:cs="宋体"/>
          <w:color w:val="auto"/>
          <w:kern w:val="2"/>
          <w:sz w:val="21"/>
          <w:szCs w:val="21"/>
          <w:highlight w:val="none"/>
          <w:lang w:val="en-US" w:eastAsia="zh-CN" w:bidi="ar-SA"/>
        </w:rPr>
        <w:t>1、配备1名项目负责人，能熟练操作电脑和智能手机。从事农药废弃包装物回收与集中处置服务的组织、协调和内部考核工作，并配合采购人、农业农村部门等上级主管单位布置的相关工作。</w:t>
      </w:r>
    </w:p>
    <w:p w14:paraId="2B5990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eastAsia="宋体" w:cs="宋体"/>
          <w:color w:val="auto"/>
          <w:kern w:val="2"/>
          <w:sz w:val="21"/>
          <w:szCs w:val="21"/>
          <w:highlight w:val="none"/>
          <w:lang w:val="en-US" w:eastAsia="zh-CN" w:bidi="ar-SA"/>
        </w:rPr>
      </w:pPr>
      <w:r>
        <w:rPr>
          <w:rFonts w:hint="eastAsia" w:ascii="宋体" w:hAnsi="Times New Roman" w:eastAsia="宋体" w:cs="宋体"/>
          <w:color w:val="auto"/>
          <w:kern w:val="2"/>
          <w:sz w:val="21"/>
          <w:szCs w:val="21"/>
          <w:highlight w:val="none"/>
          <w:lang w:val="en-US" w:eastAsia="zh-CN" w:bidi="ar-SA"/>
        </w:rPr>
        <w:t>2、配备专业的收集、运输、分拣、打包、统计、处置、信息上报的相关服务人员。</w:t>
      </w:r>
    </w:p>
    <w:p w14:paraId="39C5B5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eastAsia="宋体" w:cs="宋体"/>
          <w:color w:val="auto"/>
          <w:kern w:val="2"/>
          <w:sz w:val="21"/>
          <w:szCs w:val="21"/>
          <w:highlight w:val="none"/>
          <w:lang w:val="en-US" w:eastAsia="zh-CN" w:bidi="ar-SA"/>
        </w:rPr>
      </w:pPr>
      <w:r>
        <w:rPr>
          <w:rFonts w:hint="eastAsia" w:ascii="宋体" w:hAnsi="Times New Roman" w:eastAsia="宋体" w:cs="宋体"/>
          <w:color w:val="auto"/>
          <w:kern w:val="2"/>
          <w:sz w:val="21"/>
          <w:szCs w:val="21"/>
          <w:highlight w:val="none"/>
          <w:lang w:val="en-US" w:eastAsia="zh-CN" w:bidi="ar-SA"/>
        </w:rPr>
        <w:t>3、服务人员作业时必须穿戴专业防护服等安全防护装备。</w:t>
      </w:r>
    </w:p>
    <w:p w14:paraId="2AD214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eastAsia="宋体" w:cs="宋体"/>
          <w:color w:val="auto"/>
          <w:kern w:val="2"/>
          <w:sz w:val="21"/>
          <w:szCs w:val="21"/>
          <w:highlight w:val="none"/>
          <w:lang w:val="en-US" w:eastAsia="zh-CN" w:bidi="ar-SA"/>
        </w:rPr>
      </w:pPr>
      <w:r>
        <w:rPr>
          <w:rFonts w:hint="eastAsia" w:ascii="宋体" w:hAnsi="Times New Roman" w:eastAsia="宋体" w:cs="宋体"/>
          <w:color w:val="auto"/>
          <w:kern w:val="2"/>
          <w:sz w:val="21"/>
          <w:szCs w:val="21"/>
          <w:highlight w:val="none"/>
          <w:lang w:val="en-US" w:eastAsia="zh-CN" w:bidi="ar-SA"/>
        </w:rPr>
        <w:t xml:space="preserve">4、与相关服务人员签订劳动合同。其工作时间、工资（含社会保险）及福利、劳动保护等必须符合国家、省、市相关法规规定。 </w:t>
      </w:r>
    </w:p>
    <w:p w14:paraId="04E6198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lang w:val="en-US" w:eastAsia="zh-CN"/>
        </w:rPr>
        <w:t>固定场地和设备要求</w:t>
      </w:r>
    </w:p>
    <w:p w14:paraId="6105A3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eastAsia="宋体" w:cs="宋体"/>
          <w:color w:val="auto"/>
          <w:kern w:val="2"/>
          <w:sz w:val="21"/>
          <w:szCs w:val="21"/>
          <w:highlight w:val="none"/>
          <w:lang w:val="en-US" w:eastAsia="zh-CN" w:bidi="ar-SA"/>
        </w:rPr>
      </w:pPr>
      <w:r>
        <w:rPr>
          <w:rFonts w:hint="eastAsia" w:ascii="宋体" w:hAnsi="Times New Roman" w:eastAsia="宋体" w:cs="宋体"/>
          <w:color w:val="auto"/>
          <w:kern w:val="2"/>
          <w:sz w:val="21"/>
          <w:szCs w:val="21"/>
          <w:highlight w:val="none"/>
          <w:lang w:val="en-US" w:eastAsia="zh-CN" w:bidi="ar-SA"/>
        </w:rPr>
        <w:t>1、固定场地要求：封闭式危废仓库一个。</w:t>
      </w:r>
    </w:p>
    <w:p w14:paraId="3F3220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eastAsia="宋体" w:cs="宋体"/>
          <w:color w:val="auto"/>
          <w:kern w:val="2"/>
          <w:sz w:val="21"/>
          <w:szCs w:val="21"/>
          <w:highlight w:val="none"/>
          <w:lang w:val="en-US" w:eastAsia="zh-CN" w:bidi="ar-SA"/>
        </w:rPr>
      </w:pPr>
      <w:r>
        <w:rPr>
          <w:rFonts w:hint="eastAsia" w:ascii="宋体" w:hAnsi="Times New Roman" w:eastAsia="宋体" w:cs="宋体"/>
          <w:color w:val="auto"/>
          <w:kern w:val="2"/>
          <w:sz w:val="21"/>
          <w:szCs w:val="21"/>
          <w:highlight w:val="none"/>
          <w:lang w:val="en-US" w:eastAsia="zh-CN" w:bidi="ar-SA"/>
        </w:rPr>
        <w:t>2、收集运输专项作业车：车辆性能良好，</w:t>
      </w:r>
      <w:r>
        <w:rPr>
          <w:rFonts w:hint="eastAsia" w:ascii="宋体" w:cs="宋体"/>
          <w:color w:val="auto"/>
          <w:kern w:val="2"/>
          <w:sz w:val="21"/>
          <w:szCs w:val="21"/>
          <w:highlight w:val="none"/>
          <w:lang w:val="en-US" w:eastAsia="zh-CN" w:bidi="ar-SA"/>
        </w:rPr>
        <w:t>具备</w:t>
      </w:r>
      <w:r>
        <w:rPr>
          <w:rFonts w:hint="eastAsia" w:ascii="宋体" w:hAnsi="Times New Roman" w:eastAsia="宋体" w:cs="宋体"/>
          <w:color w:val="auto"/>
          <w:kern w:val="2"/>
          <w:sz w:val="21"/>
          <w:szCs w:val="21"/>
          <w:highlight w:val="none"/>
          <w:lang w:val="en-US" w:eastAsia="zh-CN" w:bidi="ar-SA"/>
        </w:rPr>
        <w:t>防污水滴漏等功能。收集运输车有效装载能力应满足作业需要的、适合服务区域内道路实际。</w:t>
      </w:r>
    </w:p>
    <w:p w14:paraId="2EAB85C9">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textAlignment w:val="auto"/>
        <w:outlineLvl w:val="1"/>
        <w:rPr>
          <w:rFonts w:ascii="宋体"/>
          <w:b/>
          <w:sz w:val="24"/>
          <w:highlight w:val="none"/>
        </w:rPr>
      </w:pPr>
      <w:bookmarkStart w:id="40" w:name="_Toc21615"/>
      <w:r>
        <w:rPr>
          <w:rFonts w:hint="eastAsia" w:ascii="宋体" w:hAnsi="宋体"/>
          <w:b/>
          <w:sz w:val="24"/>
          <w:highlight w:val="none"/>
          <w:lang w:val="en-US" w:eastAsia="zh-CN"/>
        </w:rPr>
        <w:t>五、</w:t>
      </w:r>
      <w:r>
        <w:rPr>
          <w:rFonts w:hint="eastAsia" w:ascii="宋体" w:hAnsi="宋体"/>
          <w:b/>
          <w:sz w:val="24"/>
          <w:highlight w:val="none"/>
          <w:lang w:eastAsia="zh-CN"/>
        </w:rPr>
        <w:t>项目目标</w:t>
      </w:r>
      <w:r>
        <w:rPr>
          <w:rFonts w:hint="eastAsia" w:ascii="宋体" w:hAnsi="宋体"/>
          <w:b/>
          <w:sz w:val="24"/>
          <w:highlight w:val="none"/>
          <w:lang w:val="en-US" w:eastAsia="zh-CN"/>
        </w:rPr>
        <w:t>和</w:t>
      </w:r>
      <w:r>
        <w:rPr>
          <w:rFonts w:hint="eastAsia" w:ascii="宋体" w:hAnsi="宋体"/>
          <w:b/>
          <w:sz w:val="24"/>
          <w:highlight w:val="none"/>
          <w:lang w:eastAsia="zh-CN"/>
        </w:rPr>
        <w:t>项目内容</w:t>
      </w:r>
      <w:bookmarkEnd w:id="40"/>
    </w:p>
    <w:p w14:paraId="4A275D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eastAsia="宋体" w:cs="宋体"/>
          <w:color w:val="auto"/>
          <w:kern w:val="2"/>
          <w:sz w:val="21"/>
          <w:szCs w:val="21"/>
          <w:highlight w:val="none"/>
          <w:lang w:val="en-US" w:eastAsia="zh-CN" w:bidi="ar-SA"/>
        </w:rPr>
      </w:pPr>
      <w:r>
        <w:rPr>
          <w:rFonts w:hint="eastAsia" w:ascii="宋体" w:hAnsi="Times New Roman" w:eastAsia="宋体" w:cs="宋体"/>
          <w:color w:val="auto"/>
          <w:kern w:val="2"/>
          <w:sz w:val="21"/>
          <w:szCs w:val="21"/>
          <w:highlight w:val="none"/>
          <w:lang w:val="en-US" w:eastAsia="zh-CN" w:bidi="ar-SA"/>
        </w:rPr>
        <w:t>1、项目目标</w:t>
      </w:r>
    </w:p>
    <w:p w14:paraId="39974E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Times New Roman" w:eastAsia="宋体" w:cs="宋体"/>
          <w:color w:val="auto"/>
          <w:kern w:val="2"/>
          <w:sz w:val="21"/>
          <w:szCs w:val="21"/>
          <w:highlight w:val="none"/>
          <w:lang w:val="en-US" w:eastAsia="zh-CN" w:bidi="ar-SA"/>
        </w:rPr>
      </w:pPr>
      <w:r>
        <w:rPr>
          <w:rFonts w:hint="eastAsia" w:ascii="宋体" w:hAnsi="Times New Roman" w:eastAsia="宋体" w:cs="宋体"/>
          <w:color w:val="auto"/>
          <w:kern w:val="2"/>
          <w:sz w:val="21"/>
          <w:szCs w:val="21"/>
          <w:highlight w:val="none"/>
          <w:lang w:val="en-US" w:eastAsia="zh-CN" w:bidi="ar-SA"/>
        </w:rPr>
        <w:t>农业废弃物回收和集中处置就是将本县废弃的农药包装进行定点回收、分类，并统一进行规范化处置。按照“市场主体回收、专业机构处置、公共财政扶持”的模式，全面推进我县农业废弃物回收和集中处置工作，实现全县各类农药废弃包装物回收率100%,农药废弃包装物回收无害化处理率100%。</w:t>
      </w:r>
    </w:p>
    <w:p w14:paraId="16CC67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eastAsia="宋体" w:cs="宋体"/>
          <w:color w:val="auto"/>
          <w:kern w:val="2"/>
          <w:sz w:val="21"/>
          <w:szCs w:val="21"/>
          <w:highlight w:val="none"/>
          <w:lang w:val="en-US" w:eastAsia="zh-CN" w:bidi="ar-SA"/>
        </w:rPr>
      </w:pPr>
      <w:r>
        <w:rPr>
          <w:rFonts w:hint="default" w:ascii="宋体" w:hAnsi="Times New Roman" w:eastAsia="宋体" w:cs="宋体"/>
          <w:color w:val="auto"/>
          <w:kern w:val="2"/>
          <w:sz w:val="21"/>
          <w:szCs w:val="21"/>
          <w:highlight w:val="none"/>
          <w:lang w:val="en-US" w:eastAsia="zh-CN" w:bidi="ar-SA"/>
        </w:rPr>
        <w:t>充分利用“浙农优品”农废模块电子台账开展回收数据调度、统计、分析，提升回收工作质量，推动电子</w:t>
      </w:r>
      <w:r>
        <w:rPr>
          <w:rFonts w:hint="eastAsia" w:ascii="宋体" w:hAnsi="Times New Roman" w:eastAsia="宋体" w:cs="宋体"/>
          <w:color w:val="auto"/>
          <w:kern w:val="2"/>
          <w:sz w:val="21"/>
          <w:szCs w:val="21"/>
          <w:highlight w:val="none"/>
          <w:lang w:val="en-US" w:eastAsia="zh-CN" w:bidi="ar-SA"/>
        </w:rPr>
        <w:t>台账</w:t>
      </w:r>
      <w:r>
        <w:rPr>
          <w:rFonts w:hint="default" w:ascii="宋体" w:hAnsi="Times New Roman" w:eastAsia="宋体" w:cs="宋体"/>
          <w:color w:val="auto"/>
          <w:kern w:val="2"/>
          <w:sz w:val="21"/>
          <w:szCs w:val="21"/>
          <w:highlight w:val="none"/>
          <w:lang w:val="en-US" w:eastAsia="zh-CN" w:bidi="ar-SA"/>
        </w:rPr>
        <w:t>与回收政策资金关联。</w:t>
      </w:r>
    </w:p>
    <w:p w14:paraId="19C0DC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Times New Roman" w:eastAsia="宋体" w:cs="宋体"/>
          <w:color w:val="auto"/>
          <w:kern w:val="2"/>
          <w:sz w:val="21"/>
          <w:szCs w:val="21"/>
          <w:highlight w:val="none"/>
          <w:lang w:val="en-US" w:eastAsia="zh-CN" w:bidi="ar-SA"/>
        </w:rPr>
      </w:pPr>
      <w:r>
        <w:rPr>
          <w:rFonts w:hint="eastAsia" w:ascii="宋体" w:hAnsi="Times New Roman" w:eastAsia="宋体" w:cs="宋体"/>
          <w:color w:val="auto"/>
          <w:kern w:val="2"/>
          <w:sz w:val="21"/>
          <w:szCs w:val="21"/>
          <w:highlight w:val="none"/>
          <w:lang w:val="en-US" w:eastAsia="zh-CN" w:bidi="ar-SA"/>
        </w:rPr>
        <w:t>2、项目内容</w:t>
      </w:r>
    </w:p>
    <w:p w14:paraId="1E0FCD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Times New Roman" w:eastAsia="宋体" w:cs="宋体"/>
          <w:color w:val="auto"/>
          <w:kern w:val="2"/>
          <w:sz w:val="21"/>
          <w:szCs w:val="21"/>
          <w:highlight w:val="none"/>
          <w:lang w:val="en-US" w:eastAsia="zh-CN" w:bidi="ar-SA"/>
        </w:rPr>
      </w:pPr>
      <w:bookmarkStart w:id="41" w:name="_Toc7141"/>
      <w:r>
        <w:rPr>
          <w:rFonts w:hint="eastAsia" w:ascii="宋体" w:hAnsi="Times New Roman" w:eastAsia="宋体" w:cs="宋体"/>
          <w:color w:val="auto"/>
          <w:kern w:val="2"/>
          <w:sz w:val="21"/>
          <w:szCs w:val="21"/>
          <w:highlight w:val="none"/>
          <w:lang w:val="en-US" w:eastAsia="zh-CN" w:bidi="ar-SA"/>
        </w:rPr>
        <w:t>成交单位</w:t>
      </w:r>
      <w:r>
        <w:rPr>
          <w:rFonts w:hint="default" w:ascii="宋体" w:hAnsi="Times New Roman" w:eastAsia="宋体" w:cs="宋体"/>
          <w:color w:val="auto"/>
          <w:kern w:val="2"/>
          <w:sz w:val="21"/>
          <w:szCs w:val="21"/>
          <w:highlight w:val="none"/>
          <w:lang w:val="en-US" w:eastAsia="zh-CN" w:bidi="ar-SA"/>
        </w:rPr>
        <w:t>负责全县农药包装废弃物的归集、运输、存放和处置</w:t>
      </w:r>
      <w:r>
        <w:rPr>
          <w:rFonts w:hint="eastAsia" w:ascii="宋体" w:hAnsi="Times New Roman" w:eastAsia="宋体" w:cs="宋体"/>
          <w:color w:val="auto"/>
          <w:kern w:val="2"/>
          <w:sz w:val="21"/>
          <w:szCs w:val="21"/>
          <w:highlight w:val="none"/>
          <w:lang w:val="en-US" w:eastAsia="zh-CN" w:bidi="ar-SA"/>
        </w:rPr>
        <w:t>及信息上报</w:t>
      </w:r>
      <w:r>
        <w:rPr>
          <w:rFonts w:hint="default" w:ascii="宋体" w:hAnsi="Times New Roman" w:eastAsia="宋体" w:cs="宋体"/>
          <w:color w:val="auto"/>
          <w:kern w:val="2"/>
          <w:sz w:val="21"/>
          <w:szCs w:val="21"/>
          <w:highlight w:val="none"/>
          <w:lang w:val="en-US" w:eastAsia="zh-CN" w:bidi="ar-SA"/>
        </w:rPr>
        <w:t>。</w:t>
      </w:r>
      <w:r>
        <w:rPr>
          <w:rFonts w:hint="eastAsia" w:ascii="宋体" w:hAnsi="Times New Roman" w:eastAsia="宋体" w:cs="宋体"/>
          <w:color w:val="auto"/>
          <w:kern w:val="2"/>
          <w:sz w:val="21"/>
          <w:szCs w:val="21"/>
          <w:highlight w:val="none"/>
          <w:lang w:val="en-US" w:eastAsia="zh-CN" w:bidi="ar-SA"/>
        </w:rPr>
        <w:t>成交单位</w:t>
      </w:r>
      <w:r>
        <w:rPr>
          <w:rFonts w:hint="default" w:ascii="宋体" w:hAnsi="Times New Roman" w:eastAsia="宋体" w:cs="宋体"/>
          <w:color w:val="auto"/>
          <w:kern w:val="2"/>
          <w:sz w:val="21"/>
          <w:szCs w:val="21"/>
          <w:highlight w:val="none"/>
          <w:lang w:val="en-US" w:eastAsia="zh-CN" w:bidi="ar-SA"/>
        </w:rPr>
        <w:t>与全县各回收点签订回收责任书，明确双方责任，强化回收点上图入库，及时将基础信息录入“浙农优品”系统。</w:t>
      </w:r>
      <w:r>
        <w:rPr>
          <w:rFonts w:hint="eastAsia" w:ascii="宋体" w:hAnsi="Times New Roman" w:eastAsia="宋体" w:cs="宋体"/>
          <w:color w:val="auto"/>
          <w:kern w:val="2"/>
          <w:sz w:val="21"/>
          <w:szCs w:val="21"/>
          <w:highlight w:val="none"/>
          <w:lang w:val="en-US" w:eastAsia="zh-CN" w:bidi="ar-SA"/>
        </w:rPr>
        <w:t>成交单位</w:t>
      </w:r>
      <w:r>
        <w:rPr>
          <w:rFonts w:hint="default" w:ascii="宋体" w:hAnsi="Times New Roman" w:eastAsia="宋体" w:cs="宋体"/>
          <w:color w:val="auto"/>
          <w:kern w:val="2"/>
          <w:sz w:val="21"/>
          <w:szCs w:val="21"/>
          <w:highlight w:val="none"/>
          <w:lang w:val="en-US" w:eastAsia="zh-CN" w:bidi="ar-SA"/>
        </w:rPr>
        <w:t>应加快推进浙农码在农药包装废弃物回收工作中的应用，从回收点调运农药包装废弃物时每批次均须开码填单。</w:t>
      </w:r>
      <w:r>
        <w:rPr>
          <w:rFonts w:hint="eastAsia" w:ascii="宋体" w:hAnsi="Times New Roman" w:eastAsia="宋体" w:cs="宋体"/>
          <w:color w:val="auto"/>
          <w:kern w:val="2"/>
          <w:sz w:val="21"/>
          <w:szCs w:val="21"/>
          <w:highlight w:val="none"/>
          <w:lang w:val="en-US" w:eastAsia="zh-CN" w:bidi="ar-SA"/>
        </w:rPr>
        <w:t>成交单位应及时将回收的农药瓶、农药袋按照类别及处置要求重新打包进行归集，并将归集后的</w:t>
      </w:r>
      <w:r>
        <w:rPr>
          <w:rFonts w:hint="default" w:ascii="宋体" w:hAnsi="Times New Roman" w:eastAsia="宋体" w:cs="宋体"/>
          <w:color w:val="auto"/>
          <w:kern w:val="2"/>
          <w:sz w:val="21"/>
          <w:szCs w:val="21"/>
          <w:highlight w:val="none"/>
          <w:lang w:val="en-US" w:eastAsia="zh-CN" w:bidi="ar-SA"/>
        </w:rPr>
        <w:t>农药包装废弃物有计划分期分批送到有处理资质的企业进行无害化处理，避免发生农药包装废弃物的二次污染事故。</w:t>
      </w:r>
    </w:p>
    <w:p w14:paraId="2343AB23">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textAlignment w:val="auto"/>
        <w:outlineLvl w:val="1"/>
        <w:rPr>
          <w:rFonts w:ascii="宋体"/>
          <w:b/>
          <w:sz w:val="24"/>
          <w:highlight w:val="none"/>
        </w:rPr>
      </w:pPr>
      <w:r>
        <w:rPr>
          <w:rFonts w:hint="eastAsia" w:ascii="宋体" w:hAnsi="宋体"/>
          <w:b/>
          <w:sz w:val="24"/>
          <w:highlight w:val="none"/>
          <w:lang w:val="en-US" w:eastAsia="zh-CN"/>
        </w:rPr>
        <w:t>六、</w:t>
      </w:r>
      <w:r>
        <w:rPr>
          <w:rFonts w:hint="eastAsia" w:ascii="宋体" w:hAnsi="宋体"/>
          <w:b/>
          <w:sz w:val="24"/>
          <w:highlight w:val="none"/>
          <w:lang w:eastAsia="zh-CN"/>
        </w:rPr>
        <w:t>对成交人的服务要求</w:t>
      </w:r>
      <w:bookmarkEnd w:id="41"/>
    </w:p>
    <w:p w14:paraId="681973A7">
      <w:pPr>
        <w:pStyle w:val="2"/>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default" w:ascii="宋体" w:hAnsi="Times New Roman" w:eastAsia="宋体" w:cs="宋体"/>
          <w:color w:val="auto"/>
          <w:kern w:val="0"/>
          <w:sz w:val="21"/>
          <w:szCs w:val="21"/>
          <w:highlight w:val="none"/>
          <w:lang w:val="en-US" w:eastAsia="zh-CN" w:bidi="ar-SA"/>
        </w:rPr>
      </w:pPr>
      <w:r>
        <w:rPr>
          <w:rFonts w:hint="eastAsia" w:ascii="宋体" w:cs="宋体"/>
          <w:color w:val="auto"/>
          <w:sz w:val="21"/>
          <w:szCs w:val="21"/>
          <w:highlight w:val="none"/>
          <w:lang w:eastAsia="zh-CN"/>
        </w:rPr>
        <w:t>成交人需按国家行业规范</w:t>
      </w:r>
      <w:r>
        <w:rPr>
          <w:rFonts w:hint="eastAsia" w:ascii="宋体" w:hAnsi="Times New Roman" w:cs="宋体"/>
          <w:color w:val="auto"/>
          <w:sz w:val="21"/>
          <w:szCs w:val="21"/>
          <w:highlight w:val="none"/>
          <w:lang w:eastAsia="zh-CN"/>
        </w:rPr>
        <w:t>、</w:t>
      </w:r>
      <w:r>
        <w:rPr>
          <w:rFonts w:hint="default" w:ascii="宋体" w:hAnsi="Times New Roman" w:cs="宋体"/>
          <w:color w:val="auto"/>
          <w:sz w:val="21"/>
          <w:szCs w:val="21"/>
          <w:highlight w:val="none"/>
          <w:lang w:eastAsia="zh-CN"/>
        </w:rPr>
        <w:t>《</w:t>
      </w:r>
      <w:r>
        <w:rPr>
          <w:rFonts w:hint="default" w:ascii="宋体" w:hAnsi="Times New Roman" w:cs="宋体"/>
          <w:color w:val="auto"/>
          <w:sz w:val="21"/>
          <w:szCs w:val="21"/>
          <w:highlight w:val="none"/>
          <w:lang w:val="en-US" w:eastAsia="zh-CN"/>
        </w:rPr>
        <w:t>浙江省农业农村厅关于做好2024年农药包装废弃物回收工作的通知</w:t>
      </w:r>
      <w:r>
        <w:rPr>
          <w:rFonts w:hint="default" w:ascii="宋体" w:hAnsi="Times New Roman" w:cs="宋体"/>
          <w:color w:val="auto"/>
          <w:sz w:val="21"/>
          <w:szCs w:val="21"/>
          <w:highlight w:val="none"/>
          <w:lang w:eastAsia="zh-CN"/>
        </w:rPr>
        <w:t>》、《浙江省农业农村厅浙江省生态环境厅关于推进农药包装废弃物回收处置体系数字化升级的通知</w:t>
      </w:r>
      <w:r>
        <w:rPr>
          <w:rFonts w:hint="default" w:ascii="宋体" w:hAnsi="Times New Roman" w:cs="宋体"/>
          <w:color w:val="auto"/>
          <w:spacing w:val="-6"/>
          <w:sz w:val="21"/>
          <w:szCs w:val="21"/>
          <w:highlight w:val="none"/>
          <w:lang w:eastAsia="zh-CN"/>
        </w:rPr>
        <w:t>》（</w:t>
      </w:r>
      <w:r>
        <w:rPr>
          <w:rFonts w:hint="default" w:ascii="宋体" w:hAnsi="Times New Roman" w:cs="宋体"/>
          <w:color w:val="auto"/>
          <w:spacing w:val="-6"/>
          <w:sz w:val="21"/>
          <w:szCs w:val="21"/>
          <w:highlight w:val="none"/>
          <w:lang w:val="en-US" w:eastAsia="zh-CN"/>
        </w:rPr>
        <w:t>浙农字函</w:t>
      </w:r>
      <w:r>
        <w:rPr>
          <w:rFonts w:hint="eastAsia" w:ascii="宋体" w:hAnsi="Times New Roman" w:cs="宋体"/>
          <w:color w:val="auto"/>
          <w:spacing w:val="-6"/>
          <w:sz w:val="21"/>
          <w:szCs w:val="21"/>
          <w:highlight w:val="none"/>
          <w:lang w:val="en-US" w:eastAsia="zh-CN"/>
        </w:rPr>
        <w:t>〔</w:t>
      </w:r>
      <w:r>
        <w:rPr>
          <w:rFonts w:hint="default" w:ascii="宋体" w:hAnsi="Times New Roman" w:cs="宋体"/>
          <w:color w:val="auto"/>
          <w:spacing w:val="-6"/>
          <w:sz w:val="21"/>
          <w:szCs w:val="21"/>
          <w:highlight w:val="none"/>
          <w:lang w:val="en-US" w:eastAsia="zh-CN"/>
        </w:rPr>
        <w:t>2022</w:t>
      </w:r>
      <w:r>
        <w:rPr>
          <w:rFonts w:hint="eastAsia" w:ascii="宋体" w:hAnsi="Times New Roman" w:cs="宋体"/>
          <w:color w:val="auto"/>
          <w:spacing w:val="-6"/>
          <w:sz w:val="21"/>
          <w:szCs w:val="21"/>
          <w:highlight w:val="none"/>
          <w:lang w:val="en-US" w:eastAsia="zh-CN"/>
        </w:rPr>
        <w:t>〕</w:t>
      </w:r>
      <w:r>
        <w:rPr>
          <w:rFonts w:hint="default" w:ascii="宋体" w:hAnsi="Times New Roman" w:cs="宋体"/>
          <w:color w:val="auto"/>
          <w:spacing w:val="-6"/>
          <w:sz w:val="21"/>
          <w:szCs w:val="21"/>
          <w:highlight w:val="none"/>
          <w:lang w:val="en-US" w:eastAsia="zh-CN"/>
        </w:rPr>
        <w:t>12号</w:t>
      </w:r>
      <w:r>
        <w:rPr>
          <w:rFonts w:hint="default" w:ascii="宋体" w:hAnsi="Times New Roman" w:cs="宋体"/>
          <w:color w:val="auto"/>
          <w:spacing w:val="-6"/>
          <w:sz w:val="21"/>
          <w:szCs w:val="21"/>
          <w:highlight w:val="none"/>
          <w:lang w:eastAsia="zh-CN"/>
        </w:rPr>
        <w:t>）</w:t>
      </w:r>
      <w:r>
        <w:rPr>
          <w:rFonts w:hint="eastAsia" w:ascii="宋体" w:hAnsi="Times New Roman" w:cs="宋体"/>
          <w:color w:val="auto"/>
          <w:spacing w:val="-6"/>
          <w:sz w:val="21"/>
          <w:szCs w:val="21"/>
          <w:highlight w:val="none"/>
          <w:lang w:eastAsia="zh-CN"/>
        </w:rPr>
        <w:t>、</w:t>
      </w:r>
      <w:r>
        <w:rPr>
          <w:rFonts w:hint="eastAsia" w:ascii="宋体" w:hAnsi="Times New Roman" w:eastAsia="宋体" w:cs="宋体"/>
          <w:color w:val="auto"/>
          <w:spacing w:val="-6"/>
          <w:kern w:val="0"/>
          <w:sz w:val="21"/>
          <w:szCs w:val="21"/>
          <w:highlight w:val="none"/>
          <w:lang w:val="en-US" w:eastAsia="zh-CN" w:bidi="ar-SA"/>
        </w:rPr>
        <w:t>《安吉县</w:t>
      </w:r>
      <w:r>
        <w:rPr>
          <w:rFonts w:hint="eastAsia" w:ascii="宋体" w:hAnsi="Times New Roman" w:eastAsia="宋体" w:cs="宋体"/>
          <w:color w:val="auto"/>
          <w:kern w:val="0"/>
          <w:sz w:val="21"/>
          <w:szCs w:val="21"/>
          <w:highlight w:val="none"/>
          <w:lang w:val="en-US" w:eastAsia="zh-CN" w:bidi="ar-SA"/>
        </w:rPr>
        <w:t>农药包装废弃物回收和集中处置工作实施办法》</w:t>
      </w:r>
      <w:r>
        <w:rPr>
          <w:rFonts w:hint="eastAsia" w:ascii="宋体" w:hAnsi="Times New Roman" w:cs="宋体"/>
          <w:color w:val="auto"/>
          <w:sz w:val="21"/>
          <w:szCs w:val="21"/>
          <w:highlight w:val="none"/>
          <w:lang w:eastAsia="zh-CN"/>
        </w:rPr>
        <w:t>和采购人的其他相关要求切实履行上述工作职责，落实安全防范措施，并建立危险废物意外事故应</w:t>
      </w:r>
      <w:r>
        <w:rPr>
          <w:rFonts w:hint="eastAsia" w:ascii="宋体" w:cs="宋体"/>
          <w:color w:val="auto"/>
          <w:sz w:val="21"/>
          <w:szCs w:val="21"/>
          <w:highlight w:val="none"/>
          <w:lang w:eastAsia="zh-CN"/>
        </w:rPr>
        <w:t>急预案</w:t>
      </w:r>
      <w:r>
        <w:rPr>
          <w:rFonts w:hint="eastAsia" w:ascii="宋体" w:cs="宋体"/>
          <w:color w:val="auto"/>
          <w:sz w:val="21"/>
          <w:szCs w:val="21"/>
          <w:highlight w:val="none"/>
        </w:rPr>
        <w:t>。</w:t>
      </w:r>
    </w:p>
    <w:p w14:paraId="72DD559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ascii="宋体"/>
          <w:b/>
          <w:sz w:val="24"/>
          <w:highlight w:val="none"/>
        </w:rPr>
      </w:pPr>
      <w:bookmarkStart w:id="42" w:name="_Toc22314"/>
      <w:r>
        <w:rPr>
          <w:rFonts w:hint="eastAsia" w:ascii="宋体" w:hAnsi="宋体"/>
          <w:b/>
          <w:sz w:val="24"/>
          <w:highlight w:val="none"/>
          <w:lang w:val="en-US" w:eastAsia="zh-CN"/>
        </w:rPr>
        <w:t>七、</w:t>
      </w:r>
      <w:r>
        <w:rPr>
          <w:rFonts w:hint="eastAsia" w:ascii="宋体" w:hAnsi="宋体"/>
          <w:b/>
          <w:sz w:val="24"/>
          <w:highlight w:val="none"/>
        </w:rPr>
        <w:t>商务要求表</w:t>
      </w:r>
      <w:bookmarkEnd w:id="42"/>
    </w:p>
    <w:tbl>
      <w:tblPr>
        <w:tblStyle w:val="35"/>
        <w:tblW w:w="90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536"/>
      </w:tblGrid>
      <w:tr w14:paraId="753D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1515" w:type="dxa"/>
            <w:noWrap w:val="0"/>
            <w:vAlign w:val="center"/>
          </w:tcPr>
          <w:p w14:paraId="0A9C6B9A">
            <w:pPr>
              <w:pStyle w:val="6"/>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bookmarkStart w:id="43" w:name="_Toc1410"/>
            <w:r>
              <w:rPr>
                <w:rFonts w:hint="eastAsia" w:ascii="宋体" w:hAnsi="宋体" w:eastAsia="宋体" w:cs="宋体"/>
                <w:b/>
                <w:bCs/>
                <w:color w:val="auto"/>
                <w:sz w:val="21"/>
                <w:szCs w:val="21"/>
                <w:highlight w:val="none"/>
                <w:lang w:eastAsia="zh-CN"/>
              </w:rPr>
              <w:t>服务期限</w:t>
            </w:r>
          </w:p>
        </w:tc>
        <w:tc>
          <w:tcPr>
            <w:tcW w:w="7536" w:type="dxa"/>
            <w:noWrap w:val="0"/>
            <w:vAlign w:val="center"/>
          </w:tcPr>
          <w:p w14:paraId="2A3B1702">
            <w:pPr>
              <w:pStyle w:val="6"/>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cs="宋体"/>
                <w:color w:val="auto"/>
                <w:szCs w:val="21"/>
                <w:highlight w:val="none"/>
                <w:lang w:eastAsia="zh-CN"/>
              </w:rPr>
              <w:t>本项目服务期三年，合同一年一签，第一年服务期满后，若中标单位的服务质量达到招标人要求的，可续签下一年度合同，最多续签二次。</w:t>
            </w:r>
          </w:p>
        </w:tc>
      </w:tr>
      <w:tr w14:paraId="42C9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15" w:type="dxa"/>
            <w:noWrap w:val="0"/>
            <w:vAlign w:val="center"/>
          </w:tcPr>
          <w:p w14:paraId="5709C599">
            <w:pPr>
              <w:pStyle w:val="6"/>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投标报价</w:t>
            </w:r>
          </w:p>
        </w:tc>
        <w:tc>
          <w:tcPr>
            <w:tcW w:w="7536" w:type="dxa"/>
            <w:noWrap w:val="0"/>
            <w:vAlign w:val="center"/>
          </w:tcPr>
          <w:p w14:paraId="5BD97F09">
            <w:pPr>
              <w:keepNext w:val="0"/>
              <w:keepLines w:val="0"/>
              <w:pageBreakBefore w:val="0"/>
              <w:widowControl w:val="0"/>
              <w:kinsoku/>
              <w:wordWrap/>
              <w:overflowPunct w:val="0"/>
              <w:topLinePunct w:val="0"/>
              <w:bidi w:val="0"/>
              <w:spacing w:line="400" w:lineRule="exact"/>
              <w:rPr>
                <w:rFonts w:hint="eastAsia" w:ascii="宋体" w:hAnsi="宋体" w:cs="宋体"/>
                <w:color w:val="auto"/>
                <w:szCs w:val="21"/>
                <w:highlight w:val="none"/>
                <w:lang w:eastAsia="zh-CN"/>
              </w:rPr>
            </w:pPr>
            <w:r>
              <w:rPr>
                <w:rFonts w:hint="eastAsia" w:ascii="宋体" w:hAnsi="宋体" w:cs="宋体"/>
                <w:bCs/>
                <w:szCs w:val="21"/>
                <w:highlight w:val="none"/>
                <w:lang w:val="en-US" w:eastAsia="zh-CN"/>
              </w:rPr>
              <w:t>投标报价</w:t>
            </w:r>
            <w:r>
              <w:rPr>
                <w:rFonts w:hint="eastAsia" w:ascii="宋体" w:hAnsi="宋体" w:cs="宋体"/>
                <w:bCs/>
                <w:szCs w:val="21"/>
                <w:highlight w:val="none"/>
              </w:rPr>
              <w:t>应包括</w:t>
            </w:r>
            <w:r>
              <w:rPr>
                <w:rFonts w:hint="eastAsia" w:ascii="宋体" w:hAnsi="宋体" w:cs="宋体"/>
                <w:bCs/>
                <w:szCs w:val="21"/>
                <w:highlight w:val="none"/>
                <w:lang w:eastAsia="zh-CN"/>
              </w:rPr>
              <w:t>农药废弃包装物回收费用、处置费用、回收设备设施及耗材的购置费用、宣传培训费用、服务商的综合服务费、运输、装卸、财务审计报告</w:t>
            </w:r>
            <w:r>
              <w:rPr>
                <w:rFonts w:hint="eastAsia" w:ascii="宋体" w:hAnsi="宋体" w:cs="宋体"/>
                <w:bCs/>
                <w:szCs w:val="21"/>
                <w:highlight w:val="none"/>
                <w:lang w:val="en-US" w:eastAsia="zh-CN"/>
              </w:rPr>
              <w:t>费</w:t>
            </w:r>
            <w:r>
              <w:rPr>
                <w:rFonts w:hint="eastAsia" w:ascii="宋体" w:hAnsi="宋体" w:cs="宋体"/>
                <w:bCs/>
                <w:szCs w:val="21"/>
                <w:highlight w:val="none"/>
                <w:lang w:eastAsia="zh-CN"/>
              </w:rPr>
              <w:t>、税金等完成本项目的一切工作内容及工作职责的</w:t>
            </w:r>
            <w:r>
              <w:rPr>
                <w:rFonts w:hint="eastAsia" w:ascii="宋体" w:hAnsi="宋体" w:cs="宋体"/>
                <w:bCs/>
                <w:szCs w:val="21"/>
                <w:highlight w:val="none"/>
                <w:lang w:val="en-US" w:eastAsia="zh-CN"/>
              </w:rPr>
              <w:t>全部</w:t>
            </w:r>
            <w:r>
              <w:rPr>
                <w:rFonts w:hint="eastAsia" w:ascii="宋体" w:hAnsi="宋体" w:cs="宋体"/>
                <w:szCs w:val="21"/>
                <w:highlight w:val="none"/>
              </w:rPr>
              <w:t>费用，是履行合同的最终价格，其市场风险由供应商承担</w:t>
            </w:r>
            <w:r>
              <w:rPr>
                <w:rFonts w:hint="eastAsia" w:ascii="宋体" w:hAnsi="宋体" w:cs="宋体"/>
                <w:bCs/>
                <w:szCs w:val="21"/>
                <w:highlight w:val="none"/>
              </w:rPr>
              <w:t>。</w:t>
            </w:r>
          </w:p>
        </w:tc>
      </w:tr>
      <w:tr w14:paraId="0D6F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5" w:type="dxa"/>
            <w:noWrap w:val="0"/>
            <w:vAlign w:val="center"/>
          </w:tcPr>
          <w:p w14:paraId="4D922669">
            <w:pPr>
              <w:pStyle w:val="6"/>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付款方式</w:t>
            </w:r>
          </w:p>
        </w:tc>
        <w:tc>
          <w:tcPr>
            <w:tcW w:w="7536" w:type="dxa"/>
            <w:noWrap w:val="0"/>
            <w:vAlign w:val="center"/>
          </w:tcPr>
          <w:p w14:paraId="7BF5BAA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Times New Roman"/>
                <w:color w:val="auto"/>
                <w:spacing w:val="0"/>
                <w:sz w:val="21"/>
                <w:szCs w:val="21"/>
                <w:highlight w:val="none"/>
              </w:rPr>
            </w:pPr>
            <w:r>
              <w:rPr>
                <w:rFonts w:hint="eastAsia" w:ascii="宋体" w:hAnsi="宋体" w:cs="Times New Roman"/>
                <w:color w:val="auto"/>
                <w:spacing w:val="0"/>
                <w:sz w:val="21"/>
                <w:szCs w:val="21"/>
                <w:highlight w:val="none"/>
              </w:rPr>
              <w:t>1</w:t>
            </w:r>
            <w:r>
              <w:rPr>
                <w:rFonts w:hint="eastAsia" w:ascii="宋体" w:hAnsi="宋体" w:cs="Times New Roman"/>
                <w:color w:val="auto"/>
                <w:spacing w:val="0"/>
                <w:sz w:val="21"/>
                <w:szCs w:val="21"/>
                <w:highlight w:val="none"/>
                <w:lang w:val="en-US" w:eastAsia="zh-CN"/>
              </w:rPr>
              <w:t>、</w:t>
            </w:r>
            <w:r>
              <w:rPr>
                <w:rFonts w:hint="eastAsia" w:ascii="宋体" w:hAnsi="宋体" w:cs="Times New Roman"/>
                <w:color w:val="auto"/>
                <w:spacing w:val="0"/>
                <w:sz w:val="21"/>
                <w:szCs w:val="21"/>
                <w:highlight w:val="none"/>
              </w:rPr>
              <w:t>合同签订后7个工作日内支付</w:t>
            </w:r>
            <w:r>
              <w:rPr>
                <w:rFonts w:hint="eastAsia" w:ascii="宋体" w:hAnsi="宋体" w:cs="Times New Roman"/>
                <w:color w:val="auto"/>
                <w:spacing w:val="0"/>
                <w:sz w:val="21"/>
                <w:szCs w:val="21"/>
                <w:highlight w:val="none"/>
                <w:lang w:val="en-US" w:eastAsia="zh-CN"/>
              </w:rPr>
              <w:t>年度</w:t>
            </w:r>
            <w:r>
              <w:rPr>
                <w:rFonts w:hint="eastAsia" w:ascii="宋体" w:hAnsi="宋体" w:cs="Times New Roman"/>
                <w:color w:val="auto"/>
                <w:spacing w:val="0"/>
                <w:sz w:val="21"/>
                <w:szCs w:val="21"/>
                <w:highlight w:val="none"/>
              </w:rPr>
              <w:t>合同价的40%；</w:t>
            </w:r>
          </w:p>
          <w:p w14:paraId="7064800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Times New Roman"/>
                <w:color w:val="auto"/>
                <w:spacing w:val="0"/>
                <w:sz w:val="21"/>
                <w:szCs w:val="21"/>
                <w:highlight w:val="none"/>
              </w:rPr>
            </w:pPr>
            <w:r>
              <w:rPr>
                <w:rFonts w:hint="eastAsia" w:ascii="宋体" w:hAnsi="宋体" w:cs="Times New Roman"/>
                <w:color w:val="auto"/>
                <w:spacing w:val="0"/>
                <w:sz w:val="21"/>
                <w:szCs w:val="21"/>
                <w:highlight w:val="none"/>
              </w:rPr>
              <w:t>2</w:t>
            </w:r>
            <w:r>
              <w:rPr>
                <w:rFonts w:hint="eastAsia" w:ascii="宋体" w:hAnsi="宋体" w:cs="Times New Roman"/>
                <w:color w:val="auto"/>
                <w:spacing w:val="0"/>
                <w:sz w:val="21"/>
                <w:szCs w:val="21"/>
                <w:highlight w:val="none"/>
                <w:lang w:eastAsia="zh-CN"/>
              </w:rPr>
              <w:t>、</w:t>
            </w:r>
            <w:r>
              <w:rPr>
                <w:rFonts w:hint="eastAsia" w:ascii="宋体" w:hAnsi="宋体" w:eastAsia="宋体" w:cs="宋体"/>
                <w:b w:val="0"/>
                <w:bCs/>
                <w:color w:val="auto"/>
                <w:sz w:val="21"/>
                <w:szCs w:val="21"/>
                <w:highlight w:val="none"/>
                <w:lang w:eastAsia="zh-CN"/>
              </w:rPr>
              <w:t>成交人完成项目后，向采购人申请付款请求，通过采购人组织验收后，支付</w:t>
            </w:r>
            <w:r>
              <w:rPr>
                <w:rFonts w:hint="eastAsia" w:ascii="宋体" w:hAnsi="宋体" w:cs="宋体"/>
                <w:b w:val="0"/>
                <w:bCs/>
                <w:color w:val="auto"/>
                <w:sz w:val="21"/>
                <w:szCs w:val="21"/>
                <w:highlight w:val="none"/>
                <w:lang w:val="en-US" w:eastAsia="zh-CN"/>
              </w:rPr>
              <w:t>年度</w:t>
            </w:r>
            <w:r>
              <w:rPr>
                <w:rFonts w:hint="eastAsia" w:ascii="宋体" w:hAnsi="宋体" w:eastAsia="宋体" w:cs="宋体"/>
                <w:b w:val="0"/>
                <w:bCs/>
                <w:color w:val="auto"/>
                <w:sz w:val="21"/>
                <w:szCs w:val="21"/>
                <w:highlight w:val="none"/>
                <w:lang w:eastAsia="zh-CN"/>
              </w:rPr>
              <w:t>剩余款项。</w:t>
            </w:r>
          </w:p>
          <w:p w14:paraId="6C24B234">
            <w:pPr>
              <w:pStyle w:val="6"/>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成交人提供服务费结算清单及正式的税务发票。</w:t>
            </w:r>
          </w:p>
        </w:tc>
      </w:tr>
      <w:tr w14:paraId="2F01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15" w:type="dxa"/>
            <w:noWrap w:val="0"/>
            <w:vAlign w:val="center"/>
          </w:tcPr>
          <w:p w14:paraId="7F0D12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验收标准</w:t>
            </w:r>
          </w:p>
        </w:tc>
        <w:tc>
          <w:tcPr>
            <w:tcW w:w="7536" w:type="dxa"/>
            <w:noWrap w:val="0"/>
            <w:vAlign w:val="center"/>
          </w:tcPr>
          <w:p w14:paraId="596FE6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kern w:val="0"/>
                <w:sz w:val="21"/>
                <w:szCs w:val="21"/>
                <w:highlight w:val="none"/>
              </w:rPr>
              <w:t>按照中标人提供的投标文件（包括承诺）及中标人和采购人签订的政府采购合同为标准进行验收。</w:t>
            </w:r>
          </w:p>
        </w:tc>
      </w:tr>
      <w:bookmarkEnd w:id="38"/>
      <w:bookmarkEnd w:id="39"/>
      <w:bookmarkEnd w:id="43"/>
    </w:tbl>
    <w:p w14:paraId="0EE11D14">
      <w:pPr>
        <w:shd w:val="clear"/>
        <w:rPr>
          <w:rFonts w:hint="eastAsia" w:ascii="宋体" w:hAnsi="宋体" w:cs="宋体"/>
          <w:b/>
          <w:szCs w:val="21"/>
          <w:highlight w:val="none"/>
          <w:lang w:eastAsia="zh-CN"/>
        </w:rPr>
      </w:pPr>
    </w:p>
    <w:p w14:paraId="2612625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eastAsia="zh-CN"/>
        </w:rPr>
        <w:t>注：</w:t>
      </w:r>
      <w:r>
        <w:rPr>
          <w:rFonts w:hint="eastAsia" w:ascii="宋体" w:hAnsi="宋体" w:eastAsia="宋体" w:cs="宋体"/>
          <w:b/>
          <w:bCs w:val="0"/>
          <w:sz w:val="21"/>
          <w:szCs w:val="21"/>
          <w:highlight w:val="none"/>
        </w:rPr>
        <w:t>1、本招标文件中带 “▲”的有关技术和商务条款为实质性条款，投标人必须在投标文件中作出实质性响应，否则投标无效。</w:t>
      </w:r>
    </w:p>
    <w:p w14:paraId="5FAE532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本招标文件仅对</w:t>
      </w:r>
      <w:r>
        <w:rPr>
          <w:rFonts w:hint="eastAsia" w:ascii="宋体" w:hAnsi="宋体" w:eastAsia="宋体" w:cs="宋体"/>
          <w:b/>
          <w:bCs w:val="0"/>
          <w:sz w:val="21"/>
          <w:szCs w:val="21"/>
          <w:highlight w:val="none"/>
          <w:lang w:eastAsia="zh-CN"/>
        </w:rPr>
        <w:t>本项目</w:t>
      </w:r>
      <w:r>
        <w:rPr>
          <w:rFonts w:hint="eastAsia" w:ascii="宋体" w:hAnsi="宋体" w:eastAsia="宋体" w:cs="宋体"/>
          <w:b/>
          <w:bCs w:val="0"/>
          <w:sz w:val="21"/>
          <w:szCs w:val="21"/>
          <w:highlight w:val="none"/>
        </w:rPr>
        <w:t>提出原则性要求，并不是详尽的要求，投标人有责任对技术参数符合现行的相关技术规范、标准负责。</w:t>
      </w:r>
    </w:p>
    <w:p w14:paraId="11DAD874">
      <w:pPr>
        <w:pStyle w:val="3"/>
        <w:widowControl w:val="0"/>
        <w:numPr>
          <w:ilvl w:val="0"/>
          <w:numId w:val="0"/>
        </w:numPr>
        <w:autoSpaceDE/>
        <w:autoSpaceDN/>
        <w:adjustRightInd/>
        <w:spacing w:after="120" w:line="240" w:lineRule="auto"/>
        <w:jc w:val="both"/>
        <w:rPr>
          <w:rFonts w:hint="eastAsia"/>
          <w:highlight w:val="none"/>
        </w:rPr>
      </w:pPr>
    </w:p>
    <w:p w14:paraId="77CCD617">
      <w:pPr>
        <w:pStyle w:val="25"/>
        <w:rPr>
          <w:rFonts w:hint="eastAsia"/>
          <w:highlight w:val="none"/>
        </w:rPr>
      </w:pPr>
    </w:p>
    <w:p w14:paraId="7CD1EA5F">
      <w:pPr>
        <w:rPr>
          <w:rFonts w:hint="eastAsia"/>
          <w:highlight w:val="none"/>
        </w:rPr>
      </w:pPr>
    </w:p>
    <w:p w14:paraId="601ECBAF">
      <w:pPr>
        <w:pStyle w:val="3"/>
        <w:rPr>
          <w:rFonts w:hint="eastAsia"/>
          <w:highlight w:val="none"/>
        </w:rPr>
      </w:pPr>
    </w:p>
    <w:p w14:paraId="679DAF8B">
      <w:pPr>
        <w:pStyle w:val="25"/>
        <w:rPr>
          <w:rFonts w:hint="eastAsia"/>
          <w:highlight w:val="none"/>
        </w:rPr>
      </w:pPr>
    </w:p>
    <w:p w14:paraId="773C22DB">
      <w:pPr>
        <w:rPr>
          <w:rFonts w:hint="eastAsia"/>
          <w:highlight w:val="none"/>
        </w:rPr>
      </w:pPr>
    </w:p>
    <w:p w14:paraId="0AF7912A">
      <w:pPr>
        <w:pStyle w:val="3"/>
        <w:rPr>
          <w:rFonts w:hint="eastAsia"/>
          <w:highlight w:val="none"/>
        </w:rPr>
      </w:pPr>
    </w:p>
    <w:p w14:paraId="20B71C2D">
      <w:pPr>
        <w:pStyle w:val="25"/>
        <w:rPr>
          <w:rFonts w:hint="eastAsia"/>
          <w:highlight w:val="none"/>
        </w:rPr>
      </w:pPr>
    </w:p>
    <w:p w14:paraId="561E56AD">
      <w:pPr>
        <w:rPr>
          <w:rFonts w:hint="eastAsia"/>
          <w:highlight w:val="none"/>
        </w:rPr>
      </w:pPr>
    </w:p>
    <w:p w14:paraId="13F6735E">
      <w:pPr>
        <w:pStyle w:val="3"/>
        <w:rPr>
          <w:rFonts w:hint="eastAsia"/>
          <w:highlight w:val="none"/>
        </w:rPr>
      </w:pPr>
    </w:p>
    <w:p w14:paraId="53639BF8">
      <w:pPr>
        <w:pStyle w:val="25"/>
        <w:rPr>
          <w:rFonts w:hint="eastAsia"/>
          <w:highlight w:val="none"/>
        </w:rPr>
      </w:pPr>
    </w:p>
    <w:p w14:paraId="117A9C06">
      <w:pPr>
        <w:rPr>
          <w:rFonts w:hint="eastAsia"/>
          <w:highlight w:val="none"/>
        </w:rPr>
      </w:pPr>
    </w:p>
    <w:p w14:paraId="74C43511">
      <w:pPr>
        <w:rPr>
          <w:rFonts w:hint="eastAsia"/>
          <w:highlight w:val="none"/>
        </w:rPr>
      </w:pPr>
    </w:p>
    <w:p w14:paraId="3FDBEAEE">
      <w:pPr>
        <w:rPr>
          <w:rFonts w:hint="eastAsia"/>
          <w:highlight w:val="none"/>
        </w:rPr>
      </w:pPr>
    </w:p>
    <w:p w14:paraId="1A80CCB4">
      <w:pPr>
        <w:rPr>
          <w:rFonts w:hint="eastAsia"/>
          <w:highlight w:val="none"/>
        </w:rPr>
      </w:pPr>
    </w:p>
    <w:p w14:paraId="3C98AA8C">
      <w:pPr>
        <w:rPr>
          <w:rFonts w:hint="eastAsia"/>
          <w:highlight w:val="none"/>
        </w:rPr>
      </w:pPr>
    </w:p>
    <w:p w14:paraId="53E84008">
      <w:pPr>
        <w:rPr>
          <w:rFonts w:hint="eastAsia"/>
          <w:highlight w:val="none"/>
        </w:rPr>
      </w:pPr>
    </w:p>
    <w:p w14:paraId="7EBDBCD4">
      <w:pPr>
        <w:rPr>
          <w:rFonts w:hint="eastAsia"/>
          <w:highlight w:val="none"/>
        </w:rPr>
      </w:pPr>
    </w:p>
    <w:p w14:paraId="016774D7">
      <w:pPr>
        <w:rPr>
          <w:rFonts w:hint="eastAsia"/>
          <w:highlight w:val="none"/>
        </w:rPr>
      </w:pPr>
    </w:p>
    <w:p w14:paraId="22CF05C6">
      <w:pPr>
        <w:rPr>
          <w:rFonts w:hint="eastAsia"/>
          <w:highlight w:val="none"/>
        </w:rPr>
      </w:pPr>
    </w:p>
    <w:p w14:paraId="43B2A2BE">
      <w:pPr>
        <w:rPr>
          <w:rFonts w:hint="eastAsia"/>
          <w:highlight w:val="none"/>
        </w:rPr>
      </w:pPr>
    </w:p>
    <w:p w14:paraId="4C9BA5B6">
      <w:pPr>
        <w:rPr>
          <w:rFonts w:hint="eastAsia"/>
          <w:highlight w:val="none"/>
        </w:rPr>
      </w:pPr>
    </w:p>
    <w:p w14:paraId="356C4E64">
      <w:pPr>
        <w:rPr>
          <w:rFonts w:hint="eastAsia"/>
          <w:highlight w:val="none"/>
        </w:rPr>
      </w:pPr>
    </w:p>
    <w:p w14:paraId="5610BB24">
      <w:pPr>
        <w:rPr>
          <w:rFonts w:hint="eastAsia"/>
          <w:highlight w:val="none"/>
        </w:rPr>
      </w:pPr>
    </w:p>
    <w:p w14:paraId="7F246D35">
      <w:pPr>
        <w:rPr>
          <w:rFonts w:hint="eastAsia"/>
          <w:highlight w:val="none"/>
        </w:rPr>
      </w:pPr>
    </w:p>
    <w:p w14:paraId="1F6DEBFE">
      <w:pPr>
        <w:rPr>
          <w:rFonts w:hint="eastAsia"/>
          <w:highlight w:val="none"/>
        </w:rPr>
      </w:pPr>
    </w:p>
    <w:p w14:paraId="1A23931F">
      <w:pPr>
        <w:rPr>
          <w:rFonts w:hint="eastAsia"/>
          <w:highlight w:val="none"/>
        </w:rPr>
      </w:pPr>
    </w:p>
    <w:p w14:paraId="391C12BD">
      <w:pPr>
        <w:rPr>
          <w:rFonts w:hint="eastAsia"/>
          <w:highlight w:val="none"/>
        </w:rPr>
      </w:pPr>
    </w:p>
    <w:p w14:paraId="2F25B518">
      <w:pPr>
        <w:rPr>
          <w:rFonts w:hint="eastAsia"/>
          <w:highlight w:val="none"/>
        </w:rPr>
      </w:pPr>
    </w:p>
    <w:p w14:paraId="5E09ACC6">
      <w:pPr>
        <w:rPr>
          <w:rFonts w:hint="eastAsia"/>
          <w:highlight w:val="none"/>
        </w:rPr>
      </w:pPr>
    </w:p>
    <w:p w14:paraId="67CBE49B">
      <w:pPr>
        <w:rPr>
          <w:rFonts w:hint="eastAsia"/>
          <w:highlight w:val="none"/>
        </w:rPr>
      </w:pPr>
    </w:p>
    <w:p w14:paraId="6EBF4E98">
      <w:pPr>
        <w:rPr>
          <w:rFonts w:hint="eastAsia"/>
          <w:highlight w:val="none"/>
        </w:rPr>
      </w:pPr>
    </w:p>
    <w:p w14:paraId="1EC2A633">
      <w:pPr>
        <w:rPr>
          <w:rFonts w:hint="eastAsia"/>
          <w:highlight w:val="none"/>
        </w:rPr>
      </w:pPr>
    </w:p>
    <w:p w14:paraId="07F5A7CE">
      <w:pPr>
        <w:rPr>
          <w:rFonts w:hint="eastAsia"/>
          <w:highlight w:val="none"/>
        </w:rPr>
      </w:pPr>
    </w:p>
    <w:p w14:paraId="15CCE528">
      <w:pPr>
        <w:rPr>
          <w:rFonts w:hint="eastAsia"/>
          <w:highlight w:val="none"/>
        </w:rPr>
      </w:pPr>
    </w:p>
    <w:p w14:paraId="1482ACFE">
      <w:pPr>
        <w:rPr>
          <w:rFonts w:hint="eastAsia"/>
          <w:highlight w:val="none"/>
        </w:rPr>
      </w:pPr>
    </w:p>
    <w:p w14:paraId="66119162">
      <w:pPr>
        <w:pStyle w:val="3"/>
        <w:rPr>
          <w:rFonts w:hint="eastAsia"/>
          <w:highlight w:val="none"/>
        </w:rPr>
      </w:pPr>
    </w:p>
    <w:p w14:paraId="609F2498">
      <w:pPr>
        <w:pStyle w:val="25"/>
        <w:rPr>
          <w:rFonts w:hint="eastAsia"/>
          <w:highlight w:val="none"/>
        </w:rPr>
      </w:pPr>
    </w:p>
    <w:p w14:paraId="62E4146E">
      <w:pPr>
        <w:rPr>
          <w:rFonts w:hint="eastAsia"/>
          <w:highlight w:val="none"/>
        </w:rPr>
      </w:pPr>
    </w:p>
    <w:p w14:paraId="0EADA718">
      <w:pPr>
        <w:pStyle w:val="3"/>
        <w:rPr>
          <w:rFonts w:hint="eastAsia"/>
          <w:highlight w:val="none"/>
        </w:rPr>
      </w:pPr>
    </w:p>
    <w:p w14:paraId="39E3452C">
      <w:pPr>
        <w:pStyle w:val="25"/>
        <w:rPr>
          <w:rFonts w:hint="eastAsia"/>
          <w:highlight w:val="none"/>
        </w:rPr>
      </w:pPr>
    </w:p>
    <w:p w14:paraId="7FF66DA1">
      <w:pPr>
        <w:pStyle w:val="4"/>
        <w:shd w:val="clear"/>
        <w:spacing w:before="0" w:after="0" w:line="480" w:lineRule="exact"/>
        <w:jc w:val="center"/>
        <w:rPr>
          <w:rFonts w:hint="eastAsia" w:ascii="宋体" w:hAnsi="宋体" w:cs="宋体"/>
          <w:snapToGrid w:val="0"/>
          <w:color w:val="auto"/>
          <w:sz w:val="36"/>
          <w:szCs w:val="36"/>
          <w:highlight w:val="none"/>
        </w:rPr>
      </w:pPr>
      <w:bookmarkStart w:id="44" w:name="_Toc18658"/>
      <w:r>
        <w:rPr>
          <w:rFonts w:hint="eastAsia" w:ascii="宋体" w:hAnsi="宋体" w:cs="宋体"/>
          <w:snapToGrid w:val="0"/>
          <w:color w:val="auto"/>
          <w:sz w:val="36"/>
          <w:szCs w:val="36"/>
          <w:highlight w:val="none"/>
        </w:rPr>
        <w:t>第三章  投标人须知</w:t>
      </w:r>
      <w:bookmarkEnd w:id="18"/>
      <w:bookmarkEnd w:id="25"/>
      <w:bookmarkEnd w:id="34"/>
      <w:bookmarkEnd w:id="35"/>
      <w:bookmarkEnd w:id="36"/>
      <w:bookmarkEnd w:id="37"/>
      <w:bookmarkEnd w:id="44"/>
    </w:p>
    <w:p w14:paraId="037935E1">
      <w:pPr>
        <w:pStyle w:val="5"/>
        <w:shd w:val="clear"/>
        <w:spacing w:before="0" w:after="0" w:line="480" w:lineRule="exact"/>
        <w:jc w:val="center"/>
        <w:rPr>
          <w:rFonts w:hint="eastAsia" w:ascii="宋体" w:hAnsi="宋体" w:eastAsia="宋体" w:cs="宋体"/>
          <w:color w:val="auto"/>
          <w:sz w:val="24"/>
          <w:szCs w:val="24"/>
          <w:highlight w:val="none"/>
        </w:rPr>
      </w:pPr>
      <w:bookmarkStart w:id="45" w:name="_Toc317341937"/>
      <w:bookmarkStart w:id="46" w:name="_Toc15132"/>
      <w:bookmarkStart w:id="47" w:name="_Toc31607"/>
      <w:bookmarkStart w:id="48" w:name="_Toc4375"/>
      <w:bookmarkStart w:id="49" w:name="_Toc222632753"/>
      <w:bookmarkStart w:id="50" w:name="_Toc22877"/>
      <w:r>
        <w:rPr>
          <w:rFonts w:hint="eastAsia" w:ascii="宋体" w:hAnsi="宋体" w:eastAsia="宋体" w:cs="宋体"/>
          <w:color w:val="auto"/>
          <w:sz w:val="24"/>
          <w:szCs w:val="24"/>
          <w:highlight w:val="none"/>
        </w:rPr>
        <w:t>前   附  表</w:t>
      </w:r>
      <w:bookmarkEnd w:id="45"/>
      <w:bookmarkEnd w:id="46"/>
      <w:bookmarkEnd w:id="47"/>
      <w:bookmarkEnd w:id="48"/>
      <w:bookmarkEnd w:id="49"/>
      <w:bookmarkEnd w:id="50"/>
    </w:p>
    <w:tbl>
      <w:tblPr>
        <w:tblStyle w:val="35"/>
        <w:tblW w:w="9425" w:type="dxa"/>
        <w:tblInd w:w="-61" w:type="dxa"/>
        <w:tblLayout w:type="autofit"/>
        <w:tblCellMar>
          <w:top w:w="0" w:type="dxa"/>
          <w:left w:w="108" w:type="dxa"/>
          <w:bottom w:w="0" w:type="dxa"/>
          <w:right w:w="108" w:type="dxa"/>
        </w:tblCellMar>
      </w:tblPr>
      <w:tblGrid>
        <w:gridCol w:w="818"/>
        <w:gridCol w:w="8607"/>
      </w:tblGrid>
      <w:tr w14:paraId="24F5EFF4">
        <w:tblPrEx>
          <w:tblCellMar>
            <w:top w:w="0" w:type="dxa"/>
            <w:left w:w="108" w:type="dxa"/>
            <w:bottom w:w="0" w:type="dxa"/>
            <w:right w:w="108" w:type="dxa"/>
          </w:tblCellMar>
        </w:tblPrEx>
        <w:trPr>
          <w:trHeight w:val="667"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43D99502">
            <w:pPr>
              <w:jc w:val="center"/>
              <w:rPr>
                <w:rFonts w:hint="eastAsia" w:eastAsia="宋体"/>
                <w:b/>
                <w:bCs/>
                <w:highlight w:val="none"/>
                <w:lang w:val="en-US" w:eastAsia="zh-CN"/>
              </w:rPr>
            </w:pPr>
            <w:r>
              <w:rPr>
                <w:rFonts w:hint="eastAsia"/>
                <w:b/>
                <w:bCs/>
                <w:highlight w:val="none"/>
                <w:lang w:val="en-US" w:eastAsia="zh-CN"/>
              </w:rPr>
              <w:t>序号</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40156E1F">
            <w:pPr>
              <w:jc w:val="center"/>
              <w:rPr>
                <w:rFonts w:hint="eastAsia"/>
                <w:b/>
                <w:bCs/>
                <w:highlight w:val="none"/>
                <w:lang w:val="zh-CN"/>
              </w:rPr>
            </w:pPr>
            <w:r>
              <w:rPr>
                <w:rFonts w:hint="eastAsia"/>
                <w:b/>
                <w:bCs/>
                <w:highlight w:val="none"/>
                <w:lang w:val="zh-CN"/>
              </w:rPr>
              <w:t>内容及相关规定</w:t>
            </w:r>
          </w:p>
        </w:tc>
      </w:tr>
      <w:tr w14:paraId="23771840">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right w:val="single" w:color="auto" w:sz="6" w:space="0"/>
            </w:tcBorders>
            <w:noWrap w:val="0"/>
            <w:vAlign w:val="center"/>
          </w:tcPr>
          <w:p w14:paraId="15200839">
            <w:pPr>
              <w:jc w:val="center"/>
              <w:rPr>
                <w:rFonts w:hint="eastAsia" w:ascii="宋体" w:hAnsi="宋体" w:eastAsia="宋体" w:cs="宋体"/>
                <w:highlight w:val="none"/>
                <w:lang w:val="zh-CN"/>
              </w:rPr>
            </w:pPr>
            <w:r>
              <w:rPr>
                <w:rFonts w:hint="eastAsia" w:ascii="宋体" w:hAnsi="宋体" w:eastAsia="宋体" w:cs="宋体"/>
                <w:highlight w:val="none"/>
                <w:lang w:val="zh-CN"/>
              </w:rPr>
              <w:t>1</w:t>
            </w:r>
          </w:p>
        </w:tc>
        <w:tc>
          <w:tcPr>
            <w:tcW w:w="8607" w:type="dxa"/>
            <w:tcBorders>
              <w:top w:val="single" w:color="auto" w:sz="6" w:space="0"/>
              <w:left w:val="single" w:color="auto" w:sz="6" w:space="0"/>
              <w:right w:val="single" w:color="auto" w:sz="6" w:space="0"/>
            </w:tcBorders>
            <w:noWrap w:val="0"/>
            <w:vAlign w:val="center"/>
          </w:tcPr>
          <w:p w14:paraId="70B6D0BC">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2025年安吉县农药包装废弃物回收和集中处置服务采购项目</w:t>
            </w:r>
          </w:p>
          <w:p w14:paraId="35BDDA6E">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HZSY20250215</w:t>
            </w:r>
          </w:p>
          <w:p w14:paraId="53E62288">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项目内容：详见招标文件第二章</w:t>
            </w:r>
          </w:p>
        </w:tc>
      </w:tr>
      <w:tr w14:paraId="3DA12E2A">
        <w:tblPrEx>
          <w:tblCellMar>
            <w:top w:w="0" w:type="dxa"/>
            <w:left w:w="108" w:type="dxa"/>
            <w:bottom w:w="0" w:type="dxa"/>
            <w:right w:w="108" w:type="dxa"/>
          </w:tblCellMar>
        </w:tblPrEx>
        <w:trPr>
          <w:trHeight w:val="840" w:hRule="atLeast"/>
        </w:trPr>
        <w:tc>
          <w:tcPr>
            <w:tcW w:w="818" w:type="dxa"/>
            <w:tcBorders>
              <w:top w:val="single" w:color="auto" w:sz="6" w:space="0"/>
              <w:left w:val="single" w:color="auto" w:sz="6" w:space="0"/>
              <w:right w:val="single" w:color="auto" w:sz="6" w:space="0"/>
            </w:tcBorders>
            <w:noWrap w:val="0"/>
            <w:vAlign w:val="center"/>
          </w:tcPr>
          <w:p w14:paraId="10CA46DD">
            <w:pPr>
              <w:jc w:val="center"/>
              <w:rPr>
                <w:rFonts w:hint="eastAsia" w:ascii="宋体" w:hAnsi="宋体" w:eastAsia="宋体" w:cs="宋体"/>
                <w:highlight w:val="none"/>
              </w:rPr>
            </w:pPr>
            <w:r>
              <w:rPr>
                <w:rFonts w:hint="eastAsia" w:ascii="宋体" w:hAnsi="宋体" w:eastAsia="宋体" w:cs="宋体"/>
                <w:highlight w:val="none"/>
              </w:rPr>
              <w:t>2</w:t>
            </w:r>
          </w:p>
        </w:tc>
        <w:tc>
          <w:tcPr>
            <w:tcW w:w="8607" w:type="dxa"/>
            <w:tcBorders>
              <w:top w:val="single" w:color="auto" w:sz="6" w:space="0"/>
              <w:left w:val="single" w:color="auto" w:sz="6" w:space="0"/>
              <w:right w:val="single" w:color="auto" w:sz="6" w:space="0"/>
            </w:tcBorders>
            <w:noWrap w:val="0"/>
            <w:vAlign w:val="center"/>
          </w:tcPr>
          <w:p w14:paraId="6C8BA28A">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采购资金来源：</w:t>
            </w:r>
            <w:r>
              <w:rPr>
                <w:rFonts w:hint="eastAsia" w:ascii="宋体" w:hAnsi="宋体" w:cs="宋体"/>
                <w:color w:val="auto"/>
                <w:szCs w:val="21"/>
                <w:highlight w:val="none"/>
                <w:lang w:val="en-US" w:eastAsia="zh-CN"/>
              </w:rPr>
              <w:t>预算内</w:t>
            </w:r>
            <w:r>
              <w:rPr>
                <w:rFonts w:hint="eastAsia" w:ascii="宋体" w:hAnsi="宋体" w:cs="宋体"/>
                <w:color w:val="auto"/>
                <w:szCs w:val="21"/>
                <w:highlight w:val="none"/>
              </w:rPr>
              <w:t>资金，已落实。</w:t>
            </w:r>
          </w:p>
          <w:p w14:paraId="74DBF51E">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支付。</w:t>
            </w:r>
          </w:p>
        </w:tc>
      </w:tr>
      <w:tr w14:paraId="4A119BAE">
        <w:tblPrEx>
          <w:tblCellMar>
            <w:top w:w="0" w:type="dxa"/>
            <w:left w:w="108" w:type="dxa"/>
            <w:bottom w:w="0" w:type="dxa"/>
            <w:right w:w="108" w:type="dxa"/>
          </w:tblCellMar>
        </w:tblPrEx>
        <w:trPr>
          <w:trHeight w:val="555"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576FEF7C">
            <w:pPr>
              <w:jc w:val="center"/>
              <w:rPr>
                <w:rFonts w:hint="eastAsia" w:ascii="宋体" w:hAnsi="宋体" w:eastAsia="宋体" w:cs="宋体"/>
                <w:highlight w:val="none"/>
                <w:lang w:val="zh-CN"/>
              </w:rPr>
            </w:pPr>
            <w:r>
              <w:rPr>
                <w:rFonts w:hint="eastAsia" w:ascii="宋体" w:hAnsi="宋体" w:eastAsia="宋体" w:cs="宋体"/>
                <w:highlight w:val="none"/>
              </w:rPr>
              <w:t>3</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4D2104B6">
            <w:pPr>
              <w:keepNext w:val="0"/>
              <w:keepLines w:val="0"/>
              <w:pageBreakBefore w:val="0"/>
              <w:widowControl w:val="0"/>
              <w:shd w:val="clear"/>
              <w:kinsoku/>
              <w:wordWrap/>
              <w:overflowPunct/>
              <w:topLinePunct w:val="0"/>
              <w:autoSpaceDE w:val="0"/>
              <w:autoSpaceDN w:val="0"/>
              <w:bidi w:val="0"/>
              <w:adjustRightInd w:val="0"/>
              <w:spacing w:line="360" w:lineRule="exact"/>
              <w:ind w:right="69"/>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投标人资格要求：见招标公告第</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val="zh-CN"/>
              </w:rPr>
              <w:t>条</w:t>
            </w:r>
          </w:p>
        </w:tc>
      </w:tr>
      <w:tr w14:paraId="354299D5">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0574F9F0">
            <w:pPr>
              <w:jc w:val="center"/>
              <w:rPr>
                <w:rFonts w:hint="eastAsia" w:ascii="宋体" w:hAnsi="宋体" w:eastAsia="宋体" w:cs="宋体"/>
                <w:highlight w:val="none"/>
                <w:lang w:val="zh-CN"/>
              </w:rPr>
            </w:pPr>
            <w:r>
              <w:rPr>
                <w:rFonts w:hint="eastAsia" w:ascii="宋体" w:hAnsi="宋体" w:eastAsia="宋体" w:cs="宋体"/>
                <w:highlight w:val="none"/>
              </w:rPr>
              <w:t>4</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4A25F637">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投标有效期：</w:t>
            </w:r>
          </w:p>
          <w:p w14:paraId="2D651EB8">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自投标截止日起90天。</w:t>
            </w:r>
          </w:p>
          <w:p w14:paraId="78E100C2">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bidi="ar"/>
              </w:rPr>
              <w:t>投标截止后，在投标有效期内，投标人不能撤销投标文件。投标人强行撤销投标文件的，应按预算金额的2%赔偿对招标代理机构造成的损失。</w:t>
            </w:r>
          </w:p>
        </w:tc>
      </w:tr>
      <w:tr w14:paraId="2169DE6A">
        <w:tblPrEx>
          <w:tblCellMar>
            <w:top w:w="0" w:type="dxa"/>
            <w:left w:w="108" w:type="dxa"/>
            <w:bottom w:w="0" w:type="dxa"/>
            <w:right w:w="108" w:type="dxa"/>
          </w:tblCellMar>
        </w:tblPrEx>
        <w:trPr>
          <w:trHeight w:val="525"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0AF6EBCB">
            <w:pPr>
              <w:jc w:val="center"/>
              <w:rPr>
                <w:rFonts w:hint="eastAsia" w:ascii="宋体" w:hAnsi="宋体" w:eastAsia="宋体" w:cs="宋体"/>
                <w:highlight w:val="none"/>
                <w:lang w:val="zh-CN"/>
              </w:rPr>
            </w:pPr>
            <w:r>
              <w:rPr>
                <w:rFonts w:hint="eastAsia" w:ascii="宋体" w:hAnsi="宋体" w:eastAsia="宋体" w:cs="宋体"/>
                <w:highlight w:val="none"/>
              </w:rPr>
              <w:t>5</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16E7B979">
            <w:pPr>
              <w:keepNext w:val="0"/>
              <w:keepLines w:val="0"/>
              <w:pageBreakBefore w:val="0"/>
              <w:widowControl w:val="0"/>
              <w:shd w:val="clear"/>
              <w:kinsoku/>
              <w:wordWrap/>
              <w:overflowPunct/>
              <w:topLinePunct w:val="0"/>
              <w:autoSpaceDE w:val="0"/>
              <w:autoSpaceDN w:val="0"/>
              <w:bidi w:val="0"/>
              <w:snapToGrid w:val="0"/>
              <w:spacing w:line="360" w:lineRule="exact"/>
              <w:ind w:left="1"/>
              <w:textAlignment w:val="bottom"/>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投标保证金：</w:t>
            </w:r>
            <w:r>
              <w:rPr>
                <w:rFonts w:hint="eastAsia" w:ascii="宋体" w:hAnsi="宋体" w:cs="宋体"/>
                <w:color w:val="auto"/>
                <w:szCs w:val="21"/>
                <w:highlight w:val="none"/>
              </w:rPr>
              <w:t>无。</w:t>
            </w:r>
          </w:p>
        </w:tc>
      </w:tr>
      <w:tr w14:paraId="4A702325">
        <w:tblPrEx>
          <w:tblCellMar>
            <w:top w:w="0" w:type="dxa"/>
            <w:left w:w="108" w:type="dxa"/>
            <w:bottom w:w="0" w:type="dxa"/>
            <w:right w:w="108" w:type="dxa"/>
          </w:tblCellMar>
        </w:tblPrEx>
        <w:trPr>
          <w:trHeight w:val="1942"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4432306">
            <w:pPr>
              <w:jc w:val="center"/>
              <w:rPr>
                <w:rFonts w:hint="eastAsia" w:ascii="宋体" w:hAnsi="宋体" w:eastAsia="宋体" w:cs="宋体"/>
                <w:highlight w:val="none"/>
              </w:rPr>
            </w:pPr>
            <w:r>
              <w:rPr>
                <w:rFonts w:hint="eastAsia" w:ascii="宋体" w:hAnsi="宋体" w:eastAsia="宋体" w:cs="宋体"/>
                <w:highlight w:val="none"/>
              </w:rPr>
              <w:t>6</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708292B5">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投标报价及费用：</w:t>
            </w:r>
          </w:p>
          <w:p w14:paraId="1D6A76C4">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1、本项目投标应以人民币报价；</w:t>
            </w:r>
          </w:p>
          <w:p w14:paraId="1F087482">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2、不论投标结果如何，投标人均应自行承担所有与投标有关的全部费用；</w:t>
            </w:r>
          </w:p>
          <w:p w14:paraId="7D83B31F">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3、采购代理费用由成交供应商支付，</w:t>
            </w:r>
            <w:r>
              <w:rPr>
                <w:rFonts w:hint="eastAsia" w:ascii="宋体" w:hAnsi="宋体" w:eastAsia="宋体" w:cs="宋体"/>
                <w:color w:val="auto"/>
                <w:szCs w:val="21"/>
                <w:highlight w:val="none"/>
                <w:lang w:val="en-US" w:eastAsia="zh-CN" w:bidi="ar"/>
              </w:rPr>
              <w:t>代理费收费</w:t>
            </w:r>
            <w:r>
              <w:rPr>
                <w:rFonts w:hint="eastAsia" w:ascii="宋体" w:hAnsi="宋体" w:cs="宋体"/>
                <w:color w:val="auto"/>
                <w:szCs w:val="21"/>
                <w:highlight w:val="none"/>
                <w:lang w:val="en-US" w:eastAsia="zh-CN" w:bidi="ar"/>
              </w:rPr>
              <w:t>以人民币29800</w:t>
            </w:r>
            <w:r>
              <w:rPr>
                <w:rFonts w:hint="eastAsia" w:ascii="宋体" w:hAnsi="宋体" w:eastAsia="宋体" w:cs="宋体"/>
                <w:color w:val="auto"/>
                <w:szCs w:val="21"/>
                <w:highlight w:val="none"/>
                <w:lang w:val="en-US" w:eastAsia="zh-CN" w:bidi="ar"/>
              </w:rPr>
              <w:t>元</w:t>
            </w:r>
            <w:r>
              <w:rPr>
                <w:rFonts w:hint="eastAsia" w:ascii="宋体" w:hAnsi="宋体" w:cs="宋体"/>
                <w:color w:val="auto"/>
                <w:szCs w:val="21"/>
                <w:highlight w:val="none"/>
                <w:lang w:val="en-US" w:eastAsia="zh-CN" w:bidi="ar"/>
              </w:rPr>
              <w:t>计</w:t>
            </w:r>
            <w:r>
              <w:rPr>
                <w:rFonts w:hint="eastAsia" w:ascii="宋体" w:hAnsi="宋体" w:eastAsia="宋体" w:cs="宋体"/>
                <w:color w:val="auto"/>
                <w:szCs w:val="21"/>
                <w:highlight w:val="none"/>
                <w:lang w:bidi="ar"/>
              </w:rPr>
              <w:t>。结算方式时间为：中标供应商在领取中标通知书前，以转账、银行汇票或现金缴</w:t>
            </w:r>
            <w:bookmarkStart w:id="226" w:name="_GoBack"/>
            <w:bookmarkEnd w:id="226"/>
            <w:r>
              <w:rPr>
                <w:rFonts w:hint="eastAsia" w:ascii="宋体" w:hAnsi="宋体" w:eastAsia="宋体" w:cs="宋体"/>
                <w:color w:val="auto"/>
                <w:szCs w:val="21"/>
                <w:highlight w:val="none"/>
                <w:lang w:bidi="ar"/>
              </w:rPr>
              <w:t xml:space="preserve">入代理公司账户为准 。账户信息如下： </w:t>
            </w:r>
          </w:p>
          <w:p w14:paraId="73DA977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账户名称：湖州盛远招标代理有限公司</w:t>
            </w:r>
          </w:p>
          <w:p w14:paraId="453BF35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开户银行：浙江安吉农村商业银行股份有限公司城南支行</w:t>
            </w:r>
          </w:p>
          <w:p w14:paraId="690DCDF9">
            <w:pPr>
              <w:pStyle w:val="6"/>
              <w:keepNext w:val="0"/>
              <w:keepLines w:val="0"/>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color w:val="auto"/>
                <w:szCs w:val="21"/>
                <w:highlight w:val="none"/>
              </w:rPr>
            </w:pPr>
            <w:r>
              <w:rPr>
                <w:rFonts w:hint="eastAsia" w:ascii="宋体" w:hAnsi="宋体" w:eastAsia="宋体" w:cs="宋体"/>
                <w:b/>
                <w:bCs/>
                <w:color w:val="000000"/>
                <w:sz w:val="21"/>
                <w:szCs w:val="21"/>
                <w:highlight w:val="none"/>
              </w:rPr>
              <w:t>银行账号：2010 0024 3676 462</w:t>
            </w:r>
          </w:p>
        </w:tc>
      </w:tr>
      <w:tr w14:paraId="2BB2F559">
        <w:tblPrEx>
          <w:tblCellMar>
            <w:top w:w="0" w:type="dxa"/>
            <w:left w:w="108" w:type="dxa"/>
            <w:bottom w:w="0" w:type="dxa"/>
            <w:right w:w="108" w:type="dxa"/>
          </w:tblCellMar>
        </w:tblPrEx>
        <w:trPr>
          <w:trHeight w:val="519"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1119399">
            <w:pPr>
              <w:jc w:val="center"/>
              <w:rPr>
                <w:rFonts w:hint="eastAsia" w:ascii="宋体" w:hAnsi="宋体" w:eastAsia="宋体" w:cs="宋体"/>
                <w:highlight w:val="none"/>
              </w:rPr>
            </w:pPr>
            <w:r>
              <w:rPr>
                <w:rFonts w:hint="eastAsia" w:ascii="宋体" w:hAnsi="宋体" w:eastAsia="宋体" w:cs="宋体"/>
                <w:highlight w:val="none"/>
              </w:rPr>
              <w:t>7</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1EB70F61">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zh-CN"/>
              </w:rPr>
              <w:t>本项目投标报价上限：</w:t>
            </w:r>
            <w:r>
              <w:rPr>
                <w:rFonts w:hint="eastAsia" w:ascii="宋体" w:hAnsi="宋体" w:cs="宋体"/>
                <w:color w:val="auto"/>
                <w:szCs w:val="21"/>
                <w:highlight w:val="none"/>
                <w:lang w:val="en-US" w:eastAsia="zh-CN"/>
              </w:rPr>
              <w:t>20000元/吨</w:t>
            </w:r>
          </w:p>
          <w:p w14:paraId="72A2ACE3">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rPr>
              <w:t>报价不得超</w:t>
            </w:r>
            <w:r>
              <w:rPr>
                <w:rFonts w:hint="eastAsia" w:ascii="宋体" w:hAnsi="宋体" w:cs="宋体"/>
                <w:color w:val="auto"/>
                <w:szCs w:val="21"/>
                <w:highlight w:val="none"/>
                <w:lang w:val="en-US" w:eastAsia="zh-CN"/>
              </w:rPr>
              <w:t>预算价</w:t>
            </w:r>
            <w:r>
              <w:rPr>
                <w:rFonts w:hint="eastAsia" w:ascii="宋体" w:hAnsi="宋体" w:cs="宋体"/>
                <w:color w:val="auto"/>
                <w:szCs w:val="21"/>
                <w:highlight w:val="none"/>
              </w:rPr>
              <w:t>，否则投标无效。</w:t>
            </w:r>
          </w:p>
        </w:tc>
      </w:tr>
      <w:tr w14:paraId="0CFB200F">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54A293A6">
            <w:pPr>
              <w:jc w:val="center"/>
              <w:rPr>
                <w:rFonts w:hint="eastAsia" w:ascii="宋体" w:hAnsi="宋体" w:eastAsia="宋体" w:cs="宋体"/>
                <w:highlight w:val="none"/>
              </w:rPr>
            </w:pPr>
            <w:r>
              <w:rPr>
                <w:rFonts w:hint="eastAsia" w:ascii="宋体" w:hAnsi="宋体" w:eastAsia="宋体" w:cs="宋体"/>
                <w:highlight w:val="none"/>
              </w:rPr>
              <w:t>8</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24D83A38">
            <w:pPr>
              <w:pStyle w:val="6"/>
              <w:keepNext w:val="0"/>
              <w:keepLines w:val="0"/>
              <w:pageBreakBefore w:val="0"/>
              <w:widowControl w:val="0"/>
              <w:shd w:val="clear"/>
              <w:kinsoku/>
              <w:wordWrap/>
              <w:overflowPunct/>
              <w:topLinePunct w:val="0"/>
              <w:bidi w:val="0"/>
              <w:spacing w:line="360" w:lineRule="exact"/>
              <w:ind w:firstLine="0"/>
              <w:rPr>
                <w:rFonts w:hint="eastAsia" w:ascii="宋体" w:hAnsi="宋体" w:cs="宋体"/>
                <w:color w:val="auto"/>
                <w:szCs w:val="21"/>
                <w:highlight w:val="none"/>
              </w:rPr>
            </w:pPr>
            <w:r>
              <w:rPr>
                <w:rFonts w:hint="eastAsia" w:ascii="宋体" w:hAnsi="宋体" w:cs="宋体"/>
                <w:color w:val="auto"/>
                <w:szCs w:val="21"/>
                <w:highlight w:val="none"/>
              </w:rPr>
              <w:t>现场踏勘：</w:t>
            </w:r>
          </w:p>
          <w:p w14:paraId="0776E316">
            <w:pPr>
              <w:pStyle w:val="6"/>
              <w:keepNext w:val="0"/>
              <w:keepLines w:val="0"/>
              <w:pageBreakBefore w:val="0"/>
              <w:widowControl w:val="0"/>
              <w:shd w:val="clear"/>
              <w:kinsoku/>
              <w:wordWrap/>
              <w:overflowPunct/>
              <w:topLinePunct w:val="0"/>
              <w:bidi w:val="0"/>
              <w:spacing w:line="360" w:lineRule="exact"/>
              <w:ind w:firstLine="0"/>
              <w:rPr>
                <w:rFonts w:hint="eastAsia" w:ascii="宋体" w:hAnsi="宋体" w:cs="宋体"/>
                <w:color w:val="auto"/>
                <w:szCs w:val="21"/>
                <w:highlight w:val="none"/>
              </w:rPr>
            </w:pPr>
            <w:r>
              <w:rPr>
                <w:rFonts w:hint="eastAsia" w:ascii="宋体" w:hAnsi="宋体" w:cs="宋体"/>
                <w:color w:val="auto"/>
                <w:szCs w:val="21"/>
                <w:highlight w:val="none"/>
              </w:rPr>
              <w:t>不集中组织，投标人可自行前往，踏勘现场所发生的费用由投标人自己承担。</w:t>
            </w:r>
          </w:p>
        </w:tc>
      </w:tr>
      <w:tr w14:paraId="3817005E">
        <w:tblPrEx>
          <w:tblCellMar>
            <w:top w:w="0" w:type="dxa"/>
            <w:left w:w="108" w:type="dxa"/>
            <w:bottom w:w="0" w:type="dxa"/>
            <w:right w:w="108" w:type="dxa"/>
          </w:tblCellMar>
        </w:tblPrEx>
        <w:trPr>
          <w:trHeight w:val="477"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52D3C636">
            <w:pPr>
              <w:jc w:val="center"/>
              <w:rPr>
                <w:rFonts w:hint="eastAsia" w:ascii="宋体" w:hAnsi="宋体" w:eastAsia="宋体" w:cs="宋体"/>
                <w:highlight w:val="none"/>
              </w:rPr>
            </w:pPr>
            <w:r>
              <w:rPr>
                <w:rFonts w:hint="eastAsia" w:ascii="宋体" w:hAnsi="宋体" w:eastAsia="宋体" w:cs="宋体"/>
                <w:highlight w:val="none"/>
              </w:rPr>
              <w:t>9</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16A83BD4">
            <w:pPr>
              <w:keepNext w:val="0"/>
              <w:keepLines w:val="0"/>
              <w:pageBreakBefore w:val="0"/>
              <w:widowControl w:val="0"/>
              <w:shd w:val="clear"/>
              <w:kinsoku/>
              <w:wordWrap/>
              <w:overflowPunct/>
              <w:topLinePunct w:val="0"/>
              <w:bidi w:val="0"/>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答疑与澄清：</w:t>
            </w:r>
          </w:p>
          <w:p w14:paraId="7432FFC4">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74A3720D">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50920F74">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质疑受理：投标人应将书面质疑函邮寄至</w:t>
            </w:r>
            <w:r>
              <w:rPr>
                <w:rFonts w:hint="eastAsia" w:ascii="宋体" w:hAnsi="宋体" w:cs="宋体"/>
                <w:color w:val="auto"/>
                <w:szCs w:val="21"/>
                <w:highlight w:val="none"/>
              </w:rPr>
              <w:t>浙江省</w:t>
            </w:r>
            <w:r>
              <w:rPr>
                <w:rFonts w:hint="eastAsia" w:ascii="宋体" w:hAnsi="宋体" w:cs="宋体"/>
                <w:color w:val="auto"/>
                <w:szCs w:val="21"/>
                <w:highlight w:val="none"/>
                <w:lang w:eastAsia="zh-CN"/>
              </w:rPr>
              <w:t>安吉县昌硕街道上郎新村6-9幢上郎社区文化服务楼3楼湖州盛远招标代理有限公司</w:t>
            </w:r>
            <w:r>
              <w:rPr>
                <w:rFonts w:hint="eastAsia" w:ascii="宋体" w:hAnsi="宋体" w:cs="宋体"/>
                <w:color w:val="auto"/>
                <w:szCs w:val="21"/>
                <w:highlight w:val="none"/>
              </w:rPr>
              <w:t xml:space="preserve">，联系人 </w:t>
            </w:r>
            <w:r>
              <w:rPr>
                <w:rFonts w:hint="eastAsia" w:ascii="宋体" w:hAnsi="宋体" w:cs="宋体"/>
                <w:color w:val="auto"/>
                <w:szCs w:val="21"/>
                <w:highlight w:val="none"/>
                <w:lang w:eastAsia="zh-CN"/>
              </w:rPr>
              <w:t>沈女士  19884266829</w:t>
            </w:r>
            <w:r>
              <w:rPr>
                <w:rFonts w:hint="eastAsia" w:ascii="宋体" w:hAnsi="宋体" w:cs="宋体"/>
                <w:color w:val="auto"/>
                <w:szCs w:val="21"/>
                <w:highlight w:val="none"/>
              </w:rPr>
              <w:t>，同时将质疑函扫描件以电子邮件形式发送至电子邮箱</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fldChar w:fldCharType="begin"/>
            </w:r>
            <w:r>
              <w:rPr>
                <w:rFonts w:ascii="宋体" w:hAnsi="宋体" w:cs="宋体"/>
                <w:color w:val="auto"/>
                <w:szCs w:val="21"/>
                <w:highlight w:val="none"/>
                <w:u w:val="single"/>
              </w:rPr>
              <w:instrText xml:space="preserve"> HYPERLINK "mailto:</w:instrText>
            </w:r>
            <w:r>
              <w:rPr>
                <w:rFonts w:hint="eastAsia" w:ascii="宋体" w:hAnsi="宋体" w:cs="宋体"/>
                <w:color w:val="auto"/>
                <w:szCs w:val="21"/>
                <w:highlight w:val="none"/>
                <w:u w:val="single"/>
              </w:rPr>
              <w:instrText xml:space="preserve">379797688@qq.com</w:instrText>
            </w:r>
            <w:r>
              <w:rPr>
                <w:rFonts w:ascii="宋体" w:hAnsi="宋体" w:cs="宋体"/>
                <w:color w:val="auto"/>
                <w:szCs w:val="21"/>
                <w:highlight w:val="none"/>
                <w:u w:val="single"/>
              </w:rPr>
              <w:instrText xml:space="preserve">" </w:instrText>
            </w:r>
            <w:r>
              <w:rPr>
                <w:rFonts w:ascii="宋体" w:hAnsi="宋体" w:cs="宋体"/>
                <w:color w:val="auto"/>
                <w:szCs w:val="21"/>
                <w:highlight w:val="none"/>
                <w:u w:val="single"/>
              </w:rPr>
              <w:fldChar w:fldCharType="separate"/>
            </w:r>
            <w:r>
              <w:rPr>
                <w:rFonts w:hint="eastAsia" w:ascii="宋体" w:hAnsi="宋体" w:cs="宋体"/>
                <w:color w:val="auto"/>
                <w:szCs w:val="21"/>
                <w:highlight w:val="none"/>
                <w:u w:val="single"/>
                <w:lang w:val="en-US" w:eastAsia="zh-CN"/>
              </w:rPr>
              <w:t>313944962</w:t>
            </w:r>
            <w:r>
              <w:rPr>
                <w:rStyle w:val="41"/>
                <w:rFonts w:hint="eastAsia" w:ascii="宋体" w:hAnsi="宋体" w:cs="宋体"/>
                <w:color w:val="auto"/>
                <w:szCs w:val="21"/>
                <w:highlight w:val="none"/>
              </w:rPr>
              <w:t>@qq.com</w:t>
            </w:r>
            <w:r>
              <w:rPr>
                <w:rFonts w:ascii="宋体" w:hAnsi="宋体" w:cs="宋体"/>
                <w:color w:val="auto"/>
                <w:szCs w:val="21"/>
                <w:highlight w:val="none"/>
                <w:u w:val="single"/>
              </w:rPr>
              <w:fldChar w:fldCharType="end"/>
            </w:r>
            <w:r>
              <w:rPr>
                <w:rFonts w:hint="eastAsia" w:ascii="宋体" w:hAnsi="宋体" w:cs="宋体"/>
                <w:color w:val="auto"/>
                <w:szCs w:val="21"/>
                <w:highlight w:val="none"/>
                <w:u w:val="single"/>
              </w:rPr>
              <w:t>。</w:t>
            </w:r>
          </w:p>
        </w:tc>
      </w:tr>
      <w:tr w14:paraId="3FC6E1B8">
        <w:tblPrEx>
          <w:tblCellMar>
            <w:top w:w="0" w:type="dxa"/>
            <w:left w:w="108" w:type="dxa"/>
            <w:bottom w:w="0" w:type="dxa"/>
            <w:right w:w="108" w:type="dxa"/>
          </w:tblCellMar>
        </w:tblPrEx>
        <w:trPr>
          <w:trHeight w:val="4760"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65C3F64">
            <w:pPr>
              <w:jc w:val="center"/>
              <w:rPr>
                <w:rFonts w:hint="eastAsia" w:ascii="宋体" w:hAnsi="宋体" w:eastAsia="宋体" w:cs="宋体"/>
                <w:highlight w:val="none"/>
              </w:rPr>
            </w:pPr>
            <w:r>
              <w:rPr>
                <w:rFonts w:hint="eastAsia" w:ascii="宋体" w:hAnsi="宋体" w:eastAsia="宋体" w:cs="宋体"/>
                <w:highlight w:val="none"/>
              </w:rPr>
              <w:t>10</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2AA53E9A">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投标文件的制作及组成：</w:t>
            </w:r>
          </w:p>
          <w:p w14:paraId="76A3E9EC">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lang w:val="zh-CN"/>
              </w:rPr>
            </w:pPr>
            <w:r>
              <w:rPr>
                <w:rFonts w:hint="eastAsia" w:ascii="宋体" w:hAnsi="宋体" w:cs="宋体"/>
                <w:color w:val="auto"/>
                <w:szCs w:val="21"/>
                <w:highlight w:val="none"/>
              </w:rPr>
              <w:t>(1)</w:t>
            </w:r>
            <w:r>
              <w:rPr>
                <w:rFonts w:hint="eastAsia"/>
                <w:highlight w:val="none"/>
                <w:lang w:val="zh-CN"/>
              </w:rPr>
              <w:t>投标文件组成：</w:t>
            </w:r>
          </w:p>
          <w:p w14:paraId="58058C89">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lang w:val="zh-CN"/>
              </w:rPr>
            </w:pPr>
            <w:r>
              <w:rPr>
                <w:rFonts w:hint="eastAsia"/>
                <w:highlight w:val="none"/>
                <w:lang w:val="zh-CN"/>
              </w:rPr>
              <w:t>资格证明文件、报价文件、技术资信文件。</w:t>
            </w:r>
          </w:p>
          <w:p w14:paraId="6A8B2582">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ascii="宋体" w:hAnsi="宋体" w:cs="宋体"/>
                <w:color w:val="auto"/>
                <w:szCs w:val="21"/>
                <w:highlight w:val="none"/>
              </w:rPr>
              <w:t>(2)</w:t>
            </w:r>
            <w:r>
              <w:rPr>
                <w:rFonts w:hint="eastAsia"/>
                <w:highlight w:val="none"/>
              </w:rPr>
              <w:t>投标文件编制：</w:t>
            </w:r>
          </w:p>
          <w:p w14:paraId="7F25520B">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投标人应先安装“政采云电子交易客户端”，并按照本招标文件和“政采云平台”的要求，通过“政采云电子交易客户端”编制并加密投标文件。</w:t>
            </w:r>
          </w:p>
          <w:p w14:paraId="59FBE7DE">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ascii="宋体" w:hAnsi="宋体" w:cs="宋体"/>
                <w:color w:val="auto"/>
                <w:szCs w:val="21"/>
                <w:highlight w:val="none"/>
              </w:rPr>
              <w:t>(3)</w:t>
            </w:r>
            <w:r>
              <w:rPr>
                <w:rFonts w:hint="eastAsia"/>
                <w:highlight w:val="none"/>
              </w:rPr>
              <w:t>投标文件的形式：</w:t>
            </w:r>
          </w:p>
          <w:p w14:paraId="1ABEDDC4">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☑电子投标文件（包括“电子加密投标文件”和“备份投标文件”，在投标文件编制完成后同时生成）。</w:t>
            </w:r>
          </w:p>
          <w:p w14:paraId="3ED6232A">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13151546">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highlight w:val="none"/>
              </w:rPr>
            </w:pPr>
            <w:r>
              <w:rPr>
                <w:rFonts w:hint="eastAsia" w:ascii="宋体" w:hAnsi="宋体" w:cs="宋体"/>
                <w:color w:val="auto"/>
                <w:szCs w:val="21"/>
                <w:highlight w:val="none"/>
              </w:rPr>
              <w:t>(4)</w:t>
            </w:r>
            <w:r>
              <w:rPr>
                <w:rFonts w:hint="eastAsia" w:ascii="宋体" w:hAnsi="宋体" w:eastAsia="宋体" w:cs="宋体"/>
                <w:highlight w:val="none"/>
              </w:rPr>
              <w:t>投标文件份数：</w:t>
            </w:r>
          </w:p>
          <w:p w14:paraId="6230FDF1">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highlight w:val="none"/>
              </w:rPr>
            </w:pPr>
            <w:r>
              <w:rPr>
                <w:rFonts w:hint="eastAsia" w:ascii="宋体" w:hAnsi="宋体" w:eastAsia="宋体" w:cs="宋体"/>
                <w:highlight w:val="none"/>
              </w:rPr>
              <w:t>“电子加密投标文件”(必须提交）：在线上传递交一份。</w:t>
            </w:r>
          </w:p>
          <w:p w14:paraId="4DEF4EB2">
            <w:pPr>
              <w:keepNext w:val="0"/>
              <w:keepLines w:val="0"/>
              <w:pageBreakBefore w:val="0"/>
              <w:widowControl/>
              <w:shd w:val="clear"/>
              <w:kinsoku/>
              <w:wordWrap/>
              <w:overflowPunct/>
              <w:topLinePunct w:val="0"/>
              <w:autoSpaceDE w:val="0"/>
              <w:autoSpaceDN w:val="0"/>
              <w:bidi w:val="0"/>
              <w:adjustRightInd w:val="0"/>
              <w:spacing w:line="360" w:lineRule="exact"/>
              <w:jc w:val="left"/>
              <w:rPr>
                <w:highlight w:val="none"/>
              </w:rPr>
            </w:pPr>
            <w:r>
              <w:rPr>
                <w:rFonts w:hint="eastAsia" w:ascii="宋体" w:hAnsi="宋体" w:eastAsia="宋体" w:cs="宋体"/>
                <w:highlight w:val="none"/>
              </w:rPr>
              <w:t>“备份投标文件”（不强制提交）：密封包装后在投标截止时间前邮寄至</w:t>
            </w:r>
            <w:r>
              <w:rPr>
                <w:rFonts w:hint="eastAsia" w:ascii="宋体" w:hAnsi="宋体" w:eastAsia="宋体" w:cs="宋体"/>
                <w:highlight w:val="none"/>
                <w:lang w:eastAsia="zh-CN"/>
              </w:rPr>
              <w:t>安吉县昌硕街道上郎新村6-9幢上郎社区文化服务楼3楼湖州盛远招标代理有限公司</w:t>
            </w:r>
            <w:r>
              <w:rPr>
                <w:rFonts w:hint="eastAsia" w:ascii="宋体" w:hAnsi="宋体" w:eastAsia="宋体" w:cs="宋体"/>
                <w:highlight w:val="none"/>
              </w:rPr>
              <w:t>，联系人</w:t>
            </w:r>
            <w:r>
              <w:rPr>
                <w:rFonts w:hint="eastAsia" w:ascii="宋体" w:hAnsi="宋体" w:eastAsia="宋体" w:cs="宋体"/>
                <w:highlight w:val="none"/>
                <w:lang w:val="en-US" w:eastAsia="zh-CN"/>
              </w:rPr>
              <w:t>沈女士</w:t>
            </w:r>
            <w:r>
              <w:rPr>
                <w:rFonts w:hint="eastAsia" w:ascii="宋体" w:hAnsi="宋体" w:eastAsia="宋体" w:cs="宋体"/>
                <w:highlight w:val="none"/>
              </w:rPr>
              <w:t>，联系电话</w:t>
            </w:r>
            <w:r>
              <w:rPr>
                <w:rFonts w:hint="eastAsia" w:ascii="宋体" w:hAnsi="宋体" w:eastAsia="宋体" w:cs="宋体"/>
                <w:highlight w:val="none"/>
                <w:lang w:eastAsia="zh-CN"/>
              </w:rPr>
              <w:t>13385728189</w:t>
            </w:r>
            <w:r>
              <w:rPr>
                <w:rFonts w:hint="eastAsia" w:ascii="宋体" w:hAnsi="宋体" w:eastAsia="宋体" w:cs="宋体"/>
                <w:highlight w:val="none"/>
              </w:rPr>
              <w:t>，数量为U盘一份。</w:t>
            </w:r>
          </w:p>
        </w:tc>
      </w:tr>
      <w:tr w14:paraId="04616DFF">
        <w:tblPrEx>
          <w:tblCellMar>
            <w:top w:w="0" w:type="dxa"/>
            <w:left w:w="108" w:type="dxa"/>
            <w:bottom w:w="0" w:type="dxa"/>
            <w:right w:w="108" w:type="dxa"/>
          </w:tblCellMar>
        </w:tblPrEx>
        <w:trPr>
          <w:trHeight w:val="3765"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429B3D55">
            <w:pPr>
              <w:jc w:val="center"/>
              <w:rPr>
                <w:rFonts w:hint="eastAsia" w:ascii="宋体" w:hAnsi="宋体" w:eastAsia="宋体" w:cs="宋体"/>
                <w:highlight w:val="none"/>
              </w:rPr>
            </w:pPr>
            <w:r>
              <w:rPr>
                <w:rFonts w:hint="eastAsia" w:ascii="宋体" w:hAnsi="宋体" w:eastAsia="宋体" w:cs="宋体"/>
                <w:highlight w:val="none"/>
              </w:rPr>
              <w:t>11</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0A5EF45F">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投标文件的上传和递交：</w:t>
            </w:r>
          </w:p>
          <w:p w14:paraId="7FABB6BE">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（1）“电子加密投标文件”的上传、递交：</w:t>
            </w:r>
          </w:p>
          <w:p w14:paraId="5BBD5C6D">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投标人应在投标截止时间前将“电子加密投标文件”成功上传递交至“政采云平台”，否则投标无效。</w:t>
            </w:r>
          </w:p>
          <w:p w14:paraId="33EFF40C">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“电子加密投标文件”成功上传递交后，投标人可自行打印投标文件接收回执。</w:t>
            </w:r>
          </w:p>
          <w:p w14:paraId="77B8BEE8">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（2）“备份投标文件”的密封包装、递交：</w:t>
            </w:r>
          </w:p>
          <w:p w14:paraId="5F003CE1">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投标人在“政采云平台”完成“电子加密投标文件”的上传递交后，还可以在投标截止时间前递交以介质（U盘）存储的 “备份投标文件”（一份）；</w:t>
            </w:r>
          </w:p>
          <w:p w14:paraId="0CD4ABE5">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“备份投标文件”应当密封包装，并在包装上标注投标项目名称、投标单位名称并加盖公章。没有密封包装或者逾期送达的“备份投标文件”无效；</w:t>
            </w:r>
          </w:p>
          <w:p w14:paraId="5B57C0E2">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297CF8CF">
        <w:tblPrEx>
          <w:tblCellMar>
            <w:top w:w="0" w:type="dxa"/>
            <w:left w:w="108" w:type="dxa"/>
            <w:bottom w:w="0" w:type="dxa"/>
            <w:right w:w="108" w:type="dxa"/>
          </w:tblCellMar>
        </w:tblPrEx>
        <w:trPr>
          <w:trHeight w:val="977"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3BFCD28">
            <w:pPr>
              <w:jc w:val="center"/>
              <w:rPr>
                <w:rFonts w:hint="eastAsia" w:ascii="宋体" w:hAnsi="宋体" w:eastAsia="宋体" w:cs="宋体"/>
                <w:highlight w:val="none"/>
              </w:rPr>
            </w:pPr>
            <w:r>
              <w:rPr>
                <w:rFonts w:hint="eastAsia" w:ascii="宋体" w:hAnsi="宋体" w:eastAsia="宋体" w:cs="宋体"/>
                <w:highlight w:val="none"/>
              </w:rPr>
              <w:t>12</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22529EFF">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lang w:val="zh-CN"/>
              </w:rPr>
            </w:pPr>
            <w:r>
              <w:rPr>
                <w:rFonts w:hint="eastAsia"/>
                <w:color w:val="auto"/>
                <w:highlight w:val="none"/>
                <w:lang w:val="zh-CN"/>
              </w:rPr>
              <w:t>投标文件递交地点及截止时间：</w:t>
            </w:r>
          </w:p>
          <w:p w14:paraId="7E3CCC77">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lang w:val="zh-CN"/>
              </w:rPr>
            </w:pPr>
            <w:r>
              <w:rPr>
                <w:rFonts w:hint="eastAsia" w:ascii="宋体" w:hAnsi="宋体" w:cs="宋体"/>
                <w:color w:val="auto"/>
                <w:szCs w:val="21"/>
                <w:highlight w:val="none"/>
                <w:lang w:val="zh-CN"/>
              </w:rPr>
              <w:t>地点：</w:t>
            </w:r>
            <w:r>
              <w:rPr>
                <w:rFonts w:hint="eastAsia" w:ascii="宋体" w:hAnsi="宋体" w:cs="宋体"/>
                <w:color w:val="auto"/>
                <w:szCs w:val="21"/>
                <w:highlight w:val="none"/>
              </w:rPr>
              <w:t>通过“政采云平台（www.zcygov.cn）”实行在线投标响</w:t>
            </w:r>
            <w:r>
              <w:rPr>
                <w:rFonts w:hint="eastAsia"/>
                <w:color w:val="auto"/>
                <w:highlight w:val="none"/>
              </w:rPr>
              <w:t>应</w:t>
            </w:r>
          </w:p>
          <w:p w14:paraId="6D3C7E65">
            <w:pPr>
              <w:keepNext w:val="0"/>
              <w:keepLines w:val="0"/>
              <w:pageBreakBefore w:val="0"/>
              <w:widowControl w:val="0"/>
              <w:shd w:val="clear"/>
              <w:kinsoku/>
              <w:wordWrap/>
              <w:overflowPunct/>
              <w:topLinePunct w:val="0"/>
              <w:autoSpaceDE w:val="0"/>
              <w:autoSpaceDN w:val="0"/>
              <w:bidi w:val="0"/>
              <w:adjustRightInd w:val="0"/>
              <w:spacing w:line="360" w:lineRule="exact"/>
              <w:jc w:val="left"/>
              <w:rPr>
                <w:color w:val="auto"/>
                <w:highlight w:val="none"/>
              </w:rPr>
            </w:pPr>
            <w:r>
              <w:rPr>
                <w:rFonts w:hint="eastAsia"/>
                <w:color w:val="auto"/>
                <w:highlight w:val="none"/>
                <w:lang w:val="zh-CN"/>
              </w:rPr>
              <w:t>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14：00</w:t>
            </w:r>
            <w:r>
              <w:rPr>
                <w:rFonts w:hint="eastAsia"/>
                <w:color w:val="auto"/>
                <w:highlight w:val="none"/>
              </w:rPr>
              <w:t>时</w:t>
            </w:r>
          </w:p>
        </w:tc>
      </w:tr>
      <w:tr w14:paraId="41C99C59">
        <w:tblPrEx>
          <w:tblCellMar>
            <w:top w:w="0" w:type="dxa"/>
            <w:left w:w="108" w:type="dxa"/>
            <w:bottom w:w="0" w:type="dxa"/>
            <w:right w:w="108" w:type="dxa"/>
          </w:tblCellMar>
        </w:tblPrEx>
        <w:trPr>
          <w:trHeight w:val="269"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2CAED97E">
            <w:pPr>
              <w:jc w:val="center"/>
              <w:rPr>
                <w:rFonts w:hint="eastAsia" w:ascii="宋体" w:hAnsi="宋体" w:eastAsia="宋体" w:cs="宋体"/>
                <w:highlight w:val="none"/>
              </w:rPr>
            </w:pPr>
            <w:r>
              <w:rPr>
                <w:rFonts w:hint="eastAsia" w:ascii="宋体" w:hAnsi="宋体" w:eastAsia="宋体" w:cs="宋体"/>
                <w:highlight w:val="none"/>
              </w:rPr>
              <w:t>13</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0003CE48">
            <w:pPr>
              <w:keepNext w:val="0"/>
              <w:keepLines w:val="0"/>
              <w:pageBreakBefore w:val="0"/>
              <w:widowControl w:val="0"/>
              <w:shd w:val="clear"/>
              <w:kinsoku/>
              <w:wordWrap/>
              <w:overflowPunct/>
              <w:topLinePunct w:val="0"/>
              <w:autoSpaceDE w:val="0"/>
              <w:autoSpaceDN w:val="0"/>
              <w:bidi w:val="0"/>
              <w:adjustRightInd w:val="0"/>
              <w:spacing w:line="360" w:lineRule="exact"/>
              <w:ind w:right="69"/>
              <w:rPr>
                <w:rFonts w:hint="eastAsia" w:ascii="宋体" w:hAnsi="宋体" w:cs="宋体"/>
                <w:color w:val="auto"/>
                <w:szCs w:val="21"/>
                <w:highlight w:val="none"/>
              </w:rPr>
            </w:pPr>
            <w:r>
              <w:rPr>
                <w:rFonts w:hint="eastAsia" w:ascii="宋体" w:hAnsi="宋体" w:cs="宋体"/>
                <w:color w:val="auto"/>
                <w:szCs w:val="21"/>
                <w:highlight w:val="none"/>
                <w:lang w:val="zh-CN"/>
              </w:rPr>
              <w:t>开标会议时间和地点</w:t>
            </w:r>
            <w:r>
              <w:rPr>
                <w:rFonts w:hint="eastAsia" w:ascii="宋体" w:hAnsi="宋体" w:cs="宋体"/>
                <w:color w:val="auto"/>
                <w:szCs w:val="21"/>
                <w:highlight w:val="none"/>
              </w:rPr>
              <w:t>：</w:t>
            </w:r>
          </w:p>
          <w:p w14:paraId="7CBA7385">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地点</w:t>
            </w:r>
            <w:r>
              <w:rPr>
                <w:rFonts w:hint="eastAsia" w:ascii="宋体" w:hAnsi="宋体" w:cs="宋体"/>
                <w:color w:val="auto"/>
                <w:szCs w:val="21"/>
                <w:highlight w:val="none"/>
              </w:rPr>
              <w:t>：通过“政采云平台（www.zcygov.cn）”实行在线开标</w:t>
            </w:r>
          </w:p>
          <w:p w14:paraId="3644DF90">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14：00</w:t>
            </w:r>
            <w:r>
              <w:rPr>
                <w:rFonts w:hint="eastAsia" w:ascii="宋体" w:hAnsi="宋体" w:cs="宋体"/>
                <w:color w:val="auto"/>
                <w:szCs w:val="21"/>
                <w:highlight w:val="none"/>
              </w:rPr>
              <w:t>时</w:t>
            </w:r>
          </w:p>
          <w:p w14:paraId="7BCBDAFF">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投标人应准时在线参加。</w:t>
            </w:r>
          </w:p>
        </w:tc>
      </w:tr>
      <w:tr w14:paraId="751EB228">
        <w:tblPrEx>
          <w:tblCellMar>
            <w:top w:w="0" w:type="dxa"/>
            <w:left w:w="108" w:type="dxa"/>
            <w:bottom w:w="0" w:type="dxa"/>
            <w:right w:w="108" w:type="dxa"/>
          </w:tblCellMar>
        </w:tblPrEx>
        <w:trPr>
          <w:trHeight w:val="2630"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62B46140">
            <w:pPr>
              <w:jc w:val="center"/>
              <w:rPr>
                <w:rFonts w:hint="eastAsia" w:ascii="宋体" w:hAnsi="宋体" w:eastAsia="宋体" w:cs="宋体"/>
                <w:highlight w:val="none"/>
              </w:rPr>
            </w:pPr>
            <w:r>
              <w:rPr>
                <w:rFonts w:hint="eastAsia" w:ascii="宋体" w:hAnsi="宋体" w:eastAsia="宋体" w:cs="宋体"/>
                <w:highlight w:val="none"/>
              </w:rPr>
              <w:t>14</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56851F4F">
            <w:pPr>
              <w:keepNext w:val="0"/>
              <w:keepLines w:val="0"/>
              <w:pageBreakBefore w:val="0"/>
              <w:widowControl w:val="0"/>
              <w:shd w:val="clear"/>
              <w:kinsoku/>
              <w:wordWrap/>
              <w:overflowPunct/>
              <w:topLinePunct w:val="0"/>
              <w:autoSpaceDE w:val="0"/>
              <w:autoSpaceDN w:val="0"/>
              <w:bidi w:val="0"/>
              <w:adjustRightInd w:val="0"/>
              <w:snapToGrid/>
              <w:spacing w:line="340" w:lineRule="exact"/>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电子加密投标文件的解密和异常情况处理：</w:t>
            </w:r>
          </w:p>
          <w:p w14:paraId="51AD340A">
            <w:pPr>
              <w:keepNext w:val="0"/>
              <w:keepLines w:val="0"/>
              <w:pageBreakBefore w:val="0"/>
              <w:widowControl w:val="0"/>
              <w:shd w:val="clear"/>
              <w:kinsoku/>
              <w:wordWrap/>
              <w:overflowPunct/>
              <w:topLinePunct w:val="0"/>
              <w:autoSpaceDE w:val="0"/>
              <w:autoSpaceDN w:val="0"/>
              <w:bidi w:val="0"/>
              <w:adjustRightInd w:val="0"/>
              <w:snapToGrid/>
              <w:spacing w:line="340" w:lineRule="exact"/>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（1）开标后，采购组织机构将向各投标人发出“电子加密投标文件”的解密通知，各投标人代表应当在接到解密通知后30分钟内自行完成“电子加密投标文件”的在线解密。</w:t>
            </w:r>
          </w:p>
          <w:p w14:paraId="210DD421">
            <w:pPr>
              <w:keepNext w:val="0"/>
              <w:keepLines w:val="0"/>
              <w:pageBreakBefore w:val="0"/>
              <w:widowControl w:val="0"/>
              <w:shd w:val="clear"/>
              <w:kinsoku/>
              <w:wordWrap/>
              <w:overflowPunct/>
              <w:topLinePunct w:val="0"/>
              <w:autoSpaceDE w:val="0"/>
              <w:autoSpaceDN w:val="0"/>
              <w:bidi w:val="0"/>
              <w:adjustRightInd w:val="0"/>
              <w:snapToGrid/>
              <w:spacing w:line="340" w:lineRule="exact"/>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39A4F575">
            <w:pPr>
              <w:keepNext w:val="0"/>
              <w:keepLines w:val="0"/>
              <w:pageBreakBefore w:val="0"/>
              <w:widowControl w:val="0"/>
              <w:shd w:val="clear"/>
              <w:kinsoku/>
              <w:wordWrap/>
              <w:overflowPunct/>
              <w:topLinePunct w:val="0"/>
              <w:autoSpaceDE w:val="0"/>
              <w:autoSpaceDN w:val="0"/>
              <w:bidi w:val="0"/>
              <w:adjustRightInd w:val="0"/>
              <w:snapToGrid/>
              <w:spacing w:line="340" w:lineRule="exact"/>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（3）投标截止时间前，投标人仅递交了“备份投标文件”而未将电子加密投标文件上传至“政府采购云平台”的，投标无效。</w:t>
            </w:r>
          </w:p>
        </w:tc>
      </w:tr>
      <w:tr w14:paraId="0E54FD45">
        <w:tblPrEx>
          <w:tblCellMar>
            <w:top w:w="0" w:type="dxa"/>
            <w:left w:w="108" w:type="dxa"/>
            <w:bottom w:w="0" w:type="dxa"/>
            <w:right w:w="108" w:type="dxa"/>
          </w:tblCellMar>
        </w:tblPrEx>
        <w:trPr>
          <w:trHeight w:val="3005"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07AF6715">
            <w:pPr>
              <w:jc w:val="center"/>
              <w:rPr>
                <w:rFonts w:hint="eastAsia" w:ascii="宋体" w:hAnsi="宋体" w:eastAsia="宋体" w:cs="宋体"/>
                <w:highlight w:val="none"/>
              </w:rPr>
            </w:pPr>
            <w:r>
              <w:rPr>
                <w:rFonts w:hint="eastAsia" w:ascii="宋体" w:hAnsi="宋体" w:eastAsia="宋体" w:cs="宋体"/>
                <w:highlight w:val="none"/>
              </w:rPr>
              <w:t>15</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51F09F3E">
            <w:pPr>
              <w:pStyle w:val="7"/>
              <w:keepNext w:val="0"/>
              <w:keepLines w:val="0"/>
              <w:pageBreakBefore w:val="0"/>
              <w:widowControl w:val="0"/>
              <w:numPr>
                <w:ilvl w:val="0"/>
                <w:numId w:val="0"/>
              </w:numPr>
              <w:shd w:val="clear"/>
              <w:tabs>
                <w:tab w:val="clear" w:pos="720"/>
              </w:tabs>
              <w:kinsoku/>
              <w:wordWrap/>
              <w:overflowPunct/>
              <w:topLinePunct w:val="0"/>
              <w:bidi w:val="0"/>
              <w:snapToGrid/>
              <w:spacing w:before="0" w:after="0" w:line="340" w:lineRule="exac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可中止电子交易活动的情形</w:t>
            </w:r>
          </w:p>
          <w:p w14:paraId="1C3F546A">
            <w:pPr>
              <w:keepNext w:val="0"/>
              <w:keepLines w:val="0"/>
              <w:pageBreakBefore w:val="0"/>
              <w:widowControl w:val="0"/>
              <w:shd w:val="clear"/>
              <w:kinsoku/>
              <w:wordWrap/>
              <w:overflowPunct/>
              <w:topLinePunct w:val="0"/>
              <w:bidi w:val="0"/>
              <w:snapToGrid/>
              <w:spacing w:line="340" w:lineRule="exact"/>
              <w:ind w:firstLine="369" w:firstLineChars="176"/>
              <w:textAlignment w:val="auto"/>
              <w:rPr>
                <w:rFonts w:hint="eastAsia"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采购过程中出现以下情形，导致电子交易平台无法正常运行，或者无法保证电子交易的公平、公正和安全时，采购组织机构可中止电子交易活动：</w:t>
            </w:r>
          </w:p>
          <w:p w14:paraId="01A8CA34">
            <w:pPr>
              <w:keepNext w:val="0"/>
              <w:keepLines w:val="0"/>
              <w:pageBreakBefore w:val="0"/>
              <w:widowControl w:val="0"/>
              <w:shd w:val="clear"/>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14:paraId="1B424374">
            <w:pPr>
              <w:keepNext w:val="0"/>
              <w:keepLines w:val="0"/>
              <w:pageBreakBefore w:val="0"/>
              <w:widowControl w:val="0"/>
              <w:shd w:val="clear"/>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48FD2241">
            <w:pPr>
              <w:keepNext w:val="0"/>
              <w:keepLines w:val="0"/>
              <w:pageBreakBefore w:val="0"/>
              <w:widowControl w:val="0"/>
              <w:shd w:val="clear"/>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57549C77">
            <w:pPr>
              <w:keepNext w:val="0"/>
              <w:keepLines w:val="0"/>
              <w:pageBreakBefore w:val="0"/>
              <w:widowControl w:val="0"/>
              <w:shd w:val="clear"/>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（4）病毒发作导致不能进行正常操作的；</w:t>
            </w:r>
          </w:p>
          <w:p w14:paraId="23E45A61">
            <w:pPr>
              <w:keepNext w:val="0"/>
              <w:keepLines w:val="0"/>
              <w:pageBreakBefore w:val="0"/>
              <w:widowControl w:val="0"/>
              <w:shd w:val="clear"/>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6BAF5ACC">
            <w:pPr>
              <w:keepNext w:val="0"/>
              <w:keepLines w:val="0"/>
              <w:pageBreakBefore w:val="0"/>
              <w:widowControl w:val="0"/>
              <w:shd w:val="clear"/>
              <w:kinsoku/>
              <w:wordWrap/>
              <w:overflowPunct/>
              <w:topLinePunct w:val="0"/>
              <w:autoSpaceDE w:val="0"/>
              <w:autoSpaceDN w:val="0"/>
              <w:bidi w:val="0"/>
              <w:adjustRightInd w:val="0"/>
              <w:snapToGrid/>
              <w:spacing w:line="340" w:lineRule="exact"/>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52259116">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5E1BBD2F">
            <w:pPr>
              <w:jc w:val="center"/>
              <w:rPr>
                <w:rFonts w:hint="eastAsia" w:ascii="宋体" w:hAnsi="宋体" w:eastAsia="宋体" w:cs="宋体"/>
                <w:highlight w:val="none"/>
              </w:rPr>
            </w:pPr>
            <w:r>
              <w:rPr>
                <w:rFonts w:hint="eastAsia" w:ascii="宋体" w:hAnsi="宋体" w:eastAsia="宋体" w:cs="宋体"/>
                <w:highlight w:val="none"/>
              </w:rPr>
              <w:t>16</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1949A3A8">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评标办法及标准：</w:t>
            </w:r>
          </w:p>
          <w:p w14:paraId="498F4285">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综合评分法，按照招标文件第四章评标办法及标准。</w:t>
            </w:r>
          </w:p>
        </w:tc>
      </w:tr>
      <w:tr w14:paraId="7B37D0F9">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E2DD7E8">
            <w:pPr>
              <w:jc w:val="center"/>
              <w:rPr>
                <w:rFonts w:hint="eastAsia" w:ascii="宋体" w:hAnsi="宋体" w:eastAsia="宋体" w:cs="宋体"/>
                <w:highlight w:val="none"/>
              </w:rPr>
            </w:pPr>
            <w:r>
              <w:rPr>
                <w:rFonts w:hint="eastAsia" w:ascii="宋体" w:hAnsi="宋体" w:eastAsia="宋体" w:cs="宋体"/>
                <w:highlight w:val="none"/>
              </w:rPr>
              <w:t>17</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0F8F0EB8">
            <w:pPr>
              <w:keepNext w:val="0"/>
              <w:keepLines w:val="0"/>
              <w:pageBreakBefore w:val="0"/>
              <w:widowControl w:val="0"/>
              <w:shd w:val="clear"/>
              <w:kinsoku/>
              <w:wordWrap/>
              <w:overflowPunct/>
              <w:topLinePunct w:val="0"/>
              <w:autoSpaceDE w:val="0"/>
              <w:autoSpaceDN w:val="0"/>
              <w:bidi w:val="0"/>
              <w:adjustRightInd w:val="0"/>
              <w:spacing w:line="360" w:lineRule="exact"/>
              <w:ind w:right="69"/>
              <w:rPr>
                <w:rFonts w:hint="eastAsia" w:ascii="宋体" w:hAnsi="宋体" w:cs="宋体"/>
                <w:color w:val="auto"/>
                <w:szCs w:val="21"/>
                <w:highlight w:val="none"/>
              </w:rPr>
            </w:pPr>
            <w:r>
              <w:rPr>
                <w:rFonts w:hint="eastAsia" w:ascii="宋体" w:hAnsi="宋体" w:cs="宋体"/>
                <w:color w:val="auto"/>
                <w:szCs w:val="21"/>
                <w:highlight w:val="none"/>
              </w:rPr>
              <w:t>中标候选人：</w:t>
            </w:r>
          </w:p>
          <w:p w14:paraId="24FFF7F0">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经评审排名第一的投标人即为第一中标候选人，排名第二的为第二中标候选人……其他投标人中标候选资格依此类推。</w:t>
            </w:r>
          </w:p>
        </w:tc>
      </w:tr>
      <w:tr w14:paraId="710AB226">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6596F924">
            <w:pPr>
              <w:jc w:val="center"/>
              <w:rPr>
                <w:rFonts w:hint="eastAsia" w:ascii="宋体" w:hAnsi="宋体" w:eastAsia="宋体" w:cs="宋体"/>
                <w:highlight w:val="none"/>
              </w:rPr>
            </w:pPr>
            <w:r>
              <w:rPr>
                <w:rFonts w:hint="eastAsia" w:ascii="宋体" w:hAnsi="宋体" w:eastAsia="宋体" w:cs="宋体"/>
                <w:highlight w:val="none"/>
              </w:rPr>
              <w:t>18</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6F0256CE">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中标公告及中标通知书：</w:t>
            </w:r>
          </w:p>
          <w:p w14:paraId="2FBBCD0C">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采购人依法确定中标人2个工作日内，发出中标通知书。</w:t>
            </w:r>
          </w:p>
          <w:p w14:paraId="5EF37FBB">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同时中标公告发布于浙江政府采购网(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w:instrText>
            </w:r>
            <w:r>
              <w:rPr>
                <w:rFonts w:hint="eastAsia" w:ascii="宋体" w:hAnsi="宋体" w:cs="宋体"/>
                <w:color w:val="auto"/>
                <w:szCs w:val="21"/>
                <w:highlight w:val="none"/>
              </w:rPr>
              <w:instrText xml:space="preserve">http://zfcg.czt.zj.gov.cn/</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Style w:val="41"/>
                <w:rFonts w:hint="eastAsia" w:ascii="宋体" w:hAnsi="宋体" w:cs="宋体"/>
                <w:color w:val="auto"/>
                <w:szCs w:val="21"/>
                <w:highlight w:val="none"/>
              </w:rPr>
              <w:t>http://zfcg.czt.zj.gov.cn/</w:t>
            </w:r>
            <w:r>
              <w:rPr>
                <w:rFonts w:ascii="宋体" w:hAnsi="宋体" w:cs="宋体"/>
                <w:color w:val="auto"/>
                <w:szCs w:val="21"/>
                <w:highlight w:val="none"/>
              </w:rPr>
              <w:fldChar w:fldCharType="end"/>
            </w:r>
            <w:r>
              <w:rPr>
                <w:rFonts w:hint="eastAsia" w:ascii="宋体" w:hAnsi="宋体" w:cs="宋体"/>
                <w:color w:val="auto"/>
                <w:szCs w:val="21"/>
                <w:highlight w:val="none"/>
              </w:rPr>
              <w:t>)、安吉县公共资源交易网（http://ggzy.anji.gov.cn/），中标公告期限为1个工作日。</w:t>
            </w:r>
          </w:p>
        </w:tc>
      </w:tr>
      <w:tr w14:paraId="23101796">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EF0999F">
            <w:pPr>
              <w:jc w:val="center"/>
              <w:rPr>
                <w:rFonts w:hint="eastAsia" w:ascii="宋体" w:hAnsi="宋体" w:eastAsia="宋体" w:cs="宋体"/>
                <w:highlight w:val="none"/>
              </w:rPr>
            </w:pPr>
            <w:r>
              <w:rPr>
                <w:rFonts w:hint="eastAsia" w:ascii="宋体" w:hAnsi="宋体" w:eastAsia="宋体" w:cs="宋体"/>
                <w:highlight w:val="none"/>
              </w:rPr>
              <w:t>19</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0DBF44F8">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lang w:val="zh-CN"/>
              </w:rPr>
            </w:pPr>
            <w:r>
              <w:rPr>
                <w:rFonts w:hint="eastAsia" w:ascii="宋体" w:hAnsi="宋体" w:cs="宋体"/>
                <w:color w:val="auto"/>
                <w:szCs w:val="21"/>
                <w:highlight w:val="none"/>
                <w:lang w:val="zh-CN"/>
              </w:rPr>
              <w:t>履约保证金：</w:t>
            </w:r>
          </w:p>
          <w:p w14:paraId="2306ACAD">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szCs w:val="21"/>
                <w:highlight w:val="none"/>
                <w:lang w:val="en-US" w:eastAsia="zh-CN"/>
              </w:rPr>
              <w:t>不收取</w:t>
            </w:r>
            <w:r>
              <w:rPr>
                <w:rFonts w:hint="eastAsia" w:ascii="宋体" w:hAnsi="宋体"/>
                <w:szCs w:val="21"/>
                <w:highlight w:val="none"/>
              </w:rPr>
              <w:t>。</w:t>
            </w:r>
          </w:p>
        </w:tc>
      </w:tr>
      <w:tr w14:paraId="760C3A28">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21ED7227">
            <w:pPr>
              <w:jc w:val="center"/>
              <w:rPr>
                <w:rFonts w:hint="eastAsia" w:ascii="宋体" w:hAnsi="宋体" w:eastAsia="宋体" w:cs="宋体"/>
                <w:highlight w:val="none"/>
              </w:rPr>
            </w:pPr>
            <w:r>
              <w:rPr>
                <w:rFonts w:hint="eastAsia" w:ascii="宋体" w:hAnsi="宋体" w:eastAsia="宋体" w:cs="宋体"/>
                <w:highlight w:val="none"/>
              </w:rPr>
              <w:t>20</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70D02DF4">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left="1050" w:hanging="1050" w:hangingChars="500"/>
              <w:textAlignment w:val="bottom"/>
              <w:rPr>
                <w:rFonts w:hint="eastAsia" w:ascii="宋体" w:hAnsi="宋体" w:cs="宋体"/>
                <w:color w:val="auto"/>
                <w:szCs w:val="21"/>
                <w:highlight w:val="none"/>
              </w:rPr>
            </w:pPr>
            <w:r>
              <w:rPr>
                <w:rFonts w:hint="eastAsia" w:ascii="宋体" w:hAnsi="宋体" w:cs="宋体"/>
                <w:color w:val="auto"/>
                <w:szCs w:val="21"/>
                <w:highlight w:val="none"/>
              </w:rPr>
              <w:t>签订合同：</w:t>
            </w:r>
          </w:p>
          <w:p w14:paraId="65457374">
            <w:pPr>
              <w:keepNext w:val="0"/>
              <w:keepLines w:val="0"/>
              <w:pageBreakBefore w:val="0"/>
              <w:widowControl w:val="0"/>
              <w:shd w:val="clear"/>
              <w:kinsoku/>
              <w:wordWrap/>
              <w:overflowPunct/>
              <w:topLinePunct w:val="0"/>
              <w:autoSpaceDE w:val="0"/>
              <w:autoSpaceDN w:val="0"/>
              <w:bidi w:val="0"/>
              <w:adjustRightInd w:val="0"/>
              <w:snapToGrid w:val="0"/>
              <w:spacing w:line="360" w:lineRule="exact"/>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根据《中华人民共和国政府采购法》第四十六条规定，采购人与中标（成交）投标人应当在中标（成交）通知书发出后30天内，按照采购文件确定的事项签订政府采购合同。因本项目工期紧张</w:t>
            </w:r>
            <w:r>
              <w:rPr>
                <w:rFonts w:hint="eastAsia" w:ascii="宋体" w:hAnsi="宋体" w:cs="宋体"/>
                <w:color w:val="auto"/>
                <w:spacing w:val="-6"/>
                <w:sz w:val="21"/>
                <w:szCs w:val="21"/>
                <w:highlight w:val="none"/>
              </w:rPr>
              <w:t>，采购人要求中标（成交）投标人在中标（成交）</w:t>
            </w:r>
            <w:r>
              <w:rPr>
                <w:rFonts w:hint="eastAsia" w:ascii="宋体" w:hAnsi="宋体" w:cs="宋体"/>
                <w:color w:val="auto"/>
                <w:szCs w:val="21"/>
                <w:highlight w:val="none"/>
              </w:rPr>
              <w:t>通知书发出后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天内前来签订合同。</w:t>
            </w:r>
          </w:p>
        </w:tc>
      </w:tr>
      <w:tr w14:paraId="040A6E57">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156F454E">
            <w:pPr>
              <w:jc w:val="center"/>
              <w:rPr>
                <w:rFonts w:hint="eastAsia" w:ascii="宋体" w:hAnsi="宋体" w:eastAsia="宋体" w:cs="宋体"/>
                <w:highlight w:val="none"/>
              </w:rPr>
            </w:pPr>
            <w:r>
              <w:rPr>
                <w:rFonts w:hint="eastAsia" w:ascii="宋体" w:hAnsi="宋体" w:eastAsia="宋体" w:cs="宋体"/>
                <w:highlight w:val="none"/>
              </w:rPr>
              <w:t>21</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4A8344D8">
            <w:pPr>
              <w:pStyle w:val="16"/>
              <w:keepNext w:val="0"/>
              <w:keepLines w:val="0"/>
              <w:pageBreakBefore w:val="0"/>
              <w:widowControl w:val="0"/>
              <w:shd w:val="clear"/>
              <w:kinsoku/>
              <w:wordWrap/>
              <w:overflowPunct/>
              <w:topLinePunct w:val="0"/>
              <w:bidi w:val="0"/>
              <w:spacing w:before="0" w:beforeLines="0" w:after="0" w:afterLines="0" w:line="360" w:lineRule="exact"/>
              <w:rPr>
                <w:rFonts w:hint="eastAsia" w:hAnsi="宋体" w:cs="宋体"/>
                <w:color w:val="auto"/>
                <w:sz w:val="21"/>
                <w:szCs w:val="21"/>
                <w:highlight w:val="none"/>
              </w:rPr>
            </w:pPr>
            <w:r>
              <w:rPr>
                <w:rFonts w:hint="eastAsia" w:hAnsi="宋体" w:cs="宋体"/>
                <w:color w:val="auto"/>
                <w:sz w:val="21"/>
                <w:szCs w:val="21"/>
                <w:highlight w:val="none"/>
              </w:rPr>
              <w:t>信用记录查询：依据财库[2016]125号文件执行</w:t>
            </w:r>
          </w:p>
          <w:p w14:paraId="287801FA">
            <w:pPr>
              <w:pStyle w:val="16"/>
              <w:keepNext w:val="0"/>
              <w:keepLines w:val="0"/>
              <w:pageBreakBefore w:val="0"/>
              <w:widowControl w:val="0"/>
              <w:shd w:val="clear"/>
              <w:kinsoku/>
              <w:wordWrap/>
              <w:overflowPunct/>
              <w:topLinePunct w:val="0"/>
              <w:bidi w:val="0"/>
              <w:spacing w:before="0" w:beforeLines="0" w:after="0" w:afterLines="0" w:line="360" w:lineRule="exact"/>
              <w:rPr>
                <w:rFonts w:hint="eastAsia" w:hAnsi="宋体" w:cs="宋体"/>
                <w:color w:val="auto"/>
                <w:sz w:val="21"/>
                <w:szCs w:val="21"/>
                <w:highlight w:val="none"/>
              </w:rPr>
            </w:pPr>
            <w:r>
              <w:rPr>
                <w:rFonts w:hint="eastAsia" w:hAnsi="宋体" w:cs="宋体"/>
                <w:color w:val="auto"/>
                <w:sz w:val="21"/>
                <w:szCs w:val="21"/>
                <w:highlight w:val="none"/>
              </w:rPr>
              <w:t>查询渠道：信用中国（www.creditchina.gov.cn）、中国政府采购网（www.ccgp.gov.cn）；</w:t>
            </w:r>
          </w:p>
          <w:p w14:paraId="61F3C72A">
            <w:pPr>
              <w:pStyle w:val="16"/>
              <w:keepNext w:val="0"/>
              <w:keepLines w:val="0"/>
              <w:pageBreakBefore w:val="0"/>
              <w:widowControl w:val="0"/>
              <w:shd w:val="clear"/>
              <w:kinsoku/>
              <w:wordWrap/>
              <w:overflowPunct/>
              <w:topLinePunct w:val="0"/>
              <w:bidi w:val="0"/>
              <w:spacing w:before="0" w:beforeLines="0" w:after="0" w:afterLines="0" w:line="360" w:lineRule="exact"/>
              <w:rPr>
                <w:rFonts w:hint="eastAsia" w:hAnsi="宋体" w:cs="宋体"/>
                <w:color w:val="auto"/>
                <w:sz w:val="21"/>
                <w:szCs w:val="21"/>
                <w:highlight w:val="none"/>
              </w:rPr>
            </w:pPr>
            <w:r>
              <w:rPr>
                <w:rFonts w:hint="eastAsia" w:hAnsi="宋体" w:cs="宋体"/>
                <w:color w:val="auto"/>
                <w:sz w:val="21"/>
                <w:szCs w:val="21"/>
                <w:highlight w:val="none"/>
              </w:rPr>
              <w:t>时间：提交首次投标文件截止时间前3年内；</w:t>
            </w:r>
          </w:p>
          <w:p w14:paraId="24B69681">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查询记录和证据的留存：网站查询，打印留存。</w:t>
            </w:r>
          </w:p>
          <w:p w14:paraId="092BA588">
            <w:pPr>
              <w:keepNext w:val="0"/>
              <w:keepLines w:val="0"/>
              <w:pageBreakBefore w:val="0"/>
              <w:widowControl w:val="0"/>
              <w:shd w:val="clear"/>
              <w:kinsoku/>
              <w:wordWrap/>
              <w:overflowPunct/>
              <w:topLinePunct w:val="0"/>
              <w:autoSpaceDE w:val="0"/>
              <w:autoSpaceDN w:val="0"/>
              <w:bidi w:val="0"/>
              <w:adjustRightInd w:val="0"/>
              <w:spacing w:line="360" w:lineRule="exact"/>
              <w:rPr>
                <w:rFonts w:hint="eastAsia" w:ascii="宋体" w:hAnsi="宋体" w:cs="宋体"/>
                <w:color w:val="auto"/>
                <w:kern w:val="0"/>
                <w:szCs w:val="21"/>
                <w:highlight w:val="none"/>
                <w:lang w:val="zh-CN"/>
              </w:rPr>
            </w:pPr>
            <w:r>
              <w:rPr>
                <w:rFonts w:hint="eastAsia" w:ascii="宋体" w:hAnsi="宋体" w:cs="宋体"/>
                <w:color w:val="auto"/>
                <w:szCs w:val="21"/>
                <w:highlight w:val="none"/>
              </w:rPr>
              <w:t>使用规则：被列入失信被执行人、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、政府采购严重违法失信行为记录名单及其它不符合《中华人民共和国政府采购法》第二十二条规定条件的，其投标将被拒绝。</w:t>
            </w:r>
          </w:p>
        </w:tc>
      </w:tr>
      <w:tr w14:paraId="58614592">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277ADFEC">
            <w:pPr>
              <w:jc w:val="center"/>
              <w:rPr>
                <w:rFonts w:hint="eastAsia" w:ascii="宋体" w:hAnsi="宋体" w:eastAsia="宋体" w:cs="宋体"/>
                <w:highlight w:val="none"/>
              </w:rPr>
            </w:pPr>
            <w:r>
              <w:rPr>
                <w:rFonts w:hint="eastAsia" w:ascii="宋体" w:hAnsi="宋体" w:eastAsia="宋体" w:cs="宋体"/>
                <w:highlight w:val="none"/>
              </w:rPr>
              <w:t>22</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2D95C7A6">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政府采购政策执行：</w:t>
            </w:r>
          </w:p>
          <w:p w14:paraId="61C4E3E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Style w:val="38"/>
                <w:rFonts w:hint="eastAsia" w:ascii="宋体" w:hAnsi="宋体" w:eastAsia="宋体" w:cs="宋体"/>
                <w:color w:val="191919"/>
                <w:sz w:val="21"/>
                <w:szCs w:val="21"/>
                <w:highlight w:val="none"/>
                <w:u w:val="single"/>
                <w:shd w:val="clear" w:color="auto" w:fill="FFFFFF"/>
              </w:rPr>
              <w:t>其他未列明行业</w:t>
            </w:r>
            <w:r>
              <w:rPr>
                <w:rFonts w:hint="eastAsia" w:ascii="宋体" w:hAnsi="宋体" w:eastAsia="宋体" w:cs="宋体"/>
                <w:sz w:val="21"/>
                <w:szCs w:val="21"/>
                <w:highlight w:val="none"/>
              </w:rPr>
              <w:t>。</w:t>
            </w:r>
          </w:p>
          <w:p w14:paraId="7CCC5F7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1）本项目为专门面向中小企业采购，投标供应商非中小企业的，资格审查不通过；符合上述条件的中小微型企业应按照磋商文件附件的格式要求在资格证明文件中提供《中小企业声明函》及证明材料</w:t>
            </w:r>
            <w:r>
              <w:rPr>
                <w:rFonts w:hint="eastAsia" w:ascii="宋体" w:hAnsi="宋体" w:eastAsia="宋体" w:cs="宋体"/>
                <w:sz w:val="21"/>
                <w:szCs w:val="21"/>
                <w:highlight w:val="none"/>
                <w:lang w:eastAsia="zh-CN"/>
              </w:rPr>
              <w:t>；</w:t>
            </w:r>
          </w:p>
          <w:p w14:paraId="18DC20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符合上述条件的中小微型企业应按照招标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F3BBE06">
            <w:pPr>
              <w:shd w:val="clear"/>
              <w:snapToGrid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b/>
                <w:bCs/>
                <w:szCs w:val="24"/>
                <w:highlight w:val="none"/>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14:paraId="23C56F0D">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485EA299">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23</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4C9243DE">
            <w:pPr>
              <w:shd w:val="clear"/>
              <w:snapToGrid w:val="0"/>
              <w:spacing w:line="360" w:lineRule="exact"/>
              <w:ind w:left="0"/>
              <w:rPr>
                <w:rFonts w:hint="eastAsia" w:ascii="Times New Roman" w:hAnsi="Times New Roman" w:eastAsia="宋体" w:cs="Times New Roman"/>
                <w:szCs w:val="24"/>
                <w:highlight w:val="none"/>
                <w:shd w:val="clear" w:color="auto" w:fill="auto"/>
              </w:rPr>
            </w:pPr>
            <w:r>
              <w:rPr>
                <w:rFonts w:hint="eastAsia" w:ascii="Times New Roman" w:hAnsi="Times New Roman" w:eastAsia="宋体" w:cs="Times New Roman"/>
                <w:szCs w:val="24"/>
                <w:highlight w:val="none"/>
                <w:shd w:val="clear" w:color="auto" w:fill="auto"/>
              </w:rPr>
              <w:t>政府采购政策执行：</w:t>
            </w:r>
          </w:p>
          <w:p w14:paraId="1E4C6919">
            <w:pPr>
              <w:shd w:val="clear"/>
              <w:snapToGrid w:val="0"/>
              <w:spacing w:line="360" w:lineRule="exact"/>
              <w:ind w:left="0"/>
              <w:rPr>
                <w:rFonts w:hint="eastAsia" w:ascii="宋体" w:hAnsi="宋体" w:eastAsia="宋体" w:cs="宋体"/>
                <w:sz w:val="21"/>
                <w:szCs w:val="24"/>
                <w:highlight w:val="none"/>
                <w:shd w:val="clear" w:color="auto" w:fill="auto"/>
              </w:rPr>
            </w:pPr>
            <w:r>
              <w:rPr>
                <w:rFonts w:hint="eastAsia" w:ascii="宋体" w:hAnsi="宋体" w:eastAsia="宋体" w:cs="宋体"/>
                <w:sz w:val="21"/>
                <w:szCs w:val="24"/>
                <w:highlight w:val="none"/>
                <w:shd w:val="clear" w:color="auto" w:fill="auto"/>
                <w:lang w:eastAsia="zh-CN"/>
              </w:rPr>
              <w:t>（</w:t>
            </w:r>
            <w:r>
              <w:rPr>
                <w:rFonts w:hint="eastAsia" w:ascii="宋体" w:hAnsi="宋体" w:eastAsia="宋体" w:cs="宋体"/>
                <w:sz w:val="21"/>
                <w:szCs w:val="24"/>
                <w:highlight w:val="none"/>
                <w:shd w:val="clear" w:color="auto" w:fill="auto"/>
                <w:lang w:val="en-US" w:eastAsia="zh-CN"/>
              </w:rPr>
              <w:t>1</w:t>
            </w:r>
            <w:r>
              <w:rPr>
                <w:rFonts w:hint="eastAsia" w:ascii="宋体" w:hAnsi="宋体" w:eastAsia="宋体" w:cs="宋体"/>
                <w:sz w:val="21"/>
                <w:szCs w:val="24"/>
                <w:highlight w:val="none"/>
                <w:shd w:val="clear" w:color="auto" w:fill="auto"/>
                <w:lang w:eastAsia="zh-CN"/>
              </w:rPr>
              <w:t>）</w:t>
            </w:r>
            <w:r>
              <w:rPr>
                <w:rFonts w:hint="eastAsia" w:ascii="宋体" w:hAnsi="宋体" w:eastAsia="宋体" w:cs="宋体"/>
                <w:sz w:val="21"/>
                <w:szCs w:val="24"/>
                <w:highlight w:val="none"/>
                <w:shd w:val="clear" w:color="auto" w:fill="auto"/>
              </w:rPr>
              <w:t>采购本国生产的货物、工程和服务</w:t>
            </w:r>
            <w:r>
              <w:rPr>
                <w:rFonts w:hint="eastAsia" w:ascii="宋体" w:hAnsi="宋体" w:eastAsia="宋体" w:cs="宋体"/>
                <w:sz w:val="21"/>
                <w:szCs w:val="24"/>
                <w:highlight w:val="none"/>
                <w:shd w:val="clear" w:color="auto" w:fill="auto"/>
                <w:lang w:eastAsia="zh-CN"/>
              </w:rPr>
              <w:t>（</w:t>
            </w:r>
            <w:r>
              <w:rPr>
                <w:rFonts w:hint="eastAsia" w:ascii="宋体" w:hAnsi="宋体" w:eastAsia="宋体" w:cs="宋体"/>
                <w:sz w:val="21"/>
                <w:szCs w:val="24"/>
                <w:highlight w:val="none"/>
                <w:shd w:val="clear" w:color="auto" w:fill="auto"/>
                <w:lang w:val="en-US" w:eastAsia="zh-CN"/>
              </w:rPr>
              <w:t>经审批允许</w:t>
            </w:r>
            <w:r>
              <w:rPr>
                <w:rFonts w:hint="eastAsia" w:ascii="宋体" w:hAnsi="宋体" w:eastAsia="宋体" w:cs="宋体"/>
                <w:sz w:val="21"/>
                <w:szCs w:val="24"/>
                <w:highlight w:val="none"/>
                <w:shd w:val="clear" w:color="auto" w:fill="auto"/>
              </w:rPr>
              <w:t>进口产品</w:t>
            </w:r>
            <w:r>
              <w:rPr>
                <w:rFonts w:hint="eastAsia" w:ascii="宋体" w:hAnsi="宋体" w:eastAsia="宋体" w:cs="宋体"/>
                <w:sz w:val="21"/>
                <w:szCs w:val="24"/>
                <w:highlight w:val="none"/>
                <w:shd w:val="clear" w:color="auto" w:fill="auto"/>
                <w:lang w:val="en-US" w:eastAsia="zh-CN"/>
              </w:rPr>
              <w:t>投标的除外）</w:t>
            </w:r>
            <w:r>
              <w:rPr>
                <w:rFonts w:hint="eastAsia" w:ascii="宋体" w:hAnsi="宋体" w:cs="宋体"/>
                <w:sz w:val="21"/>
                <w:szCs w:val="24"/>
                <w:highlight w:val="none"/>
                <w:shd w:val="clear" w:color="auto" w:fill="auto"/>
                <w:lang w:val="en-US" w:eastAsia="zh-CN"/>
              </w:rPr>
              <w:t>；</w:t>
            </w:r>
          </w:p>
          <w:p w14:paraId="49B01781">
            <w:pPr>
              <w:shd w:val="clear"/>
              <w:snapToGrid w:val="0"/>
              <w:spacing w:line="360" w:lineRule="exact"/>
              <w:ind w:left="0"/>
              <w:rPr>
                <w:rFonts w:hint="eastAsia" w:ascii="宋体" w:hAnsi="宋体" w:eastAsia="宋体" w:cs="宋体"/>
                <w:szCs w:val="24"/>
                <w:highlight w:val="none"/>
                <w:shd w:val="clear" w:color="auto" w:fill="auto"/>
              </w:rPr>
            </w:pPr>
            <w:r>
              <w:rPr>
                <w:rFonts w:hint="eastAsia" w:ascii="宋体" w:hAnsi="宋体" w:eastAsia="宋体" w:cs="宋体"/>
                <w:sz w:val="21"/>
                <w:szCs w:val="24"/>
                <w:highlight w:val="none"/>
                <w:shd w:val="clear" w:color="auto" w:fill="auto"/>
                <w:lang w:val="en-US" w:eastAsia="zh-CN"/>
              </w:rPr>
              <w:t>（2）</w:t>
            </w:r>
            <w:r>
              <w:rPr>
                <w:rFonts w:hint="eastAsia" w:ascii="宋体" w:hAnsi="宋体" w:eastAsia="宋体" w:cs="宋体"/>
                <w:sz w:val="21"/>
                <w:szCs w:val="24"/>
                <w:highlight w:val="none"/>
                <w:shd w:val="clear" w:color="auto" w:fill="auto"/>
              </w:rPr>
              <w:t>支持绿色</w:t>
            </w:r>
            <w:r>
              <w:rPr>
                <w:rFonts w:hint="eastAsia" w:ascii="宋体" w:hAnsi="宋体" w:eastAsia="宋体" w:cs="宋体"/>
                <w:sz w:val="21"/>
                <w:szCs w:val="24"/>
                <w:highlight w:val="none"/>
                <w:shd w:val="clear" w:color="auto" w:fill="auto"/>
                <w:lang w:val="en-US" w:eastAsia="zh-CN"/>
              </w:rPr>
              <w:t>采购</w:t>
            </w:r>
            <w:r>
              <w:rPr>
                <w:rFonts w:hint="eastAsia" w:ascii="宋体" w:hAnsi="宋体" w:cs="宋体"/>
                <w:sz w:val="21"/>
                <w:szCs w:val="24"/>
                <w:highlight w:val="none"/>
                <w:shd w:val="clear" w:color="auto" w:fill="auto"/>
                <w:lang w:val="en-US" w:eastAsia="zh-CN"/>
              </w:rPr>
              <w:t>；</w:t>
            </w:r>
          </w:p>
          <w:p w14:paraId="7368EA56">
            <w:pPr>
              <w:shd w:val="clear"/>
              <w:snapToGrid w:val="0"/>
              <w:spacing w:line="360" w:lineRule="exact"/>
              <w:ind w:left="0"/>
              <w:rPr>
                <w:rFonts w:hint="eastAsia" w:ascii="宋体" w:hAnsi="宋体" w:eastAsia="宋体" w:cs="宋体"/>
                <w:bCs w:val="0"/>
                <w:sz w:val="21"/>
                <w:szCs w:val="24"/>
                <w:highlight w:val="none"/>
                <w:shd w:val="clear" w:color="auto" w:fill="auto"/>
                <w:lang w:val="en-US" w:eastAsia="zh-CN"/>
              </w:rPr>
            </w:pPr>
            <w:r>
              <w:rPr>
                <w:rFonts w:hint="eastAsia" w:ascii="宋体" w:hAnsi="宋体" w:eastAsia="宋体" w:cs="宋体"/>
                <w:bCs w:val="0"/>
                <w:sz w:val="21"/>
                <w:szCs w:val="24"/>
                <w:highlight w:val="none"/>
                <w:shd w:val="clear" w:color="auto" w:fill="auto"/>
                <w:lang w:eastAsia="zh-CN"/>
              </w:rPr>
              <w:t>（</w:t>
            </w:r>
            <w:r>
              <w:rPr>
                <w:rFonts w:hint="eastAsia" w:ascii="宋体" w:hAnsi="宋体" w:eastAsia="宋体" w:cs="宋体"/>
                <w:bCs w:val="0"/>
                <w:sz w:val="21"/>
                <w:szCs w:val="24"/>
                <w:highlight w:val="none"/>
                <w:shd w:val="clear" w:color="auto" w:fill="auto"/>
                <w:lang w:val="en-US" w:eastAsia="zh-CN"/>
              </w:rPr>
              <w:t>3</w:t>
            </w:r>
            <w:r>
              <w:rPr>
                <w:rFonts w:hint="eastAsia" w:ascii="宋体" w:hAnsi="宋体" w:eastAsia="宋体" w:cs="宋体"/>
                <w:bCs w:val="0"/>
                <w:sz w:val="21"/>
                <w:szCs w:val="24"/>
                <w:highlight w:val="none"/>
                <w:shd w:val="clear" w:color="auto" w:fill="auto"/>
                <w:lang w:eastAsia="zh-CN"/>
              </w:rPr>
              <w:t>）</w:t>
            </w:r>
            <w:r>
              <w:rPr>
                <w:rFonts w:hint="eastAsia" w:ascii="宋体" w:hAnsi="宋体" w:eastAsia="宋体" w:cs="宋体"/>
                <w:bCs w:val="0"/>
                <w:sz w:val="21"/>
                <w:szCs w:val="24"/>
                <w:highlight w:val="none"/>
                <w:shd w:val="clear" w:color="auto" w:fill="auto"/>
              </w:rPr>
              <w:t>支持</w:t>
            </w:r>
            <w:r>
              <w:rPr>
                <w:rFonts w:hint="eastAsia" w:ascii="宋体" w:hAnsi="宋体" w:eastAsia="宋体" w:cs="宋体"/>
                <w:bCs w:val="0"/>
                <w:sz w:val="21"/>
                <w:szCs w:val="24"/>
                <w:highlight w:val="none"/>
                <w:shd w:val="clear" w:color="auto" w:fill="auto"/>
                <w:lang w:val="en-US" w:eastAsia="zh-CN"/>
              </w:rPr>
              <w:t>科技创新</w:t>
            </w:r>
            <w:r>
              <w:rPr>
                <w:rFonts w:hint="eastAsia" w:ascii="宋体" w:hAnsi="宋体" w:cs="宋体"/>
                <w:bCs w:val="0"/>
                <w:sz w:val="21"/>
                <w:szCs w:val="24"/>
                <w:highlight w:val="none"/>
                <w:shd w:val="clear" w:color="auto" w:fill="auto"/>
                <w:lang w:val="en-US" w:eastAsia="zh-CN"/>
              </w:rPr>
              <w:t>；</w:t>
            </w:r>
          </w:p>
          <w:p w14:paraId="618A2ED7">
            <w:pPr>
              <w:shd w:val="clear"/>
              <w:snapToGrid w:val="0"/>
              <w:spacing w:line="360" w:lineRule="exact"/>
              <w:ind w:left="0"/>
              <w:rPr>
                <w:rFonts w:hint="eastAsia" w:ascii="宋体" w:hAnsi="宋体" w:eastAsia="宋体" w:cs="宋体"/>
                <w:szCs w:val="24"/>
                <w:highlight w:val="none"/>
                <w:shd w:val="clear" w:color="auto" w:fill="auto"/>
                <w:lang w:val="en-US" w:eastAsia="zh-CN"/>
              </w:rPr>
            </w:pPr>
            <w:r>
              <w:rPr>
                <w:rFonts w:hint="eastAsia" w:ascii="宋体" w:hAnsi="宋体" w:eastAsia="宋体" w:cs="宋体"/>
                <w:szCs w:val="24"/>
                <w:highlight w:val="none"/>
                <w:shd w:val="clear" w:color="auto" w:fill="auto"/>
                <w:lang w:eastAsia="zh-CN"/>
              </w:rPr>
              <w:t>（</w:t>
            </w:r>
            <w:r>
              <w:rPr>
                <w:rFonts w:hint="eastAsia" w:ascii="宋体" w:hAnsi="宋体" w:eastAsia="宋体" w:cs="宋体"/>
                <w:szCs w:val="24"/>
                <w:highlight w:val="none"/>
                <w:shd w:val="clear" w:color="auto" w:fill="auto"/>
                <w:lang w:val="en-US" w:eastAsia="zh-CN"/>
              </w:rPr>
              <w:t>4</w:t>
            </w:r>
            <w:r>
              <w:rPr>
                <w:rFonts w:hint="eastAsia" w:ascii="宋体" w:hAnsi="宋体" w:eastAsia="宋体" w:cs="宋体"/>
                <w:szCs w:val="24"/>
                <w:highlight w:val="none"/>
                <w:shd w:val="clear" w:color="auto" w:fill="auto"/>
                <w:lang w:eastAsia="zh-CN"/>
              </w:rPr>
              <w:t>）</w:t>
            </w:r>
            <w:r>
              <w:rPr>
                <w:rFonts w:hint="eastAsia" w:ascii="宋体" w:hAnsi="宋体" w:eastAsia="宋体" w:cs="宋体"/>
                <w:color w:val="auto"/>
                <w:sz w:val="21"/>
                <w:szCs w:val="24"/>
                <w:highlight w:val="none"/>
                <w:shd w:val="clear" w:color="auto" w:fill="auto"/>
              </w:rPr>
              <w:t>中小企业信用融资</w:t>
            </w:r>
            <w:r>
              <w:rPr>
                <w:rFonts w:hint="eastAsia" w:ascii="宋体" w:hAnsi="宋体" w:cs="宋体"/>
                <w:color w:val="auto"/>
                <w:sz w:val="21"/>
                <w:szCs w:val="24"/>
                <w:highlight w:val="none"/>
                <w:shd w:val="clear" w:color="auto" w:fill="auto"/>
                <w:lang w:eastAsia="zh-CN"/>
              </w:rPr>
              <w:t>；</w:t>
            </w:r>
          </w:p>
          <w:p w14:paraId="3D6B240B">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color w:val="auto"/>
                <w:highlight w:val="none"/>
                <w:lang w:eastAsia="zh-CN"/>
              </w:rPr>
            </w:pPr>
            <w:r>
              <w:rPr>
                <w:rFonts w:hint="eastAsia" w:ascii="宋体" w:hAnsi="宋体" w:eastAsia="宋体" w:cs="宋体"/>
                <w:sz w:val="21"/>
                <w:szCs w:val="24"/>
                <w:highlight w:val="none"/>
                <w:shd w:val="clear" w:color="auto" w:fill="auto"/>
                <w:lang w:eastAsia="zh-CN"/>
              </w:rPr>
              <w:t>（</w:t>
            </w:r>
            <w:r>
              <w:rPr>
                <w:rFonts w:hint="eastAsia" w:ascii="宋体" w:hAnsi="宋体" w:eastAsia="宋体" w:cs="宋体"/>
                <w:sz w:val="21"/>
                <w:szCs w:val="24"/>
                <w:highlight w:val="none"/>
                <w:shd w:val="clear" w:color="auto" w:fill="auto"/>
                <w:lang w:val="en-US" w:eastAsia="zh-CN"/>
              </w:rPr>
              <w:t>5</w:t>
            </w:r>
            <w:r>
              <w:rPr>
                <w:rFonts w:hint="eastAsia" w:ascii="宋体" w:hAnsi="宋体" w:eastAsia="宋体" w:cs="宋体"/>
                <w:sz w:val="21"/>
                <w:szCs w:val="24"/>
                <w:highlight w:val="none"/>
                <w:shd w:val="clear" w:color="auto" w:fill="auto"/>
                <w:lang w:eastAsia="zh-CN"/>
              </w:rPr>
              <w:t>）</w:t>
            </w:r>
            <w:r>
              <w:rPr>
                <w:rFonts w:hint="eastAsia" w:ascii="宋体" w:hAnsi="宋体" w:eastAsia="宋体" w:cs="宋体"/>
                <w:sz w:val="21"/>
                <w:szCs w:val="24"/>
                <w:highlight w:val="none"/>
                <w:shd w:val="clear" w:color="auto" w:fill="auto"/>
              </w:rPr>
              <w:t>支持中小企业发展</w:t>
            </w:r>
            <w:r>
              <w:rPr>
                <w:rFonts w:hint="eastAsia" w:ascii="宋体" w:hAnsi="宋体" w:cs="宋体"/>
                <w:sz w:val="21"/>
                <w:szCs w:val="24"/>
                <w:highlight w:val="none"/>
                <w:shd w:val="clear" w:color="auto" w:fill="auto"/>
                <w:lang w:eastAsia="zh-CN"/>
              </w:rPr>
              <w:t>。</w:t>
            </w:r>
          </w:p>
        </w:tc>
      </w:tr>
      <w:tr w14:paraId="1A999EA8">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68B320BE">
            <w:pPr>
              <w:jc w:val="center"/>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4</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08971EE3">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节能环保要求：</w:t>
            </w:r>
          </w:p>
          <w:p w14:paraId="169CD1A6">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406491FB">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5B0F4705">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39411011">
            <w:pPr>
              <w:jc w:val="center"/>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5</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7C8737D9">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投标注意事项：</w:t>
            </w:r>
          </w:p>
          <w:p w14:paraId="37A9528B">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14:paraId="140816BD">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（2）存在下列行为的，采购人将其失信行为上报政府采购主管部门，由主管部门按有关规定对其违法失信行为记录进行公开：</w:t>
            </w:r>
          </w:p>
          <w:p w14:paraId="3C64DD30">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中标或者成交后，拒绝签订政府采购合同的；</w:t>
            </w:r>
          </w:p>
          <w:p w14:paraId="180870FA">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kern w:val="0"/>
                <w:szCs w:val="21"/>
                <w:highlight w:val="none"/>
              </w:rPr>
            </w:pPr>
            <w:r>
              <w:rPr>
                <w:rFonts w:hint="eastAsia" w:ascii="宋体" w:hAnsi="宋体" w:cs="宋体"/>
                <w:color w:val="auto"/>
                <w:szCs w:val="21"/>
                <w:highlight w:val="none"/>
                <w:shd w:val="clear" w:color="auto" w:fill="FFFFFF"/>
              </w:rPr>
              <w:t>投标有效期内撤销投标文件的。</w:t>
            </w:r>
          </w:p>
        </w:tc>
      </w:tr>
      <w:tr w14:paraId="53705A07">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DC66757">
            <w:pPr>
              <w:jc w:val="center"/>
              <w:rPr>
                <w:rFonts w:hint="eastAsia" w:ascii="宋体" w:hAnsi="宋体" w:eastAsia="宋体" w:cs="宋体"/>
                <w:highlight w:val="none"/>
              </w:rPr>
            </w:pPr>
            <w:r>
              <w:rPr>
                <w:rFonts w:hint="eastAsia" w:ascii="宋体" w:hAnsi="宋体" w:eastAsia="宋体" w:cs="宋体"/>
                <w:highlight w:val="none"/>
              </w:rPr>
              <w:t>25</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5D473751">
            <w:pPr>
              <w:keepNext w:val="0"/>
              <w:keepLines w:val="0"/>
              <w:pageBreakBefore w:val="0"/>
              <w:widowControl w:val="0"/>
              <w:shd w:val="clear"/>
              <w:kinsoku/>
              <w:wordWrap/>
              <w:overflowPunct/>
              <w:topLinePunct w:val="0"/>
              <w:bidi w:val="0"/>
              <w:adjustRightInd w:val="0"/>
              <w:spacing w:line="360" w:lineRule="exact"/>
              <w:rPr>
                <w:rFonts w:hint="eastAsia" w:ascii="宋体" w:hAnsi="宋体" w:cs="宋体"/>
                <w:color w:val="auto"/>
                <w:szCs w:val="21"/>
                <w:highlight w:val="none"/>
              </w:rPr>
            </w:pPr>
            <w:r>
              <w:rPr>
                <w:rStyle w:val="38"/>
                <w:rFonts w:hint="eastAsia" w:ascii="宋体" w:hAnsi="宋体" w:cs="宋体"/>
                <w:b w:val="0"/>
                <w:color w:val="auto"/>
                <w:szCs w:val="21"/>
                <w:highlight w:val="none"/>
                <w:shd w:val="clear" w:color="auto" w:fill="FFFFFF"/>
              </w:rPr>
              <w:t>投标人注册</w:t>
            </w:r>
            <w:r>
              <w:rPr>
                <w:rFonts w:hint="eastAsia" w:ascii="宋体" w:hAnsi="宋体" w:cs="宋体"/>
                <w:color w:val="auto"/>
                <w:szCs w:val="21"/>
                <w:highlight w:val="none"/>
              </w:rPr>
              <w:t>：</w:t>
            </w:r>
          </w:p>
          <w:p w14:paraId="54879BD2">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kern w:val="0"/>
                <w:szCs w:val="21"/>
                <w:highlight w:val="none"/>
              </w:rPr>
            </w:pPr>
            <w:r>
              <w:rPr>
                <w:rFonts w:hint="eastAsia" w:ascii="宋体" w:hAnsi="宋体" w:cs="宋体"/>
                <w:color w:val="auto"/>
                <w:szCs w:val="21"/>
                <w:highlight w:val="none"/>
                <w:shd w:val="clear" w:color="auto" w:fill="FFFFFF"/>
              </w:rPr>
              <w:t>未注册加入“浙江省政府采购</w:t>
            </w:r>
            <w:r>
              <w:rPr>
                <w:rFonts w:hint="eastAsia" w:ascii="宋体" w:hAnsi="宋体" w:cs="宋体"/>
                <w:color w:val="auto"/>
                <w:szCs w:val="21"/>
                <w:highlight w:val="none"/>
                <w:shd w:val="clear" w:color="auto" w:fill="FFFFFF"/>
                <w:lang w:val="en-US" w:eastAsia="zh-CN"/>
              </w:rPr>
              <w:t>供应商</w:t>
            </w:r>
            <w:r>
              <w:rPr>
                <w:rFonts w:hint="eastAsia" w:ascii="宋体" w:hAnsi="宋体" w:cs="宋体"/>
                <w:color w:val="auto"/>
                <w:szCs w:val="21"/>
                <w:highlight w:val="none"/>
                <w:shd w:val="clear" w:color="auto" w:fill="FFFFFF"/>
              </w:rPr>
              <w:t>库”的投标人，应当按照《浙江省政府采购</w:t>
            </w:r>
            <w:r>
              <w:rPr>
                <w:rFonts w:hint="eastAsia" w:ascii="宋体" w:hAnsi="宋体" w:cs="宋体"/>
                <w:color w:val="auto"/>
                <w:szCs w:val="21"/>
                <w:highlight w:val="none"/>
                <w:shd w:val="clear" w:color="auto" w:fill="FFFFFF"/>
                <w:lang w:val="en-US" w:eastAsia="zh-CN"/>
              </w:rPr>
              <w:t>供应商</w:t>
            </w:r>
            <w:r>
              <w:rPr>
                <w:rFonts w:hint="eastAsia" w:ascii="宋体" w:hAnsi="宋体" w:cs="宋体"/>
                <w:color w:val="auto"/>
                <w:szCs w:val="21"/>
                <w:highlight w:val="none"/>
                <w:shd w:val="clear" w:color="auto" w:fill="FFFFFF"/>
              </w:rPr>
              <w:t>注册及诚信管理暂行办法》的规定进行注册登记（网址：</w:t>
            </w:r>
            <w:r>
              <w:rPr>
                <w:rFonts w:hint="eastAsia" w:ascii="宋体" w:hAnsi="宋体" w:cs="宋体"/>
                <w:color w:val="auto"/>
                <w:szCs w:val="21"/>
                <w:highlight w:val="none"/>
              </w:rPr>
              <w:t>http://zfcg.czt.zj.gov.cn/</w:t>
            </w:r>
            <w:r>
              <w:rPr>
                <w:rFonts w:hint="eastAsia" w:ascii="宋体" w:hAnsi="宋体" w:cs="宋体"/>
                <w:color w:val="auto"/>
                <w:szCs w:val="21"/>
                <w:highlight w:val="none"/>
                <w:shd w:val="clear" w:color="auto" w:fill="FFFFFF"/>
              </w:rPr>
              <w:t>）。一旦被确定为中标候选投标人的，应当在发出中标通知书前按规定进行注册申请，否则，采购人将拒绝向其发出中标通知书。</w:t>
            </w:r>
          </w:p>
        </w:tc>
      </w:tr>
      <w:tr w14:paraId="781755AA">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21738B4E">
            <w:pPr>
              <w:jc w:val="center"/>
              <w:rPr>
                <w:rFonts w:hint="eastAsia" w:ascii="宋体" w:hAnsi="宋体" w:eastAsia="宋体" w:cs="宋体"/>
                <w:highlight w:val="none"/>
              </w:rPr>
            </w:pPr>
            <w:r>
              <w:rPr>
                <w:rFonts w:hint="eastAsia" w:ascii="宋体" w:hAnsi="宋体" w:eastAsia="宋体" w:cs="宋体"/>
                <w:highlight w:val="none"/>
              </w:rPr>
              <w:t>26</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67FADD20">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shd w:val="clear" w:color="auto" w:fill="FFFFFF"/>
              </w:rPr>
            </w:pPr>
            <w:r>
              <w:rPr>
                <w:rFonts w:hint="eastAsia" w:ascii="宋体" w:hAnsi="宋体" w:cs="宋体"/>
                <w:b/>
                <w:bCs/>
                <w:color w:val="auto"/>
                <w:szCs w:val="21"/>
                <w:highlight w:val="none"/>
                <w:shd w:val="clear" w:color="auto" w:fill="FFFFFF"/>
              </w:rPr>
              <w:t>纸质版投标文件（响应文件）的提供：中标（成交）投标人应在中标（成交）公告发出后三天内提供与在线投标（响应）文件一致的纸质版响应文件及在线询标答复函、最终报价表(竞争性谈判或竞争性磋商需提供）等，共一</w:t>
            </w:r>
            <w:r>
              <w:rPr>
                <w:rFonts w:hint="eastAsia" w:ascii="宋体" w:hAnsi="宋体" w:cs="宋体"/>
                <w:b/>
                <w:bCs/>
                <w:color w:val="auto"/>
                <w:szCs w:val="21"/>
                <w:highlight w:val="none"/>
                <w:shd w:val="clear" w:color="auto" w:fill="FFFFFF"/>
                <w:lang w:val="en-US" w:eastAsia="zh-CN"/>
              </w:rPr>
              <w:t>正四副</w:t>
            </w:r>
            <w:r>
              <w:rPr>
                <w:rFonts w:hint="eastAsia" w:ascii="宋体" w:hAnsi="宋体" w:cs="宋体"/>
                <w:b/>
                <w:bCs/>
                <w:color w:val="auto"/>
                <w:szCs w:val="21"/>
                <w:highlight w:val="none"/>
                <w:shd w:val="clear" w:color="auto" w:fill="FFFFFF"/>
              </w:rPr>
              <w:t>。具有电子签章或单位公章，提交给采购代理机构作为各单位资料存档使用。中标（成交）投标人应确保纸质版资料与在线电子版资料的一致性，否则导致后期纠纷的责任由中标（成交）投标人自行承担。</w:t>
            </w:r>
          </w:p>
        </w:tc>
      </w:tr>
      <w:tr w14:paraId="32BD71AB">
        <w:tblPrEx>
          <w:tblCellMar>
            <w:top w:w="0" w:type="dxa"/>
            <w:left w:w="108" w:type="dxa"/>
            <w:bottom w:w="0" w:type="dxa"/>
            <w:right w:w="108" w:type="dxa"/>
          </w:tblCellMar>
        </w:tblPrEx>
        <w:trPr>
          <w:trHeight w:val="855"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039E8ADC">
            <w:pPr>
              <w:jc w:val="center"/>
              <w:rPr>
                <w:rFonts w:hint="eastAsia" w:ascii="宋体" w:hAnsi="宋体" w:eastAsia="宋体" w:cs="宋体"/>
                <w:highlight w:val="none"/>
              </w:rPr>
            </w:pPr>
            <w:r>
              <w:rPr>
                <w:rFonts w:hint="eastAsia" w:ascii="宋体" w:hAnsi="宋体" w:eastAsia="宋体" w:cs="宋体"/>
                <w:highlight w:val="none"/>
              </w:rPr>
              <w:t>27</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56D94C07">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rPr>
              <w:t>特别说明：</w:t>
            </w:r>
          </w:p>
          <w:p w14:paraId="6281102B">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rPr>
              <w:t>本表与招标文件其他部分内容不一致的，以本表为准。本招标文件的解释权属于采购人和采购代理机构。</w:t>
            </w:r>
          </w:p>
        </w:tc>
      </w:tr>
    </w:tbl>
    <w:p w14:paraId="1970EBB5">
      <w:pPr>
        <w:pStyle w:val="5"/>
        <w:keepNext/>
        <w:keepLines/>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51" w:name="_Toc1651"/>
      <w:bookmarkStart w:id="52" w:name="_Toc27142"/>
      <w:bookmarkStart w:id="53" w:name="_Toc18381"/>
      <w:bookmarkStart w:id="54" w:name="_Toc222632754"/>
      <w:bookmarkStart w:id="55" w:name="_Toc7984"/>
      <w:bookmarkStart w:id="56" w:name="_Toc317341938"/>
      <w:r>
        <w:rPr>
          <w:rFonts w:hint="eastAsia" w:ascii="宋体" w:hAnsi="宋体" w:eastAsia="宋体" w:cs="宋体"/>
          <w:color w:val="auto"/>
          <w:sz w:val="24"/>
          <w:szCs w:val="24"/>
          <w:highlight w:val="none"/>
        </w:rPr>
        <w:t>一、总  则</w:t>
      </w:r>
      <w:bookmarkEnd w:id="51"/>
      <w:bookmarkEnd w:id="52"/>
      <w:bookmarkEnd w:id="53"/>
      <w:bookmarkEnd w:id="54"/>
      <w:bookmarkEnd w:id="55"/>
      <w:bookmarkEnd w:id="56"/>
    </w:p>
    <w:p w14:paraId="75EF50D5">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57" w:name="_Toc177825120"/>
      <w:bookmarkStart w:id="58" w:name="_Toc177824939"/>
      <w:bookmarkStart w:id="59" w:name="_Toc177824872"/>
      <w:bookmarkStart w:id="60" w:name="_Toc177870537"/>
      <w:r>
        <w:rPr>
          <w:rFonts w:hint="eastAsia" w:ascii="宋体" w:hAnsi="宋体" w:eastAsia="宋体" w:cs="宋体"/>
          <w:b/>
          <w:color w:val="auto"/>
          <w:szCs w:val="21"/>
          <w:highlight w:val="none"/>
        </w:rPr>
        <w:t>（一） 适用范围</w:t>
      </w:r>
      <w:bookmarkEnd w:id="57"/>
      <w:bookmarkEnd w:id="58"/>
      <w:bookmarkEnd w:id="59"/>
      <w:bookmarkEnd w:id="60"/>
    </w:p>
    <w:p w14:paraId="38F6BD67">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w:t>
      </w:r>
      <w:r>
        <w:rPr>
          <w:rFonts w:hint="eastAsia" w:ascii="宋体" w:hAnsi="宋体" w:cs="宋体"/>
          <w:color w:val="auto"/>
          <w:szCs w:val="21"/>
          <w:highlight w:val="none"/>
          <w:u w:val="single"/>
          <w:lang w:eastAsia="zh-CN"/>
        </w:rPr>
        <w:t>2025年安吉县农药包装废弃物回收和集中处置服务采购项目</w:t>
      </w:r>
      <w:r>
        <w:rPr>
          <w:rFonts w:hint="eastAsia" w:ascii="宋体" w:hAnsi="宋体" w:eastAsia="宋体" w:cs="宋体"/>
          <w:color w:val="auto"/>
          <w:szCs w:val="21"/>
          <w:highlight w:val="none"/>
        </w:rPr>
        <w:t>的招标、评标、定标、验收、合同履约、付款等（法律、法规另有规定的，从其规定）。</w:t>
      </w:r>
    </w:p>
    <w:p w14:paraId="302A85C2">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61" w:name="_Toc177870538"/>
      <w:bookmarkStart w:id="62" w:name="_Toc177824940"/>
      <w:bookmarkStart w:id="63" w:name="_Toc177825121"/>
      <w:bookmarkStart w:id="64" w:name="_Toc177824873"/>
      <w:r>
        <w:rPr>
          <w:rFonts w:hint="eastAsia" w:ascii="宋体" w:hAnsi="宋体" w:eastAsia="宋体" w:cs="宋体"/>
          <w:b/>
          <w:color w:val="auto"/>
          <w:szCs w:val="21"/>
          <w:highlight w:val="none"/>
        </w:rPr>
        <w:t>（二）定义</w:t>
      </w:r>
      <w:bookmarkEnd w:id="61"/>
      <w:bookmarkEnd w:id="62"/>
      <w:bookmarkEnd w:id="63"/>
      <w:bookmarkEnd w:id="64"/>
    </w:p>
    <w:p w14:paraId="54C541EC">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bookmarkStart w:id="65" w:name="_Toc293916005"/>
      <w:bookmarkStart w:id="66" w:name="_Toc293916356"/>
      <w:r>
        <w:rPr>
          <w:rFonts w:hint="eastAsia" w:ascii="宋体" w:hAnsi="宋体" w:eastAsia="宋体" w:cs="宋体"/>
          <w:color w:val="auto"/>
          <w:szCs w:val="21"/>
          <w:highlight w:val="none"/>
        </w:rPr>
        <w:t>1、“采购人”系指</w:t>
      </w:r>
      <w:r>
        <w:rPr>
          <w:rFonts w:hint="eastAsia" w:ascii="宋体" w:hAnsi="宋体" w:cs="宋体"/>
          <w:color w:val="auto"/>
          <w:szCs w:val="21"/>
          <w:highlight w:val="none"/>
          <w:lang w:eastAsia="zh-CN"/>
        </w:rPr>
        <w:t>安吉县农业农村局</w:t>
      </w:r>
      <w:r>
        <w:rPr>
          <w:rFonts w:hint="eastAsia" w:ascii="宋体" w:hAnsi="宋体" w:eastAsia="宋体" w:cs="宋体"/>
          <w:color w:val="auto"/>
          <w:szCs w:val="21"/>
          <w:highlight w:val="none"/>
        </w:rPr>
        <w:t>。</w:t>
      </w:r>
    </w:p>
    <w:p w14:paraId="24D61E96">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2、“采购代理机构”系指</w:t>
      </w:r>
      <w:r>
        <w:rPr>
          <w:rFonts w:hint="eastAsia" w:ascii="宋体" w:hAnsi="宋体" w:eastAsia="宋体" w:cs="宋体"/>
          <w:color w:val="auto"/>
          <w:szCs w:val="21"/>
          <w:highlight w:val="none"/>
          <w:lang w:eastAsia="zh-CN"/>
        </w:rPr>
        <w:t>湖州盛远招标代理有限公司</w:t>
      </w:r>
      <w:r>
        <w:rPr>
          <w:rFonts w:hint="eastAsia" w:ascii="宋体" w:hAnsi="宋体" w:eastAsia="宋体" w:cs="宋体"/>
          <w:color w:val="auto"/>
          <w:szCs w:val="21"/>
          <w:highlight w:val="none"/>
        </w:rPr>
        <w:t>。</w:t>
      </w:r>
    </w:p>
    <w:p w14:paraId="70FC866A">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3、“投标人”系指向采购人和采购代理机构提交投标文件的单位或个人。</w:t>
      </w:r>
      <w:bookmarkEnd w:id="65"/>
      <w:bookmarkEnd w:id="66"/>
    </w:p>
    <w:p w14:paraId="17C2E26F">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4、“产品”系指供方按招标文件规定，须向采购人提供的一切有关</w:t>
      </w:r>
      <w:r>
        <w:rPr>
          <w:rFonts w:hint="eastAsia" w:ascii="宋体" w:hAnsi="宋体" w:eastAsia="宋体" w:cs="宋体"/>
          <w:color w:val="auto"/>
          <w:szCs w:val="21"/>
          <w:highlight w:val="none"/>
          <w:lang w:val="en-US" w:eastAsia="zh-CN"/>
        </w:rPr>
        <w:t>设备、软件、设施以及</w:t>
      </w:r>
      <w:r>
        <w:rPr>
          <w:rFonts w:hint="eastAsia" w:ascii="宋体" w:hAnsi="宋体" w:eastAsia="宋体" w:cs="宋体"/>
          <w:color w:val="auto"/>
          <w:szCs w:val="21"/>
          <w:highlight w:val="none"/>
        </w:rPr>
        <w:t>技术资料和材料。</w:t>
      </w:r>
    </w:p>
    <w:p w14:paraId="0FF61AA7">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5、“服务”系指招标文件规定投标人须承担的</w:t>
      </w:r>
      <w:r>
        <w:rPr>
          <w:rFonts w:hint="eastAsia" w:ascii="宋体" w:hAnsi="宋体" w:eastAsia="宋体" w:cs="宋体"/>
          <w:color w:val="auto"/>
          <w:szCs w:val="21"/>
          <w:highlight w:val="none"/>
          <w:lang w:val="en-US" w:eastAsia="zh-CN"/>
        </w:rPr>
        <w:t>需求调查、系统建设、设备运维、光纤和链路服务</w:t>
      </w:r>
      <w:r>
        <w:rPr>
          <w:rFonts w:hint="eastAsia" w:ascii="宋体" w:hAnsi="宋体" w:eastAsia="宋体" w:cs="宋体"/>
          <w:color w:val="auto"/>
          <w:szCs w:val="21"/>
          <w:highlight w:val="none"/>
        </w:rPr>
        <w:t>等义务。</w:t>
      </w:r>
    </w:p>
    <w:p w14:paraId="6FCDE24A">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6、“项目”系指投标人按招标文件规定向采购人提供的产品和服务。</w:t>
      </w:r>
    </w:p>
    <w:p w14:paraId="33A38119">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7、“书面形式”包括信函、传真、电子文档、电子邮件等。</w:t>
      </w:r>
    </w:p>
    <w:p w14:paraId="43691A3C">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8、“▲”系指实质性要求条款。</w:t>
      </w:r>
    </w:p>
    <w:p w14:paraId="29EA8569">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67" w:name="_Toc177870539"/>
      <w:r>
        <w:rPr>
          <w:rFonts w:hint="eastAsia" w:ascii="宋体" w:hAnsi="宋体" w:eastAsia="宋体" w:cs="宋体"/>
          <w:b/>
          <w:color w:val="auto"/>
          <w:szCs w:val="21"/>
          <w:highlight w:val="none"/>
        </w:rPr>
        <w:t>（三）招标方式</w:t>
      </w:r>
      <w:bookmarkEnd w:id="67"/>
      <w:r>
        <w:rPr>
          <w:rFonts w:hint="eastAsia" w:ascii="宋体" w:hAnsi="宋体" w:eastAsia="宋体" w:cs="宋体"/>
          <w:b/>
          <w:color w:val="auto"/>
          <w:szCs w:val="21"/>
          <w:highlight w:val="none"/>
        </w:rPr>
        <w:t>：</w:t>
      </w:r>
    </w:p>
    <w:p w14:paraId="5A22A7E3">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1、本次招标采用公开招标方式进行。</w:t>
      </w:r>
    </w:p>
    <w:p w14:paraId="717E8147">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2、本次招标设定上限价，上限价详见前附表。</w:t>
      </w:r>
    </w:p>
    <w:p w14:paraId="16BFF8A7">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68" w:name="_Toc177870540"/>
      <w:bookmarkStart w:id="69" w:name="_Toc177824874"/>
      <w:bookmarkStart w:id="70" w:name="_Toc177825122"/>
      <w:bookmarkStart w:id="71" w:name="_Toc177824941"/>
      <w:r>
        <w:rPr>
          <w:rFonts w:hint="eastAsia" w:ascii="宋体" w:hAnsi="宋体" w:eastAsia="宋体" w:cs="宋体"/>
          <w:b/>
          <w:color w:val="auto"/>
          <w:szCs w:val="21"/>
          <w:highlight w:val="none"/>
        </w:rPr>
        <w:t>（四）投标委托</w:t>
      </w:r>
      <w:bookmarkEnd w:id="68"/>
      <w:bookmarkEnd w:id="69"/>
      <w:bookmarkEnd w:id="70"/>
      <w:bookmarkEnd w:id="71"/>
    </w:p>
    <w:p w14:paraId="56D6E7A5">
      <w:pPr>
        <w:pStyle w:val="12"/>
        <w:pageBreakBefore w:val="0"/>
        <w:widowControl w:val="0"/>
        <w:shd w:val="clear"/>
        <w:kinsoku/>
        <w:wordWrap/>
        <w:overflowPunct/>
        <w:topLinePunct w:val="0"/>
        <w:bidi w:val="0"/>
        <w:adjustRightInd w:val="0"/>
        <w:snapToGrid w:val="0"/>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投标人代表须携带居民身份证，如投标人代表不是法定代表人，须有法定代表人出具的授权委托书（格式见第六章）。</w:t>
      </w:r>
    </w:p>
    <w:p w14:paraId="29377B25">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72" w:name="_Toc177825123"/>
      <w:bookmarkStart w:id="73" w:name="_Toc177870541"/>
      <w:bookmarkStart w:id="74" w:name="_Toc177824942"/>
      <w:bookmarkStart w:id="75" w:name="_Toc177824875"/>
      <w:r>
        <w:rPr>
          <w:rFonts w:hint="eastAsia" w:ascii="宋体" w:hAnsi="宋体" w:eastAsia="宋体" w:cs="宋体"/>
          <w:b/>
          <w:color w:val="auto"/>
          <w:szCs w:val="21"/>
          <w:highlight w:val="none"/>
        </w:rPr>
        <w:t>（五）投标费用</w:t>
      </w:r>
      <w:bookmarkEnd w:id="72"/>
      <w:bookmarkEnd w:id="73"/>
      <w:bookmarkEnd w:id="74"/>
      <w:bookmarkEnd w:id="75"/>
    </w:p>
    <w:p w14:paraId="45397BFB">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w:t>
      </w:r>
    </w:p>
    <w:p w14:paraId="24E8867E">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（六）合格投标人的资格要求</w:t>
      </w:r>
    </w:p>
    <w:p w14:paraId="72C1CC8F">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符合第一章第</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条的规定。</w:t>
      </w:r>
    </w:p>
    <w:p w14:paraId="2E7B8B60">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（七）转包与分包</w:t>
      </w:r>
    </w:p>
    <w:p w14:paraId="437D92B7">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本项目不接受联合体投标，禁止转包，未经采购人同意不允许分包。</w:t>
      </w:r>
    </w:p>
    <w:p w14:paraId="1AEC4792">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八</w:t>
      </w:r>
      <w:r>
        <w:rPr>
          <w:rFonts w:hint="eastAsia" w:ascii="宋体" w:hAnsi="宋体" w:eastAsia="宋体" w:cs="宋体"/>
          <w:b/>
          <w:color w:val="auto"/>
          <w:highlight w:val="none"/>
        </w:rPr>
        <w:t>）</w:t>
      </w:r>
      <w:bookmarkStart w:id="76" w:name="_Toc177870542"/>
      <w:r>
        <w:rPr>
          <w:rFonts w:hint="eastAsia" w:ascii="宋体" w:hAnsi="宋体" w:eastAsia="宋体" w:cs="宋体"/>
          <w:b/>
          <w:color w:val="auto"/>
          <w:highlight w:val="none"/>
        </w:rPr>
        <w:t>特别说明：</w:t>
      </w:r>
      <w:bookmarkEnd w:id="76"/>
    </w:p>
    <w:p w14:paraId="4788435C">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0F2F31A6">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多家代理商或经销商参加投标，如其中两家或两家以上投标人存在分级代理或代销关系，且提供的是其所代理品牌产品的，评审时，按上述规定确定其中一家为有效投标人。</w:t>
      </w:r>
    </w:p>
    <w:p w14:paraId="678F211D">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2、除招标文件另有规定外，投标人投标所使用的资格、信誉、荣誉、业绩与企业认证必须为本法人所拥有。投标人投标所使用的采购项目实施人员必须为本法人员工或其控股公司正式员工。</w:t>
      </w:r>
    </w:p>
    <w:p w14:paraId="7F146742">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2B74B896">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4、投标人应仔细阅读招标文件所有内容，对招标文件的要求作出实质性响应，按照招标文件的要求提交投标文件，并对所提供的全部资料的真实性承担法律责任。</w:t>
      </w:r>
    </w:p>
    <w:p w14:paraId="0C0C3F07">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5、投标人一旦递交了投标（响应）文件，即被视为接受了本招标文件的所有内容，如有任何异议，均应在答疑截止时间前提出。</w:t>
      </w:r>
    </w:p>
    <w:p w14:paraId="30C91762">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6、投标文件前后描述不一，评审时将按不利于投标人的一种描述进行评审（评标委员会按招标文件规定允许投标人予以澄清的除外）。</w:t>
      </w:r>
    </w:p>
    <w:p w14:paraId="3EBD152E">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highlight w:val="none"/>
        </w:rPr>
      </w:pPr>
      <w:bookmarkStart w:id="77" w:name="_Toc177870543"/>
      <w:r>
        <w:rPr>
          <w:rFonts w:hint="eastAsia" w:ascii="宋体" w:hAnsi="宋体" w:eastAsia="宋体" w:cs="宋体"/>
          <w:b/>
          <w:color w:val="auto"/>
          <w:highlight w:val="none"/>
        </w:rPr>
        <w:t>（九）质疑</w:t>
      </w:r>
      <w:bookmarkEnd w:id="77"/>
      <w:r>
        <w:rPr>
          <w:rFonts w:hint="eastAsia" w:ascii="宋体" w:hAnsi="宋体" w:eastAsia="宋体" w:cs="宋体"/>
          <w:b/>
          <w:color w:val="auto"/>
          <w:highlight w:val="none"/>
        </w:rPr>
        <w:t>和投诉</w:t>
      </w:r>
    </w:p>
    <w:p w14:paraId="79F22B43">
      <w:pPr>
        <w:pageBreakBefore w:val="0"/>
        <w:widowControl w:val="0"/>
        <w:shd w:val="clear"/>
        <w:kinsoku/>
        <w:wordWrap/>
        <w:overflowPunct/>
        <w:topLinePunct w:val="0"/>
        <w:bidi w:val="0"/>
        <w:snapToGrid w:val="0"/>
        <w:spacing w:line="400" w:lineRule="exact"/>
        <w:ind w:firstLine="420" w:firstLineChars="200"/>
        <w:textAlignment w:val="auto"/>
        <w:rPr>
          <w:rFonts w:hint="eastAsia" w:ascii="宋体" w:hAnsi="宋体" w:eastAsia="宋体" w:cs="宋体"/>
          <w:snapToGrid w:val="0"/>
          <w:color w:val="auto"/>
          <w:kern w:val="0"/>
          <w:highlight w:val="none"/>
        </w:rPr>
      </w:pPr>
      <w:bookmarkStart w:id="78" w:name="_Toc222632755"/>
      <w:bookmarkStart w:id="79" w:name="_Toc317341939"/>
      <w:r>
        <w:rPr>
          <w:rFonts w:hint="eastAsia" w:ascii="宋体" w:hAnsi="宋体" w:eastAsia="宋体" w:cs="宋体"/>
          <w:snapToGrid w:val="0"/>
          <w:color w:val="auto"/>
          <w:kern w:val="0"/>
          <w:highlight w:val="none"/>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3338E0E9">
      <w:pPr>
        <w:pageBreakBefore w:val="0"/>
        <w:widowControl w:val="0"/>
        <w:shd w:val="clear"/>
        <w:kinsoku/>
        <w:wordWrap/>
        <w:overflowPunct/>
        <w:topLinePunct w:val="0"/>
        <w:bidi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1、</w:t>
      </w:r>
      <w:r>
        <w:rPr>
          <w:rFonts w:hint="eastAsia" w:ascii="宋体" w:hAnsi="宋体" w:eastAsia="宋体" w:cs="宋体"/>
          <w:color w:val="auto"/>
          <w:highlight w:val="none"/>
        </w:rPr>
        <w:t>投标人认为</w:t>
      </w:r>
      <w:r>
        <w:rPr>
          <w:rFonts w:hint="eastAsia" w:ascii="宋体" w:hAnsi="宋体" w:eastAsia="宋体" w:cs="宋体"/>
          <w:color w:val="auto"/>
          <w:szCs w:val="21"/>
          <w:highlight w:val="none"/>
        </w:rPr>
        <w:t>招标</w:t>
      </w:r>
      <w:r>
        <w:rPr>
          <w:rFonts w:hint="eastAsia" w:ascii="宋体" w:hAnsi="宋体" w:eastAsia="宋体" w:cs="宋体"/>
          <w:color w:val="auto"/>
          <w:highlight w:val="none"/>
        </w:rPr>
        <w:t>文件、采购过程和中标、中标结果使自己的权益受到损害的，应当在知道或者应知其权益受到损害之日起七个工作日内，以书面形式向采购人、采购代理机构提出质疑。质疑起算日期如下：</w:t>
      </w:r>
    </w:p>
    <w:p w14:paraId="64ACC9DD">
      <w:pPr>
        <w:pageBreakBefore w:val="0"/>
        <w:widowControl w:val="0"/>
        <w:shd w:val="clear"/>
        <w:kinsoku/>
        <w:wordWrap/>
        <w:overflowPunct/>
        <w:topLinePunct w:val="0"/>
        <w:bidi w:val="0"/>
        <w:snapToGrid w:val="0"/>
        <w:spacing w:line="400" w:lineRule="exact"/>
        <w:ind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（1）对可以质疑的</w:t>
      </w:r>
      <w:r>
        <w:rPr>
          <w:rFonts w:hint="eastAsia" w:ascii="宋体" w:hAnsi="宋体" w:eastAsia="宋体" w:cs="宋体"/>
          <w:color w:val="auto"/>
          <w:szCs w:val="21"/>
          <w:highlight w:val="none"/>
        </w:rPr>
        <w:t>招标</w:t>
      </w:r>
      <w:r>
        <w:rPr>
          <w:rFonts w:hint="eastAsia" w:ascii="宋体" w:hAnsi="宋体" w:eastAsia="宋体" w:cs="宋体"/>
          <w:color w:val="auto"/>
          <w:highlight w:val="none"/>
        </w:rPr>
        <w:t>文件提出质疑的，为收到招标文件之日或者招标文件公告期限届满之日</w:t>
      </w:r>
      <w:r>
        <w:rPr>
          <w:rFonts w:hint="eastAsia" w:ascii="宋体" w:hAnsi="宋体" w:eastAsia="宋体" w:cs="宋体"/>
          <w:color w:val="auto"/>
          <w:szCs w:val="21"/>
          <w:highlight w:val="none"/>
        </w:rPr>
        <w:t>（公告期限届满后获取招标文件的，以公告期限届满之日为准）</w:t>
      </w:r>
      <w:r>
        <w:rPr>
          <w:rFonts w:hint="eastAsia" w:ascii="宋体" w:hAnsi="宋体" w:eastAsia="宋体" w:cs="宋体"/>
          <w:color w:val="auto"/>
          <w:highlight w:val="none"/>
        </w:rPr>
        <w:t>；</w:t>
      </w:r>
    </w:p>
    <w:p w14:paraId="7E66EF60">
      <w:pPr>
        <w:pageBreakBefore w:val="0"/>
        <w:widowControl w:val="0"/>
        <w:shd w:val="clear"/>
        <w:kinsoku/>
        <w:wordWrap/>
        <w:overflowPunct/>
        <w:topLinePunct w:val="0"/>
        <w:bidi w:val="0"/>
        <w:snapToGrid w:val="0"/>
        <w:spacing w:line="400" w:lineRule="exact"/>
        <w:ind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71777084">
      <w:pPr>
        <w:pageBreakBefore w:val="0"/>
        <w:widowControl w:val="0"/>
        <w:shd w:val="clear"/>
        <w:kinsoku/>
        <w:wordWrap/>
        <w:overflowPunct/>
        <w:topLinePunct w:val="0"/>
        <w:bidi w:val="0"/>
        <w:snapToGrid w:val="0"/>
        <w:spacing w:line="400" w:lineRule="exact"/>
        <w:ind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（3）对中标结果提出质疑的，为中标结果公告期限届满之日。</w:t>
      </w:r>
    </w:p>
    <w:p w14:paraId="22C124F0">
      <w:pPr>
        <w:pageBreakBefore w:val="0"/>
        <w:widowControl w:val="0"/>
        <w:shd w:val="clear" w:color="auto"/>
        <w:kinsoku/>
        <w:wordWrap/>
        <w:overflowPunct/>
        <w:topLinePunct w:val="0"/>
        <w:bidi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2、</w:t>
      </w:r>
      <w:r>
        <w:rPr>
          <w:rFonts w:hint="eastAsia" w:ascii="宋体" w:hAnsi="宋体" w:eastAsia="宋体" w:cs="宋体"/>
          <w:color w:val="auto"/>
          <w:highlight w:val="none"/>
        </w:rPr>
        <w:t>质疑投标人对采购人、采购代理机构的答复不满意或者采购人、采购代理机构未在规定时间内作出答复的，可以在答复期满后十五个工作日内向同级政府采购监管部门投诉。</w:t>
      </w:r>
    </w:p>
    <w:p w14:paraId="5938E061">
      <w:pPr>
        <w:pageBreakBefore w:val="0"/>
        <w:widowControl w:val="0"/>
        <w:shd w:val="clear" w:color="auto"/>
        <w:kinsoku/>
        <w:wordWrap/>
        <w:overflowPunct/>
        <w:topLinePunct w:val="0"/>
        <w:bidi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1B89E578">
      <w:pPr>
        <w:pageBreakBefore w:val="0"/>
        <w:widowControl w:val="0"/>
        <w:shd w:val="clear" w:color="auto"/>
        <w:kinsoku/>
        <w:wordWrap/>
        <w:overflowPunct/>
        <w:topLinePunct w:val="0"/>
        <w:bidi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质疑书、投诉书均应明确阐述招标文件、招标过程和中标结果中使自己合法权益受到损害的实质性内容，提供相关事实、依据和证据及其来源或线索，便于有关单位调查、答复和处理。</w:t>
      </w:r>
    </w:p>
    <w:p w14:paraId="235B2279">
      <w:pPr>
        <w:pageBreakBefore w:val="0"/>
        <w:widowControl w:val="0"/>
        <w:shd w:val="clear"/>
        <w:kinsoku/>
        <w:wordWrap/>
        <w:overflowPunct/>
        <w:topLinePunct w:val="0"/>
        <w:bidi w:val="0"/>
        <w:snapToGrid w:val="0"/>
        <w:spacing w:line="400" w:lineRule="exact"/>
        <w:ind w:firstLine="420"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4</w:t>
      </w:r>
      <w:r>
        <w:rPr>
          <w:rFonts w:hint="eastAsia" w:ascii="宋体" w:hAnsi="宋体" w:eastAsia="宋体" w:cs="宋体"/>
          <w:snapToGrid w:val="0"/>
          <w:color w:val="auto"/>
          <w:kern w:val="0"/>
          <w:highlight w:val="none"/>
        </w:rPr>
        <w:t>、对于询问的处理：采购人或者采购代理机构应当在3个工作日内对投标人依法提出的询问作出答复。</w:t>
      </w:r>
    </w:p>
    <w:p w14:paraId="5D4844E1">
      <w:pPr>
        <w:pageBreakBefore w:val="0"/>
        <w:widowControl w:val="0"/>
        <w:shd w:val="clear"/>
        <w:kinsoku/>
        <w:wordWrap/>
        <w:overflowPunct/>
        <w:topLinePunct w:val="0"/>
        <w:bidi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投标人提出的询问或者质疑超出采购人对采购代理机构委托授权范围的，采购代理机构应当告知投标人向采购人提出。</w:t>
      </w:r>
    </w:p>
    <w:p w14:paraId="34C402F3">
      <w:pPr>
        <w:pStyle w:val="5"/>
        <w:keepNext/>
        <w:keepLines/>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80" w:name="_Toc19577"/>
      <w:bookmarkStart w:id="81" w:name="_Toc21697"/>
      <w:bookmarkStart w:id="82" w:name="_Toc18204"/>
      <w:bookmarkStart w:id="83" w:name="_Toc6470"/>
      <w:r>
        <w:rPr>
          <w:rFonts w:hint="eastAsia" w:ascii="宋体" w:hAnsi="宋体" w:eastAsia="宋体" w:cs="宋体"/>
          <w:color w:val="auto"/>
          <w:sz w:val="24"/>
          <w:szCs w:val="24"/>
          <w:highlight w:val="none"/>
        </w:rPr>
        <w:t>二、招标文件</w:t>
      </w:r>
      <w:bookmarkEnd w:id="78"/>
      <w:bookmarkEnd w:id="79"/>
      <w:bookmarkEnd w:id="80"/>
      <w:bookmarkEnd w:id="81"/>
      <w:bookmarkEnd w:id="82"/>
      <w:bookmarkEnd w:id="83"/>
    </w:p>
    <w:p w14:paraId="39BA336B">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（一）招标文件的构成。本招标文件由以下部份组成：</w:t>
      </w:r>
    </w:p>
    <w:p w14:paraId="73158704">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1、招标公告；</w:t>
      </w:r>
    </w:p>
    <w:p w14:paraId="49C7A1AB">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2、招标需求；</w:t>
      </w:r>
    </w:p>
    <w:p w14:paraId="26F87D05">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3、投标人须知；</w:t>
      </w:r>
    </w:p>
    <w:p w14:paraId="70DABC2B">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4、评标办法及标准；</w:t>
      </w:r>
    </w:p>
    <w:p w14:paraId="4CDE65C7">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5、合同主要条款；</w:t>
      </w:r>
    </w:p>
    <w:p w14:paraId="0924FB9C">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6、投标文件格式；</w:t>
      </w:r>
    </w:p>
    <w:p w14:paraId="1EE5C6BB">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7、本项目招标文件的澄清、答复、修改、补充的内容。</w:t>
      </w:r>
    </w:p>
    <w:p w14:paraId="42FFA66B">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（二）投标人的风险</w:t>
      </w:r>
    </w:p>
    <w:p w14:paraId="1C98AD6A">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投标人没有按照招标文件要求提供全部资料，或者投标人没有对招标文件在各方面作出实质性响应是投标人的风险，并可能导致其投标被拒绝。</w:t>
      </w:r>
    </w:p>
    <w:p w14:paraId="53D35AC1">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（三）招标文件的澄清与修改 </w:t>
      </w:r>
    </w:p>
    <w:p w14:paraId="61E2C6B3">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1、投标人应认真阅读本招标文件，发现其中有误或有要求不合理的，投标人必须在投标须知前附表规定的招标文件答疑与澄清截止时间前以书面形式要求采购人和采购代理机构澄清。</w:t>
      </w:r>
    </w:p>
    <w:p w14:paraId="5C097EA7">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2、采购人和采购代理机构必须以书面形式答复投标人要求澄清的问题，并将不包含问题来源的答复书面通知所有购买招标文件的投标人；除书面答复以外的其他澄清方式及澄清内容均无效。</w:t>
      </w:r>
    </w:p>
    <w:p w14:paraId="3322F603">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3、采购人和采购代理机构对已发出的招标文件进行必要澄清、答复、修改或补充的，应在浙江政府采购网（</w:t>
      </w:r>
      <w:r>
        <w:rPr>
          <w:rFonts w:hint="eastAsia" w:ascii="宋体" w:hAnsi="宋体" w:eastAsia="宋体" w:cs="宋体"/>
          <w:color w:val="auto"/>
          <w:szCs w:val="21"/>
          <w:highlight w:val="none"/>
        </w:rPr>
        <w:t>http://zfcg.czt.zj.gov.cn/</w:t>
      </w:r>
      <w:r>
        <w:rPr>
          <w:rFonts w:hint="eastAsia" w:ascii="宋体" w:hAnsi="宋体" w:eastAsia="宋体" w:cs="宋体"/>
          <w:color w:val="auto"/>
          <w:highlight w:val="none"/>
        </w:rPr>
        <w:t>）上发布公告，并以书面形式通知所有招标文件收受人。</w:t>
      </w:r>
    </w:p>
    <w:p w14:paraId="58F7CE0A">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4、为保证投标人有足够的时间按修改、补充后的招标文件的要求编制和修正其投标文件，采购人和采购代理机构可依法酌情推迟投标截止时间和开标时间。</w:t>
      </w:r>
    </w:p>
    <w:p w14:paraId="32B6A971">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5、招标文件澄清、答复、修改、补充的内容为招标文件的组成部分。当招标文件与招标文件的答复、澄清、修改、补充通知就同一内容的表述不一致时，以最后发出的书面文件为准。</w:t>
      </w:r>
    </w:p>
    <w:p w14:paraId="3228FEB5">
      <w:pPr>
        <w:pStyle w:val="5"/>
        <w:keepNext/>
        <w:keepLines/>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84" w:name="_Toc6078"/>
      <w:bookmarkStart w:id="85" w:name="_Toc222632756"/>
      <w:bookmarkStart w:id="86" w:name="_Toc18130"/>
      <w:bookmarkStart w:id="87" w:name="_Toc317341940"/>
      <w:bookmarkStart w:id="88" w:name="_Toc13474"/>
      <w:bookmarkStart w:id="89" w:name="_Toc16999"/>
      <w:r>
        <w:rPr>
          <w:rFonts w:hint="eastAsia" w:ascii="宋体" w:hAnsi="宋体" w:eastAsia="宋体" w:cs="宋体"/>
          <w:color w:val="auto"/>
          <w:sz w:val="24"/>
          <w:szCs w:val="24"/>
          <w:highlight w:val="none"/>
        </w:rPr>
        <w:t>三、投标文件的编制</w:t>
      </w:r>
      <w:bookmarkEnd w:id="84"/>
      <w:bookmarkEnd w:id="85"/>
      <w:bookmarkEnd w:id="86"/>
      <w:bookmarkEnd w:id="87"/>
      <w:r>
        <w:rPr>
          <w:rFonts w:hint="eastAsia" w:ascii="宋体" w:hAnsi="宋体" w:eastAsia="宋体" w:cs="宋体"/>
          <w:color w:val="auto"/>
          <w:sz w:val="24"/>
          <w:szCs w:val="24"/>
          <w:highlight w:val="none"/>
        </w:rPr>
        <w:t>及递交</w:t>
      </w:r>
      <w:bookmarkEnd w:id="88"/>
      <w:bookmarkEnd w:id="89"/>
    </w:p>
    <w:p w14:paraId="155453D8">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90" w:name="_Toc177824876"/>
      <w:bookmarkStart w:id="91" w:name="_Toc177825124"/>
      <w:bookmarkStart w:id="92" w:name="_Toc177824943"/>
      <w:bookmarkStart w:id="93" w:name="_Toc177870546"/>
      <w:r>
        <w:rPr>
          <w:rFonts w:hint="eastAsia" w:ascii="宋体" w:hAnsi="宋体" w:eastAsia="宋体" w:cs="宋体"/>
          <w:b/>
          <w:color w:val="auto"/>
          <w:szCs w:val="21"/>
          <w:highlight w:val="none"/>
        </w:rPr>
        <w:t>（一）投标文件的组成</w:t>
      </w:r>
      <w:bookmarkEnd w:id="90"/>
      <w:bookmarkEnd w:id="91"/>
      <w:bookmarkEnd w:id="92"/>
      <w:bookmarkEnd w:id="93"/>
      <w:r>
        <w:rPr>
          <w:rFonts w:hint="eastAsia" w:ascii="宋体" w:hAnsi="宋体" w:eastAsia="宋体" w:cs="宋体"/>
          <w:color w:val="auto"/>
          <w:sz w:val="32"/>
          <w:highlight w:val="none"/>
        </w:rPr>
        <w:t xml:space="preserve"> </w:t>
      </w:r>
    </w:p>
    <w:p w14:paraId="263FBCF6">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投标文件由</w:t>
      </w:r>
      <w:r>
        <w:rPr>
          <w:rFonts w:hint="eastAsia" w:ascii="宋体" w:hAnsi="宋体" w:eastAsia="宋体" w:cs="宋体"/>
          <w:b/>
          <w:color w:val="auto"/>
          <w:szCs w:val="21"/>
          <w:highlight w:val="none"/>
        </w:rPr>
        <w:t>资格证明文件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技术资信文件、报价文件</w:t>
      </w:r>
      <w:r>
        <w:rPr>
          <w:rFonts w:hint="eastAsia" w:ascii="宋体" w:hAnsi="宋体" w:eastAsia="宋体" w:cs="宋体"/>
          <w:color w:val="auto"/>
          <w:szCs w:val="21"/>
          <w:highlight w:val="none"/>
        </w:rPr>
        <w:t>组成。</w:t>
      </w:r>
    </w:p>
    <w:p w14:paraId="60232B96">
      <w:pPr>
        <w:pageBreakBefore w:val="0"/>
        <w:widowControl w:val="0"/>
        <w:shd w:val="clear"/>
        <w:kinsoku/>
        <w:wordWrap/>
        <w:overflowPunct/>
        <w:topLinePunct w:val="0"/>
        <w:bidi w:val="0"/>
        <w:adjustRightInd w:val="0"/>
        <w:snapToGrid w:val="0"/>
        <w:spacing w:line="400" w:lineRule="exact"/>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1、资格证明文件包括：</w:t>
      </w:r>
    </w:p>
    <w:p w14:paraId="419EE18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投标资格声明书（格式见第六章）；</w:t>
      </w:r>
    </w:p>
    <w:p w14:paraId="1595BC5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营业执照副本复印件；</w:t>
      </w:r>
    </w:p>
    <w:p w14:paraId="16AC5DE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）最近一个季度依法缴纳税收和社保费的证明[税费凭证复印件，或者依法缴纳税费或依法免缴税费的证明]；</w:t>
      </w:r>
    </w:p>
    <w:p w14:paraId="48F4826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中小企业声明函</w:t>
      </w:r>
      <w:r>
        <w:rPr>
          <w:rFonts w:hint="eastAsia" w:ascii="宋体" w:hAnsi="宋体" w:eastAsia="宋体" w:cs="宋体"/>
          <w:szCs w:val="21"/>
          <w:highlight w:val="none"/>
          <w:lang w:eastAsia="zh-CN"/>
        </w:rPr>
        <w:t>。（注：</w:t>
      </w:r>
      <w:r>
        <w:rPr>
          <w:rFonts w:hint="eastAsia" w:ascii="宋体" w:hAnsi="宋体" w:eastAsia="宋体" w:cs="宋体"/>
          <w:szCs w:val="21"/>
          <w:highlight w:val="none"/>
          <w:lang w:val="en-US" w:eastAsia="zh-CN"/>
        </w:rPr>
        <w:t>本项目为专门面向中小企业采购，投标供应商非中小企业的，资格审查不通过；符合上述条件的中小微型企业应按照磋商文件附件的格式要求在资格证明文件中提供《中小企业声明函》及证明材料</w:t>
      </w:r>
      <w:r>
        <w:rPr>
          <w:rFonts w:hint="eastAsia" w:ascii="宋体" w:hAnsi="宋体" w:eastAsia="宋体" w:cs="宋体"/>
          <w:szCs w:val="21"/>
          <w:highlight w:val="none"/>
          <w:lang w:eastAsia="zh-CN"/>
        </w:rPr>
        <w:t>）。</w:t>
      </w:r>
    </w:p>
    <w:p w14:paraId="666949B1">
      <w:pPr>
        <w:pageBreakBefore w:val="0"/>
        <w:widowControl w:val="0"/>
        <w:shd w:val="clear"/>
        <w:tabs>
          <w:tab w:val="left" w:pos="533"/>
        </w:tabs>
        <w:kinsoku/>
        <w:wordWrap/>
        <w:overflowPunct/>
        <w:topLinePunct w:val="0"/>
        <w:bidi w:val="0"/>
        <w:adjustRightInd w:val="0"/>
        <w:snapToGrid w:val="0"/>
        <w:spacing w:line="400" w:lineRule="exact"/>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szCs w:val="21"/>
          <w:highlight w:val="none"/>
        </w:rPr>
        <w:t>2、技术资信文件包括：</w:t>
      </w:r>
    </w:p>
    <w:p w14:paraId="6916FD0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投标函（格式见第六章）；</w:t>
      </w:r>
    </w:p>
    <w:p w14:paraId="6B181D1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营业执照复印件</w:t>
      </w:r>
      <w:r>
        <w:rPr>
          <w:rFonts w:hint="eastAsia" w:ascii="宋体" w:hAnsi="宋体" w:eastAsia="宋体" w:cs="宋体"/>
          <w:szCs w:val="21"/>
          <w:highlight w:val="none"/>
          <w:lang w:eastAsia="zh-CN"/>
        </w:rPr>
        <w:t>；</w:t>
      </w:r>
    </w:p>
    <w:p w14:paraId="5CA55D5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法定代表人身份证明书、法定代表人授权委托书（格式见第六章）</w:t>
      </w:r>
      <w:r>
        <w:rPr>
          <w:rFonts w:hint="eastAsia" w:ascii="宋体" w:hAnsi="宋体" w:eastAsia="宋体" w:cs="宋体"/>
          <w:szCs w:val="21"/>
          <w:highlight w:val="none"/>
          <w:lang w:eastAsia="zh-CN"/>
        </w:rPr>
        <w:t>；</w:t>
      </w:r>
    </w:p>
    <w:p w14:paraId="07EE908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投标单位情况表（格式见第六章）；</w:t>
      </w:r>
    </w:p>
    <w:p w14:paraId="50A4BB6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技术响应表（格式见第六章）；</w:t>
      </w:r>
    </w:p>
    <w:p w14:paraId="4EC5623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eastAsia="宋体" w:cs="宋体"/>
          <w:szCs w:val="21"/>
          <w:highlight w:val="none"/>
          <w:lang w:eastAsia="zh-CN"/>
        </w:rPr>
        <w:t>）农药废弃包装物回收、暂存和分拣方案</w:t>
      </w:r>
      <w:r>
        <w:rPr>
          <w:rFonts w:hint="eastAsia" w:ascii="宋体" w:hAnsi="宋体" w:eastAsia="宋体" w:cs="宋体"/>
          <w:szCs w:val="21"/>
          <w:highlight w:val="none"/>
          <w:lang w:val="en-US" w:eastAsia="zh-CN"/>
        </w:rPr>
        <w:t>；</w:t>
      </w:r>
    </w:p>
    <w:p w14:paraId="38CE95A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eastAsia="宋体" w:cs="宋体"/>
          <w:szCs w:val="21"/>
          <w:highlight w:val="none"/>
          <w:lang w:eastAsia="zh-CN"/>
        </w:rPr>
        <w:t>）安全作业保障措施方案</w:t>
      </w:r>
      <w:r>
        <w:rPr>
          <w:rFonts w:hint="eastAsia" w:ascii="宋体" w:hAnsi="宋体" w:eastAsia="宋体" w:cs="宋体"/>
          <w:szCs w:val="21"/>
          <w:highlight w:val="none"/>
          <w:lang w:val="en-US" w:eastAsia="zh-CN"/>
        </w:rPr>
        <w:t>；</w:t>
      </w:r>
    </w:p>
    <w:p w14:paraId="35E3997E">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8</w:t>
      </w:r>
      <w:r>
        <w:rPr>
          <w:rFonts w:hint="eastAsia" w:ascii="宋体" w:hAnsi="宋体" w:eastAsia="宋体" w:cs="宋体"/>
          <w:szCs w:val="21"/>
          <w:highlight w:val="none"/>
          <w:lang w:eastAsia="zh-CN"/>
        </w:rPr>
        <w:t>）台账设置与管理</w:t>
      </w:r>
      <w:r>
        <w:rPr>
          <w:rFonts w:hint="eastAsia" w:ascii="宋体" w:hAnsi="宋体" w:eastAsia="宋体" w:cs="宋体"/>
          <w:szCs w:val="21"/>
          <w:highlight w:val="none"/>
          <w:lang w:val="en-US" w:eastAsia="zh-CN"/>
        </w:rPr>
        <w:t>；</w:t>
      </w:r>
    </w:p>
    <w:p w14:paraId="13CAF0D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9</w:t>
      </w:r>
      <w:r>
        <w:rPr>
          <w:rFonts w:hint="eastAsia" w:ascii="宋体" w:hAnsi="宋体" w:eastAsia="宋体" w:cs="宋体"/>
          <w:szCs w:val="21"/>
          <w:highlight w:val="none"/>
          <w:lang w:eastAsia="zh-CN"/>
        </w:rPr>
        <w:t>）储存仓库；</w:t>
      </w:r>
    </w:p>
    <w:p w14:paraId="5C56364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）回收车辆情况；</w:t>
      </w:r>
    </w:p>
    <w:p w14:paraId="5FC83F8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拟投入实施的团队人员配置（格式见第六章）</w:t>
      </w:r>
      <w:r>
        <w:rPr>
          <w:rFonts w:hint="eastAsia" w:ascii="宋体" w:hAnsi="宋体" w:eastAsia="宋体" w:cs="宋体"/>
          <w:szCs w:val="21"/>
          <w:highlight w:val="none"/>
          <w:lang w:val="en-US" w:eastAsia="zh-CN"/>
        </w:rPr>
        <w:t>；</w:t>
      </w:r>
    </w:p>
    <w:p w14:paraId="205F39C7">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）服务承诺；</w:t>
      </w:r>
    </w:p>
    <w:p w14:paraId="010669A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商务响应表（格式见第六章）；</w:t>
      </w:r>
    </w:p>
    <w:p w14:paraId="6BE227C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同类项目实施情况一览表（格式见第六章）；</w:t>
      </w:r>
    </w:p>
    <w:p w14:paraId="2C24349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b w:val="0"/>
          <w:bCs w:val="0"/>
          <w:color w:val="000000"/>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根据评分表及项目需求情况，自行</w:t>
      </w:r>
      <w:r>
        <w:rPr>
          <w:rFonts w:hint="eastAsia" w:ascii="宋体" w:hAnsi="宋体" w:eastAsia="宋体" w:cs="宋体"/>
          <w:b w:val="0"/>
          <w:bCs w:val="0"/>
          <w:color w:val="000000"/>
          <w:szCs w:val="21"/>
          <w:highlight w:val="none"/>
        </w:rPr>
        <w:t>添加相关表格及资料</w:t>
      </w:r>
      <w:r>
        <w:rPr>
          <w:rFonts w:hint="eastAsia" w:ascii="宋体" w:hAnsi="宋体" w:eastAsia="宋体" w:cs="宋体"/>
          <w:b w:val="0"/>
          <w:bCs w:val="0"/>
          <w:color w:val="000000"/>
          <w:szCs w:val="21"/>
          <w:highlight w:val="none"/>
          <w:lang w:eastAsia="zh-CN"/>
        </w:rPr>
        <w:t>。</w:t>
      </w:r>
    </w:p>
    <w:p w14:paraId="5855D2A8">
      <w:pPr>
        <w:pageBreakBefore w:val="0"/>
        <w:widowControl w:val="0"/>
        <w:shd w:val="clear"/>
        <w:tabs>
          <w:tab w:val="left" w:pos="533"/>
        </w:tabs>
        <w:kinsoku/>
        <w:wordWrap/>
        <w:overflowPunct/>
        <w:topLinePunct w:val="0"/>
        <w:bidi w:val="0"/>
        <w:adjustRightInd w:val="0"/>
        <w:snapToGrid w:val="0"/>
        <w:spacing w:line="400" w:lineRule="exact"/>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szCs w:val="21"/>
          <w:highlight w:val="none"/>
        </w:rPr>
        <w:t>3、报价文件包括：</w:t>
      </w:r>
    </w:p>
    <w:p w14:paraId="0A894664">
      <w:pPr>
        <w:pageBreakBefore w:val="0"/>
        <w:widowControl w:val="0"/>
        <w:numPr>
          <w:ilvl w:val="0"/>
          <w:numId w:val="0"/>
        </w:numPr>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开标一览表</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格式见附件</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14:paraId="27297D35">
      <w:pPr>
        <w:pageBreakBefore w:val="0"/>
        <w:widowControl w:val="0"/>
        <w:numPr>
          <w:ilvl w:val="0"/>
          <w:numId w:val="0"/>
        </w:numPr>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投标人针对报价的说明或证明材料。</w:t>
      </w:r>
    </w:p>
    <w:p w14:paraId="70C578A9">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（二）投标文件的语言及度量衡单位</w:t>
      </w:r>
    </w:p>
    <w:p w14:paraId="0D85A9DD">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▲1、投标文件以及投标人与采购人和采购代理机构就有关投标事宜的所有来往函电，均应以中文书写。</w:t>
      </w:r>
    </w:p>
    <w:p w14:paraId="2AAFBC06">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▲2、投标文件所使用的度量衡单位，均采用我国法定计量单位。</w:t>
      </w:r>
      <w:bookmarkStart w:id="94" w:name="_Toc177825126"/>
      <w:bookmarkStart w:id="95" w:name="_Toc177824945"/>
      <w:bookmarkStart w:id="96" w:name="_Toc177824878"/>
      <w:bookmarkStart w:id="97" w:name="_Toc177870548"/>
    </w:p>
    <w:p w14:paraId="409C4094">
      <w:pPr>
        <w:pageBreakBefore w:val="0"/>
        <w:widowControl w:val="0"/>
        <w:shd w:val="clear"/>
        <w:kinsoku/>
        <w:wordWrap/>
        <w:overflowPunct/>
        <w:topLinePunct w:val="0"/>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3、对不同文字文本投标文件的解释发生异议的，以中文文本为准。</w:t>
      </w:r>
    </w:p>
    <w:bookmarkEnd w:id="94"/>
    <w:bookmarkEnd w:id="95"/>
    <w:bookmarkEnd w:id="96"/>
    <w:bookmarkEnd w:id="97"/>
    <w:p w14:paraId="05AC6523">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（三）投标报价</w:t>
      </w:r>
    </w:p>
    <w:p w14:paraId="6306A688">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1、投标报价应按招标文件中相关附表格式填写。</w:t>
      </w:r>
    </w:p>
    <w:p w14:paraId="2C23BE71">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▲2、招标采购单位不接受备选方案。</w:t>
      </w:r>
    </w:p>
    <w:p w14:paraId="3F62C423">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▲3、投标文件只允许有一个报价，有选择的报价将不予接受。</w:t>
      </w:r>
    </w:p>
    <w:p w14:paraId="560C2E5A">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投标人应充分考虑因各种原因可能发生的费用。对没有填报的费用，采购人认为所有费用已包含在报价中，除合同条款另有规定外，不得进行调整。</w:t>
      </w:r>
    </w:p>
    <w:p w14:paraId="1726AC60">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（四）投标文件的有效期</w:t>
      </w:r>
    </w:p>
    <w:p w14:paraId="25422BD5">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▲1、自投标截止日起</w:t>
      </w:r>
      <w:r>
        <w:rPr>
          <w:rFonts w:hint="eastAsia" w:ascii="宋体" w:hAnsi="宋体" w:eastAsia="宋体" w:cs="宋体"/>
          <w:color w:val="auto"/>
          <w:szCs w:val="21"/>
          <w:highlight w:val="none"/>
          <w:u w:val="single"/>
        </w:rPr>
        <w:t>90天</w:t>
      </w:r>
      <w:r>
        <w:rPr>
          <w:rFonts w:hint="eastAsia" w:ascii="宋体" w:hAnsi="宋体" w:eastAsia="宋体" w:cs="宋体"/>
          <w:color w:val="auto"/>
          <w:szCs w:val="21"/>
          <w:highlight w:val="none"/>
        </w:rPr>
        <w:t>投标书应保持有效。有效期短于这个规定期限的投标将被拒绝。</w:t>
      </w:r>
    </w:p>
    <w:p w14:paraId="2263275B">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2、在特殊情况下，采购人可与投标人协商延长投标书的有效期，这种要求和答复均以书面形式进行。</w:t>
      </w:r>
      <w:bookmarkStart w:id="98" w:name="_Toc177870549"/>
      <w:bookmarkStart w:id="99" w:name="_Toc177824879"/>
      <w:bookmarkStart w:id="100" w:name="_Toc177824946"/>
      <w:bookmarkStart w:id="101" w:name="_Toc177825127"/>
    </w:p>
    <w:p w14:paraId="3496F0D3">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3、投标人可拒绝接受延期要求而不会导致投标保证金被不予返还。同意延长有效期的投标人需要相应延长投标保证金的有效期，但不能修改投标文件。</w:t>
      </w:r>
      <w:bookmarkEnd w:id="98"/>
      <w:bookmarkEnd w:id="99"/>
      <w:bookmarkEnd w:id="100"/>
      <w:bookmarkEnd w:id="101"/>
      <w:r>
        <w:rPr>
          <w:rFonts w:hint="eastAsia" w:ascii="宋体" w:hAnsi="宋体" w:eastAsia="宋体" w:cs="宋体"/>
          <w:color w:val="auto"/>
          <w:szCs w:val="21"/>
          <w:highlight w:val="none"/>
        </w:rPr>
        <w:t xml:space="preserve"> </w:t>
      </w:r>
    </w:p>
    <w:p w14:paraId="406906F2">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4、中标人的投标文件自开标之日起至合同履行完毕止均应保持有效。</w:t>
      </w:r>
    </w:p>
    <w:p w14:paraId="6293AA40">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102" w:name="_Toc177870550"/>
      <w:bookmarkStart w:id="103" w:name="_Toc177824947"/>
      <w:bookmarkStart w:id="104" w:name="_Toc177825128"/>
      <w:bookmarkStart w:id="105" w:name="_Toc177824880"/>
      <w:r>
        <w:rPr>
          <w:rFonts w:hint="eastAsia" w:ascii="宋体" w:hAnsi="宋体" w:eastAsia="宋体" w:cs="宋体"/>
          <w:b/>
          <w:color w:val="auto"/>
          <w:szCs w:val="21"/>
          <w:highlight w:val="none"/>
        </w:rPr>
        <w:t>（五）投标保证金</w:t>
      </w:r>
      <w:bookmarkEnd w:id="102"/>
      <w:bookmarkEnd w:id="103"/>
      <w:bookmarkEnd w:id="104"/>
      <w:bookmarkEnd w:id="105"/>
    </w:p>
    <w:p w14:paraId="1603495B">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5957B4D1">
      <w:pPr>
        <w:pageBreakBefore w:val="0"/>
        <w:widowControl w:val="0"/>
        <w:shd w:val="clear"/>
        <w:kinsoku/>
        <w:wordWrap/>
        <w:overflowPunct/>
        <w:topLinePunct w:val="0"/>
        <w:bidi w:val="0"/>
        <w:spacing w:line="400" w:lineRule="exact"/>
        <w:textAlignment w:val="auto"/>
        <w:rPr>
          <w:rFonts w:hint="eastAsia" w:ascii="宋体" w:hAnsi="宋体" w:eastAsia="宋体" w:cs="宋体"/>
          <w:b/>
          <w:color w:val="auto"/>
          <w:szCs w:val="20"/>
          <w:highlight w:val="none"/>
        </w:rPr>
      </w:pPr>
      <w:bookmarkStart w:id="106" w:name="_Toc177824948"/>
      <w:bookmarkStart w:id="107" w:name="_Toc177870551"/>
      <w:bookmarkStart w:id="108" w:name="_Toc177825129"/>
      <w:bookmarkStart w:id="109" w:name="_Toc177824881"/>
      <w:r>
        <w:rPr>
          <w:rFonts w:hint="eastAsia" w:ascii="宋体" w:hAnsi="宋体" w:eastAsia="宋体" w:cs="宋体"/>
          <w:b/>
          <w:color w:val="auto"/>
          <w:szCs w:val="21"/>
          <w:highlight w:val="none"/>
        </w:rPr>
        <w:t>（六）</w:t>
      </w:r>
      <w:r>
        <w:rPr>
          <w:rFonts w:hint="eastAsia" w:ascii="宋体" w:hAnsi="宋体" w:eastAsia="宋体" w:cs="宋体"/>
          <w:b/>
          <w:color w:val="auto"/>
          <w:szCs w:val="20"/>
          <w:highlight w:val="none"/>
        </w:rPr>
        <w:t>投标文件编制</w:t>
      </w:r>
    </w:p>
    <w:p w14:paraId="052883F0">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1、本项目通过“政采云平台（www.zcygov.cn）”实行在线投标响应（电子投标）。投标人应通过“政采云电子交易客户端”，并按照本招标文件和“政府采购云平台”的要求编制并加密投标文件。</w:t>
      </w:r>
    </w:p>
    <w:p w14:paraId="2AD28199">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21C0DE12">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79E742E0">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4、投标文件内容不完整、编排混乱导致投标文件被误读、漏读或者查找不到相关内容的，是投标人的责任。</w:t>
      </w:r>
    </w:p>
    <w:p w14:paraId="7569CD94">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5、投标文件因字迹潦草或表达不清所引起的后果由投标人负责。</w:t>
      </w:r>
    </w:p>
    <w:p w14:paraId="5CB68713">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0D0BE315">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7、投标文件的签章</w:t>
      </w:r>
    </w:p>
    <w:p w14:paraId="341F6BBB">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投标文件的签章见《前附表》；</w:t>
      </w:r>
    </w:p>
    <w:p w14:paraId="6AFC10B4">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投标文件应由投标人法定代表人或其授权代表签字（或盖章），并时加盖投标人公章。</w:t>
      </w:r>
    </w:p>
    <w:p w14:paraId="7E198C10">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参与在线投标时如遇平台技术问题详询400-881-7190。</w:t>
      </w:r>
    </w:p>
    <w:p w14:paraId="07872225">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8、投标文件的形式</w:t>
      </w:r>
    </w:p>
    <w:p w14:paraId="1DF5F69D">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 投标文件的形式：见《前附表》；</w:t>
      </w:r>
    </w:p>
    <w:p w14:paraId="47F0F22D">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“电子加密投标文件”：“电子加密投标文件”是指通过“政采云电子交易客户端”完成投标文件编制后生成并加密的数据电文形式的投标文件。</w:t>
      </w:r>
    </w:p>
    <w:p w14:paraId="5F7F82F0">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8.3 “备份投标文件”：“备份投标文件”是指与“电子加密投标文件”同时生成的数据电文形式的电子文件（备份标书），其他方式编制的“备份投标文件”视为无效的“备份投标文件”。</w:t>
      </w:r>
    </w:p>
    <w:p w14:paraId="13C663BC">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9、投标文件的份数</w:t>
      </w:r>
    </w:p>
    <w:p w14:paraId="0153CBFB">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投标文件的份数：见《前附表》。</w:t>
      </w:r>
    </w:p>
    <w:p w14:paraId="719FCFE5">
      <w:pPr>
        <w:pageBreakBefore w:val="0"/>
        <w:widowControl w:val="0"/>
        <w:shd w:val="clear"/>
        <w:kinsoku/>
        <w:wordWrap/>
        <w:overflowPunct/>
        <w:topLinePunct w:val="0"/>
        <w:bidi w:val="0"/>
        <w:spacing w:line="400" w:lineRule="exac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（七）投标文件的递交</w:t>
      </w:r>
    </w:p>
    <w:p w14:paraId="77BA48C9">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1、投标文件的上传、递交</w:t>
      </w:r>
    </w:p>
    <w:p w14:paraId="0960E669">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“投标文件”的上传、递交：见《前附表》。</w:t>
      </w:r>
    </w:p>
    <w:p w14:paraId="7AF04FC9">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2、“电子加密投标文件”解密和异常情况处理</w:t>
      </w:r>
    </w:p>
    <w:p w14:paraId="4B1482D5">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“电子加密投标文件”解密：见《前附表》。</w:t>
      </w:r>
    </w:p>
    <w:p w14:paraId="3B6A278B">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3、投标文件的补充、修改或撤回</w:t>
      </w:r>
    </w:p>
    <w:p w14:paraId="6B31AA61">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7469D0E1">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投标截止时间后，投标人不得撤回、修改《投标文件》。</w:t>
      </w:r>
    </w:p>
    <w:p w14:paraId="014968B5">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4、投标文件的备选方案</w:t>
      </w:r>
    </w:p>
    <w:p w14:paraId="476B420A">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投标人不得递交任何的投标备选（替代）方案，否则其投标文件将作无效标处理。与“电子加密投标文件”同时生成的“备份投标文件”不是投标备选方案。</w:t>
      </w:r>
    </w:p>
    <w:bookmarkEnd w:id="106"/>
    <w:bookmarkEnd w:id="107"/>
    <w:bookmarkEnd w:id="108"/>
    <w:bookmarkEnd w:id="109"/>
    <w:p w14:paraId="71E13B95">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bookmarkStart w:id="110" w:name="_Toc177870552"/>
      <w:r>
        <w:rPr>
          <w:rFonts w:hint="eastAsia" w:ascii="宋体" w:hAnsi="宋体" w:eastAsia="宋体" w:cs="宋体"/>
          <w:color w:val="auto"/>
          <w:szCs w:val="21"/>
          <w:highlight w:val="none"/>
        </w:rPr>
        <w:t>5、投标截止期</w:t>
      </w:r>
    </w:p>
    <w:p w14:paraId="50853A71">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5.1投标人应按前附表规定的时间、地点将投标文件递交给采购代理机构，采购代理机构将拒绝接受逾期送达的投标文件。</w:t>
      </w:r>
    </w:p>
    <w:p w14:paraId="6B698B0A">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采购人可以按本须知规定以补充通知的方式，酌情延长递交投标文件的截止日期。在上述情况下，采购人与投标人以前在投标截止期方面的全部权利、责任和义务，将适用于延长至新的投标截止期。</w:t>
      </w:r>
      <w:bookmarkEnd w:id="110"/>
      <w:bookmarkStart w:id="111" w:name="_Toc170792769"/>
      <w:bookmarkStart w:id="112" w:name="_Toc107820050"/>
    </w:p>
    <w:bookmarkEnd w:id="111"/>
    <w:bookmarkEnd w:id="112"/>
    <w:p w14:paraId="052D0791">
      <w:pPr>
        <w:pStyle w:val="5"/>
        <w:keepNext/>
        <w:keepLines/>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113" w:name="_Toc4085"/>
      <w:bookmarkStart w:id="114" w:name="_Toc222632758"/>
      <w:bookmarkStart w:id="115" w:name="_Toc4662"/>
      <w:bookmarkStart w:id="116" w:name="_Toc15896"/>
      <w:bookmarkStart w:id="117" w:name="_Toc317341941"/>
      <w:bookmarkStart w:id="118" w:name="_Toc20939"/>
      <w:r>
        <w:rPr>
          <w:rFonts w:hint="eastAsia" w:ascii="宋体" w:hAnsi="宋体" w:eastAsia="宋体" w:cs="宋体"/>
          <w:color w:val="auto"/>
          <w:sz w:val="24"/>
          <w:szCs w:val="24"/>
          <w:highlight w:val="none"/>
        </w:rPr>
        <w:t>四、开标</w:t>
      </w:r>
      <w:bookmarkEnd w:id="113"/>
      <w:bookmarkEnd w:id="114"/>
      <w:bookmarkEnd w:id="115"/>
      <w:bookmarkEnd w:id="116"/>
      <w:bookmarkEnd w:id="117"/>
      <w:bookmarkEnd w:id="118"/>
    </w:p>
    <w:p w14:paraId="0623AB79">
      <w:pPr>
        <w:pStyle w:val="7"/>
        <w:pageBreakBefore w:val="0"/>
        <w:widowControl w:val="0"/>
        <w:numPr>
          <w:ilvl w:val="0"/>
          <w:numId w:val="0"/>
        </w:numPr>
        <w:shd w:val="clear"/>
        <w:tabs>
          <w:tab w:val="clear" w:pos="720"/>
        </w:tabs>
        <w:kinsoku/>
        <w:wordWrap/>
        <w:overflowPunct/>
        <w:topLinePunct w:val="0"/>
        <w:bidi w:val="0"/>
        <w:spacing w:before="0" w:after="0" w:line="400" w:lineRule="exact"/>
        <w:ind w:left="720" w:hanging="720"/>
        <w:textAlignment w:val="auto"/>
        <w:rPr>
          <w:rFonts w:hint="eastAsia" w:ascii="宋体" w:hAnsi="宋体" w:eastAsia="宋体" w:cs="宋体"/>
          <w:b w:val="0"/>
          <w:bCs w:val="0"/>
          <w:color w:val="auto"/>
          <w:sz w:val="21"/>
          <w:szCs w:val="21"/>
          <w:highlight w:val="none"/>
        </w:rPr>
      </w:pPr>
      <w:bookmarkStart w:id="119" w:name="_Toc222632759"/>
      <w:bookmarkStart w:id="120" w:name="_Toc317341942"/>
      <w:r>
        <w:rPr>
          <w:rFonts w:hint="eastAsia" w:ascii="宋体" w:hAnsi="宋体" w:eastAsia="宋体" w:cs="宋体"/>
          <w:b w:val="0"/>
          <w:bCs w:val="0"/>
          <w:color w:val="auto"/>
          <w:sz w:val="21"/>
          <w:szCs w:val="21"/>
          <w:highlight w:val="none"/>
        </w:rPr>
        <w:t>（一）开标形式</w:t>
      </w:r>
    </w:p>
    <w:p w14:paraId="4A980A9B">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采购组织机构将按照招标文件规定的时间通过“政采云平台”组织开标、开启投标文件，所有投标人均应当准时在线参加。</w:t>
      </w:r>
    </w:p>
    <w:p w14:paraId="4DC7C080">
      <w:pPr>
        <w:pStyle w:val="7"/>
        <w:pageBreakBefore w:val="0"/>
        <w:widowControl w:val="0"/>
        <w:numPr>
          <w:ilvl w:val="0"/>
          <w:numId w:val="0"/>
        </w:numPr>
        <w:shd w:val="clear"/>
        <w:tabs>
          <w:tab w:val="clear" w:pos="720"/>
        </w:tabs>
        <w:kinsoku/>
        <w:wordWrap/>
        <w:overflowPunct/>
        <w:topLinePunct w:val="0"/>
        <w:bidi w:val="0"/>
        <w:spacing w:before="0" w:after="0" w:line="400" w:lineRule="exact"/>
        <w:ind w:left="720" w:hanging="7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 开标准备</w:t>
      </w:r>
    </w:p>
    <w:p w14:paraId="7371B87E">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1、开标的准备工作由采购组织机构负责落实；</w:t>
      </w:r>
    </w:p>
    <w:p w14:paraId="35B970EB">
      <w:pPr>
        <w:pageBreakBefore w:val="0"/>
        <w:widowControl w:val="0"/>
        <w:shd w:val="clear"/>
        <w:kinsoku/>
        <w:wordWrap/>
        <w:overflowPunct/>
        <w:topLinePunct w:val="0"/>
        <w:bidi w:val="0"/>
        <w:spacing w:after="120" w:line="400" w:lineRule="exact"/>
        <w:ind w:firstLine="369" w:firstLineChars="176"/>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采购组织机构将按照招标文件规定的时间通过“政采云平台”组织开标、开启投标文件，所有投标人均应当准时在线参加。</w:t>
      </w:r>
      <w:r>
        <w:rPr>
          <w:rFonts w:hint="eastAsia" w:ascii="宋体" w:hAnsi="宋体" w:eastAsia="宋体" w:cs="宋体"/>
          <w:color w:val="auto"/>
          <w:kern w:val="0"/>
          <w:szCs w:val="21"/>
          <w:highlight w:val="none"/>
        </w:rPr>
        <w:t>投标人如不参加开标大会的，视同认可开标结果，事后不得对采购相关人员、开标过程和开标结果提出异议，同时投标人因未在线参加开标而导致投标文件无法按时解密等一切后果由投标人自行承担。</w:t>
      </w:r>
    </w:p>
    <w:p w14:paraId="4C17D84F">
      <w:pPr>
        <w:pStyle w:val="7"/>
        <w:pageBreakBefore w:val="0"/>
        <w:widowControl w:val="0"/>
        <w:numPr>
          <w:ilvl w:val="0"/>
          <w:numId w:val="0"/>
        </w:numPr>
        <w:shd w:val="clear"/>
        <w:tabs>
          <w:tab w:val="clear" w:pos="720"/>
        </w:tabs>
        <w:kinsoku/>
        <w:wordWrap/>
        <w:overflowPunct/>
        <w:topLinePunct w:val="0"/>
        <w:bidi w:val="0"/>
        <w:spacing w:before="0" w:after="0" w:line="400" w:lineRule="exact"/>
        <w:ind w:left="720" w:hanging="7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（三）开标流程</w:t>
      </w:r>
    </w:p>
    <w:p w14:paraId="7D2B9CAF">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1、开标、开启投标文件时，电子交易平台自动提取所有投标、投标文件，提示采购组织机构和投标人按招标文件规定的方式和时间在线解密。给予投标人在线解密的时间为30分钟。</w:t>
      </w:r>
    </w:p>
    <w:p w14:paraId="2639D2CC">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544FEF80">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3、投标文件解密后，采购人及采购代理机构将对依法对投标人的资格进行审查，资格审查结束后进入符合性审查和资信技术的评审工作。</w:t>
      </w:r>
    </w:p>
    <w:p w14:paraId="77EBC3B8">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4、符合性审查、资信技术评审结束后，开启报价文件。</w:t>
      </w:r>
    </w:p>
    <w:p w14:paraId="2E7C3B46">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5、评标委员会对报价的合理性、准确性等进行审查核实。</w:t>
      </w:r>
    </w:p>
    <w:p w14:paraId="3BC07F02">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6、评标委员会完成评审后，通过电子交易平台向采购人及其委托的代理机构提交评审报告。同时打印纸质评审报告签署后由采购代理机构保存。</w:t>
      </w:r>
    </w:p>
    <w:p w14:paraId="3FF57606">
      <w:pPr>
        <w:pageBreakBefore w:val="0"/>
        <w:widowControl w:val="0"/>
        <w:shd w:val="clear"/>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7、评审结束后，代理机构通过电子交易平台或发送邮件形式向各投标人公布中标（成交）候选投标人名单，及采购人最终确定中标或中标人名单的时间和公告方式等。</w:t>
      </w:r>
    </w:p>
    <w:p w14:paraId="0C0DC87A">
      <w:pPr>
        <w:pageBreakBefore w:val="0"/>
        <w:widowControl w:val="0"/>
        <w:shd w:val="clear"/>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8、开标会议结束。</w:t>
      </w:r>
    </w:p>
    <w:p w14:paraId="1470562A">
      <w:pPr>
        <w:pageBreakBefore w:val="0"/>
        <w:widowControl w:val="0"/>
        <w:shd w:val="clear"/>
        <w:kinsoku/>
        <w:wordWrap/>
        <w:overflowPunct/>
        <w:topLinePunct w:val="0"/>
        <w:bidi w:val="0"/>
        <w:spacing w:line="400" w:lineRule="exact"/>
        <w:ind w:firstLine="422" w:firstLineChars="20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特别说明：如遇“政府采购云平台”电子化开标或评审程序调整的，按调整后程序执行。</w:t>
      </w:r>
    </w:p>
    <w:p w14:paraId="6CD7BE88">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121" w:name="_Toc13446"/>
      <w:bookmarkStart w:id="122" w:name="_Toc13947"/>
      <w:bookmarkStart w:id="123" w:name="_Toc17668"/>
      <w:bookmarkStart w:id="124" w:name="_Toc29731"/>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资格审查</w:t>
      </w:r>
      <w:bookmarkEnd w:id="121"/>
      <w:bookmarkEnd w:id="122"/>
      <w:bookmarkEnd w:id="123"/>
    </w:p>
    <w:p w14:paraId="7819E378">
      <w:pPr>
        <w:pStyle w:val="16"/>
        <w:pageBreakBefore w:val="0"/>
        <w:widowControl w:val="0"/>
        <w:numPr>
          <w:ilvl w:val="0"/>
          <w:numId w:val="2"/>
        </w:numPr>
        <w:shd w:val="clear"/>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资格审查人员</w:t>
      </w:r>
    </w:p>
    <w:p w14:paraId="16C5EFE2">
      <w:pPr>
        <w:pStyle w:val="16"/>
        <w:pageBreakBefore w:val="0"/>
        <w:widowControl w:val="0"/>
        <w:shd w:val="clear"/>
        <w:kinsoku/>
        <w:wordWrap/>
        <w:overflowPunct/>
        <w:topLinePunct w:val="0"/>
        <w:bidi w:val="0"/>
        <w:adjustRightInd w:val="0"/>
        <w:snapToGrid w:val="0"/>
        <w:spacing w:before="0" w:beforeLines="0" w:after="0" w:afterLines="0"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由采购人及采购代理机构负责。</w:t>
      </w:r>
    </w:p>
    <w:p w14:paraId="1D8A72F1">
      <w:pPr>
        <w:pStyle w:val="16"/>
        <w:pageBreakBefore w:val="0"/>
        <w:widowControl w:val="0"/>
        <w:numPr>
          <w:ilvl w:val="0"/>
          <w:numId w:val="2"/>
        </w:numPr>
        <w:shd w:val="clear"/>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资格审查依据</w:t>
      </w:r>
    </w:p>
    <w:p w14:paraId="27DCCA7B">
      <w:pPr>
        <w:pStyle w:val="16"/>
        <w:pageBreakBefore w:val="0"/>
        <w:widowControl w:val="0"/>
        <w:shd w:val="clear"/>
        <w:kinsoku/>
        <w:wordWrap/>
        <w:overflowPunct/>
        <w:topLinePunct w:val="0"/>
        <w:bidi w:val="0"/>
        <w:adjustRightInd w:val="0"/>
        <w:snapToGrid w:val="0"/>
        <w:spacing w:before="0" w:beforeLines="0" w:after="0" w:afterLines="0" w:line="400" w:lineRule="exact"/>
        <w:ind w:firstLine="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招标文件、投标人的资格证明文件、“信用中国”网站www.creditchina.gov.cn及“中国政府采购网”www.ccgp.gov.cn查询结果。</w:t>
      </w:r>
    </w:p>
    <w:p w14:paraId="4443B1F6">
      <w:pPr>
        <w:pStyle w:val="16"/>
        <w:pageBreakBefore w:val="0"/>
        <w:widowControl w:val="0"/>
        <w:numPr>
          <w:ilvl w:val="0"/>
          <w:numId w:val="2"/>
        </w:numPr>
        <w:shd w:val="clear"/>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资格审查方法</w:t>
      </w:r>
    </w:p>
    <w:p w14:paraId="53D3990C">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1、审查投标人资格证明文件的完整性、符合性。</w:t>
      </w:r>
    </w:p>
    <w:p w14:paraId="783B9696">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2、登录“信用中国”网站www.creditchina.gov.cn、“中国政府采购网”www.ccgp.gov.cn查询截止投标时间前的各投标人信用记录，打印相关网页页面留存。</w:t>
      </w:r>
    </w:p>
    <w:p w14:paraId="6AB064F2">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3、打印纸质资格审查表并签字确认。</w:t>
      </w:r>
    </w:p>
    <w:p w14:paraId="3A864341">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4、采购人或采购代理机构对投标人所提交的资格证明材料仅负审核的责任。如发现投标人所提交的资格证明材料不合法或与事实不符，采购人可取消其中标资格并追究投标人的法律责任。</w:t>
      </w:r>
    </w:p>
    <w:p w14:paraId="6C1A27A3">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5、投标人提交的资格证明材料无法证明其符合招标文件规定的“投标人资格要求”的，采购人或采购代理机构将对其作资格审查不通过处理（无效投标），并不再将其投标提交评标委员会进行后续评审。</w:t>
      </w:r>
    </w:p>
    <w:p w14:paraId="241E273F">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6、单位负责人为同一人或者存在直接控股、管理关系的不同投标人参加同一合同项下的政府采购活动的，相关投标人均作资格无效处理。</w:t>
      </w:r>
    </w:p>
    <w:p w14:paraId="3BDD3D23">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125" w:name="_Toc16490"/>
      <w:bookmarkStart w:id="126" w:name="_Toc27733"/>
      <w:bookmarkStart w:id="127" w:name="_Toc11885"/>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评标</w:t>
      </w:r>
      <w:bookmarkEnd w:id="119"/>
      <w:bookmarkEnd w:id="120"/>
      <w:bookmarkEnd w:id="124"/>
      <w:bookmarkEnd w:id="125"/>
      <w:bookmarkEnd w:id="126"/>
      <w:bookmarkEnd w:id="127"/>
    </w:p>
    <w:p w14:paraId="7501A402">
      <w:pPr>
        <w:pStyle w:val="16"/>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bookmarkStart w:id="128" w:name="_Toc317341943"/>
      <w:r>
        <w:rPr>
          <w:rFonts w:hint="eastAsia" w:ascii="宋体" w:hAnsi="宋体" w:eastAsia="宋体" w:cs="宋体"/>
          <w:b/>
          <w:color w:val="auto"/>
          <w:sz w:val="21"/>
          <w:szCs w:val="21"/>
          <w:highlight w:val="none"/>
        </w:rPr>
        <w:t>（一）评审工作的组织</w:t>
      </w:r>
    </w:p>
    <w:p w14:paraId="382C1D19">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采购人或采购代理机构负责组织本项目的评审工作，并依据政府采购法的相关规定履行职责。</w:t>
      </w:r>
    </w:p>
    <w:p w14:paraId="56BA2A0E">
      <w:pPr>
        <w:pStyle w:val="16"/>
        <w:pageBreakBefore w:val="0"/>
        <w:widowControl w:val="0"/>
        <w:shd w:val="clear"/>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（二）组建评标委员会</w:t>
      </w:r>
    </w:p>
    <w:p w14:paraId="5EF85A44">
      <w:pPr>
        <w:pStyle w:val="16"/>
        <w:pageBreakBefore w:val="0"/>
        <w:widowControl w:val="0"/>
        <w:shd w:val="clear"/>
        <w:kinsoku/>
        <w:wordWrap/>
        <w:overflowPunct/>
        <w:topLinePunct w:val="0"/>
        <w:bidi w:val="0"/>
        <w:adjustRightInd w:val="0"/>
        <w:snapToGrid w:val="0"/>
        <w:spacing w:before="0" w:beforeLines="0" w:after="0" w:afterLines="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本项目评标委员会由合法组建的5人（含）以上单数组成。评标委员会成员名单在评审结果（采购结果）公告前保密。</w:t>
      </w:r>
    </w:p>
    <w:p w14:paraId="1444E074">
      <w:pPr>
        <w:pStyle w:val="16"/>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（三）评标委员会的职责</w:t>
      </w:r>
    </w:p>
    <w:p w14:paraId="018459A3">
      <w:pPr>
        <w:pageBreakBefore w:val="0"/>
        <w:widowControl w:val="0"/>
        <w:shd w:val="clear"/>
        <w:kinsoku/>
        <w:wordWrap/>
        <w:overflowPunct/>
        <w:topLinePunct w:val="0"/>
        <w:bidi w:val="0"/>
        <w:spacing w:line="400" w:lineRule="exact"/>
        <w:ind w:firstLine="371" w:firstLineChars="176"/>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评标委员会负责具体评审事务，并独立履行下列职责：</w:t>
      </w:r>
    </w:p>
    <w:p w14:paraId="08E30DA9">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1、审查、评价投标文件是否符合招标文件的资信、技术等实质性要求；</w:t>
      </w:r>
    </w:p>
    <w:p w14:paraId="7B1C499E">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2、要求投标人对投标文件有关事项作出澄清或者说明；</w:t>
      </w:r>
    </w:p>
    <w:p w14:paraId="46621FD0">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3、对投标文件进行比较和评价；</w:t>
      </w:r>
    </w:p>
    <w:p w14:paraId="7792B9A4">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4、确定中标候选人名单，以及根据采购人委托直接确定中标人；</w:t>
      </w:r>
    </w:p>
    <w:p w14:paraId="60D4504A">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5、向采购人、采购代理机构或者有关部门报告评审中发现的违法行为。</w:t>
      </w:r>
    </w:p>
    <w:p w14:paraId="622475CA">
      <w:pPr>
        <w:pStyle w:val="16"/>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（四）评审原则和评标办法</w:t>
      </w:r>
    </w:p>
    <w:p w14:paraId="1E948CEE">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1、评审原则：</w:t>
      </w:r>
      <w:r>
        <w:rPr>
          <w:rFonts w:hint="eastAsia" w:ascii="宋体" w:hAnsi="宋体" w:eastAsia="宋体" w:cs="宋体"/>
          <w:color w:val="auto"/>
          <w:kern w:val="0"/>
          <w:szCs w:val="21"/>
          <w:highlight w:val="none"/>
        </w:rPr>
        <w:t>评标委员会</w:t>
      </w:r>
      <w:r>
        <w:rPr>
          <w:rFonts w:hint="eastAsia" w:ascii="宋体" w:hAnsi="宋体" w:eastAsia="宋体" w:cs="宋体"/>
          <w:color w:val="auto"/>
          <w:szCs w:val="21"/>
          <w:highlight w:val="none"/>
        </w:rPr>
        <w:t>按照客观、公正、审慎、择优的原则，根据招标文件规定的评审程序、评审方法和评审标准进行独立评审。</w:t>
      </w:r>
    </w:p>
    <w:p w14:paraId="3EF8F3C7">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2、评审工作将依据</w:t>
      </w:r>
      <w:r>
        <w:rPr>
          <w:rFonts w:hint="eastAsia" w:ascii="宋体" w:hAnsi="宋体" w:eastAsia="宋体" w:cs="宋体"/>
          <w:color w:val="auto"/>
          <w:kern w:val="0"/>
          <w:szCs w:val="21"/>
          <w:highlight w:val="none"/>
        </w:rPr>
        <w:t>招标文件、投标文件及招标文件中事先已列明的内容进行。</w:t>
      </w:r>
    </w:p>
    <w:p w14:paraId="074CE439">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3、评标办法。本项目采用综合评分法，详见《第四章：评标办法及标准》。</w:t>
      </w:r>
    </w:p>
    <w:p w14:paraId="041754CE">
      <w:pPr>
        <w:pStyle w:val="16"/>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（五）评审意见的争议处理</w:t>
      </w:r>
    </w:p>
    <w:p w14:paraId="4504576D">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689B16C7">
      <w:pPr>
        <w:pStyle w:val="16"/>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（六）评审纪律</w:t>
      </w:r>
    </w:p>
    <w:p w14:paraId="5C6235AB">
      <w:pPr>
        <w:keepNext w:val="0"/>
        <w:keepLines w:val="0"/>
        <w:pageBreakBefore w:val="0"/>
        <w:widowControl w:val="0"/>
        <w:shd w:val="clear"/>
        <w:kinsoku/>
        <w:wordWrap/>
        <w:overflowPunct/>
        <w:topLinePunct w:val="0"/>
        <w:autoSpaceDE/>
        <w:autoSpaceDN/>
        <w:bidi w:val="0"/>
        <w:adjustRightInd/>
        <w:snapToGrid/>
        <w:spacing w:after="120" w:line="400" w:lineRule="exact"/>
        <w:ind w:firstLine="371" w:firstLineChars="177"/>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评标委员会成员必须严格遵守保密规定，不得泄露评审的有关情况</w:t>
      </w:r>
      <w:r>
        <w:rPr>
          <w:rFonts w:hint="eastAsia" w:ascii="宋体" w:hAnsi="宋体" w:eastAsia="宋体" w:cs="宋体"/>
          <w:color w:val="auto"/>
          <w:kern w:val="0"/>
          <w:szCs w:val="21"/>
          <w:highlight w:val="none"/>
        </w:rPr>
        <w:t>，任何单位和个人不得干扰、影响评标的正常进行，评标委员会成员不得私下与投标人接触，不得出现浙江省政府采购活动现场组织管理办法中规定的其他禁止行为。</w:t>
      </w:r>
    </w:p>
    <w:p w14:paraId="05E99BD9">
      <w:pPr>
        <w:pStyle w:val="16"/>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bookmarkStart w:id="129" w:name="_Toc24550043"/>
      <w:bookmarkStart w:id="130" w:name="_Toc33194395"/>
      <w:r>
        <w:rPr>
          <w:rFonts w:hint="eastAsia" w:ascii="宋体" w:hAnsi="宋体" w:eastAsia="宋体" w:cs="宋体"/>
          <w:b/>
          <w:color w:val="auto"/>
          <w:sz w:val="21"/>
          <w:szCs w:val="21"/>
          <w:highlight w:val="none"/>
        </w:rPr>
        <w:t>（七）</w:t>
      </w:r>
      <w:bookmarkEnd w:id="129"/>
      <w:bookmarkStart w:id="131" w:name="_Toc24550044"/>
      <w:r>
        <w:rPr>
          <w:rFonts w:hint="eastAsia" w:ascii="宋体" w:hAnsi="宋体" w:eastAsia="宋体" w:cs="宋体"/>
          <w:b/>
          <w:color w:val="auto"/>
          <w:sz w:val="21"/>
          <w:szCs w:val="21"/>
          <w:highlight w:val="none"/>
        </w:rPr>
        <w:t>评审流程及内容</w:t>
      </w:r>
      <w:bookmarkEnd w:id="130"/>
      <w:bookmarkEnd w:id="131"/>
    </w:p>
    <w:p w14:paraId="2BF60C43">
      <w:pPr>
        <w:pageBreakBefore w:val="0"/>
        <w:widowControl w:val="0"/>
        <w:shd w:val="clear"/>
        <w:kinsoku/>
        <w:wordWrap/>
        <w:overflowPunct/>
        <w:topLinePunct w:val="0"/>
        <w:bidi w:val="0"/>
        <w:spacing w:line="400" w:lineRule="exact"/>
        <w:ind w:firstLine="371" w:firstLineChars="176"/>
        <w:textAlignment w:val="auto"/>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本项目具体的评审事务由评标委员会负责，评审流程及内容如下：</w:t>
      </w:r>
    </w:p>
    <w:p w14:paraId="38CDF745">
      <w:pPr>
        <w:pStyle w:val="7"/>
        <w:pageBreakBefore w:val="0"/>
        <w:widowControl w:val="0"/>
        <w:numPr>
          <w:ilvl w:val="0"/>
          <w:numId w:val="0"/>
        </w:numPr>
        <w:shd w:val="clear"/>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评审前准备</w:t>
      </w:r>
    </w:p>
    <w:p w14:paraId="50259A88">
      <w:pPr>
        <w:pageBreakBefore w:val="0"/>
        <w:widowControl w:val="0"/>
        <w:shd w:val="clear"/>
        <w:kinsoku/>
        <w:wordWrap/>
        <w:overflowPunct/>
        <w:topLinePunct w:val="0"/>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1.1由评审专家推选评审小组组长，采购人代表不得担任评审小组组长。</w:t>
      </w:r>
    </w:p>
    <w:p w14:paraId="2D6CC2CB">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58C13045">
      <w:pPr>
        <w:pStyle w:val="7"/>
        <w:pageBreakBefore w:val="0"/>
        <w:widowControl w:val="0"/>
        <w:numPr>
          <w:ilvl w:val="0"/>
          <w:numId w:val="0"/>
        </w:numPr>
        <w:shd w:val="clear"/>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2、投标文件的初步审查、符合性审查</w:t>
      </w:r>
    </w:p>
    <w:p w14:paraId="2D39B910">
      <w:pPr>
        <w:pageBreakBefore w:val="0"/>
        <w:widowControl w:val="0"/>
        <w:shd w:val="clear"/>
        <w:kinsoku/>
        <w:wordWrap/>
        <w:overflowPunct/>
        <w:topLinePunct w:val="0"/>
        <w:bidi w:val="0"/>
        <w:spacing w:line="400" w:lineRule="exact"/>
        <w:ind w:firstLine="373" w:firstLineChars="177"/>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对所有通过资格审查的投标人的投标文件进行初步审查，审查、评价投标文件是否符合招标文件的资信、技术、服务等实质性要求。</w:t>
      </w:r>
    </w:p>
    <w:p w14:paraId="4F6D8A26">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1033D54B">
      <w:pPr>
        <w:pStyle w:val="7"/>
        <w:pageBreakBefore w:val="0"/>
        <w:widowControl w:val="0"/>
        <w:numPr>
          <w:ilvl w:val="0"/>
          <w:numId w:val="0"/>
        </w:numPr>
        <w:shd w:val="clear"/>
        <w:tabs>
          <w:tab w:val="clear" w:pos="720"/>
        </w:tabs>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3、投标文件的澄清、说明或补正</w:t>
      </w:r>
    </w:p>
    <w:p w14:paraId="74ACD568">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1A9066B0">
      <w:pPr>
        <w:pageBreakBefore w:val="0"/>
        <w:widowControl w:val="0"/>
        <w:shd w:val="clear"/>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0737F6A6">
      <w:pPr>
        <w:pStyle w:val="7"/>
        <w:pageBreakBefore w:val="0"/>
        <w:widowControl w:val="0"/>
        <w:numPr>
          <w:ilvl w:val="0"/>
          <w:numId w:val="0"/>
        </w:numPr>
        <w:shd w:val="clear"/>
        <w:tabs>
          <w:tab w:val="clear" w:pos="720"/>
        </w:tabs>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4、投标文件的错误修正</w:t>
      </w:r>
    </w:p>
    <w:p w14:paraId="106D4DD2">
      <w:pPr>
        <w:pageBreakBefore w:val="0"/>
        <w:widowControl w:val="0"/>
        <w:shd w:val="clear"/>
        <w:kinsoku/>
        <w:wordWrap/>
        <w:overflowPunct/>
        <w:topLinePunct w:val="0"/>
        <w:bidi w:val="0"/>
        <w:spacing w:line="400" w:lineRule="exact"/>
        <w:ind w:firstLine="369" w:firstLineChars="175"/>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4.1投标文件如果出现计算或表达上的错误，修正错误的原则如下：</w:t>
      </w:r>
    </w:p>
    <w:p w14:paraId="459E6110">
      <w:pPr>
        <w:keepNext w:val="0"/>
        <w:keepLines w:val="0"/>
        <w:pageBreakBefore w:val="0"/>
        <w:widowControl w:val="0"/>
        <w:shd w:val="clear"/>
        <w:kinsoku/>
        <w:wordWrap/>
        <w:overflowPunct/>
        <w:topLinePunct w:val="0"/>
        <w:autoSpaceDE/>
        <w:autoSpaceDN/>
        <w:bidi w:val="0"/>
        <w:snapToGrid/>
        <w:spacing w:line="38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（1）投标文件中开标一览表（报价表）内容与投标文件中相应内容不一致的，以开标一览表（报价表）为准。</w:t>
      </w:r>
    </w:p>
    <w:p w14:paraId="25271112">
      <w:pPr>
        <w:keepNext w:val="0"/>
        <w:keepLines w:val="0"/>
        <w:pageBreakBefore w:val="0"/>
        <w:widowControl w:val="0"/>
        <w:shd w:val="clear"/>
        <w:kinsoku/>
        <w:wordWrap/>
        <w:overflowPunct/>
        <w:topLinePunct w:val="0"/>
        <w:autoSpaceDE/>
        <w:autoSpaceDN/>
        <w:bidi w:val="0"/>
        <w:snapToGrid/>
        <w:spacing w:line="38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（2）投标文件的大写金额和小写金额不一致的，以大写金额为准；</w:t>
      </w:r>
    </w:p>
    <w:p w14:paraId="39B5D94D">
      <w:pPr>
        <w:keepNext w:val="0"/>
        <w:keepLines w:val="0"/>
        <w:pageBreakBefore w:val="0"/>
        <w:widowControl w:val="0"/>
        <w:shd w:val="clear"/>
        <w:kinsoku/>
        <w:wordWrap/>
        <w:overflowPunct/>
        <w:topLinePunct w:val="0"/>
        <w:autoSpaceDE/>
        <w:autoSpaceDN/>
        <w:bidi w:val="0"/>
        <w:snapToGrid/>
        <w:spacing w:line="38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（3）单价金额小数点或者百分比有明显错位的，应以开标一览表（报价表）的总价为准，并修改单价；</w:t>
      </w:r>
    </w:p>
    <w:p w14:paraId="44E587B1">
      <w:pPr>
        <w:keepNext w:val="0"/>
        <w:keepLines w:val="0"/>
        <w:pageBreakBefore w:val="0"/>
        <w:widowControl w:val="0"/>
        <w:shd w:val="clear"/>
        <w:kinsoku/>
        <w:wordWrap/>
        <w:overflowPunct/>
        <w:topLinePunct w:val="0"/>
        <w:autoSpaceDE/>
        <w:autoSpaceDN/>
        <w:bidi w:val="0"/>
        <w:snapToGrid/>
        <w:spacing w:line="38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（4）总价金额与按单价汇总金额不一致的，以单价金额计算结果为准。</w:t>
      </w:r>
    </w:p>
    <w:p w14:paraId="0CDE5362">
      <w:pPr>
        <w:keepNext w:val="0"/>
        <w:keepLines w:val="0"/>
        <w:pageBreakBefore w:val="0"/>
        <w:widowControl w:val="0"/>
        <w:shd w:val="clear"/>
        <w:kinsoku/>
        <w:wordWrap/>
        <w:overflowPunct/>
        <w:topLinePunct w:val="0"/>
        <w:autoSpaceDE/>
        <w:autoSpaceDN/>
        <w:bidi w:val="0"/>
        <w:adjustRightInd w:val="0"/>
        <w:snapToGrid/>
        <w:spacing w:line="380" w:lineRule="exact"/>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同时出现两种以上不一致的，按照上述规定的顺序修正。投标人按照澄清投标文件的形式同意并确认后，调整后的投标报价对投标人具有约束作用。如果投标人不接受修正后的报价，则其投标无效。</w:t>
      </w:r>
    </w:p>
    <w:p w14:paraId="71E12EC5">
      <w:pPr>
        <w:keepNext w:val="0"/>
        <w:keepLines w:val="0"/>
        <w:pageBreakBefore w:val="0"/>
        <w:widowControl w:val="0"/>
        <w:shd w:val="clear"/>
        <w:kinsoku/>
        <w:wordWrap/>
        <w:overflowPunct/>
        <w:topLinePunct w:val="0"/>
        <w:autoSpaceDE/>
        <w:autoSpaceDN/>
        <w:bidi w:val="0"/>
        <w:snapToGrid/>
        <w:spacing w:after="120" w:line="38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4.2对不同文字文本投标文件的解释发生异议的，以中文文本为准。</w:t>
      </w:r>
    </w:p>
    <w:p w14:paraId="08713066">
      <w:pPr>
        <w:pageBreakBefore w:val="0"/>
        <w:widowControl w:val="0"/>
        <w:shd w:val="clear"/>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（八）投标文件有下列情况之一者将视为无效：</w:t>
      </w:r>
    </w:p>
    <w:p w14:paraId="6E977E96">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bookmarkStart w:id="132" w:name="_Hlk33211013"/>
      <w:r>
        <w:rPr>
          <w:rFonts w:hint="eastAsia" w:ascii="宋体" w:hAnsi="宋体" w:eastAsia="宋体" w:cs="宋体"/>
          <w:color w:val="auto"/>
          <w:kern w:val="0"/>
          <w:szCs w:val="21"/>
          <w:highlight w:val="none"/>
        </w:rPr>
        <w:t>1、资信、技术文件符合性审查中，存在下列情形之一的，经评标委员会认定后作无效标处理：</w:t>
      </w:r>
    </w:p>
    <w:p w14:paraId="3FA12C17">
      <w:pPr>
        <w:pageBreakBefore w:val="0"/>
        <w:widowControl w:val="0"/>
        <w:shd w:val="clear"/>
        <w:tabs>
          <w:tab w:val="left" w:pos="1110"/>
        </w:tabs>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bookmarkStart w:id="133" w:name="_Toc33194396"/>
      <w:r>
        <w:rPr>
          <w:rFonts w:hint="eastAsia" w:ascii="宋体" w:hAnsi="宋体" w:eastAsia="宋体" w:cs="宋体"/>
          <w:color w:val="auto"/>
          <w:kern w:val="0"/>
          <w:szCs w:val="21"/>
          <w:highlight w:val="none"/>
        </w:rPr>
        <w:t>（1）投标文件未有效授权，法定代表人授权委托书等填写不完整或有涂改的；</w:t>
      </w:r>
      <w:bookmarkEnd w:id="133"/>
    </w:p>
    <w:p w14:paraId="3EE7769D">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（2）投标文件没有对本招标文件作出实质性响应的，或不满足（不响应）本招标文件中标注“▲”的实质性要求条款的，或存在招标文件中明确规定的其他无效标情形的；</w:t>
      </w:r>
    </w:p>
    <w:p w14:paraId="7D3D3948">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（3）投标文件存在一个或一个以上备选（替代）投标方案的；</w:t>
      </w:r>
    </w:p>
    <w:p w14:paraId="4AE98F85">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（4）仅提交“备份投标文件”的；</w:t>
      </w:r>
    </w:p>
    <w:p w14:paraId="106E634A">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（5）文件组成内容不齐全，本招标文件规定必须提供而未提供的（属于资格审查范围的除外）；</w:t>
      </w:r>
    </w:p>
    <w:p w14:paraId="4B856629">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（6）投标文件标注的响应或偏离情况与事实不符，或提供了虚假材料的；</w:t>
      </w:r>
    </w:p>
    <w:p w14:paraId="3745DC85">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5FED412D">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）不响应或擅自改变本招标文件要求或投标文件有采购人不能接受的附加条件的；</w:t>
      </w:r>
    </w:p>
    <w:p w14:paraId="05B5EE6A">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）违反国家或政府部门相关法律、法规、文件规定的。</w:t>
      </w:r>
      <w:bookmarkEnd w:id="132"/>
    </w:p>
    <w:p w14:paraId="70DAB6E7">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2、报价文件符合性审查中，存在下列情形之一的，经评标委员会认定后作无效标处理：</w:t>
      </w:r>
    </w:p>
    <w:p w14:paraId="5E900F56">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（1）未按照招标文件标明的币种报价的，或者投标报价涵盖的内容不符合招标文件要求的；</w:t>
      </w:r>
    </w:p>
    <w:p w14:paraId="4EEAA909">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（2）投标报价出现前后不一致且不同意按照招标文件规定的方法进行修正的；</w:t>
      </w:r>
    </w:p>
    <w:p w14:paraId="1E223EB9">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（3）投标报价具有选择性，且未注明哪个有效的；</w:t>
      </w:r>
    </w:p>
    <w:p w14:paraId="061C2E89">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（4）投标报价超过采购预算（或最高限价）的；</w:t>
      </w:r>
    </w:p>
    <w:p w14:paraId="471395FE">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14:paraId="268BA365">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（6）违反国家或政府部门相关法律、法规、文件规定的。</w:t>
      </w:r>
    </w:p>
    <w:p w14:paraId="57BF84CC">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3、投标人串通投标的，投标无效。</w:t>
      </w:r>
    </w:p>
    <w:p w14:paraId="15C15F31">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投标人有以下情形之一的，视为投标人串通投标：</w:t>
      </w:r>
    </w:p>
    <w:p w14:paraId="6CA3A780">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（1）不同投标人的投标文件由同一单位或者个人编制；</w:t>
      </w:r>
    </w:p>
    <w:p w14:paraId="15242D1E">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（2）不同投标人委托同一单位或者个人办理投标事宜；</w:t>
      </w:r>
    </w:p>
    <w:p w14:paraId="087472D8">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（3）不同投标人的投标文件载明的项目管理成员或者联系人员为同一人；</w:t>
      </w:r>
    </w:p>
    <w:p w14:paraId="5E13E9DA">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（4）不同投标人的投标文件异常一致或者投标报价呈规律性差异；</w:t>
      </w:r>
    </w:p>
    <w:p w14:paraId="02EED7BD">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（5）不同投标人的投标文件相互混装；</w:t>
      </w:r>
    </w:p>
    <w:p w14:paraId="251F9A01">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4、法律、法规和招标文件规定的其他无效标情形。</w:t>
      </w:r>
    </w:p>
    <w:p w14:paraId="5F6D61E0">
      <w:pPr>
        <w:pageBreakBefore w:val="0"/>
        <w:widowControl w:val="0"/>
        <w:shd w:val="clear"/>
        <w:kinsoku/>
        <w:wordWrap/>
        <w:overflowPunct/>
        <w:topLinePunct w:val="0"/>
        <w:bidi w:val="0"/>
        <w:adjustRightInd w:val="0"/>
        <w:snapToGrid w:val="0"/>
        <w:spacing w:line="400" w:lineRule="exact"/>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14:paraId="49C825A9">
      <w:pPr>
        <w:pageBreakBefore w:val="0"/>
        <w:widowControl w:val="0"/>
        <w:shd w:val="clear"/>
        <w:tabs>
          <w:tab w:val="left" w:pos="720"/>
        </w:tabs>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（九）投标文件的评估、比较、评分</w:t>
      </w:r>
    </w:p>
    <w:p w14:paraId="068C1364">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297738C0">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39EB5A74">
      <w:pPr>
        <w:pageBreakBefore w:val="0"/>
        <w:widowControl w:val="0"/>
        <w:shd w:val="clear"/>
        <w:tabs>
          <w:tab w:val="left" w:pos="720"/>
        </w:tabs>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（十）修改评审结果</w:t>
      </w:r>
    </w:p>
    <w:p w14:paraId="306FB254">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1、评标结果汇总完成后，除下列情形外，任何人不得修改评标结果：</w:t>
      </w:r>
    </w:p>
    <w:p w14:paraId="776CFDC5">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 分值汇总计算错误的；</w:t>
      </w:r>
    </w:p>
    <w:p w14:paraId="256B1629">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 分项评分超出评分标准范围的；</w:t>
      </w:r>
    </w:p>
    <w:p w14:paraId="2546BD4E">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 评标委员会成员对客观评审因素评分不一致的；</w:t>
      </w:r>
    </w:p>
    <w:p w14:paraId="53D6B965">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 经评标委员会认定评分畸高、畸低的。</w:t>
      </w:r>
    </w:p>
    <w:p w14:paraId="0C33DAA9">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2、评标报告签署前，经复核发现存在以上情形之一的，评标委员会将当场修改评标结果，并在评标报告中记载。</w:t>
      </w:r>
    </w:p>
    <w:p w14:paraId="40B913B3">
      <w:pPr>
        <w:pageBreakBefore w:val="0"/>
        <w:widowControl w:val="0"/>
        <w:shd w:val="clear"/>
        <w:tabs>
          <w:tab w:val="left" w:pos="720"/>
        </w:tabs>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（十一）投标人排序及推荐中标（成交）候选投标人</w:t>
      </w:r>
    </w:p>
    <w:p w14:paraId="2016E1C3">
      <w:pPr>
        <w:keepNext w:val="0"/>
        <w:keepLines w:val="0"/>
        <w:pageBreakBefore w:val="0"/>
        <w:widowControl w:val="0"/>
        <w:shd w:val="clear"/>
        <w:kinsoku/>
        <w:wordWrap/>
        <w:overflowPunct/>
        <w:topLinePunct w:val="0"/>
        <w:autoSpaceDE/>
        <w:autoSpaceDN/>
        <w:bidi w:val="0"/>
        <w:adjustRightInd/>
        <w:snapToGrid/>
        <w:spacing w:line="396"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评标委员会根据以下规定确定投标人排名并推荐中标（成交）候选投标人。评标委员会根据各投标人的综合得分（技术资信分与报价得分之和）从高到低依次进行排名排序。特殊情形按以下原则处理：</w:t>
      </w:r>
    </w:p>
    <w:p w14:paraId="53976A70">
      <w:pPr>
        <w:keepNext w:val="0"/>
        <w:keepLines w:val="0"/>
        <w:pageBreakBefore w:val="0"/>
        <w:widowControl w:val="0"/>
        <w:shd w:val="clear"/>
        <w:kinsoku/>
        <w:wordWrap/>
        <w:overflowPunct/>
        <w:topLinePunct w:val="0"/>
        <w:autoSpaceDE/>
        <w:autoSpaceDN/>
        <w:bidi w:val="0"/>
        <w:adjustRightInd/>
        <w:snapToGrid/>
        <w:spacing w:line="396"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1、综合得分相同的，按投标报价低的优先原则确定排名；</w:t>
      </w:r>
    </w:p>
    <w:p w14:paraId="7DE86DC4">
      <w:pPr>
        <w:keepNext w:val="0"/>
        <w:keepLines w:val="0"/>
        <w:pageBreakBefore w:val="0"/>
        <w:widowControl w:val="0"/>
        <w:shd w:val="clear"/>
        <w:kinsoku/>
        <w:wordWrap/>
        <w:overflowPunct/>
        <w:topLinePunct w:val="0"/>
        <w:autoSpaceDE/>
        <w:autoSpaceDN/>
        <w:bidi w:val="0"/>
        <w:adjustRightInd/>
        <w:snapToGrid/>
        <w:spacing w:line="396"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2、综合得分和投标报价均相同的，按技术资信得分从高到低确定排名；</w:t>
      </w:r>
    </w:p>
    <w:p w14:paraId="4EA20EB7">
      <w:pPr>
        <w:keepNext w:val="0"/>
        <w:keepLines w:val="0"/>
        <w:pageBreakBefore w:val="0"/>
        <w:widowControl w:val="0"/>
        <w:shd w:val="clear"/>
        <w:kinsoku/>
        <w:wordWrap/>
        <w:overflowPunct/>
        <w:topLinePunct w:val="0"/>
        <w:autoSpaceDE/>
        <w:autoSpaceDN/>
        <w:bidi w:val="0"/>
        <w:adjustRightInd/>
        <w:snapToGrid/>
        <w:spacing w:line="396"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3、综合得分、投标报价和技术资信得分均相同的由评标委员会全体成员记名投票按少数服从多数的原则确定排名。</w:t>
      </w:r>
    </w:p>
    <w:p w14:paraId="6849E9F8">
      <w:pPr>
        <w:pageBreakBefore w:val="0"/>
        <w:widowControl w:val="0"/>
        <w:shd w:val="clear"/>
        <w:kinsoku/>
        <w:wordWrap/>
        <w:overflowPunct/>
        <w:topLinePunct w:val="0"/>
        <w:bidi w:val="0"/>
        <w:spacing w:line="400" w:lineRule="exact"/>
        <w:ind w:firstLine="373" w:firstLineChars="177"/>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4、</w:t>
      </w:r>
      <w:r>
        <w:rPr>
          <w:rFonts w:hint="eastAsia" w:ascii="宋体" w:hAnsi="宋体" w:eastAsia="宋体" w:cs="宋体"/>
          <w:b/>
          <w:highlight w:val="none"/>
        </w:rPr>
        <w:t>根据最终得分排序，通过书面评审报告的形式，向采购人推荐</w:t>
      </w:r>
      <w:r>
        <w:rPr>
          <w:rFonts w:hint="eastAsia" w:ascii="宋体" w:hAnsi="宋体" w:eastAsia="宋体" w:cs="宋体"/>
          <w:b/>
          <w:kern w:val="0"/>
          <w:highlight w:val="none"/>
        </w:rPr>
        <w:t>排名第一的投标人为第一中标候选人，排名第二的为第二中标候选人</w:t>
      </w:r>
      <w:r>
        <w:rPr>
          <w:rFonts w:hint="eastAsia" w:ascii="宋体" w:hAnsi="宋体" w:eastAsia="宋体" w:cs="宋体"/>
          <w:b/>
          <w:highlight w:val="none"/>
        </w:rPr>
        <w:t>。</w:t>
      </w:r>
    </w:p>
    <w:p w14:paraId="75EFDE4C">
      <w:pPr>
        <w:pageBreakBefore w:val="0"/>
        <w:widowControl w:val="0"/>
        <w:shd w:val="clear"/>
        <w:tabs>
          <w:tab w:val="left" w:pos="720"/>
        </w:tabs>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（十二）起草、签署评审报告</w:t>
      </w:r>
    </w:p>
    <w:p w14:paraId="60DD3DD0">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评审结束后，评标委员会将通过“政采云平台”起草评审报告，并书面打印签字，对自己的评审意见承担法律责任。对评审报告有异议的，应当在评审报告上签署不同意见，并说明理由，否则视为同意评审报告。</w:t>
      </w:r>
    </w:p>
    <w:p w14:paraId="05F64C7F">
      <w:pPr>
        <w:pageBreakBefore w:val="0"/>
        <w:widowControl w:val="0"/>
        <w:shd w:val="clear"/>
        <w:tabs>
          <w:tab w:val="left" w:pos="720"/>
        </w:tabs>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（十三）评标过程的保密</w:t>
      </w:r>
    </w:p>
    <w:p w14:paraId="60B2BA52">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凡是属于审查、澄清、评审和比较的有关资料以及授标建议，任何人均不得向投标人或其他无关的人员透露。</w:t>
      </w:r>
    </w:p>
    <w:p w14:paraId="59D9229F">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本项目评标过程实行全程录音、录像监控，投标人在评标过程中所进行的力图影响评标结果的不公正活动，可能导致其投标被拒绝。</w:t>
      </w:r>
    </w:p>
    <w:p w14:paraId="3CEAC62A">
      <w:pPr>
        <w:pageBreakBefore w:val="0"/>
        <w:widowControl w:val="0"/>
        <w:shd w:val="clear"/>
        <w:kinsoku/>
        <w:wordWrap/>
        <w:overflowPunct/>
        <w:topLinePunct w:val="0"/>
        <w:bidi w:val="0"/>
        <w:spacing w:line="400" w:lineRule="exact"/>
        <w:ind w:firstLine="369" w:firstLineChars="175"/>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（十四）废标的情形</w:t>
      </w:r>
    </w:p>
    <w:p w14:paraId="041B6B79">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在招标采购中，出现下列情形之一的，应予废标：</w:t>
      </w:r>
    </w:p>
    <w:p w14:paraId="3C3E2649">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1、符合专业条件的投标人或者对招标文件作实质性响应的投标人不足三家的；</w:t>
      </w:r>
    </w:p>
    <w:p w14:paraId="1C507587">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2、出现影响采购公正的违法、违规行为的；</w:t>
      </w:r>
    </w:p>
    <w:p w14:paraId="1FC787F8">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3、投标人的报价均超过了采购预算，采购人不能支付的；</w:t>
      </w:r>
    </w:p>
    <w:p w14:paraId="62441CF7">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4、因重大变故，采购任务取消的。</w:t>
      </w:r>
    </w:p>
    <w:p w14:paraId="27DF668C">
      <w:pPr>
        <w:pageBreakBefore w:val="0"/>
        <w:widowControl w:val="0"/>
        <w:shd w:val="clear"/>
        <w:tabs>
          <w:tab w:val="left" w:pos="720"/>
        </w:tabs>
        <w:kinsoku/>
        <w:wordWrap/>
        <w:overflowPunct/>
        <w:topLinePunct w:val="0"/>
        <w:bidi w:val="0"/>
        <w:spacing w:line="400" w:lineRule="exact"/>
        <w:ind w:firstLine="369" w:firstLineChars="175"/>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（十五）可中止电子交易活动的情形</w:t>
      </w:r>
    </w:p>
    <w:p w14:paraId="53732BCA">
      <w:pPr>
        <w:pageBreakBefore w:val="0"/>
        <w:widowControl w:val="0"/>
        <w:shd w:val="clear"/>
        <w:kinsoku/>
        <w:wordWrap/>
        <w:overflowPunct/>
        <w:topLinePunct w:val="0"/>
        <w:bidi w:val="0"/>
        <w:spacing w:line="400" w:lineRule="exact"/>
        <w:ind w:firstLine="371" w:firstLineChars="176"/>
        <w:textAlignment w:val="auto"/>
        <w:rPr>
          <w:rFonts w:hint="eastAsia" w:ascii="宋体" w:hAnsi="宋体" w:eastAsia="宋体" w:cs="宋体"/>
          <w:color w:val="auto"/>
          <w:highlight w:val="none"/>
        </w:rPr>
      </w:pPr>
      <w:r>
        <w:rPr>
          <w:rFonts w:hint="eastAsia" w:ascii="宋体" w:hAnsi="宋体" w:eastAsia="宋体" w:cs="宋体"/>
          <w:b/>
          <w:color w:val="auto"/>
          <w:highlight w:val="none"/>
        </w:rPr>
        <w:t>采购过程中出现以下情形，导致电子交易平台无法正常运行，或者无法保证电子交易的公平、公正和安全时，采购组织机构可中止电子交易活动：</w:t>
      </w:r>
    </w:p>
    <w:p w14:paraId="02DB9020">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1、电子交易平台发生故障而无法登录访问的；</w:t>
      </w:r>
    </w:p>
    <w:p w14:paraId="73B5CCFD">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BE6B95E">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4373F5DC">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4、病毒发作导致不能进行正常操作的；</w:t>
      </w:r>
    </w:p>
    <w:p w14:paraId="7B7B368B">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2184F130">
      <w:pPr>
        <w:pageBreakBefore w:val="0"/>
        <w:widowControl w:val="0"/>
        <w:shd w:val="clear"/>
        <w:kinsoku/>
        <w:wordWrap/>
        <w:overflowPunct/>
        <w:topLinePunct w:val="0"/>
        <w:bidi w:val="0"/>
        <w:spacing w:line="4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出现上述情形，不影响采购公平、公正性的，采购组织机构可以待上述情形消除后继续组织电子交易活动；影响或可能影响采购公平、公正性的，应当重新采购。</w:t>
      </w:r>
    </w:p>
    <w:p w14:paraId="64EA93A8">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134" w:name="_Toc30968"/>
      <w:bookmarkStart w:id="135" w:name="_Toc10758"/>
      <w:bookmarkStart w:id="136" w:name="_Toc11475"/>
      <w:bookmarkStart w:id="137" w:name="_Toc28539"/>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定标</w:t>
      </w:r>
      <w:bookmarkEnd w:id="128"/>
      <w:bookmarkEnd w:id="134"/>
      <w:bookmarkEnd w:id="135"/>
      <w:bookmarkEnd w:id="136"/>
      <w:bookmarkEnd w:id="137"/>
    </w:p>
    <w:p w14:paraId="1FFC857A">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color w:val="auto"/>
          <w:szCs w:val="21"/>
          <w:highlight w:val="none"/>
        </w:rPr>
      </w:pPr>
      <w:bookmarkStart w:id="138" w:name="_Toc222632760"/>
      <w:bookmarkStart w:id="139" w:name="_Toc317341944"/>
      <w:r>
        <w:rPr>
          <w:rFonts w:hint="eastAsia" w:ascii="宋体" w:hAnsi="宋体" w:eastAsia="宋体" w:cs="宋体"/>
          <w:color w:val="auto"/>
          <w:szCs w:val="21"/>
          <w:highlight w:val="none"/>
        </w:rPr>
        <w:t>（一）确定中标人。本项目由采购单位确定中标人。</w:t>
      </w:r>
    </w:p>
    <w:p w14:paraId="22C6BFE8">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（二）采购代理机构在评标结束后2个工作日内将评标报告交采购单位。</w:t>
      </w:r>
    </w:p>
    <w:p w14:paraId="7F4FA5C8">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（三）采购人在收到评标报告后5个工作日内按照评标报告推荐的顺序确定中标人。中标候选人顺序并列的，由采购人采购小组成员集体讨论确定。</w:t>
      </w:r>
    </w:p>
    <w:p w14:paraId="35A4F9C8">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（四）采购人依法确定中标人后2个工作日内，采购人和采购代理机构以书面形式发出《中标通知书》，并同时在相关网站发布中标公告。中标公告期限为1个工作日。</w:t>
      </w:r>
    </w:p>
    <w:p w14:paraId="000297A2">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highlight w:val="none"/>
        </w:rPr>
      </w:pPr>
      <w:r>
        <w:rPr>
          <w:rFonts w:hint="eastAsia" w:ascii="宋体" w:hAnsi="宋体" w:eastAsia="宋体" w:cs="宋体"/>
          <w:color w:val="auto"/>
          <w:szCs w:val="21"/>
          <w:highlight w:val="none"/>
        </w:rPr>
        <w:t xml:space="preserve">     采购代理机构对未通过资格审查的投标人，告知其未通过的原因。对未中标人，告知其本人的评审得分和排序。</w:t>
      </w:r>
    </w:p>
    <w:p w14:paraId="1070FEE0">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lang w:val="en-US" w:eastAsia="zh-CN"/>
        </w:rPr>
      </w:pPr>
      <w:bookmarkStart w:id="140" w:name="_Toc10354"/>
      <w:bookmarkStart w:id="141" w:name="_Toc15751"/>
      <w:bookmarkStart w:id="142" w:name="_Toc23493"/>
      <w:bookmarkStart w:id="143" w:name="_Toc16672"/>
      <w:r>
        <w:rPr>
          <w:rFonts w:hint="eastAsia" w:ascii="宋体" w:hAnsi="宋体" w:eastAsia="宋体" w:cs="宋体"/>
          <w:color w:val="auto"/>
          <w:sz w:val="24"/>
          <w:szCs w:val="24"/>
          <w:highlight w:val="none"/>
          <w:lang w:val="en-US" w:eastAsia="zh-CN"/>
        </w:rPr>
        <w:t>八、合同的授予</w:t>
      </w:r>
      <w:bookmarkEnd w:id="138"/>
      <w:bookmarkEnd w:id="139"/>
      <w:bookmarkEnd w:id="140"/>
      <w:bookmarkEnd w:id="141"/>
      <w:bookmarkEnd w:id="142"/>
      <w:bookmarkEnd w:id="143"/>
    </w:p>
    <w:p w14:paraId="23AD16FB">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（一）授予合同的依据</w:t>
      </w:r>
    </w:p>
    <w:p w14:paraId="4A436803">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1、采购人和采购代理机构签发的中标通知书；</w:t>
      </w:r>
    </w:p>
    <w:p w14:paraId="53ED23F0">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2、招标文件、招标文件的修改及补充文件；</w:t>
      </w:r>
    </w:p>
    <w:p w14:paraId="6BDCFB65">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3、投标文件和询标时投标人做出的澄清、说明、纠正、承诺；</w:t>
      </w:r>
    </w:p>
    <w:p w14:paraId="6CB6453D">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4、《中华人民共和国民法典》的规定。</w:t>
      </w:r>
    </w:p>
    <w:p w14:paraId="2FD80D70">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（二）签署合同的要求</w:t>
      </w:r>
    </w:p>
    <w:p w14:paraId="4C7D4F7A">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1、采购人与中标人按照中标通知书的规定时间、地点签订书面合同；</w:t>
      </w:r>
    </w:p>
    <w:p w14:paraId="52F995CD">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2、签订合同的时间（以前附表为准）；</w:t>
      </w:r>
    </w:p>
    <w:p w14:paraId="57231132">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3、所签订的采购合同内容不得对招标文件和中标人的投标文件作实质性修改；</w:t>
      </w:r>
    </w:p>
    <w:p w14:paraId="5303976D">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4、采购人不得向中标人提出任何不合理的要求，作为签订合同的条件，不得与中标人私下订立背离合同实质性内容的协议；</w:t>
      </w:r>
    </w:p>
    <w:p w14:paraId="1F85118C">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5、自合同签订之日起二个工作日内，采购人应将合同进行网上公告。</w:t>
      </w:r>
    </w:p>
    <w:p w14:paraId="253A90CE">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（三）中标通知书</w:t>
      </w:r>
    </w:p>
    <w:p w14:paraId="261732D7">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1、确定中标人后，采购人和采购代理机构将以书面形式发出中标通知书；</w:t>
      </w:r>
    </w:p>
    <w:p w14:paraId="10D2F762">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2、中标通知书为双方签订采购合同的依据；</w:t>
      </w:r>
    </w:p>
    <w:p w14:paraId="2B4ECE30">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3、中标人应根据中标通知书中规定的时间内，由法定代表人或其授权代理人与采购人签订合同。</w:t>
      </w:r>
    </w:p>
    <w:p w14:paraId="60F88A82">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4、中标通知书发出后，采购人改变中标结果，或者中标人放弃中标，应当承担相应的法律责任。</w:t>
      </w:r>
    </w:p>
    <w:p w14:paraId="290D9188">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（四）履约保证金</w:t>
      </w:r>
    </w:p>
    <w:p w14:paraId="0234225E">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不收取</w:t>
      </w:r>
      <w:r>
        <w:rPr>
          <w:rFonts w:hint="eastAsia" w:ascii="宋体" w:hAnsi="宋体" w:eastAsia="宋体" w:cs="宋体"/>
          <w:b w:val="0"/>
          <w:bCs/>
          <w:color w:val="auto"/>
          <w:szCs w:val="21"/>
          <w:highlight w:val="none"/>
        </w:rPr>
        <w:t>。</w:t>
      </w:r>
    </w:p>
    <w:p w14:paraId="1A9AF564">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（五）合同签订</w:t>
      </w:r>
    </w:p>
    <w:p w14:paraId="7C422FC7">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1、采购人与中标人依据招标文件和中标人的投标文件签订书面合同；</w:t>
      </w:r>
    </w:p>
    <w:p w14:paraId="16B0BFCD">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采购人如不与中标人订立协议的，或者采购人、中标人订立背离实质性内容的协议，由政府有关部门责令改正，同时依法承担相应法律责任；</w:t>
      </w:r>
    </w:p>
    <w:p w14:paraId="3A47CC95">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3、中标人如不按规定与采购人订立协议的，则采购人将取消其中标资格，并向其要求以预算金额2%额度的赔偿；</w:t>
      </w:r>
    </w:p>
    <w:p w14:paraId="2FDDD936">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4、中标人应当按照协议约定履行义务，完成项目各项工作，不得将中标项目违法转让（转包）给他人。</w:t>
      </w:r>
    </w:p>
    <w:p w14:paraId="6F0565A2">
      <w:pPr>
        <w:pStyle w:val="4"/>
        <w:shd w:val="clear"/>
        <w:spacing w:before="0" w:after="0" w:line="240" w:lineRule="auto"/>
        <w:jc w:val="center"/>
        <w:outlineLvl w:val="9"/>
        <w:rPr>
          <w:rFonts w:hint="eastAsia" w:ascii="宋体" w:hAnsi="宋体" w:cs="宋体"/>
          <w:snapToGrid w:val="0"/>
          <w:color w:val="auto"/>
          <w:sz w:val="40"/>
          <w:szCs w:val="36"/>
          <w:highlight w:val="none"/>
        </w:rPr>
      </w:pPr>
      <w:bookmarkStart w:id="144" w:name="_Toc317341945"/>
      <w:bookmarkStart w:id="145" w:name="_Toc3637"/>
      <w:bookmarkStart w:id="146" w:name="_Toc17693"/>
      <w:bookmarkStart w:id="147" w:name="_Toc27963"/>
      <w:bookmarkStart w:id="148" w:name="_Toc29826"/>
      <w:bookmarkStart w:id="149" w:name="_Toc222632762"/>
    </w:p>
    <w:p w14:paraId="1F625AC1">
      <w:pPr>
        <w:rPr>
          <w:rFonts w:hint="eastAsia" w:ascii="宋体" w:hAnsi="宋体" w:cs="宋体"/>
          <w:snapToGrid w:val="0"/>
          <w:color w:val="auto"/>
          <w:sz w:val="40"/>
          <w:szCs w:val="36"/>
          <w:highlight w:val="none"/>
        </w:rPr>
      </w:pPr>
    </w:p>
    <w:p w14:paraId="27B7B652">
      <w:pPr>
        <w:pStyle w:val="3"/>
        <w:rPr>
          <w:rFonts w:hint="eastAsia" w:ascii="宋体" w:hAnsi="宋体" w:cs="宋体"/>
          <w:snapToGrid w:val="0"/>
          <w:color w:val="auto"/>
          <w:sz w:val="40"/>
          <w:szCs w:val="36"/>
          <w:highlight w:val="none"/>
        </w:rPr>
      </w:pPr>
    </w:p>
    <w:p w14:paraId="1DB418C2">
      <w:pPr>
        <w:pStyle w:val="25"/>
        <w:rPr>
          <w:rFonts w:hint="eastAsia" w:ascii="宋体" w:hAnsi="宋体" w:cs="宋体"/>
          <w:snapToGrid w:val="0"/>
          <w:color w:val="auto"/>
          <w:sz w:val="40"/>
          <w:szCs w:val="36"/>
          <w:highlight w:val="none"/>
        </w:rPr>
      </w:pPr>
    </w:p>
    <w:p w14:paraId="74C832DE">
      <w:pPr>
        <w:rPr>
          <w:rFonts w:hint="eastAsia" w:ascii="宋体" w:hAnsi="宋体" w:cs="宋体"/>
          <w:snapToGrid w:val="0"/>
          <w:color w:val="auto"/>
          <w:sz w:val="40"/>
          <w:szCs w:val="36"/>
          <w:highlight w:val="none"/>
        </w:rPr>
      </w:pPr>
    </w:p>
    <w:p w14:paraId="765509A2">
      <w:pPr>
        <w:rPr>
          <w:rFonts w:hint="eastAsia" w:ascii="宋体" w:hAnsi="宋体" w:cs="宋体"/>
          <w:snapToGrid w:val="0"/>
          <w:color w:val="auto"/>
          <w:sz w:val="40"/>
          <w:szCs w:val="36"/>
          <w:highlight w:val="none"/>
        </w:rPr>
      </w:pPr>
    </w:p>
    <w:p w14:paraId="4C4F9134">
      <w:pPr>
        <w:pStyle w:val="2"/>
        <w:rPr>
          <w:rFonts w:hint="eastAsia"/>
        </w:rPr>
      </w:pPr>
    </w:p>
    <w:p w14:paraId="0623190A">
      <w:pPr>
        <w:pStyle w:val="32"/>
        <w:rPr>
          <w:rFonts w:hint="eastAsia"/>
          <w:highlight w:val="none"/>
        </w:rPr>
      </w:pPr>
    </w:p>
    <w:p w14:paraId="777DE061">
      <w:pPr>
        <w:pStyle w:val="4"/>
        <w:shd w:val="clear"/>
        <w:spacing w:before="0" w:after="0" w:line="480" w:lineRule="exact"/>
        <w:jc w:val="center"/>
        <w:rPr>
          <w:rFonts w:hint="eastAsia" w:ascii="宋体" w:hAnsi="宋体" w:eastAsia="宋体" w:cs="宋体"/>
          <w:snapToGrid w:val="0"/>
          <w:color w:val="auto"/>
          <w:sz w:val="36"/>
          <w:szCs w:val="36"/>
          <w:highlight w:val="none"/>
        </w:rPr>
      </w:pPr>
      <w:bookmarkStart w:id="150" w:name="_Toc30794"/>
      <w:r>
        <w:rPr>
          <w:rFonts w:hint="eastAsia" w:ascii="宋体" w:hAnsi="宋体" w:eastAsia="宋体" w:cs="宋体"/>
          <w:snapToGrid w:val="0"/>
          <w:color w:val="auto"/>
          <w:sz w:val="36"/>
          <w:szCs w:val="36"/>
          <w:highlight w:val="none"/>
        </w:rPr>
        <w:t xml:space="preserve">第四章 </w:t>
      </w:r>
      <w:bookmarkEnd w:id="144"/>
      <w:bookmarkEnd w:id="145"/>
      <w:r>
        <w:rPr>
          <w:rFonts w:hint="eastAsia" w:ascii="宋体" w:hAnsi="宋体" w:eastAsia="宋体" w:cs="宋体"/>
          <w:snapToGrid w:val="0"/>
          <w:color w:val="auto"/>
          <w:sz w:val="36"/>
          <w:szCs w:val="36"/>
          <w:highlight w:val="none"/>
        </w:rPr>
        <w:t xml:space="preserve"> 评标办法及标准</w:t>
      </w:r>
      <w:bookmarkEnd w:id="146"/>
      <w:bookmarkEnd w:id="147"/>
      <w:bookmarkEnd w:id="148"/>
      <w:bookmarkEnd w:id="150"/>
    </w:p>
    <w:p w14:paraId="17A71F15">
      <w:pPr>
        <w:pageBreakBefore w:val="0"/>
        <w:shd w:val="clea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为公正、公平、科学地选择中标人，根据《中华人民共和国政府采购法》《政府采购货物服务招标投标管理办法》等有关法律法规的规定，并结合本项目的实际，制定本办法。</w:t>
      </w:r>
    </w:p>
    <w:p w14:paraId="79A6B9FE">
      <w:pPr>
        <w:pageBreakBefore w:val="0"/>
        <w:shd w:val="clea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本办法适用于</w:t>
      </w:r>
      <w:r>
        <w:rPr>
          <w:rFonts w:hint="eastAsia" w:ascii="宋体" w:hAnsi="宋体" w:cs="宋体"/>
          <w:b/>
          <w:bCs/>
          <w:color w:val="auto"/>
          <w:szCs w:val="21"/>
          <w:highlight w:val="none"/>
          <w:u w:val="single"/>
          <w:lang w:eastAsia="zh-CN"/>
        </w:rPr>
        <w:t>2025年安吉县农药包装废弃物回收和集中处置服务采购项目</w:t>
      </w:r>
      <w:r>
        <w:rPr>
          <w:rFonts w:hint="eastAsia" w:ascii="宋体" w:hAnsi="宋体" w:eastAsia="宋体" w:cs="宋体"/>
          <w:color w:val="auto"/>
          <w:szCs w:val="21"/>
          <w:highlight w:val="none"/>
        </w:rPr>
        <w:t>的评标。</w:t>
      </w:r>
    </w:p>
    <w:p w14:paraId="71DFB74E">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color w:val="auto"/>
          <w:sz w:val="24"/>
          <w:szCs w:val="24"/>
          <w:highlight w:val="none"/>
          <w:lang w:val="en-US" w:eastAsia="zh-CN"/>
        </w:rPr>
      </w:pPr>
      <w:bookmarkStart w:id="151" w:name="_Toc18753"/>
      <w:bookmarkStart w:id="152" w:name="_Toc4155"/>
      <w:bookmarkStart w:id="153" w:name="_Toc27962"/>
      <w:bookmarkStart w:id="154" w:name="_Toc300812053"/>
      <w:bookmarkStart w:id="155" w:name="_Toc317341947"/>
      <w:bookmarkStart w:id="156" w:name="_Toc294470144"/>
      <w:r>
        <w:rPr>
          <w:rFonts w:hint="eastAsia" w:ascii="宋体" w:hAnsi="宋体" w:eastAsia="宋体" w:cs="宋体"/>
          <w:color w:val="auto"/>
          <w:sz w:val="24"/>
          <w:szCs w:val="24"/>
          <w:highlight w:val="none"/>
          <w:lang w:val="en-US" w:eastAsia="zh-CN"/>
        </w:rPr>
        <w:t>一、评标程序与方法</w:t>
      </w:r>
      <w:bookmarkEnd w:id="151"/>
      <w:bookmarkEnd w:id="152"/>
      <w:bookmarkEnd w:id="153"/>
    </w:p>
    <w:p w14:paraId="043801A7">
      <w:pPr>
        <w:pageBreakBefore w:val="0"/>
        <w:shd w:val="clea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1、评标委员会对通过资格性检查的投标人进行符合性检</w:t>
      </w:r>
      <w:r>
        <w:rPr>
          <w:rFonts w:hint="eastAsia" w:ascii="宋体" w:hAnsi="宋体" w:eastAsia="宋体" w:cs="宋体"/>
          <w:color w:val="auto"/>
          <w:spacing w:val="-6"/>
          <w:sz w:val="21"/>
          <w:szCs w:val="21"/>
          <w:highlight w:val="none"/>
        </w:rPr>
        <w:t>查。依据招标文件的规定，从</w:t>
      </w:r>
      <w:r>
        <w:rPr>
          <w:rFonts w:hint="eastAsia" w:ascii="宋体" w:hAnsi="宋体" w:eastAsia="宋体" w:cs="宋体"/>
          <w:color w:val="auto"/>
          <w:szCs w:val="21"/>
          <w:highlight w:val="none"/>
        </w:rPr>
        <w:t>投标文件的有效性、完整性和对招标文件的响应</w:t>
      </w:r>
      <w:r>
        <w:rPr>
          <w:rFonts w:hint="eastAsia" w:ascii="宋体" w:hAnsi="宋体" w:eastAsia="宋体" w:cs="宋体"/>
          <w:color w:val="auto"/>
          <w:spacing w:val="-6"/>
          <w:sz w:val="21"/>
          <w:szCs w:val="21"/>
          <w:highlight w:val="none"/>
        </w:rPr>
        <w:t>程度进行审查，以确定</w:t>
      </w:r>
      <w:r>
        <w:rPr>
          <w:rFonts w:hint="eastAsia" w:ascii="宋体" w:hAnsi="宋体" w:eastAsia="宋体" w:cs="宋体"/>
          <w:color w:val="auto"/>
          <w:szCs w:val="21"/>
          <w:highlight w:val="none"/>
        </w:rPr>
        <w:t>是否对招标文件的实质性要求做出响应。</w:t>
      </w:r>
    </w:p>
    <w:p w14:paraId="6D94E9B5">
      <w:pPr>
        <w:pageBreakBefore w:val="0"/>
        <w:shd w:val="clea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689A98BB">
      <w:pPr>
        <w:pageBreakBefore w:val="0"/>
        <w:shd w:val="clea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3、比较与评价。评标委员会按上述规定的评标内容和标准，对符合性检查合格的投标文件进行综合比较与独立评分。</w:t>
      </w:r>
    </w:p>
    <w:p w14:paraId="5D4E2094">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color w:val="auto"/>
          <w:sz w:val="24"/>
          <w:szCs w:val="24"/>
          <w:highlight w:val="none"/>
          <w:lang w:val="en-US" w:eastAsia="zh-CN"/>
        </w:rPr>
      </w:pPr>
      <w:bookmarkStart w:id="157" w:name="_Toc26404"/>
      <w:bookmarkStart w:id="158" w:name="_Toc7267"/>
      <w:bookmarkStart w:id="159" w:name="_Toc2491"/>
      <w:r>
        <w:rPr>
          <w:rFonts w:hint="eastAsia" w:ascii="宋体" w:hAnsi="宋体" w:eastAsia="宋体" w:cs="宋体"/>
          <w:color w:val="auto"/>
          <w:sz w:val="24"/>
          <w:szCs w:val="24"/>
          <w:highlight w:val="none"/>
          <w:lang w:val="en-US" w:eastAsia="zh-CN"/>
        </w:rPr>
        <w:t>二、综合评分法</w:t>
      </w:r>
      <w:bookmarkEnd w:id="157"/>
      <w:bookmarkEnd w:id="158"/>
      <w:bookmarkEnd w:id="159"/>
    </w:p>
    <w:p w14:paraId="62DDC568">
      <w:pPr>
        <w:pageBreakBefore w:val="0"/>
        <w:shd w:val="clea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color w:val="auto"/>
          <w:szCs w:val="21"/>
          <w:highlight w:val="none"/>
        </w:rPr>
        <w:t>本次评标采用综合评分法，总分为100分，其中价格分</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分、技术商务资信分</w:t>
      </w:r>
      <w:r>
        <w:rPr>
          <w:rFonts w:hint="eastAsia" w:ascii="宋体" w:hAnsi="宋体" w:cs="宋体"/>
          <w:color w:val="auto"/>
          <w:szCs w:val="21"/>
          <w:highlight w:val="none"/>
          <w:lang w:val="en-US" w:eastAsia="zh-CN"/>
        </w:rPr>
        <w:t>70</w:t>
      </w:r>
      <w:r>
        <w:rPr>
          <w:rFonts w:hint="eastAsia" w:ascii="宋体" w:hAnsi="宋体" w:eastAsia="宋体" w:cs="宋体"/>
          <w:color w:val="auto"/>
          <w:szCs w:val="21"/>
          <w:highlight w:val="none"/>
        </w:rPr>
        <w:t>分。合格投标人的评标得分为各项目汇总得分，中标候选资格按评标综合得分由高到低顺序排列，推荐中标候选人；得分相同的，按投标报价由低到高顺序排列；得分且投标报价相同的并列。</w:t>
      </w:r>
    </w:p>
    <w:p w14:paraId="0BAAEBBD">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color w:val="auto"/>
          <w:sz w:val="24"/>
          <w:szCs w:val="24"/>
          <w:highlight w:val="none"/>
          <w:lang w:val="en-US" w:eastAsia="zh-CN"/>
        </w:rPr>
      </w:pPr>
      <w:bookmarkStart w:id="160" w:name="_Toc14114"/>
      <w:bookmarkStart w:id="161" w:name="_Toc23186"/>
      <w:bookmarkStart w:id="162" w:name="_Toc26255"/>
      <w:bookmarkStart w:id="163" w:name="_Toc3993"/>
      <w:r>
        <w:rPr>
          <w:rFonts w:hint="eastAsia" w:ascii="宋体" w:hAnsi="宋体" w:eastAsia="宋体" w:cs="宋体"/>
          <w:color w:val="auto"/>
          <w:sz w:val="24"/>
          <w:szCs w:val="24"/>
          <w:highlight w:val="none"/>
          <w:lang w:val="en-US" w:eastAsia="zh-CN"/>
        </w:rPr>
        <w:t>三、评标内容及标准</w:t>
      </w:r>
      <w:bookmarkEnd w:id="154"/>
      <w:bookmarkEnd w:id="155"/>
      <w:bookmarkEnd w:id="156"/>
      <w:bookmarkEnd w:id="160"/>
      <w:bookmarkEnd w:id="161"/>
      <w:bookmarkEnd w:id="162"/>
      <w:bookmarkEnd w:id="163"/>
    </w:p>
    <w:p w14:paraId="0B774DE3">
      <w:pPr>
        <w:keepNext w:val="0"/>
        <w:keepLines w:val="0"/>
        <w:pageBreakBefore w:val="0"/>
        <w:widowControl w:val="0"/>
        <w:shd w:val="clear"/>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（一）价格分（</w:t>
      </w:r>
      <w:r>
        <w:rPr>
          <w:rFonts w:hint="eastAsia" w:ascii="宋体" w:hAnsi="宋体" w:cs="宋体"/>
          <w:b/>
          <w:color w:val="auto"/>
          <w:szCs w:val="21"/>
          <w:highlight w:val="none"/>
          <w:lang w:val="en-US" w:eastAsia="zh-CN"/>
        </w:rPr>
        <w:t>30</w:t>
      </w:r>
      <w:r>
        <w:rPr>
          <w:rFonts w:hint="eastAsia" w:ascii="宋体" w:hAnsi="宋体" w:eastAsia="宋体" w:cs="宋体"/>
          <w:b/>
          <w:color w:val="auto"/>
          <w:szCs w:val="21"/>
          <w:highlight w:val="none"/>
        </w:rPr>
        <w:t>分）</w:t>
      </w:r>
    </w:p>
    <w:p w14:paraId="58630661">
      <w:pPr>
        <w:pStyle w:val="64"/>
        <w:keepNext w:val="0"/>
        <w:keepLines w:val="0"/>
        <w:pageBreakBefore w:val="0"/>
        <w:widowControl w:val="0"/>
        <w:kinsoku/>
        <w:wordWrap/>
        <w:overflowPunct/>
        <w:topLinePunct w:val="0"/>
        <w:autoSpaceDE/>
        <w:autoSpaceDN/>
        <w:bidi w:val="0"/>
        <w:adjustRightInd w:val="0"/>
        <w:snapToGrid w:val="0"/>
        <w:spacing w:line="39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1、价格分采用低价优先法计算，即满足招标文件要求且投标报价最低的价格为评标基准价，其他投标人的价格分按照下列公式计算：</w:t>
      </w:r>
    </w:p>
    <w:p w14:paraId="58CE6ADE">
      <w:pPr>
        <w:keepNext w:val="0"/>
        <w:keepLines w:val="0"/>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cs="宋体"/>
          <w:color w:val="auto"/>
          <w:spacing w:val="11"/>
          <w:sz w:val="21"/>
          <w:szCs w:val="21"/>
          <w:highlight w:val="none"/>
          <w:lang w:val="en-US" w:eastAsia="zh-CN"/>
        </w:rPr>
        <w:t>30</w:t>
      </w:r>
      <w:r>
        <w:rPr>
          <w:rFonts w:hint="eastAsia" w:ascii="宋体" w:hAnsi="宋体" w:eastAsia="宋体" w:cs="宋体"/>
          <w:color w:val="auto"/>
          <w:spacing w:val="11"/>
          <w:sz w:val="21"/>
          <w:szCs w:val="21"/>
          <w:highlight w:val="none"/>
        </w:rPr>
        <w:t>%</w:t>
      </w:r>
      <w:r>
        <w:rPr>
          <w:rFonts w:hint="eastAsia" w:ascii="宋体" w:hAnsi="宋体" w:eastAsia="宋体" w:cs="宋体"/>
          <w:color w:val="auto"/>
          <w:szCs w:val="21"/>
          <w:highlight w:val="none"/>
        </w:rPr>
        <w:t>×100（保留两位小数）</w:t>
      </w:r>
    </w:p>
    <w:p w14:paraId="7D73BFA4">
      <w:pPr>
        <w:keepNext w:val="0"/>
        <w:keepLines w:val="0"/>
        <w:pageBreakBefore w:val="0"/>
        <w:widowControl w:val="0"/>
        <w:kinsoku/>
        <w:wordWrap/>
        <w:overflowPunct/>
        <w:topLinePunct w:val="0"/>
        <w:autoSpaceDE/>
        <w:autoSpaceDN/>
        <w:bidi w:val="0"/>
        <w:spacing w:line="39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、投标人的投标报价超过采购人给定的预算金额的，作无效标处理。</w:t>
      </w:r>
    </w:p>
    <w:p w14:paraId="37CECDD9">
      <w:pPr>
        <w:keepNext w:val="0"/>
        <w:keepLines w:val="0"/>
        <w:pageBreakBefore w:val="0"/>
        <w:widowControl w:val="0"/>
        <w:kinsoku/>
        <w:wordWrap/>
        <w:overflowPunct/>
        <w:topLinePunct w:val="0"/>
        <w:autoSpaceDE/>
        <w:autoSpaceDN/>
        <w:bidi w:val="0"/>
        <w:spacing w:line="39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TW" w:eastAsia="zh-TW"/>
        </w:rPr>
        <w:t>评审时评标委员会认为投标人的报价明显低于其他通过符合性审查投标人的报价，有可能影响产品质量或者不能诚信履约的，投标人在评标现场合理的时间内提供书面说明，必要时提交相关证明材料；投标人不能证明其报价合理性的，评标委员会应当将其作为无效投标处理</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 xml:space="preserve"> </w:t>
      </w:r>
    </w:p>
    <w:p w14:paraId="043BCD2F">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4、中小企业政策执行： </w:t>
      </w:r>
    </w:p>
    <w:p w14:paraId="0816D2F5">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本项目为专门面向中小企业采购，为本项目提供服务的供应商为非中小企业的，资格审查不予通过；符合上述条件的中小型企业应按照采购文件附件的格式要求在资格证明文件中提供《中小企业声明函》</w:t>
      </w:r>
      <w:r>
        <w:rPr>
          <w:rFonts w:hint="eastAsia" w:ascii="宋体" w:hAnsi="宋体" w:eastAsia="宋体" w:cs="宋体"/>
          <w:color w:val="auto"/>
          <w:highlight w:val="none"/>
          <w:lang w:eastAsia="zh-CN"/>
        </w:rPr>
        <w:t>；</w:t>
      </w:r>
    </w:p>
    <w:p w14:paraId="71F16EFC">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按照本办法规定提供声明函内容不实的，属于提供虚假材料谋取中标、成交，依照《中华人民共和国政府采购法》等国家有关规定追究相应责任。采购代理机构在中标结果公告中公开中标的《中小微企业声明函》</w:t>
      </w:r>
      <w:r>
        <w:rPr>
          <w:rFonts w:hint="eastAsia" w:ascii="宋体" w:hAnsi="宋体" w:eastAsia="宋体" w:cs="宋体"/>
          <w:color w:val="auto"/>
          <w:highlight w:val="none"/>
          <w:lang w:eastAsia="zh-CN"/>
        </w:rPr>
        <w:t>；</w:t>
      </w:r>
    </w:p>
    <w:p w14:paraId="365E5FB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投标产品生产企业（提供服务的企业）按照《关于印发中小企业划型标准规定的通知》（工信部联企</w:t>
      </w:r>
      <w:r>
        <w:rPr>
          <w:rFonts w:hint="eastAsia" w:ascii="宋体" w:hAnsi="宋体" w:eastAsia="宋体" w:cs="宋体"/>
          <w:bCs/>
          <w:color w:val="auto"/>
          <w:spacing w:val="-6"/>
          <w:sz w:val="21"/>
          <w:szCs w:val="21"/>
          <w:highlight w:val="none"/>
        </w:rPr>
        <w:t>业〔2011〕300 号）的所属行业规定为小型、微型企业。</w:t>
      </w:r>
      <w:r>
        <w:rPr>
          <w:rFonts w:hint="eastAsia" w:ascii="宋体" w:hAnsi="宋体" w:eastAsia="宋体" w:cs="宋体"/>
          <w:bCs/>
          <w:color w:val="auto"/>
          <w:szCs w:val="21"/>
          <w:highlight w:val="none"/>
        </w:rPr>
        <w:t>投标文件中必须提供《中小企业声明函》；</w:t>
      </w:r>
    </w:p>
    <w:p w14:paraId="5B3D392F">
      <w:pPr>
        <w:keepNext w:val="0"/>
        <w:keepLines w:val="0"/>
        <w:pageBreakBefore w:val="0"/>
        <w:widowControl/>
        <w:kinsoku/>
        <w:wordWrap/>
        <w:overflowPunct/>
        <w:topLinePunct w:val="0"/>
        <w:autoSpaceDE/>
        <w:autoSpaceDN/>
        <w:bidi w:val="0"/>
        <w:adjustRightInd w:val="0"/>
        <w:snapToGrid w:val="0"/>
        <w:spacing w:line="356"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符合中小企业划分标准的个体工商户，视同中小企业。</w:t>
      </w:r>
    </w:p>
    <w:p w14:paraId="06AC6432">
      <w:pPr>
        <w:keepNext w:val="0"/>
        <w:keepLines w:val="0"/>
        <w:pageBreakBefore w:val="0"/>
        <w:kinsoku/>
        <w:wordWrap/>
        <w:overflowPunct/>
        <w:topLinePunct w:val="0"/>
        <w:autoSpaceDE/>
        <w:autoSpaceDN/>
        <w:bidi w:val="0"/>
        <w:adjustRightInd w:val="0"/>
        <w:snapToGrid w:val="0"/>
        <w:spacing w:line="356"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3、残疾人福利性单位视同小微企业，其产品参加本项目投标的，享受小微企业同等的价格扣除。</w:t>
      </w:r>
    </w:p>
    <w:p w14:paraId="0997A9A2">
      <w:pPr>
        <w:keepNext w:val="0"/>
        <w:keepLines w:val="0"/>
        <w:pageBreakBefore w:val="0"/>
        <w:kinsoku/>
        <w:wordWrap/>
        <w:overflowPunct/>
        <w:topLinePunct w:val="0"/>
        <w:autoSpaceDE/>
        <w:autoSpaceDN/>
        <w:bidi w:val="0"/>
        <w:adjustRightInd w:val="0"/>
        <w:snapToGrid w:val="0"/>
        <w:spacing w:line="356"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3.1残疾人福利性单位应当同时满足以下条件：</w:t>
      </w:r>
    </w:p>
    <w:p w14:paraId="4C879535">
      <w:pPr>
        <w:keepNext w:val="0"/>
        <w:keepLines w:val="0"/>
        <w:pageBreakBefore w:val="0"/>
        <w:kinsoku/>
        <w:wordWrap/>
        <w:overflowPunct/>
        <w:topLinePunct w:val="0"/>
        <w:autoSpaceDE/>
        <w:autoSpaceDN/>
        <w:bidi w:val="0"/>
        <w:adjustRightInd w:val="0"/>
        <w:snapToGrid w:val="0"/>
        <w:spacing w:line="356"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 安置的残疾人占本单位在职职工人数的比例不低于 25%（含 25%），并且安置的残疾人人数不少于 10 人（含 10 人）；</w:t>
      </w:r>
    </w:p>
    <w:p w14:paraId="5549D152">
      <w:pPr>
        <w:keepNext w:val="0"/>
        <w:keepLines w:val="0"/>
        <w:pageBreakBefore w:val="0"/>
        <w:kinsoku/>
        <w:wordWrap/>
        <w:overflowPunct/>
        <w:topLinePunct w:val="0"/>
        <w:autoSpaceDE/>
        <w:autoSpaceDN/>
        <w:bidi w:val="0"/>
        <w:adjustRightInd w:val="0"/>
        <w:snapToGrid w:val="0"/>
        <w:spacing w:line="356"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②依法与安置的每位残疾人签订了一年以上（含一年）的劳动合同或服务协议；</w:t>
      </w:r>
    </w:p>
    <w:p w14:paraId="3591B83B">
      <w:pPr>
        <w:keepNext w:val="0"/>
        <w:keepLines w:val="0"/>
        <w:pageBreakBefore w:val="0"/>
        <w:kinsoku/>
        <w:wordWrap/>
        <w:overflowPunct/>
        <w:topLinePunct w:val="0"/>
        <w:autoSpaceDE/>
        <w:autoSpaceDN/>
        <w:bidi w:val="0"/>
        <w:adjustRightInd w:val="0"/>
        <w:snapToGrid w:val="0"/>
        <w:spacing w:line="356"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③为安置的每位残疾人按月足额缴纳了基本养老保险、基本医疗保险、失业保险、工伤保险和生育保险等社会保险费；</w:t>
      </w:r>
    </w:p>
    <w:p w14:paraId="04C3704D">
      <w:pPr>
        <w:keepNext w:val="0"/>
        <w:keepLines w:val="0"/>
        <w:pageBreakBefore w:val="0"/>
        <w:kinsoku/>
        <w:wordWrap/>
        <w:overflowPunct/>
        <w:topLinePunct w:val="0"/>
        <w:autoSpaceDE/>
        <w:autoSpaceDN/>
        <w:bidi w:val="0"/>
        <w:adjustRightInd w:val="0"/>
        <w:snapToGrid w:val="0"/>
        <w:spacing w:line="356"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④通过银行等金融机构向安置的每位残疾人，按月支付了不低于单位所在区县适用的经省级人民政府批准的月最低工资标准的工资；</w:t>
      </w:r>
    </w:p>
    <w:p w14:paraId="69400114">
      <w:pPr>
        <w:keepNext w:val="0"/>
        <w:keepLines w:val="0"/>
        <w:pageBreakBefore w:val="0"/>
        <w:kinsoku/>
        <w:wordWrap/>
        <w:overflowPunct/>
        <w:topLinePunct w:val="0"/>
        <w:autoSpaceDE/>
        <w:autoSpaceDN/>
        <w:bidi w:val="0"/>
        <w:adjustRightInd w:val="0"/>
        <w:snapToGrid w:val="0"/>
        <w:spacing w:line="356"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⑤提供本单位制造的货物、承担的工程或者服务（以下简称产品），或者提供其他残疾人福利性单位制造的货物（不包括使用非残疾人福利性单位注册商标的货物）。</w:t>
      </w:r>
    </w:p>
    <w:p w14:paraId="00A7988C">
      <w:pPr>
        <w:keepNext w:val="0"/>
        <w:keepLines w:val="0"/>
        <w:pageBreakBefore w:val="0"/>
        <w:kinsoku/>
        <w:wordWrap/>
        <w:overflowPunct/>
        <w:topLinePunct w:val="0"/>
        <w:autoSpaceDE/>
        <w:autoSpaceDN/>
        <w:bidi w:val="0"/>
        <w:adjustRightInd w:val="0"/>
        <w:snapToGrid w:val="0"/>
        <w:spacing w:line="356"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 同时提供以下所有证明材料的投标人被认定为残疾人福利性单位：</w:t>
      </w:r>
    </w:p>
    <w:p w14:paraId="344090C8">
      <w:pPr>
        <w:keepNext w:val="0"/>
        <w:keepLines w:val="0"/>
        <w:pageBreakBefore w:val="0"/>
        <w:kinsoku/>
        <w:wordWrap/>
        <w:overflowPunct/>
        <w:topLinePunct w:val="0"/>
        <w:autoSpaceDE/>
        <w:autoSpaceDN/>
        <w:bidi w:val="0"/>
        <w:adjustRightInd w:val="0"/>
        <w:snapToGrid w:val="0"/>
        <w:spacing w:line="356"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 提供《残疾人福利性单位声明函》；</w:t>
      </w:r>
    </w:p>
    <w:p w14:paraId="2B57BAE6">
      <w:pPr>
        <w:keepNext w:val="0"/>
        <w:keepLines w:val="0"/>
        <w:pageBreakBefore w:val="0"/>
        <w:kinsoku/>
        <w:wordWrap/>
        <w:overflowPunct/>
        <w:topLinePunct w:val="0"/>
        <w:autoSpaceDE/>
        <w:autoSpaceDN/>
        <w:bidi w:val="0"/>
        <w:adjustRightInd w:val="0"/>
        <w:snapToGrid w:val="0"/>
        <w:spacing w:line="356"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 提供社保缴纳人员名单、录用的残疾人的《中华人民共和国残疾人证》或者《中华人民共和国残疾军人证(1至8级)》复印件。</w:t>
      </w:r>
    </w:p>
    <w:p w14:paraId="05308CD6">
      <w:pPr>
        <w:keepNext w:val="0"/>
        <w:keepLines w:val="0"/>
        <w:pageBreakBefore w:val="0"/>
        <w:kinsoku/>
        <w:wordWrap/>
        <w:overflowPunct/>
        <w:topLinePunct w:val="0"/>
        <w:autoSpaceDE/>
        <w:autoSpaceDN/>
        <w:bidi w:val="0"/>
        <w:spacing w:line="356"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4、监狱企业视同小微企业，其产品参加本项目投标的，享受小微企业同等的价格扣除。</w:t>
      </w:r>
    </w:p>
    <w:p w14:paraId="14DDB215">
      <w:pPr>
        <w:keepNext w:val="0"/>
        <w:keepLines w:val="0"/>
        <w:pageBreakBefore w:val="0"/>
        <w:numPr>
          <w:ilvl w:val="0"/>
          <w:numId w:val="0"/>
        </w:numPr>
        <w:kinsoku/>
        <w:wordWrap/>
        <w:overflowPunct/>
        <w:topLinePunct w:val="0"/>
        <w:autoSpaceDE/>
        <w:autoSpaceDN/>
        <w:bidi w:val="0"/>
        <w:adjustRightInd w:val="0"/>
        <w:snapToGrid w:val="0"/>
        <w:spacing w:line="356"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提供以下证明材料的投标人被认定为监狱企业：省级以上监狱管理局、戒毒管理局（含新疆生产建设兵团）出具的属于监狱企业的证明文件复印件。</w:t>
      </w:r>
    </w:p>
    <w:p w14:paraId="6F170AC9">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技术、商务资信分（</w:t>
      </w:r>
      <w:r>
        <w:rPr>
          <w:rFonts w:hint="eastAsia" w:ascii="宋体" w:hAnsi="宋体" w:cs="宋体"/>
          <w:b/>
          <w:color w:val="auto"/>
          <w:szCs w:val="21"/>
          <w:highlight w:val="none"/>
          <w:lang w:val="en-US" w:eastAsia="zh-CN"/>
        </w:rPr>
        <w:t>70</w:t>
      </w:r>
      <w:r>
        <w:rPr>
          <w:rFonts w:hint="eastAsia" w:ascii="宋体" w:hAnsi="宋体" w:eastAsia="宋体" w:cs="宋体"/>
          <w:b/>
          <w:color w:val="auto"/>
          <w:szCs w:val="21"/>
          <w:highlight w:val="none"/>
        </w:rPr>
        <w:t>分）</w:t>
      </w:r>
    </w:p>
    <w:tbl>
      <w:tblPr>
        <w:tblStyle w:val="35"/>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85"/>
        <w:gridCol w:w="695"/>
        <w:gridCol w:w="6759"/>
      </w:tblGrid>
      <w:tr w14:paraId="7392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4C2DB69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85" w:type="dxa"/>
            <w:noWrap w:val="0"/>
            <w:vAlign w:val="center"/>
          </w:tcPr>
          <w:p w14:paraId="5B043A9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695" w:type="dxa"/>
            <w:noWrap w:val="0"/>
            <w:vAlign w:val="center"/>
          </w:tcPr>
          <w:p w14:paraId="285F26C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759" w:type="dxa"/>
            <w:noWrap w:val="0"/>
            <w:vAlign w:val="center"/>
          </w:tcPr>
          <w:p w14:paraId="5F79F2B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5354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815" w:type="dxa"/>
            <w:noWrap w:val="0"/>
            <w:vAlign w:val="center"/>
          </w:tcPr>
          <w:p w14:paraId="4E22FAB6">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w:t>
            </w:r>
          </w:p>
        </w:tc>
        <w:tc>
          <w:tcPr>
            <w:tcW w:w="1285" w:type="dxa"/>
            <w:noWrap w:val="0"/>
            <w:vAlign w:val="center"/>
          </w:tcPr>
          <w:p w14:paraId="19383B44">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0"/>
                <w:kern w:val="0"/>
                <w:sz w:val="21"/>
                <w:szCs w:val="21"/>
                <w:highlight w:val="none"/>
                <w:lang w:eastAsia="zh-CN"/>
              </w:rPr>
              <w:t>农药废弃包装物</w:t>
            </w:r>
            <w:r>
              <w:rPr>
                <w:rFonts w:hint="eastAsia" w:ascii="宋体" w:hAnsi="宋体" w:eastAsia="宋体" w:cs="宋体"/>
                <w:color w:val="auto"/>
                <w:sz w:val="21"/>
                <w:szCs w:val="21"/>
                <w:highlight w:val="none"/>
                <w:lang w:eastAsia="zh-CN"/>
              </w:rPr>
              <w:t>回收</w:t>
            </w:r>
            <w:r>
              <w:rPr>
                <w:rFonts w:hint="eastAsia" w:ascii="宋体" w:hAnsi="宋体" w:cs="宋体"/>
                <w:color w:val="auto"/>
                <w:sz w:val="21"/>
                <w:szCs w:val="21"/>
                <w:highlight w:val="none"/>
                <w:lang w:eastAsia="zh-CN"/>
              </w:rPr>
              <w:t>、</w:t>
            </w:r>
            <w:r>
              <w:rPr>
                <w:rFonts w:hint="eastAsia" w:ascii="宋体" w:hAnsi="宋体" w:eastAsia="宋体" w:cs="宋体"/>
                <w:sz w:val="21"/>
                <w:szCs w:val="21"/>
                <w:highlight w:val="none"/>
              </w:rPr>
              <w:t>暂存</w:t>
            </w:r>
            <w:r>
              <w:rPr>
                <w:rFonts w:hint="eastAsia" w:ascii="宋体" w:hAnsi="宋体" w:eastAsia="宋体" w:cs="宋体"/>
                <w:sz w:val="21"/>
                <w:szCs w:val="21"/>
                <w:highlight w:val="none"/>
                <w:lang w:val="en-US" w:eastAsia="zh-CN"/>
              </w:rPr>
              <w:t>和分拣</w:t>
            </w:r>
            <w:r>
              <w:rPr>
                <w:rFonts w:hint="eastAsia" w:ascii="宋体" w:hAnsi="宋体" w:eastAsia="宋体" w:cs="宋体"/>
                <w:sz w:val="21"/>
                <w:szCs w:val="21"/>
                <w:highlight w:val="none"/>
              </w:rPr>
              <w:t>方案</w:t>
            </w:r>
          </w:p>
        </w:tc>
        <w:tc>
          <w:tcPr>
            <w:tcW w:w="695" w:type="dxa"/>
            <w:noWrap w:val="0"/>
            <w:vAlign w:val="center"/>
          </w:tcPr>
          <w:p w14:paraId="2F706E18">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12分</w:t>
            </w:r>
          </w:p>
        </w:tc>
        <w:tc>
          <w:tcPr>
            <w:tcW w:w="6759" w:type="dxa"/>
            <w:noWrap w:val="0"/>
            <w:vAlign w:val="top"/>
          </w:tcPr>
          <w:p w14:paraId="44EE5C17">
            <w:pPr>
              <w:pStyle w:val="69"/>
              <w:keepNext w:val="0"/>
              <w:keepLines w:val="0"/>
              <w:pageBreakBefore w:val="0"/>
              <w:widowControl w:val="0"/>
              <w:numPr>
                <w:ilvl w:val="0"/>
                <w:numId w:val="0"/>
              </w:numPr>
              <w:kinsoku/>
              <w:overflowPunct/>
              <w:topLinePunct w:val="0"/>
              <w:autoSpaceDE/>
              <w:autoSpaceDN/>
              <w:bidi w:val="0"/>
              <w:adjustRightInd/>
              <w:snapToGrid/>
              <w:spacing w:beforeLines="0" w:after="0" w:line="386"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根据各供应商所提供的农药废弃包装物回收</w:t>
            </w:r>
            <w:r>
              <w:rPr>
                <w:rFonts w:hint="eastAsia" w:ascii="宋体" w:hAnsi="宋体" w:cs="宋体"/>
                <w:color w:val="auto"/>
                <w:sz w:val="21"/>
                <w:szCs w:val="21"/>
                <w:highlight w:val="none"/>
                <w:lang w:val="en-US" w:eastAsia="zh-CN"/>
              </w:rPr>
              <w:t>（0-4分）、</w:t>
            </w:r>
            <w:r>
              <w:rPr>
                <w:rFonts w:hint="eastAsia" w:ascii="宋体" w:hAnsi="宋体" w:eastAsia="宋体" w:cs="宋体"/>
                <w:color w:val="auto"/>
                <w:kern w:val="0"/>
                <w:sz w:val="21"/>
                <w:szCs w:val="21"/>
                <w:highlight w:val="none"/>
                <w:lang w:val="zh-TW" w:eastAsia="zh-CN"/>
              </w:rPr>
              <w:t>暂存</w:t>
            </w:r>
            <w:r>
              <w:rPr>
                <w:rFonts w:hint="eastAsia" w:ascii="宋体" w:hAnsi="宋体" w:cs="宋体"/>
                <w:color w:val="auto"/>
                <w:sz w:val="21"/>
                <w:szCs w:val="21"/>
                <w:highlight w:val="none"/>
                <w:lang w:val="en-US" w:eastAsia="zh-CN"/>
              </w:rPr>
              <w:t>（0-4分）</w:t>
            </w:r>
            <w:r>
              <w:rPr>
                <w:rFonts w:hint="eastAsia" w:ascii="宋体" w:hAnsi="宋体" w:eastAsia="宋体" w:cs="宋体"/>
                <w:color w:val="auto"/>
                <w:kern w:val="0"/>
                <w:sz w:val="21"/>
                <w:szCs w:val="21"/>
                <w:highlight w:val="none"/>
                <w:lang w:val="en-US" w:eastAsia="zh-CN"/>
              </w:rPr>
              <w:t>和分拣</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（0-4分），</w:t>
            </w:r>
            <w:r>
              <w:rPr>
                <w:rFonts w:hint="eastAsia" w:ascii="宋体" w:hAnsi="宋体" w:eastAsia="宋体" w:cs="宋体"/>
                <w:color w:val="auto"/>
                <w:sz w:val="21"/>
                <w:szCs w:val="21"/>
                <w:highlight w:val="none"/>
                <w:lang w:val="en-US" w:eastAsia="zh-CN"/>
              </w:rPr>
              <w:t>包括包装物的统计、记录方案</w:t>
            </w:r>
            <w:r>
              <w:rPr>
                <w:rFonts w:hint="eastAsia" w:ascii="宋体" w:hAnsi="宋体" w:cs="宋体"/>
                <w:color w:val="auto"/>
                <w:sz w:val="21"/>
                <w:szCs w:val="21"/>
                <w:highlight w:val="none"/>
                <w:lang w:val="en-US" w:eastAsia="zh-CN"/>
              </w:rPr>
              <w:t>、</w:t>
            </w:r>
            <w:r>
              <w:rPr>
                <w:rFonts w:hint="eastAsia" w:ascii="宋体" w:hAnsi="宋体" w:cs="宋体"/>
                <w:color w:val="auto"/>
                <w:kern w:val="0"/>
                <w:sz w:val="21"/>
                <w:szCs w:val="21"/>
                <w:highlight w:val="none"/>
                <w:lang w:val="en-US" w:eastAsia="zh-CN"/>
              </w:rPr>
              <w:t>包装</w:t>
            </w:r>
            <w:r>
              <w:rPr>
                <w:rFonts w:hint="eastAsia" w:ascii="宋体" w:hAnsi="宋体" w:cs="宋体"/>
                <w:color w:val="auto"/>
                <w:kern w:val="0"/>
                <w:sz w:val="21"/>
                <w:szCs w:val="21"/>
                <w:highlight w:val="none"/>
                <w:lang w:val="zh-TW" w:eastAsia="zh-CN"/>
              </w:rPr>
              <w:t>物的暂存地方、暂存时间、暂存</w:t>
            </w:r>
            <w:r>
              <w:rPr>
                <w:rFonts w:hint="eastAsia" w:ascii="宋体" w:hAnsi="宋体" w:cs="宋体"/>
                <w:color w:val="auto"/>
                <w:kern w:val="0"/>
                <w:sz w:val="21"/>
                <w:szCs w:val="21"/>
                <w:highlight w:val="none"/>
                <w:lang w:val="en-US" w:eastAsia="zh-CN"/>
              </w:rPr>
              <w:t>和分拣时的</w:t>
            </w:r>
            <w:r>
              <w:rPr>
                <w:rFonts w:hint="eastAsia" w:ascii="宋体" w:hAnsi="宋体" w:cs="宋体"/>
                <w:color w:val="auto"/>
                <w:kern w:val="0"/>
                <w:sz w:val="21"/>
                <w:szCs w:val="21"/>
                <w:highlight w:val="none"/>
                <w:lang w:val="zh-TW" w:eastAsia="zh-CN"/>
              </w:rPr>
              <w:t>注意事项</w:t>
            </w:r>
            <w:r>
              <w:rPr>
                <w:rFonts w:hint="eastAsia" w:ascii="宋体" w:hAnsi="宋体" w:eastAsia="宋体" w:cs="宋体"/>
                <w:color w:val="auto"/>
                <w:sz w:val="21"/>
                <w:szCs w:val="21"/>
                <w:highlight w:val="none"/>
                <w:lang w:val="en-US" w:eastAsia="zh-CN"/>
              </w:rPr>
              <w:t>等进行评分，</w:t>
            </w:r>
            <w:r>
              <w:rPr>
                <w:rFonts w:hint="eastAsia" w:ascii="宋体" w:hAnsi="宋体" w:cs="宋体"/>
                <w:sz w:val="21"/>
                <w:szCs w:val="21"/>
                <w:highlight w:val="none"/>
                <w:lang w:val="en-US" w:eastAsia="zh-CN"/>
              </w:rPr>
              <w:t>分别予以</w:t>
            </w:r>
            <w:r>
              <w:rPr>
                <w:rFonts w:hint="eastAsia" w:ascii="宋体" w:hAnsi="宋体" w:eastAsia="宋体" w:cs="宋体"/>
                <w:color w:val="auto"/>
                <w:kern w:val="0"/>
                <w:sz w:val="21"/>
                <w:szCs w:val="21"/>
                <w:highlight w:val="none"/>
                <w:lang w:val="en-US" w:eastAsia="zh-CN"/>
              </w:rPr>
              <w:t>4分、3分、2分、1分</w:t>
            </w:r>
            <w:r>
              <w:rPr>
                <w:rFonts w:hint="eastAsia" w:ascii="宋体" w:hAnsi="宋体" w:cs="宋体"/>
                <w:color w:val="auto"/>
                <w:kern w:val="0"/>
                <w:sz w:val="21"/>
                <w:szCs w:val="21"/>
                <w:highlight w:val="none"/>
                <w:lang w:val="en-US" w:eastAsia="zh-CN"/>
              </w:rPr>
              <w:t>；未提供不得分。</w:t>
            </w:r>
          </w:p>
        </w:tc>
      </w:tr>
      <w:tr w14:paraId="2560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0"/>
            <w:vAlign w:val="center"/>
          </w:tcPr>
          <w:p w14:paraId="5961F43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1285" w:type="dxa"/>
            <w:noWrap w:val="0"/>
            <w:vAlign w:val="center"/>
          </w:tcPr>
          <w:p w14:paraId="6FDBCB1E">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2"/>
                <w:sz w:val="21"/>
                <w:szCs w:val="21"/>
                <w:highlight w:val="none"/>
                <w:lang w:val="zh-TW" w:eastAsia="zh-CN" w:bidi="ar-SA"/>
              </w:rPr>
            </w:pPr>
            <w:r>
              <w:rPr>
                <w:rFonts w:hint="eastAsia" w:ascii="宋体" w:hAnsi="宋体" w:eastAsia="宋体" w:cs="宋体"/>
                <w:sz w:val="21"/>
                <w:szCs w:val="21"/>
                <w:highlight w:val="none"/>
              </w:rPr>
              <w:t>安全作业保障措施方案</w:t>
            </w:r>
          </w:p>
        </w:tc>
        <w:tc>
          <w:tcPr>
            <w:tcW w:w="695" w:type="dxa"/>
            <w:noWrap w:val="0"/>
            <w:vAlign w:val="center"/>
          </w:tcPr>
          <w:p w14:paraId="5541EA05">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3分</w:t>
            </w:r>
          </w:p>
        </w:tc>
        <w:tc>
          <w:tcPr>
            <w:tcW w:w="6759" w:type="dxa"/>
            <w:noWrap w:val="0"/>
            <w:vAlign w:val="center"/>
          </w:tcPr>
          <w:p w14:paraId="11525734">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eastAsia" w:ascii="宋体" w:hAnsi="宋体" w:eastAsia="宋体" w:cs="宋体"/>
                <w:color w:val="auto"/>
                <w:kern w:val="0"/>
                <w:sz w:val="21"/>
                <w:szCs w:val="21"/>
                <w:highlight w:val="none"/>
                <w:lang w:val="zh-TW" w:eastAsia="zh-CN" w:bidi="ar-SA"/>
              </w:rPr>
            </w:pPr>
            <w:r>
              <w:rPr>
                <w:rFonts w:hint="eastAsia" w:ascii="宋体" w:hAnsi="宋体" w:eastAsia="宋体" w:cs="宋体"/>
                <w:color w:val="auto"/>
                <w:kern w:val="0"/>
                <w:sz w:val="21"/>
                <w:szCs w:val="21"/>
                <w:highlight w:val="none"/>
                <w:lang w:val="zh-TW" w:eastAsia="zh-CN"/>
              </w:rPr>
              <w:t>根据各供应商所提供的安全作业保障措施方案</w:t>
            </w:r>
            <w:r>
              <w:rPr>
                <w:rFonts w:hint="eastAsia" w:ascii="宋体" w:hAnsi="宋体" w:cs="宋体"/>
                <w:color w:val="auto"/>
                <w:kern w:val="0"/>
                <w:sz w:val="21"/>
                <w:szCs w:val="21"/>
                <w:highlight w:val="none"/>
                <w:lang w:val="zh-TW" w:eastAsia="zh-CN"/>
              </w:rPr>
              <w:t>，包括安全保障体系、安全管理机构、安全管理制度、安全作业技术措施、安全操作规范等</w:t>
            </w:r>
            <w:r>
              <w:rPr>
                <w:rFonts w:hint="eastAsia" w:ascii="宋体" w:hAnsi="宋体" w:eastAsia="宋体" w:cs="宋体"/>
                <w:color w:val="auto"/>
                <w:kern w:val="0"/>
                <w:sz w:val="21"/>
                <w:szCs w:val="21"/>
                <w:highlight w:val="none"/>
                <w:lang w:val="zh-TW" w:eastAsia="zh-CN"/>
              </w:rPr>
              <w:t>进行打分，</w:t>
            </w:r>
            <w:r>
              <w:rPr>
                <w:rFonts w:hint="eastAsia" w:ascii="宋体" w:hAnsi="宋体" w:eastAsia="宋体" w:cs="宋体"/>
                <w:b w:val="0"/>
                <w:bCs w:val="0"/>
                <w:szCs w:val="21"/>
                <w:highlight w:val="none"/>
                <w:lang w:val="en-US" w:eastAsia="zh-CN"/>
              </w:rPr>
              <w:t>予以3分、2分、1分</w:t>
            </w:r>
            <w:r>
              <w:rPr>
                <w:rFonts w:hint="eastAsia" w:ascii="宋体" w:hAnsi="宋体" w:cs="宋体"/>
                <w:color w:val="auto"/>
                <w:kern w:val="0"/>
                <w:sz w:val="21"/>
                <w:szCs w:val="21"/>
                <w:highlight w:val="none"/>
                <w:lang w:val="en-US" w:eastAsia="zh-CN"/>
              </w:rPr>
              <w:t>；未提供不得分。</w:t>
            </w:r>
          </w:p>
        </w:tc>
      </w:tr>
      <w:tr w14:paraId="130F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0"/>
            <w:vAlign w:val="center"/>
          </w:tcPr>
          <w:p w14:paraId="4F9DC52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1285" w:type="dxa"/>
            <w:noWrap w:val="0"/>
            <w:vAlign w:val="center"/>
          </w:tcPr>
          <w:p w14:paraId="11B4D35D">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台账设置与管理</w:t>
            </w:r>
          </w:p>
        </w:tc>
        <w:tc>
          <w:tcPr>
            <w:tcW w:w="695" w:type="dxa"/>
            <w:noWrap w:val="0"/>
            <w:vAlign w:val="center"/>
          </w:tcPr>
          <w:p w14:paraId="40F1163B">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6分</w:t>
            </w:r>
          </w:p>
        </w:tc>
        <w:tc>
          <w:tcPr>
            <w:tcW w:w="6759" w:type="dxa"/>
            <w:noWrap w:val="0"/>
            <w:vAlign w:val="center"/>
          </w:tcPr>
          <w:p w14:paraId="41EE53C0">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eastAsia" w:ascii="宋体" w:hAnsi="宋体" w:eastAsia="宋体" w:cs="宋体"/>
                <w:color w:val="auto"/>
                <w:kern w:val="0"/>
                <w:sz w:val="21"/>
                <w:szCs w:val="21"/>
                <w:highlight w:val="none"/>
                <w:lang w:val="zh-TW" w:eastAsia="zh-CN" w:bidi="ar-SA"/>
              </w:rPr>
            </w:pPr>
            <w:r>
              <w:rPr>
                <w:rFonts w:hint="eastAsia" w:ascii="宋体" w:hAnsi="宋体" w:cs="宋体"/>
                <w:color w:val="auto"/>
                <w:kern w:val="0"/>
                <w:sz w:val="21"/>
                <w:szCs w:val="21"/>
                <w:highlight w:val="none"/>
                <w:lang w:val="en-US" w:eastAsia="zh-CN"/>
              </w:rPr>
              <w:t>本项目全程采用电子台账管理系统。</w:t>
            </w:r>
            <w:r>
              <w:rPr>
                <w:rFonts w:hint="eastAsia" w:ascii="宋体" w:hAnsi="宋体" w:eastAsia="宋体" w:cs="宋体"/>
                <w:sz w:val="21"/>
                <w:szCs w:val="21"/>
                <w:highlight w:val="none"/>
                <w:lang w:val="zh-TW" w:eastAsia="zh-CN"/>
              </w:rPr>
              <w:t>根据各供应商所提供的</w:t>
            </w:r>
            <w:r>
              <w:rPr>
                <w:rFonts w:hint="eastAsia" w:ascii="宋体" w:hAnsi="宋体" w:eastAsia="宋体" w:cs="宋体"/>
                <w:sz w:val="21"/>
                <w:szCs w:val="21"/>
                <w:highlight w:val="none"/>
                <w:lang w:val="en-US" w:eastAsia="zh-CN"/>
              </w:rPr>
              <w:t>台账设置与管理</w:t>
            </w:r>
            <w:r>
              <w:rPr>
                <w:rFonts w:hint="eastAsia" w:ascii="宋体" w:hAnsi="宋体" w:eastAsia="宋体" w:cs="宋体"/>
                <w:sz w:val="21"/>
                <w:szCs w:val="21"/>
                <w:highlight w:val="none"/>
                <w:lang w:val="zh-TW" w:eastAsia="zh-CN"/>
              </w:rPr>
              <w:t>措施方案，包括废弃物产生后不同的管理流程、在生产、贮存、利用、处置等环节建立有关废弃物台账记录（</w:t>
            </w:r>
            <w:r>
              <w:rPr>
                <w:rFonts w:hint="eastAsia" w:ascii="宋体" w:hAnsi="宋体" w:eastAsia="宋体" w:cs="宋体"/>
                <w:sz w:val="21"/>
                <w:szCs w:val="21"/>
                <w:highlight w:val="none"/>
                <w:lang w:val="en-US" w:eastAsia="zh-CN"/>
              </w:rPr>
              <w:t>0-2分</w:t>
            </w:r>
            <w:r>
              <w:rPr>
                <w:rFonts w:hint="eastAsia" w:ascii="宋体" w:hAnsi="宋体" w:eastAsia="宋体" w:cs="宋体"/>
                <w:sz w:val="21"/>
                <w:szCs w:val="21"/>
                <w:highlight w:val="none"/>
                <w:lang w:val="zh-TW" w:eastAsia="zh-CN"/>
              </w:rPr>
              <w:t>）；定期汇总废弃物台账记录（</w:t>
            </w:r>
            <w:r>
              <w:rPr>
                <w:rFonts w:hint="eastAsia" w:ascii="宋体" w:hAnsi="宋体" w:eastAsia="宋体" w:cs="宋体"/>
                <w:sz w:val="21"/>
                <w:szCs w:val="21"/>
                <w:highlight w:val="none"/>
                <w:lang w:val="en-US" w:eastAsia="zh-CN"/>
              </w:rPr>
              <w:t>0-2分</w:t>
            </w:r>
            <w:r>
              <w:rPr>
                <w:rFonts w:hint="eastAsia" w:ascii="宋体" w:hAnsi="宋体" w:eastAsia="宋体" w:cs="宋体"/>
                <w:sz w:val="21"/>
                <w:szCs w:val="21"/>
                <w:highlight w:val="none"/>
                <w:lang w:val="zh-TW" w:eastAsia="zh-CN"/>
              </w:rPr>
              <w:t>）；</w:t>
            </w:r>
            <w:r>
              <w:rPr>
                <w:rFonts w:hint="eastAsia" w:ascii="宋体" w:hAnsi="宋体" w:eastAsia="宋体" w:cs="宋体"/>
                <w:sz w:val="21"/>
                <w:szCs w:val="21"/>
                <w:highlight w:val="none"/>
                <w:lang w:val="en-US" w:eastAsia="zh-CN"/>
              </w:rPr>
              <w:t>相关系统平台的运用</w:t>
            </w:r>
            <w:r>
              <w:rPr>
                <w:rFonts w:hint="eastAsia" w:ascii="宋体" w:hAnsi="宋体" w:eastAsia="宋体" w:cs="宋体"/>
                <w:sz w:val="21"/>
                <w:szCs w:val="21"/>
                <w:highlight w:val="none"/>
                <w:lang w:val="zh-TW" w:eastAsia="zh-CN"/>
              </w:rPr>
              <w:t>（</w:t>
            </w:r>
            <w:r>
              <w:rPr>
                <w:rFonts w:hint="eastAsia" w:ascii="宋体" w:hAnsi="宋体" w:eastAsia="宋体" w:cs="宋体"/>
                <w:sz w:val="21"/>
                <w:szCs w:val="21"/>
                <w:highlight w:val="none"/>
                <w:lang w:val="en-US" w:eastAsia="zh-CN"/>
              </w:rPr>
              <w:t>0-2分</w:t>
            </w:r>
            <w:r>
              <w:rPr>
                <w:rFonts w:hint="eastAsia" w:ascii="宋体" w:hAnsi="宋体" w:eastAsia="宋体" w:cs="宋体"/>
                <w:sz w:val="21"/>
                <w:szCs w:val="21"/>
                <w:highlight w:val="none"/>
                <w:lang w:val="zh-TW" w:eastAsia="zh-CN"/>
              </w:rPr>
              <w:t>）进行评审，</w:t>
            </w:r>
            <w:r>
              <w:rPr>
                <w:rFonts w:hint="eastAsia" w:ascii="宋体" w:hAnsi="宋体" w:eastAsia="宋体" w:cs="宋体"/>
                <w:sz w:val="21"/>
                <w:szCs w:val="21"/>
                <w:highlight w:val="none"/>
                <w:lang w:val="en-US" w:eastAsia="zh-CN"/>
              </w:rPr>
              <w:t>分别</w:t>
            </w:r>
            <w:r>
              <w:rPr>
                <w:rFonts w:hint="eastAsia" w:ascii="宋体" w:hAnsi="宋体" w:eastAsia="宋体" w:cs="宋体"/>
                <w:sz w:val="21"/>
                <w:szCs w:val="21"/>
                <w:highlight w:val="none"/>
                <w:lang w:val="zh-TW" w:eastAsia="zh-CN"/>
              </w:rPr>
              <w:t>予以</w:t>
            </w:r>
            <w:r>
              <w:rPr>
                <w:rFonts w:hint="eastAsia" w:ascii="宋体" w:hAnsi="宋体" w:eastAsia="宋体" w:cs="宋体"/>
                <w:sz w:val="21"/>
                <w:szCs w:val="21"/>
                <w:highlight w:val="none"/>
                <w:lang w:val="en-US" w:eastAsia="zh-CN"/>
              </w:rPr>
              <w:t>2分、1分</w:t>
            </w:r>
            <w:r>
              <w:rPr>
                <w:rFonts w:hint="eastAsia" w:ascii="宋体" w:hAnsi="宋体" w:cs="宋体"/>
                <w:color w:val="auto"/>
                <w:kern w:val="0"/>
                <w:sz w:val="21"/>
                <w:szCs w:val="21"/>
                <w:highlight w:val="none"/>
                <w:lang w:val="en-US" w:eastAsia="zh-CN"/>
              </w:rPr>
              <w:t>；未提供不得分。</w:t>
            </w:r>
          </w:p>
        </w:tc>
      </w:tr>
      <w:tr w14:paraId="39D0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15" w:type="dxa"/>
            <w:noWrap w:val="0"/>
            <w:vAlign w:val="center"/>
          </w:tcPr>
          <w:p w14:paraId="412B407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1285" w:type="dxa"/>
            <w:noWrap w:val="0"/>
            <w:vAlign w:val="center"/>
          </w:tcPr>
          <w:p w14:paraId="6F064B6D">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lang w:eastAsia="zh-CN"/>
              </w:rPr>
              <w:t>储存仓库</w:t>
            </w:r>
          </w:p>
        </w:tc>
        <w:tc>
          <w:tcPr>
            <w:tcW w:w="695" w:type="dxa"/>
            <w:noWrap w:val="0"/>
            <w:vAlign w:val="center"/>
          </w:tcPr>
          <w:p w14:paraId="1E3AC083">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14分</w:t>
            </w:r>
          </w:p>
        </w:tc>
        <w:tc>
          <w:tcPr>
            <w:tcW w:w="6759" w:type="dxa"/>
            <w:noWrap w:val="0"/>
            <w:vAlign w:val="center"/>
          </w:tcPr>
          <w:p w14:paraId="46F44A12">
            <w:pPr>
              <w:pStyle w:val="68"/>
              <w:keepNext w:val="0"/>
              <w:keepLines w:val="0"/>
              <w:pageBreakBefore w:val="0"/>
              <w:widowControl w:val="0"/>
              <w:numPr>
                <w:ilvl w:val="0"/>
                <w:numId w:val="3"/>
              </w:numPr>
              <w:kinsoku/>
              <w:wordWrap w:val="0"/>
              <w:overflowPunct/>
              <w:topLinePunct w:val="0"/>
              <w:autoSpaceDE/>
              <w:autoSpaceDN/>
              <w:bidi w:val="0"/>
              <w:adjustRightInd/>
              <w:snapToGrid/>
              <w:spacing w:line="386" w:lineRule="exact"/>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color w:val="auto"/>
                <w:kern w:val="0"/>
                <w:sz w:val="21"/>
                <w:szCs w:val="21"/>
                <w:highlight w:val="none"/>
                <w:lang w:val="zh-TW" w:eastAsia="zh-CN"/>
              </w:rPr>
              <w:t>根据各供应商提供的</w:t>
            </w:r>
            <w:r>
              <w:rPr>
                <w:rFonts w:hint="eastAsia" w:ascii="宋体" w:hAnsi="宋体" w:cs="宋体"/>
                <w:color w:val="auto"/>
                <w:kern w:val="0"/>
                <w:sz w:val="21"/>
                <w:szCs w:val="21"/>
                <w:highlight w:val="none"/>
                <w:lang w:val="zh-TW" w:eastAsia="zh-CN"/>
              </w:rPr>
              <w:t>储存仓库面积</w:t>
            </w:r>
            <w:r>
              <w:rPr>
                <w:rFonts w:hint="eastAsia" w:ascii="宋体" w:hAnsi="宋体" w:eastAsia="宋体" w:cs="宋体"/>
                <w:kern w:val="0"/>
                <w:sz w:val="21"/>
                <w:szCs w:val="21"/>
                <w:highlight w:val="none"/>
                <w:lang w:val="zh-CN"/>
              </w:rPr>
              <w:t>在</w:t>
            </w: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lang w:val="zh-CN"/>
              </w:rPr>
              <w:t>0平方（含）的得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val="zh-CN"/>
              </w:rPr>
              <w:t>分，每增加</w:t>
            </w:r>
            <w:r>
              <w:rPr>
                <w:rFonts w:hint="eastAsia" w:ascii="宋体" w:hAnsi="宋体" w:cs="宋体"/>
                <w:kern w:val="0"/>
                <w:sz w:val="21"/>
                <w:szCs w:val="21"/>
                <w:highlight w:val="none"/>
                <w:lang w:val="en-US" w:eastAsia="zh-CN"/>
              </w:rPr>
              <w:t>50</w:t>
            </w:r>
            <w:r>
              <w:rPr>
                <w:rFonts w:hint="eastAsia" w:ascii="宋体" w:hAnsi="宋体" w:eastAsia="宋体" w:cs="宋体"/>
                <w:kern w:val="0"/>
                <w:sz w:val="21"/>
                <w:szCs w:val="21"/>
                <w:highlight w:val="none"/>
                <w:lang w:val="zh-CN"/>
              </w:rPr>
              <w:t>平方加</w:t>
            </w: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val="zh-CN"/>
              </w:rPr>
              <w:t>分，最多得</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lang w:val="zh-CN"/>
              </w:rPr>
              <w:t>分。</w:t>
            </w:r>
          </w:p>
          <w:p w14:paraId="7E0DDDC2">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eastAsia" w:ascii="宋体" w:hAnsi="宋体" w:cs="宋体"/>
                <w:color w:val="auto"/>
                <w:kern w:val="0"/>
                <w:sz w:val="21"/>
                <w:szCs w:val="21"/>
                <w:highlight w:val="none"/>
                <w:lang w:val="zh-TW" w:eastAsia="zh-CN"/>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zh-TW" w:eastAsia="zh-CN"/>
              </w:rPr>
              <w:t>仓库</w:t>
            </w:r>
            <w:r>
              <w:rPr>
                <w:rFonts w:hint="eastAsia" w:ascii="宋体" w:hAnsi="宋体" w:cs="宋体"/>
                <w:color w:val="auto"/>
                <w:kern w:val="0"/>
                <w:sz w:val="21"/>
                <w:szCs w:val="21"/>
                <w:highlight w:val="none"/>
                <w:lang w:val="en-US" w:eastAsia="zh-CN"/>
              </w:rPr>
              <w:t>布局合理情况，</w:t>
            </w:r>
            <w:r>
              <w:rPr>
                <w:rFonts w:hint="eastAsia" w:ascii="宋体" w:hAnsi="宋体" w:eastAsia="宋体" w:cs="宋体"/>
                <w:sz w:val="21"/>
                <w:szCs w:val="21"/>
                <w:highlight w:val="none"/>
                <w:lang w:val="zh-TW" w:eastAsia="zh-CN"/>
              </w:rPr>
              <w:t>予以</w:t>
            </w:r>
            <w:r>
              <w:rPr>
                <w:rFonts w:hint="eastAsia" w:ascii="宋体" w:hAnsi="宋体" w:eastAsia="宋体" w:cs="宋体"/>
                <w:sz w:val="21"/>
                <w:szCs w:val="21"/>
                <w:highlight w:val="none"/>
                <w:lang w:val="en-US" w:eastAsia="zh-CN"/>
              </w:rPr>
              <w:t>3分、2分、1分</w:t>
            </w:r>
            <w:r>
              <w:rPr>
                <w:rFonts w:hint="eastAsia" w:ascii="宋体" w:hAnsi="宋体" w:cs="宋体"/>
                <w:color w:val="auto"/>
                <w:kern w:val="0"/>
                <w:sz w:val="21"/>
                <w:szCs w:val="21"/>
                <w:highlight w:val="none"/>
                <w:lang w:val="en-US" w:eastAsia="zh-CN"/>
              </w:rPr>
              <w:t>；未提供不得分。</w:t>
            </w:r>
          </w:p>
          <w:p w14:paraId="48E03A5A">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eastAsia" w:ascii="宋体" w:hAnsi="宋体" w:eastAsia="宋体" w:cs="宋体"/>
                <w:color w:val="auto"/>
                <w:kern w:val="0"/>
                <w:sz w:val="21"/>
                <w:szCs w:val="21"/>
                <w:highlight w:val="none"/>
                <w:lang w:val="zh-TW" w:eastAsia="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zh-TW" w:eastAsia="zh-CN"/>
              </w:rPr>
              <w:t>仓库位置、</w:t>
            </w:r>
            <w:r>
              <w:rPr>
                <w:rFonts w:hint="eastAsia" w:ascii="宋体" w:hAnsi="宋体" w:eastAsia="宋体" w:cs="宋体"/>
                <w:color w:val="auto"/>
                <w:kern w:val="0"/>
                <w:sz w:val="21"/>
                <w:szCs w:val="21"/>
                <w:highlight w:val="none"/>
                <w:lang w:val="zh-TW" w:eastAsia="zh-CN"/>
              </w:rPr>
              <w:t>快速响应及便捷服务，</w:t>
            </w:r>
            <w:r>
              <w:rPr>
                <w:rFonts w:hint="eastAsia" w:ascii="宋体" w:hAnsi="宋体" w:eastAsia="宋体" w:cs="宋体"/>
                <w:sz w:val="21"/>
                <w:szCs w:val="21"/>
                <w:highlight w:val="none"/>
                <w:lang w:val="zh-TW" w:eastAsia="zh-CN"/>
              </w:rPr>
              <w:t>予以</w:t>
            </w:r>
            <w:r>
              <w:rPr>
                <w:rFonts w:hint="eastAsia" w:ascii="宋体" w:hAnsi="宋体" w:eastAsia="宋体" w:cs="宋体"/>
                <w:sz w:val="21"/>
                <w:szCs w:val="21"/>
                <w:highlight w:val="none"/>
                <w:lang w:val="en-US" w:eastAsia="zh-CN"/>
              </w:rPr>
              <w:t>3分、2分、1分</w:t>
            </w:r>
            <w:r>
              <w:rPr>
                <w:rFonts w:hint="eastAsia" w:ascii="宋体" w:hAnsi="宋体" w:cs="宋体"/>
                <w:color w:val="auto"/>
                <w:kern w:val="0"/>
                <w:sz w:val="21"/>
                <w:szCs w:val="21"/>
                <w:highlight w:val="none"/>
                <w:lang w:val="en-US" w:eastAsia="zh-CN"/>
              </w:rPr>
              <w:t>；未提供不得分。</w:t>
            </w:r>
          </w:p>
          <w:p w14:paraId="6F1CE99F">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eastAsia" w:ascii="宋体" w:hAnsi="宋体" w:eastAsia="宋体" w:cs="宋体"/>
                <w:b/>
                <w:bCs/>
                <w:color w:val="auto"/>
                <w:kern w:val="0"/>
                <w:sz w:val="21"/>
                <w:szCs w:val="21"/>
                <w:highlight w:val="none"/>
                <w:lang w:val="zh-TW" w:eastAsia="zh-CN"/>
              </w:rPr>
            </w:pPr>
            <w:r>
              <w:rPr>
                <w:rFonts w:hint="eastAsia" w:ascii="宋体" w:hAnsi="宋体" w:eastAsia="宋体" w:cs="宋体"/>
                <w:b/>
                <w:bCs/>
                <w:color w:val="auto"/>
                <w:kern w:val="0"/>
                <w:sz w:val="21"/>
                <w:szCs w:val="21"/>
                <w:highlight w:val="none"/>
                <w:lang w:val="zh-CN" w:eastAsia="zh-CN"/>
              </w:rPr>
              <w:t>提供带有单位名字的入口照片一张、平面图、自有房产提供房屋产权证（租赁场地提供租赁合同，若租赁合同无法体现面积的，另提供房东出具的证明文件或第三方测绘公司出具的测绘图）复印件等相关场地证明材料</w:t>
            </w:r>
            <w:r>
              <w:rPr>
                <w:rFonts w:hint="eastAsia" w:ascii="宋体" w:hAnsi="宋体" w:eastAsia="宋体" w:cs="宋体"/>
                <w:b/>
                <w:bCs/>
                <w:color w:val="auto"/>
                <w:kern w:val="0"/>
                <w:sz w:val="21"/>
                <w:szCs w:val="21"/>
                <w:highlight w:val="none"/>
                <w:lang w:val="zh-TW" w:eastAsia="zh-CN"/>
              </w:rPr>
              <w:t>，未提供不得分。</w:t>
            </w:r>
          </w:p>
          <w:p w14:paraId="17ABD116">
            <w:pPr>
              <w:pStyle w:val="68"/>
              <w:keepNext w:val="0"/>
              <w:keepLines w:val="0"/>
              <w:pageBreakBefore w:val="0"/>
              <w:widowControl w:val="0"/>
              <w:numPr>
                <w:ilvl w:val="0"/>
                <w:numId w:val="0"/>
              </w:numPr>
              <w:kinsoku/>
              <w:wordWrap w:val="0"/>
              <w:overflowPunct/>
              <w:topLinePunct w:val="0"/>
              <w:autoSpaceDE/>
              <w:autoSpaceDN/>
              <w:bidi w:val="0"/>
              <w:adjustRightInd/>
              <w:snapToGrid/>
              <w:spacing w:line="386" w:lineRule="exact"/>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TW" w:eastAsia="zh-CN"/>
              </w:rPr>
              <w:t>供应商提供的</w:t>
            </w:r>
            <w:r>
              <w:rPr>
                <w:rFonts w:hint="eastAsia" w:ascii="宋体" w:hAnsi="宋体" w:cs="宋体"/>
                <w:color w:val="auto"/>
                <w:kern w:val="0"/>
                <w:sz w:val="21"/>
                <w:szCs w:val="21"/>
                <w:highlight w:val="none"/>
                <w:lang w:val="zh-TW" w:eastAsia="zh-CN"/>
              </w:rPr>
              <w:t>储存仓库</w:t>
            </w:r>
            <w:r>
              <w:rPr>
                <w:rFonts w:hint="eastAsia" w:ascii="宋体" w:hAnsi="宋体" w:cs="宋体"/>
                <w:color w:val="auto"/>
                <w:kern w:val="0"/>
                <w:sz w:val="21"/>
                <w:szCs w:val="21"/>
                <w:highlight w:val="none"/>
                <w:lang w:val="en-US" w:eastAsia="zh-CN"/>
              </w:rPr>
              <w:t>已通过环评审批的，得3分。</w:t>
            </w:r>
          </w:p>
          <w:p w14:paraId="4D257B55">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提供有效的证明材料，</w:t>
            </w:r>
            <w:r>
              <w:rPr>
                <w:rFonts w:hint="eastAsia" w:ascii="宋体" w:hAnsi="宋体" w:eastAsia="宋体" w:cs="宋体"/>
                <w:b/>
                <w:bCs/>
                <w:color w:val="auto"/>
                <w:kern w:val="0"/>
                <w:sz w:val="21"/>
                <w:szCs w:val="21"/>
                <w:highlight w:val="none"/>
                <w:lang w:val="zh-TW" w:eastAsia="zh-CN"/>
              </w:rPr>
              <w:t>未提供不得分。</w:t>
            </w:r>
          </w:p>
        </w:tc>
      </w:tr>
      <w:tr w14:paraId="1DB4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0"/>
            <w:vAlign w:val="center"/>
          </w:tcPr>
          <w:p w14:paraId="094713A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85" w:type="dxa"/>
            <w:noWrap w:val="0"/>
            <w:vAlign w:val="center"/>
          </w:tcPr>
          <w:p w14:paraId="7C11764F">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cs="宋体"/>
                <w:sz w:val="21"/>
                <w:szCs w:val="21"/>
                <w:highlight w:val="none"/>
                <w:lang w:eastAsia="zh-CN"/>
              </w:rPr>
            </w:pPr>
            <w:r>
              <w:rPr>
                <w:rFonts w:hint="eastAsia" w:ascii="宋体" w:hAnsi="宋体" w:eastAsia="宋体" w:cs="宋体"/>
                <w:sz w:val="21"/>
                <w:szCs w:val="21"/>
                <w:highlight w:val="none"/>
                <w:lang w:val="en-US" w:eastAsia="zh-CN"/>
              </w:rPr>
              <w:t>回收车辆情况</w:t>
            </w:r>
          </w:p>
        </w:tc>
        <w:tc>
          <w:tcPr>
            <w:tcW w:w="695" w:type="dxa"/>
            <w:noWrap w:val="0"/>
            <w:vAlign w:val="center"/>
          </w:tcPr>
          <w:p w14:paraId="741C65CC">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10分</w:t>
            </w:r>
          </w:p>
        </w:tc>
        <w:tc>
          <w:tcPr>
            <w:tcW w:w="6759" w:type="dxa"/>
            <w:noWrap w:val="0"/>
            <w:vAlign w:val="center"/>
          </w:tcPr>
          <w:p w14:paraId="71144E27">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供应商提供拟投入的回收车辆。车辆需供应商自有，以供应商</w:t>
            </w:r>
            <w:r>
              <w:rPr>
                <w:rFonts w:hint="eastAsia" w:ascii="宋体" w:hAnsi="宋体" w:eastAsia="宋体" w:cs="宋体"/>
                <w:color w:val="auto"/>
                <w:kern w:val="0"/>
                <w:sz w:val="21"/>
                <w:szCs w:val="21"/>
                <w:highlight w:val="none"/>
                <w:lang w:val="zh-CN" w:eastAsia="zh-CN"/>
              </w:rPr>
              <w:t>名下的行驶证为准</w:t>
            </w:r>
            <w:r>
              <w:rPr>
                <w:rFonts w:hint="eastAsia" w:ascii="宋体" w:hAnsi="宋体" w:eastAsia="宋体" w:cs="宋体"/>
                <w:color w:val="auto"/>
                <w:spacing w:val="-6"/>
                <w:kern w:val="0"/>
                <w:sz w:val="21"/>
                <w:szCs w:val="21"/>
                <w:highlight w:val="none"/>
                <w:lang w:val="zh-CN" w:eastAsia="zh-CN"/>
              </w:rPr>
              <w:t>。</w:t>
            </w:r>
            <w:r>
              <w:rPr>
                <w:rFonts w:hint="eastAsia" w:ascii="宋体" w:hAnsi="宋体" w:eastAsia="宋体" w:cs="宋体"/>
                <w:spacing w:val="-6"/>
                <w:kern w:val="0"/>
                <w:sz w:val="21"/>
                <w:szCs w:val="21"/>
                <w:highlight w:val="none"/>
                <w:lang w:val="zh-CN"/>
              </w:rPr>
              <w:t>每提供一辆得</w:t>
            </w:r>
            <w:r>
              <w:rPr>
                <w:rFonts w:hint="eastAsia" w:ascii="宋体" w:hAnsi="宋体" w:eastAsia="宋体" w:cs="宋体"/>
                <w:spacing w:val="-6"/>
                <w:kern w:val="0"/>
                <w:sz w:val="21"/>
                <w:szCs w:val="21"/>
                <w:highlight w:val="none"/>
                <w:lang w:val="en-US" w:eastAsia="zh-CN"/>
              </w:rPr>
              <w:t>2</w:t>
            </w:r>
            <w:r>
              <w:rPr>
                <w:rFonts w:hint="eastAsia" w:ascii="宋体" w:hAnsi="宋体" w:eastAsia="宋体" w:cs="宋体"/>
                <w:spacing w:val="-6"/>
                <w:kern w:val="0"/>
                <w:sz w:val="21"/>
                <w:szCs w:val="21"/>
                <w:highlight w:val="none"/>
                <w:lang w:val="zh-CN"/>
              </w:rPr>
              <w:t>分，</w:t>
            </w:r>
            <w:r>
              <w:rPr>
                <w:rFonts w:hint="eastAsia" w:ascii="宋体" w:hAnsi="宋体" w:eastAsia="宋体" w:cs="宋体"/>
                <w:color w:val="auto"/>
                <w:spacing w:val="-6"/>
                <w:kern w:val="0"/>
                <w:sz w:val="21"/>
                <w:szCs w:val="21"/>
                <w:highlight w:val="none"/>
                <w:lang w:val="zh-CN" w:eastAsia="zh-CN"/>
              </w:rPr>
              <w:t>本</w:t>
            </w:r>
            <w:r>
              <w:rPr>
                <w:rFonts w:hint="eastAsia" w:ascii="宋体" w:hAnsi="宋体" w:eastAsia="宋体" w:cs="宋体"/>
                <w:color w:val="auto"/>
                <w:kern w:val="0"/>
                <w:sz w:val="21"/>
                <w:szCs w:val="21"/>
                <w:highlight w:val="none"/>
                <w:lang w:val="zh-CN" w:eastAsia="zh-CN"/>
              </w:rPr>
              <w:t>项最高得</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zh-CN" w:eastAsia="zh-CN"/>
              </w:rPr>
              <w:t>分。</w:t>
            </w:r>
          </w:p>
          <w:p w14:paraId="7821609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1"/>
                <w:szCs w:val="21"/>
                <w:highlight w:val="none"/>
                <w:lang w:val="zh-TW" w:eastAsia="zh-CN"/>
              </w:rPr>
            </w:pPr>
            <w:r>
              <w:rPr>
                <w:rFonts w:hint="eastAsia" w:ascii="宋体" w:hAnsi="宋体" w:eastAsia="宋体" w:cs="宋体"/>
                <w:b/>
                <w:bCs/>
                <w:kern w:val="0"/>
                <w:sz w:val="21"/>
                <w:szCs w:val="21"/>
                <w:highlight w:val="none"/>
                <w:lang w:val="zh-CN"/>
              </w:rPr>
              <w:t>提供车辆行驶证复印件、车辆照片加盖公章。</w:t>
            </w:r>
          </w:p>
        </w:tc>
      </w:tr>
      <w:tr w14:paraId="056D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0"/>
            <w:vAlign w:val="center"/>
          </w:tcPr>
          <w:p w14:paraId="39C8CB6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285" w:type="dxa"/>
            <w:noWrap w:val="0"/>
            <w:vAlign w:val="center"/>
          </w:tcPr>
          <w:p w14:paraId="559C7C9F">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lang w:eastAsia="zh-CN"/>
              </w:rPr>
              <w:t>人员配备</w:t>
            </w:r>
          </w:p>
        </w:tc>
        <w:tc>
          <w:tcPr>
            <w:tcW w:w="695" w:type="dxa"/>
            <w:noWrap w:val="0"/>
            <w:vAlign w:val="center"/>
          </w:tcPr>
          <w:p w14:paraId="24D6B76D">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18分</w:t>
            </w:r>
          </w:p>
        </w:tc>
        <w:tc>
          <w:tcPr>
            <w:tcW w:w="6759" w:type="dxa"/>
            <w:noWrap w:val="0"/>
            <w:vAlign w:val="center"/>
          </w:tcPr>
          <w:p w14:paraId="4B7EFC01">
            <w:pPr>
              <w:pStyle w:val="68"/>
              <w:keepNext w:val="0"/>
              <w:keepLines w:val="0"/>
              <w:pageBreakBefore w:val="0"/>
              <w:widowControl w:val="0"/>
              <w:numPr>
                <w:ilvl w:val="0"/>
                <w:numId w:val="4"/>
              </w:numPr>
              <w:kinsoku/>
              <w:wordWrap w:val="0"/>
              <w:overflowPunct/>
              <w:topLinePunct w:val="0"/>
              <w:autoSpaceDE/>
              <w:autoSpaceDN/>
              <w:bidi w:val="0"/>
              <w:adjustRightInd/>
              <w:snapToGrid/>
              <w:spacing w:line="386" w:lineRule="exact"/>
              <w:jc w:val="left"/>
              <w:textAlignment w:val="auto"/>
              <w:rPr>
                <w:rFonts w:hint="eastAsia" w:ascii="宋体" w:hAnsi="宋体" w:eastAsia="宋体" w:cs="宋体"/>
                <w:color w:val="auto"/>
                <w:kern w:val="0"/>
                <w:sz w:val="21"/>
                <w:szCs w:val="21"/>
                <w:highlight w:val="none"/>
                <w:lang w:val="zh-TW" w:eastAsia="zh-CN"/>
              </w:rPr>
            </w:pPr>
            <w:r>
              <w:rPr>
                <w:rFonts w:hint="eastAsia" w:ascii="宋体" w:hAnsi="宋体" w:eastAsia="宋体" w:cs="宋体"/>
                <w:color w:val="auto"/>
                <w:kern w:val="0"/>
                <w:sz w:val="21"/>
                <w:szCs w:val="21"/>
                <w:highlight w:val="none"/>
                <w:lang w:val="zh-TW" w:eastAsia="zh-CN"/>
              </w:rPr>
              <w:t>供应商配备的项目负责人满足年龄50周岁以下</w:t>
            </w:r>
            <w:r>
              <w:rPr>
                <w:rFonts w:hint="eastAsia" w:ascii="宋体" w:hAnsi="宋体" w:cs="宋体"/>
                <w:color w:val="auto"/>
                <w:kern w:val="0"/>
                <w:sz w:val="21"/>
                <w:szCs w:val="21"/>
                <w:highlight w:val="none"/>
                <w:lang w:val="zh-TW" w:eastAsia="zh-CN"/>
              </w:rPr>
              <w:t>，</w:t>
            </w:r>
            <w:r>
              <w:rPr>
                <w:rFonts w:hint="eastAsia" w:ascii="宋体" w:hAnsi="宋体" w:eastAsia="宋体" w:cs="宋体"/>
                <w:color w:val="auto"/>
                <w:kern w:val="0"/>
                <w:sz w:val="21"/>
                <w:szCs w:val="21"/>
                <w:highlight w:val="none"/>
                <w:lang w:val="zh-TW" w:eastAsia="zh-CN"/>
              </w:rPr>
              <w:t>能熟练操作电脑和智能手机的得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TW" w:eastAsia="zh-CN"/>
              </w:rPr>
              <w:t>分。</w:t>
            </w:r>
          </w:p>
          <w:p w14:paraId="03CF5773">
            <w:pPr>
              <w:pStyle w:val="68"/>
              <w:keepNext w:val="0"/>
              <w:keepLines w:val="0"/>
              <w:pageBreakBefore w:val="0"/>
              <w:widowControl w:val="0"/>
              <w:numPr>
                <w:ilvl w:val="0"/>
                <w:numId w:val="0"/>
              </w:numPr>
              <w:kinsoku/>
              <w:wordWrap w:val="0"/>
              <w:overflowPunct/>
              <w:topLinePunct w:val="0"/>
              <w:autoSpaceDE/>
              <w:autoSpaceDN/>
              <w:bidi w:val="0"/>
              <w:adjustRightInd/>
              <w:snapToGrid/>
              <w:spacing w:line="386" w:lineRule="exact"/>
              <w:jc w:val="left"/>
              <w:textAlignment w:val="auto"/>
              <w:rPr>
                <w:rFonts w:hint="eastAsia" w:ascii="宋体" w:hAnsi="宋体" w:eastAsia="宋体" w:cs="宋体"/>
                <w:color w:val="auto"/>
                <w:kern w:val="0"/>
                <w:sz w:val="21"/>
                <w:szCs w:val="21"/>
                <w:highlight w:val="none"/>
                <w:lang w:val="zh-TW" w:eastAsia="zh-CN"/>
              </w:rPr>
            </w:pPr>
            <w:r>
              <w:rPr>
                <w:rFonts w:hint="eastAsia" w:ascii="宋体" w:hAnsi="宋体" w:eastAsia="宋体" w:cs="宋体"/>
                <w:b/>
                <w:bCs/>
                <w:color w:val="auto"/>
                <w:kern w:val="0"/>
                <w:sz w:val="21"/>
                <w:szCs w:val="21"/>
                <w:highlight w:val="none"/>
                <w:lang w:val="zh-TW" w:eastAsia="zh-CN"/>
              </w:rPr>
              <w:t>提供</w:t>
            </w:r>
            <w:r>
              <w:rPr>
                <w:rFonts w:hint="eastAsia" w:ascii="宋体" w:hAnsi="宋体" w:eastAsia="宋体" w:cs="宋体"/>
                <w:b/>
                <w:bCs/>
                <w:color w:val="auto"/>
                <w:kern w:val="0"/>
                <w:sz w:val="21"/>
                <w:szCs w:val="21"/>
                <w:highlight w:val="none"/>
                <w:lang w:val="en-US" w:eastAsia="zh-CN"/>
              </w:rPr>
              <w:t>承诺函和</w:t>
            </w:r>
            <w:r>
              <w:rPr>
                <w:rFonts w:hint="eastAsia" w:ascii="宋体" w:hAnsi="宋体" w:eastAsia="宋体" w:cs="宋体"/>
                <w:b/>
                <w:bCs/>
                <w:color w:val="auto"/>
                <w:kern w:val="0"/>
                <w:sz w:val="21"/>
                <w:szCs w:val="21"/>
                <w:highlight w:val="none"/>
                <w:lang w:val="zh-TW" w:eastAsia="zh-CN"/>
              </w:rPr>
              <w:t>最近三个月</w:t>
            </w:r>
            <w:r>
              <w:rPr>
                <w:rFonts w:hint="eastAsia" w:ascii="宋体" w:hAnsi="宋体" w:cs="宋体"/>
                <w:b/>
                <w:bCs/>
                <w:color w:val="auto"/>
                <w:kern w:val="0"/>
                <w:sz w:val="21"/>
                <w:szCs w:val="21"/>
                <w:highlight w:val="none"/>
                <w:lang w:val="zh-TW" w:eastAsia="zh-CN"/>
              </w:rPr>
              <w:t>任意一个月的</w:t>
            </w:r>
            <w:r>
              <w:rPr>
                <w:rFonts w:hint="eastAsia" w:ascii="宋体" w:hAnsi="宋体" w:eastAsia="宋体" w:cs="宋体"/>
                <w:b/>
                <w:bCs/>
                <w:color w:val="auto"/>
                <w:kern w:val="0"/>
                <w:sz w:val="21"/>
                <w:szCs w:val="21"/>
                <w:highlight w:val="none"/>
                <w:lang w:val="zh-TW" w:eastAsia="zh-CN"/>
              </w:rPr>
              <w:t>社保缴纳证明文件。</w:t>
            </w:r>
          </w:p>
          <w:p w14:paraId="22FFE2AE">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eastAsia" w:ascii="宋体" w:hAnsi="宋体" w:eastAsia="宋体" w:cs="宋体"/>
                <w:color w:val="auto"/>
                <w:kern w:val="0"/>
                <w:sz w:val="21"/>
                <w:szCs w:val="21"/>
                <w:highlight w:val="none"/>
                <w:lang w:val="zh-TW" w:eastAsia="zh-CN"/>
              </w:rPr>
            </w:pPr>
            <w:r>
              <w:rPr>
                <w:rFonts w:hint="eastAsia" w:ascii="宋体" w:hAnsi="宋体" w:eastAsia="宋体" w:cs="宋体"/>
                <w:color w:val="auto"/>
                <w:kern w:val="0"/>
                <w:sz w:val="21"/>
                <w:szCs w:val="21"/>
                <w:highlight w:val="none"/>
                <w:lang w:val="zh-TW" w:eastAsia="zh-CN"/>
              </w:rPr>
              <w:t>2、供应商</w:t>
            </w:r>
            <w:r>
              <w:rPr>
                <w:rFonts w:hint="eastAsia" w:ascii="宋体" w:hAnsi="宋体" w:cs="宋体"/>
                <w:color w:val="auto"/>
                <w:kern w:val="0"/>
                <w:sz w:val="21"/>
                <w:szCs w:val="21"/>
                <w:highlight w:val="none"/>
                <w:lang w:val="en-US" w:eastAsia="zh-CN"/>
              </w:rPr>
              <w:t>各</w:t>
            </w:r>
            <w:r>
              <w:rPr>
                <w:rFonts w:hint="eastAsia" w:ascii="宋体" w:hAnsi="宋体" w:eastAsia="宋体" w:cs="宋体"/>
                <w:color w:val="auto"/>
                <w:kern w:val="0"/>
                <w:sz w:val="21"/>
                <w:szCs w:val="21"/>
                <w:highlight w:val="none"/>
                <w:lang w:val="zh-TW" w:eastAsia="zh-CN"/>
              </w:rPr>
              <w:t>相关专业人员（收集、运输、分拣、统计、信息上报</w:t>
            </w:r>
            <w:r>
              <w:rPr>
                <w:rFonts w:hint="eastAsia" w:ascii="宋体" w:hAnsi="宋体" w:cs="宋体"/>
                <w:color w:val="auto"/>
                <w:kern w:val="0"/>
                <w:sz w:val="21"/>
                <w:szCs w:val="21"/>
                <w:highlight w:val="none"/>
                <w:lang w:val="zh-TW" w:eastAsia="zh-CN"/>
              </w:rPr>
              <w:t>、</w:t>
            </w:r>
            <w:r>
              <w:rPr>
                <w:rFonts w:hint="eastAsia" w:ascii="宋体" w:hAnsi="宋体" w:cs="宋体"/>
                <w:color w:val="auto"/>
                <w:kern w:val="0"/>
                <w:sz w:val="21"/>
                <w:szCs w:val="21"/>
                <w:highlight w:val="none"/>
                <w:lang w:val="en-US" w:eastAsia="zh-CN"/>
              </w:rPr>
              <w:t>财务</w:t>
            </w:r>
            <w:r>
              <w:rPr>
                <w:rFonts w:hint="eastAsia" w:ascii="宋体" w:hAnsi="宋体" w:eastAsia="宋体" w:cs="宋体"/>
                <w:color w:val="auto"/>
                <w:kern w:val="0"/>
                <w:sz w:val="21"/>
                <w:szCs w:val="21"/>
                <w:highlight w:val="none"/>
                <w:lang w:val="zh-TW" w:eastAsia="zh-CN"/>
              </w:rPr>
              <w:t>）</w:t>
            </w:r>
            <w:r>
              <w:rPr>
                <w:rFonts w:hint="eastAsia" w:ascii="宋体" w:hAnsi="宋体" w:cs="宋体"/>
                <w:color w:val="auto"/>
                <w:kern w:val="0"/>
                <w:sz w:val="21"/>
                <w:szCs w:val="21"/>
                <w:highlight w:val="none"/>
                <w:lang w:val="en-US" w:eastAsia="zh-CN"/>
              </w:rPr>
              <w:t>配备齐全的得6分，否则不得分</w:t>
            </w:r>
            <w:r>
              <w:rPr>
                <w:rFonts w:hint="eastAsia" w:ascii="宋体" w:hAnsi="宋体" w:eastAsia="宋体" w:cs="宋体"/>
                <w:color w:val="auto"/>
                <w:kern w:val="0"/>
                <w:sz w:val="21"/>
                <w:szCs w:val="21"/>
                <w:highlight w:val="none"/>
                <w:lang w:val="zh-TW" w:eastAsia="zh-CN"/>
              </w:rPr>
              <w:t>。</w:t>
            </w:r>
          </w:p>
          <w:p w14:paraId="30E1DF24">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3、为本项目配备的车辆驾驶人员持驾驶证，每人得2分，最高得10分。</w:t>
            </w:r>
          </w:p>
          <w:p w14:paraId="63603268">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eastAsia" w:ascii="宋体" w:hAnsi="宋体" w:eastAsia="宋体" w:cs="宋体"/>
                <w:color w:val="auto"/>
                <w:kern w:val="0"/>
                <w:sz w:val="21"/>
                <w:szCs w:val="21"/>
                <w:highlight w:val="none"/>
                <w:lang w:val="zh-TW" w:eastAsia="zh-CN" w:bidi="ar-SA"/>
              </w:rPr>
            </w:pPr>
            <w:r>
              <w:rPr>
                <w:rFonts w:hint="eastAsia" w:ascii="宋体" w:hAnsi="宋体" w:eastAsia="宋体" w:cs="宋体"/>
                <w:b/>
                <w:bCs/>
                <w:color w:val="auto"/>
                <w:kern w:val="0"/>
                <w:sz w:val="21"/>
                <w:szCs w:val="21"/>
                <w:highlight w:val="none"/>
                <w:lang w:val="zh-TW" w:eastAsia="zh-CN"/>
              </w:rPr>
              <w:t>提供项目实施人员一览表</w:t>
            </w:r>
            <w:r>
              <w:rPr>
                <w:rFonts w:hint="eastAsia" w:ascii="宋体" w:hAnsi="宋体" w:eastAsia="宋体" w:cs="宋体"/>
                <w:b/>
                <w:bCs/>
                <w:color w:val="auto"/>
                <w:kern w:val="0"/>
                <w:sz w:val="21"/>
                <w:szCs w:val="21"/>
                <w:highlight w:val="none"/>
                <w:lang w:val="en-US" w:eastAsia="zh-CN"/>
              </w:rPr>
              <w:t>和</w:t>
            </w:r>
            <w:r>
              <w:rPr>
                <w:rFonts w:hint="eastAsia" w:ascii="宋体" w:hAnsi="宋体" w:eastAsia="宋体" w:cs="宋体"/>
                <w:b/>
                <w:bCs/>
                <w:color w:val="auto"/>
                <w:kern w:val="0"/>
                <w:sz w:val="21"/>
                <w:szCs w:val="21"/>
                <w:highlight w:val="none"/>
                <w:lang w:val="zh-TW" w:eastAsia="zh-CN"/>
              </w:rPr>
              <w:t>社保机构出具的供应商为其交纳的近三个月中任意一个月的社保缴费证明</w:t>
            </w:r>
            <w:r>
              <w:rPr>
                <w:rFonts w:hint="eastAsia" w:ascii="宋体" w:hAnsi="宋体" w:cs="宋体"/>
                <w:b/>
                <w:bCs/>
                <w:color w:val="auto"/>
                <w:kern w:val="0"/>
                <w:sz w:val="21"/>
                <w:szCs w:val="21"/>
                <w:highlight w:val="none"/>
                <w:lang w:val="en-US" w:eastAsia="zh-CN"/>
              </w:rPr>
              <w:t>及其他有效证明材料</w:t>
            </w:r>
            <w:r>
              <w:rPr>
                <w:rFonts w:hint="eastAsia" w:ascii="宋体" w:hAnsi="宋体" w:eastAsia="宋体" w:cs="宋体"/>
                <w:b/>
                <w:bCs/>
                <w:color w:val="auto"/>
                <w:kern w:val="0"/>
                <w:sz w:val="21"/>
                <w:szCs w:val="21"/>
                <w:highlight w:val="none"/>
                <w:lang w:val="zh-TW" w:eastAsia="zh-CN"/>
              </w:rPr>
              <w:t>。</w:t>
            </w:r>
          </w:p>
        </w:tc>
      </w:tr>
      <w:tr w14:paraId="3133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0"/>
            <w:vAlign w:val="center"/>
          </w:tcPr>
          <w:p w14:paraId="0BD8484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285" w:type="dxa"/>
            <w:noWrap w:val="0"/>
            <w:vAlign w:val="center"/>
          </w:tcPr>
          <w:p w14:paraId="412D3279">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服务承诺</w:t>
            </w:r>
          </w:p>
        </w:tc>
        <w:tc>
          <w:tcPr>
            <w:tcW w:w="695" w:type="dxa"/>
            <w:noWrap w:val="0"/>
            <w:vAlign w:val="center"/>
          </w:tcPr>
          <w:p w14:paraId="140341DB">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c>
          <w:tcPr>
            <w:tcW w:w="6759" w:type="dxa"/>
            <w:noWrap w:val="0"/>
            <w:vAlign w:val="center"/>
          </w:tcPr>
          <w:p w14:paraId="783D444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根据供应商设置的回收网点情况</w:t>
            </w:r>
            <w:r>
              <w:rPr>
                <w:rFonts w:hint="eastAsia" w:ascii="宋体" w:hAnsi="宋体" w:cs="宋体"/>
                <w:color w:val="auto"/>
                <w:kern w:val="2"/>
                <w:sz w:val="21"/>
                <w:szCs w:val="21"/>
                <w:highlight w:val="none"/>
                <w:lang w:val="en-US" w:eastAsia="zh-CN" w:bidi="ar-SA"/>
              </w:rPr>
              <w:t>：根据</w:t>
            </w:r>
            <w:r>
              <w:rPr>
                <w:rFonts w:hint="eastAsia" w:ascii="宋体" w:hAnsi="宋体" w:eastAsia="宋体" w:cs="宋体"/>
                <w:color w:val="auto"/>
                <w:kern w:val="2"/>
                <w:sz w:val="21"/>
                <w:szCs w:val="21"/>
                <w:highlight w:val="none"/>
                <w:lang w:val="en-US" w:eastAsia="zh-CN" w:bidi="ar-SA"/>
              </w:rPr>
              <w:t>数量充足</w:t>
            </w:r>
            <w:r>
              <w:rPr>
                <w:rFonts w:hint="eastAsia" w:ascii="宋体" w:hAnsi="宋体" w:cs="宋体"/>
                <w:color w:val="auto"/>
                <w:kern w:val="2"/>
                <w:sz w:val="21"/>
                <w:szCs w:val="21"/>
                <w:highlight w:val="none"/>
                <w:lang w:val="en-US" w:eastAsia="zh-CN" w:bidi="ar-SA"/>
              </w:rPr>
              <w:t>情况（0-2分）</w:t>
            </w:r>
            <w:r>
              <w:rPr>
                <w:rFonts w:hint="eastAsia" w:ascii="宋体" w:hAnsi="宋体" w:eastAsia="宋体" w:cs="宋体"/>
                <w:color w:val="auto"/>
                <w:kern w:val="2"/>
                <w:sz w:val="21"/>
                <w:szCs w:val="21"/>
                <w:highlight w:val="none"/>
                <w:lang w:val="en-US" w:eastAsia="zh-CN" w:bidi="ar-SA"/>
              </w:rPr>
              <w:t>，布局合理</w:t>
            </w:r>
            <w:r>
              <w:rPr>
                <w:rFonts w:hint="eastAsia" w:ascii="宋体" w:hAnsi="宋体" w:cs="宋体"/>
                <w:color w:val="auto"/>
                <w:kern w:val="2"/>
                <w:sz w:val="21"/>
                <w:szCs w:val="21"/>
                <w:highlight w:val="none"/>
                <w:lang w:val="en-US" w:eastAsia="zh-CN" w:bidi="ar-SA"/>
              </w:rPr>
              <w:t>情况（0-2分）</w:t>
            </w:r>
            <w:r>
              <w:rPr>
                <w:rFonts w:hint="eastAsia" w:ascii="宋体" w:hAnsi="宋体" w:eastAsia="宋体" w:cs="宋体"/>
                <w:color w:val="auto"/>
                <w:kern w:val="2"/>
                <w:sz w:val="21"/>
                <w:szCs w:val="21"/>
                <w:highlight w:val="none"/>
                <w:lang w:val="en-US" w:eastAsia="zh-CN" w:bidi="ar-SA"/>
              </w:rPr>
              <w:t>，</w:t>
            </w:r>
            <w:r>
              <w:rPr>
                <w:rFonts w:hint="eastAsia" w:ascii="宋体" w:hAnsi="宋体" w:cs="宋体"/>
                <w:sz w:val="21"/>
                <w:szCs w:val="21"/>
                <w:highlight w:val="none"/>
                <w:lang w:val="en-US" w:eastAsia="zh-CN"/>
              </w:rPr>
              <w:t>分别予以</w:t>
            </w:r>
            <w:r>
              <w:rPr>
                <w:rFonts w:hint="eastAsia" w:ascii="宋体" w:hAnsi="宋体" w:eastAsia="宋体" w:cs="宋体"/>
                <w:color w:val="auto"/>
                <w:kern w:val="0"/>
                <w:sz w:val="21"/>
                <w:szCs w:val="21"/>
                <w:highlight w:val="none"/>
                <w:lang w:val="en-US" w:eastAsia="zh-CN"/>
              </w:rPr>
              <w:t>2分、1分</w:t>
            </w:r>
            <w:r>
              <w:rPr>
                <w:rFonts w:hint="eastAsia" w:ascii="宋体" w:hAnsi="宋体" w:cs="宋体"/>
                <w:color w:val="auto"/>
                <w:kern w:val="0"/>
                <w:sz w:val="21"/>
                <w:szCs w:val="21"/>
                <w:highlight w:val="none"/>
                <w:lang w:val="en-US" w:eastAsia="zh-CN"/>
              </w:rPr>
              <w:t>；未提供不得分。</w:t>
            </w:r>
          </w:p>
          <w:p w14:paraId="0E7506D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0"/>
                <w:sz w:val="21"/>
                <w:szCs w:val="21"/>
                <w:highlight w:val="none"/>
                <w:lang w:val="zh-TW" w:eastAsia="zh-CN"/>
              </w:rPr>
            </w:pPr>
            <w:r>
              <w:rPr>
                <w:rFonts w:hint="eastAsia" w:ascii="宋体" w:hAnsi="宋体" w:eastAsia="宋体" w:cs="宋体"/>
                <w:b/>
                <w:bCs/>
                <w:color w:val="auto"/>
                <w:kern w:val="2"/>
                <w:sz w:val="21"/>
                <w:szCs w:val="21"/>
                <w:highlight w:val="none"/>
                <w:lang w:val="en-US" w:eastAsia="zh-CN" w:bidi="ar-SA"/>
              </w:rPr>
              <w:t>提供承诺函（格式自拟）等。</w:t>
            </w:r>
          </w:p>
        </w:tc>
      </w:tr>
      <w:tr w14:paraId="69E4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0"/>
            <w:vAlign w:val="center"/>
          </w:tcPr>
          <w:p w14:paraId="1BC2DAA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285" w:type="dxa"/>
            <w:noWrap w:val="0"/>
            <w:vAlign w:val="center"/>
          </w:tcPr>
          <w:p w14:paraId="21F60298">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成功案例及业绩</w:t>
            </w:r>
          </w:p>
        </w:tc>
        <w:tc>
          <w:tcPr>
            <w:tcW w:w="695" w:type="dxa"/>
            <w:noWrap w:val="0"/>
            <w:vAlign w:val="center"/>
          </w:tcPr>
          <w:p w14:paraId="02E85BD5">
            <w:pPr>
              <w:pStyle w:val="68"/>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3分</w:t>
            </w:r>
          </w:p>
        </w:tc>
        <w:tc>
          <w:tcPr>
            <w:tcW w:w="6759" w:type="dxa"/>
            <w:noWrap w:val="0"/>
            <w:vAlign w:val="center"/>
          </w:tcPr>
          <w:p w14:paraId="4CC07609">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年1月1日以来（以合同签订时间为准）具备类似项目业绩的每个得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分，最多得3分。</w:t>
            </w:r>
          </w:p>
          <w:p w14:paraId="66D8272E">
            <w:pPr>
              <w:pStyle w:val="68"/>
              <w:keepNext w:val="0"/>
              <w:keepLines w:val="0"/>
              <w:pageBreakBefore w:val="0"/>
              <w:widowControl w:val="0"/>
              <w:kinsoku/>
              <w:wordWrap w:val="0"/>
              <w:overflowPunct/>
              <w:topLinePunct w:val="0"/>
              <w:autoSpaceDE/>
              <w:autoSpaceDN/>
              <w:bidi w:val="0"/>
              <w:adjustRightInd/>
              <w:snapToGrid/>
              <w:spacing w:line="386" w:lineRule="exact"/>
              <w:jc w:val="left"/>
              <w:textAlignment w:val="auto"/>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b/>
                <w:bCs/>
                <w:color w:val="auto"/>
                <w:sz w:val="21"/>
                <w:szCs w:val="21"/>
                <w:highlight w:val="none"/>
                <w:lang w:val="en-US" w:eastAsia="zh-CN"/>
              </w:rPr>
              <w:t>提供合同复印件并加盖供应商公章。</w:t>
            </w:r>
          </w:p>
        </w:tc>
      </w:tr>
    </w:tbl>
    <w:p w14:paraId="2B826400">
      <w:pPr>
        <w:shd w:val="clear"/>
        <w:rPr>
          <w:rFonts w:hint="eastAsia"/>
          <w:highlight w:val="none"/>
        </w:rPr>
      </w:pPr>
    </w:p>
    <w:p w14:paraId="317AFECA">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注：以上证明文件复印件均需CA签章，附在响应文件中；提供材料不真实、不完整或伪造证明材料的，后果自负。</w:t>
      </w:r>
    </w:p>
    <w:p w14:paraId="45903A14">
      <w:pPr>
        <w:pStyle w:val="2"/>
        <w:rPr>
          <w:rFonts w:hint="eastAsia"/>
          <w:highlight w:val="none"/>
        </w:rPr>
      </w:pPr>
    </w:p>
    <w:p w14:paraId="52730132">
      <w:pPr>
        <w:pStyle w:val="3"/>
        <w:rPr>
          <w:rFonts w:hint="eastAsia"/>
          <w:highlight w:val="none"/>
        </w:rPr>
      </w:pPr>
    </w:p>
    <w:p w14:paraId="29B6028D">
      <w:pPr>
        <w:pStyle w:val="3"/>
        <w:rPr>
          <w:rFonts w:hint="eastAsia"/>
          <w:highlight w:val="none"/>
        </w:rPr>
      </w:pPr>
    </w:p>
    <w:p w14:paraId="27CE2B5C">
      <w:pPr>
        <w:pStyle w:val="3"/>
        <w:rPr>
          <w:rFonts w:hint="eastAsia"/>
          <w:highlight w:val="none"/>
        </w:rPr>
      </w:pPr>
    </w:p>
    <w:p w14:paraId="175909F5">
      <w:pPr>
        <w:pStyle w:val="3"/>
        <w:rPr>
          <w:rFonts w:hint="eastAsia"/>
          <w:highlight w:val="none"/>
        </w:rPr>
      </w:pPr>
    </w:p>
    <w:p w14:paraId="4DF14222">
      <w:pPr>
        <w:pStyle w:val="3"/>
        <w:rPr>
          <w:rFonts w:hint="eastAsia"/>
          <w:highlight w:val="none"/>
        </w:rPr>
      </w:pPr>
    </w:p>
    <w:p w14:paraId="67481F34">
      <w:pPr>
        <w:pStyle w:val="3"/>
        <w:rPr>
          <w:rFonts w:hint="eastAsia"/>
          <w:highlight w:val="none"/>
        </w:rPr>
      </w:pPr>
    </w:p>
    <w:p w14:paraId="57596461">
      <w:pPr>
        <w:pStyle w:val="3"/>
        <w:rPr>
          <w:rFonts w:hint="eastAsia"/>
          <w:highlight w:val="none"/>
        </w:rPr>
      </w:pPr>
    </w:p>
    <w:p w14:paraId="4D5D6262">
      <w:pPr>
        <w:numPr>
          <w:ilvl w:val="0"/>
          <w:numId w:val="5"/>
        </w:numPr>
        <w:shd w:val="clear"/>
        <w:tabs>
          <w:tab w:val="center" w:pos="4706"/>
        </w:tabs>
        <w:adjustRightInd/>
        <w:snapToGrid/>
        <w:spacing w:line="440" w:lineRule="exact"/>
        <w:ind w:firstLine="0" w:firstLineChars="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分值计算</w:t>
      </w:r>
    </w:p>
    <w:p w14:paraId="70D24DDD">
      <w:pPr>
        <w:numPr>
          <w:ilvl w:val="0"/>
          <w:numId w:val="6"/>
        </w:numPr>
        <w:shd w:val="clear"/>
        <w:tabs>
          <w:tab w:val="center" w:pos="4706"/>
        </w:tabs>
        <w:spacing w:line="480" w:lineRule="exact"/>
        <w:rPr>
          <w:rFonts w:hint="eastAsia" w:ascii="宋体" w:hAnsi="宋体" w:cs="宋体"/>
          <w:bCs/>
          <w:color w:val="auto"/>
          <w:szCs w:val="21"/>
          <w:highlight w:val="none"/>
        </w:rPr>
      </w:pPr>
      <w:r>
        <w:rPr>
          <w:rFonts w:hint="eastAsia" w:ascii="宋体" w:hAnsi="宋体" w:cs="宋体"/>
          <w:bCs/>
          <w:color w:val="auto"/>
          <w:szCs w:val="21"/>
          <w:highlight w:val="none"/>
        </w:rPr>
        <w:t>价格分</w:t>
      </w:r>
    </w:p>
    <w:p w14:paraId="28D25D33">
      <w:pPr>
        <w:shd w:val="clear"/>
        <w:tabs>
          <w:tab w:val="center" w:pos="4706"/>
        </w:tabs>
        <w:spacing w:line="4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调整错误、并执行支付采购政策后按评分细则中的公式计算。</w:t>
      </w:r>
    </w:p>
    <w:p w14:paraId="38FF8024">
      <w:pPr>
        <w:shd w:val="clear"/>
        <w:tabs>
          <w:tab w:val="center" w:pos="4706"/>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2、技术、商务资信及其他分</w:t>
      </w:r>
    </w:p>
    <w:p w14:paraId="7F1105B8">
      <w:pPr>
        <w:shd w:val="clea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技术、商务资信及其他分按照评标委员会成员的独立评分结果汇总数算术平均分计算，计算公式为：</w:t>
      </w:r>
    </w:p>
    <w:p w14:paraId="0D5A1859">
      <w:pPr>
        <w:shd w:val="clea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技术、商务资信及其他分=（评标委员会所有成员评分合计数）/（评标委员会组成人员数）</w:t>
      </w:r>
      <w:bookmarkStart w:id="164" w:name="_Toc317341948"/>
    </w:p>
    <w:p w14:paraId="2D306098">
      <w:pPr>
        <w:shd w:val="clear"/>
        <w:spacing w:line="320" w:lineRule="exact"/>
        <w:rPr>
          <w:rFonts w:hint="eastAsia" w:ascii="宋体" w:hAnsi="宋体" w:cs="宋体"/>
          <w:bCs/>
          <w:color w:val="auto"/>
          <w:szCs w:val="21"/>
          <w:highlight w:val="none"/>
        </w:rPr>
      </w:pPr>
      <w:r>
        <w:rPr>
          <w:rFonts w:hint="eastAsia" w:ascii="宋体" w:hAnsi="宋体" w:cs="宋体"/>
          <w:bCs/>
          <w:color w:val="auto"/>
          <w:szCs w:val="21"/>
          <w:highlight w:val="none"/>
        </w:rPr>
        <w:t>3、综合得分</w:t>
      </w:r>
    </w:p>
    <w:p w14:paraId="09D4B999">
      <w:pPr>
        <w:shd w:val="clear"/>
        <w:adjustRightInd w:val="0"/>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投标人评标综合得分=技术、商务资信及其他分+价格得分</w:t>
      </w:r>
    </w:p>
    <w:p w14:paraId="0BAEB543">
      <w:pPr>
        <w:shd w:val="clear"/>
        <w:adjustRightInd w:val="0"/>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评分过程中采用四舍五入法，并保留小数2位。</w:t>
      </w:r>
    </w:p>
    <w:bookmarkEnd w:id="164"/>
    <w:p w14:paraId="7C4EB44B">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color w:val="auto"/>
          <w:sz w:val="24"/>
          <w:szCs w:val="24"/>
          <w:highlight w:val="none"/>
          <w:lang w:val="en-US" w:eastAsia="zh-CN"/>
        </w:rPr>
      </w:pPr>
      <w:bookmarkStart w:id="165" w:name="_Toc4136"/>
      <w:bookmarkStart w:id="166" w:name="_Toc6478"/>
      <w:bookmarkStart w:id="167" w:name="_Toc22162"/>
      <w:bookmarkStart w:id="168" w:name="_Toc2756"/>
      <w:bookmarkStart w:id="169" w:name="_Toc317341949"/>
      <w:r>
        <w:rPr>
          <w:rFonts w:hint="eastAsia" w:ascii="宋体" w:hAnsi="宋体" w:eastAsia="宋体" w:cs="宋体"/>
          <w:color w:val="auto"/>
          <w:sz w:val="24"/>
          <w:szCs w:val="24"/>
          <w:highlight w:val="none"/>
          <w:lang w:val="en-US" w:eastAsia="zh-CN"/>
        </w:rPr>
        <w:t>四、监督管理</w:t>
      </w:r>
      <w:bookmarkEnd w:id="165"/>
      <w:bookmarkEnd w:id="166"/>
      <w:bookmarkEnd w:id="167"/>
      <w:bookmarkEnd w:id="168"/>
      <w:bookmarkEnd w:id="169"/>
    </w:p>
    <w:p w14:paraId="50A50093">
      <w:pPr>
        <w:shd w:val="clear"/>
        <w:spacing w:line="480" w:lineRule="exact"/>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rPr>
        <w:t>本项目评审全程录音录像，监督管理部门为</w:t>
      </w:r>
      <w:r>
        <w:rPr>
          <w:rFonts w:hint="eastAsia" w:ascii="宋体" w:hAnsi="宋体" w:cs="宋体"/>
          <w:color w:val="auto"/>
          <w:szCs w:val="21"/>
          <w:highlight w:val="none"/>
          <w:u w:val="single"/>
        </w:rPr>
        <w:t>安吉县财政局</w:t>
      </w:r>
      <w:r>
        <w:rPr>
          <w:rFonts w:hint="eastAsia" w:ascii="宋体" w:hAnsi="宋体" w:cs="宋体"/>
          <w:color w:val="auto"/>
          <w:szCs w:val="21"/>
          <w:highlight w:val="none"/>
          <w:u w:val="single"/>
          <w:lang w:eastAsia="zh-CN"/>
        </w:rPr>
        <w:t>。</w:t>
      </w:r>
    </w:p>
    <w:p w14:paraId="48904CAE">
      <w:pPr>
        <w:pStyle w:val="63"/>
        <w:shd w:val="clear"/>
        <w:rPr>
          <w:rFonts w:hint="eastAsia"/>
          <w:color w:val="auto"/>
          <w:highlight w:val="none"/>
        </w:rPr>
      </w:pPr>
    </w:p>
    <w:p w14:paraId="7E5265DE">
      <w:pPr>
        <w:pStyle w:val="63"/>
        <w:shd w:val="clear"/>
        <w:rPr>
          <w:rFonts w:hint="eastAsia"/>
          <w:color w:val="auto"/>
          <w:highlight w:val="none"/>
        </w:rPr>
      </w:pPr>
    </w:p>
    <w:p w14:paraId="0C1C51F1">
      <w:pPr>
        <w:pStyle w:val="4"/>
        <w:shd w:val="clear"/>
        <w:spacing w:before="0" w:after="0" w:line="240" w:lineRule="auto"/>
        <w:jc w:val="both"/>
        <w:rPr>
          <w:rFonts w:hint="eastAsia" w:ascii="宋体" w:hAnsi="宋体" w:cs="宋体"/>
          <w:snapToGrid w:val="0"/>
          <w:color w:val="auto"/>
          <w:szCs w:val="36"/>
          <w:highlight w:val="none"/>
        </w:rPr>
      </w:pPr>
      <w:r>
        <w:rPr>
          <w:color w:val="auto"/>
          <w:highlight w:val="none"/>
        </w:rPr>
        <w:br w:type="page"/>
      </w:r>
      <w:bookmarkStart w:id="170" w:name="_Toc5807"/>
      <w:bookmarkStart w:id="171" w:name="_Toc2987"/>
      <w:bookmarkStart w:id="172" w:name="_Toc21450"/>
      <w:bookmarkStart w:id="173" w:name="_Toc317341950"/>
      <w:bookmarkStart w:id="174" w:name="_Toc25477"/>
      <w:r>
        <w:rPr>
          <w:rFonts w:hint="eastAsia"/>
          <w:color w:val="auto"/>
          <w:highlight w:val="none"/>
          <w:lang w:val="en-US" w:eastAsia="zh-CN"/>
        </w:rPr>
        <w:t xml:space="preserve">             </w:t>
      </w:r>
      <w:bookmarkStart w:id="175" w:name="_Toc4556"/>
      <w:r>
        <w:rPr>
          <w:rFonts w:hint="eastAsia" w:ascii="宋体" w:hAnsi="宋体" w:cs="宋体"/>
          <w:snapToGrid w:val="0"/>
          <w:color w:val="auto"/>
          <w:sz w:val="40"/>
          <w:szCs w:val="36"/>
          <w:highlight w:val="none"/>
        </w:rPr>
        <w:t>第五章 合同主要条款</w:t>
      </w:r>
      <w:bookmarkEnd w:id="149"/>
      <w:bookmarkEnd w:id="170"/>
      <w:bookmarkEnd w:id="171"/>
      <w:bookmarkEnd w:id="172"/>
      <w:bookmarkEnd w:id="173"/>
      <w:bookmarkEnd w:id="174"/>
      <w:bookmarkEnd w:id="175"/>
    </w:p>
    <w:p w14:paraId="088D39F5">
      <w:pPr>
        <w:shd w:val="clear"/>
        <w:spacing w:line="360" w:lineRule="exact"/>
        <w:rPr>
          <w:rFonts w:hint="eastAsia" w:ascii="宋体" w:hAnsi="宋体" w:cs="微软雅黑"/>
          <w:color w:val="auto"/>
          <w:szCs w:val="21"/>
          <w:highlight w:val="none"/>
        </w:rPr>
      </w:pPr>
      <w:bookmarkStart w:id="176" w:name="_Toc222632763"/>
    </w:p>
    <w:p w14:paraId="37C8ADB7">
      <w:pPr>
        <w:ind w:firstLine="1"/>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采购合同书（仅供参考）</w:t>
      </w:r>
    </w:p>
    <w:p w14:paraId="3374DBF1">
      <w:pPr>
        <w:spacing w:line="360" w:lineRule="exact"/>
        <w:rPr>
          <w:rFonts w:hint="eastAsia" w:ascii="宋体" w:hAnsi="宋体" w:eastAsia="宋体" w:cs="宋体"/>
          <w:szCs w:val="21"/>
          <w:highlight w:val="none"/>
        </w:rPr>
      </w:pPr>
    </w:p>
    <w:p w14:paraId="2587660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项目名称：                               采购编号：</w:t>
      </w:r>
    </w:p>
    <w:p w14:paraId="432C65E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委托人：（甲方单位全称）                                       （以下简称甲方）</w:t>
      </w:r>
    </w:p>
    <w:p w14:paraId="02CA8C9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受托人：（乙方单位全称）                                       （以下简称乙方）</w:t>
      </w:r>
    </w:p>
    <w:p w14:paraId="5CA604F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    甲、乙双方根据                            的结果，签署本合同。</w:t>
      </w:r>
    </w:p>
    <w:p w14:paraId="24647C8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一、服务内容（签订内容另行协商）</w:t>
      </w:r>
    </w:p>
    <w:p w14:paraId="01FA96D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二、合同金额</w:t>
      </w:r>
    </w:p>
    <w:p w14:paraId="243AA23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本合同金额为（大写）：__________________________元（￥_____元）人民币。</w:t>
      </w:r>
    </w:p>
    <w:p w14:paraId="56C1DC1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三、技术资料</w:t>
      </w:r>
    </w:p>
    <w:p w14:paraId="28CE82F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乙方应按采购文件规定的时间向甲方提供有关技术资料。</w:t>
      </w:r>
    </w:p>
    <w:p w14:paraId="7FA6836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587E87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四、知识产权</w:t>
      </w:r>
    </w:p>
    <w:p w14:paraId="78E4887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乙方应保证提供服务过程中不会侵犯任何第三方的知识产权。</w:t>
      </w:r>
    </w:p>
    <w:p w14:paraId="5BFC379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五、履约保证金</w:t>
      </w:r>
    </w:p>
    <w:p w14:paraId="14A8DDE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不收取。</w:t>
      </w:r>
    </w:p>
    <w:p w14:paraId="7FDC4D4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转包或分包</w:t>
      </w:r>
    </w:p>
    <w:p w14:paraId="0ADAB35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本合同范围的服务，应由乙方直接供应，不得转让他人供应；</w:t>
      </w:r>
    </w:p>
    <w:p w14:paraId="4D9A724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除非得到甲方的书面同意，乙方不得将本合同范围的服务全部或部分分包给他人供应；</w:t>
      </w:r>
    </w:p>
    <w:p w14:paraId="324D944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如有转让和未经甲方同意的分包行为，甲方有权解除合同并追究乙方的违约责任。</w:t>
      </w:r>
    </w:p>
    <w:p w14:paraId="5757114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七、服务期限</w:t>
      </w:r>
    </w:p>
    <w:p w14:paraId="396F6DC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八、合同履行时间、履行方式及履行地点</w:t>
      </w:r>
    </w:p>
    <w:p w14:paraId="735F49E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履行时间：</w:t>
      </w:r>
    </w:p>
    <w:p w14:paraId="5132FF8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履行方式：</w:t>
      </w:r>
    </w:p>
    <w:p w14:paraId="386403B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履行地点：</w:t>
      </w:r>
    </w:p>
    <w:p w14:paraId="5F6E5A8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九、支付方式</w:t>
      </w:r>
    </w:p>
    <w:p w14:paraId="03CC38A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十、税费</w:t>
      </w:r>
    </w:p>
    <w:p w14:paraId="0DC992E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本合同执行中相关的一切税费均由乙方负担。</w:t>
      </w:r>
    </w:p>
    <w:p w14:paraId="2073C84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十一、质量保证及后续服务</w:t>
      </w:r>
    </w:p>
    <w:p w14:paraId="1F0AEA9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乙方应按采购文件规定向甲方提供服务。</w:t>
      </w:r>
    </w:p>
    <w:p w14:paraId="1D93515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乙方提供的服务成果在服务质量保证期内发生故障，乙方应负责免费提供后续服务。对达不到要求者，根据实际情况，经双方协商，可按以下办法处理：</w:t>
      </w:r>
    </w:p>
    <w:p w14:paraId="026B982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（1）重做：由乙方承担所发生的全部费用。</w:t>
      </w:r>
    </w:p>
    <w:p w14:paraId="75CB097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（2）贬值处理：由甲乙双方合议定价。</w:t>
      </w:r>
    </w:p>
    <w:p w14:paraId="2D8369C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（3）解除合同。</w:t>
      </w:r>
    </w:p>
    <w:p w14:paraId="46AF982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如在服务过程中发生问题，乙方在接到甲方通知后在指定时间内到达甲方现场。</w:t>
      </w:r>
    </w:p>
    <w:p w14:paraId="3376CE5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eastAsia="zh-CN"/>
        </w:rPr>
        <w:t>、</w:t>
      </w:r>
      <w:r>
        <w:rPr>
          <w:rFonts w:hint="eastAsia" w:ascii="宋体" w:hAnsi="宋体" w:eastAsia="宋体" w:cs="宋体"/>
          <w:highlight w:val="none"/>
        </w:rPr>
        <w:t>在服务期内，乙方应对出现的质量及安全问题负责处理解决并承担一切费用。</w:t>
      </w:r>
    </w:p>
    <w:p w14:paraId="2592E89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十二、违约责任</w:t>
      </w:r>
    </w:p>
    <w:p w14:paraId="0DB45F8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甲方无正当理由拒收接受服务的，甲方向乙方偿付合同款项百分之五作为违约金。</w:t>
      </w:r>
    </w:p>
    <w:p w14:paraId="0DADBE6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甲方无故逾期验收和办理款项支付手续的,甲方应按逾期付款总额每日万分之五向乙方支付违约金。</w:t>
      </w:r>
    </w:p>
    <w:p w14:paraId="0D648F6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 </w:t>
      </w:r>
    </w:p>
    <w:p w14:paraId="682AA37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十三、不可抗力事件处理</w:t>
      </w:r>
    </w:p>
    <w:p w14:paraId="5068D20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在合同有效期内，任何一方因不可抗力事件导致不能履行合同，则合同履行期可延长，其延长期与不可抗力影响期相同。</w:t>
      </w:r>
    </w:p>
    <w:p w14:paraId="14D9B3B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不可抗力事件发生后，应立即通知对方，并寄送有关权威机构出具的证明。</w:t>
      </w:r>
    </w:p>
    <w:p w14:paraId="57A0CF1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不可抗力事件延续120天以上，双方应通过友好协商，确定是否继续履行合同。</w:t>
      </w:r>
    </w:p>
    <w:p w14:paraId="26C7AB2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十四、诉讼</w:t>
      </w:r>
    </w:p>
    <w:p w14:paraId="251E7D3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双方在执行合同中所发生的一切争</w:t>
      </w:r>
      <w:r>
        <w:rPr>
          <w:rFonts w:hint="eastAsia" w:ascii="宋体" w:hAnsi="宋体" w:eastAsia="宋体" w:cs="宋体"/>
          <w:spacing w:val="-6"/>
          <w:sz w:val="21"/>
          <w:highlight w:val="none"/>
        </w:rPr>
        <w:t>议，应通过协商解决。如协商不成，可</w:t>
      </w:r>
      <w:r>
        <w:rPr>
          <w:rFonts w:hint="eastAsia" w:ascii="宋体" w:hAnsi="宋体" w:eastAsia="宋体" w:cs="宋体"/>
          <w:highlight w:val="none"/>
        </w:rPr>
        <w:t>向甲方所在地法院起诉。</w:t>
      </w:r>
    </w:p>
    <w:p w14:paraId="296C9E3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十五、合同生效及其它</w:t>
      </w:r>
    </w:p>
    <w:p w14:paraId="0A6A7D8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合同经双方法定代表人或授权代表签字并加盖单位公章后生效。</w:t>
      </w:r>
    </w:p>
    <w:p w14:paraId="04211DF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合同执行中涉及采购资金和采购内容修改或补充的，须经双方协商，并签书面补充协议，方可作为主合同不可分割的一部分。</w:t>
      </w:r>
    </w:p>
    <w:p w14:paraId="7790929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本合同未尽事宜，遵照《</w:t>
      </w:r>
      <w:r>
        <w:rPr>
          <w:rFonts w:hint="eastAsia" w:ascii="宋体" w:hAnsi="宋体" w:eastAsia="宋体" w:cs="宋体"/>
          <w:highlight w:val="none"/>
          <w:lang w:eastAsia="zh-CN"/>
        </w:rPr>
        <w:t>民法典</w:t>
      </w:r>
      <w:r>
        <w:rPr>
          <w:rFonts w:hint="eastAsia" w:ascii="宋体" w:hAnsi="宋体" w:eastAsia="宋体" w:cs="宋体"/>
          <w:highlight w:val="none"/>
        </w:rPr>
        <w:t>》有关条文执行。</w:t>
      </w:r>
    </w:p>
    <w:p w14:paraId="09387E1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eastAsia="zh-CN"/>
        </w:rPr>
        <w:t>、</w:t>
      </w:r>
      <w:r>
        <w:rPr>
          <w:rFonts w:hint="eastAsia" w:ascii="宋体" w:hAnsi="宋体" w:eastAsia="宋体" w:cs="宋体"/>
          <w:highlight w:val="none"/>
        </w:rPr>
        <w:t>本合同正本一式两份，具有同等法律效力，甲乙双方各执一份；副本陆份，(用途)。</w:t>
      </w:r>
    </w:p>
    <w:p w14:paraId="6298068D">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甲  方（盖章）：                乙  方（盖章）：</w:t>
      </w:r>
    </w:p>
    <w:p w14:paraId="5414004C">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法定代表人或受委托人           法定代表人或受委托人</w:t>
      </w:r>
    </w:p>
    <w:p w14:paraId="4DBD455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（签字）：                     （签字）：</w:t>
      </w:r>
    </w:p>
    <w:p w14:paraId="234610C4">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地  址：                       地 址： </w:t>
      </w:r>
    </w:p>
    <w:p w14:paraId="122A7123">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邮  编：                       邮  编： </w:t>
      </w:r>
    </w:p>
    <w:p w14:paraId="6A0F5D3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电  话：                       电  话：                     </w:t>
      </w:r>
    </w:p>
    <w:p w14:paraId="3D818E7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开户银行：                     开户银行：</w:t>
      </w:r>
    </w:p>
    <w:p w14:paraId="28EF5BF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帐  号：                       帐  号：</w:t>
      </w:r>
    </w:p>
    <w:p w14:paraId="5C16396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p>
    <w:p w14:paraId="073F21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 签约时间：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年  </w:t>
      </w:r>
      <w:r>
        <w:rPr>
          <w:rFonts w:hint="eastAsia" w:ascii="宋体" w:hAnsi="宋体" w:eastAsia="宋体" w:cs="宋体"/>
          <w:highlight w:val="none"/>
          <w:lang w:val="en-US" w:eastAsia="zh-CN"/>
        </w:rPr>
        <w:t xml:space="preserve"> </w:t>
      </w:r>
      <w:r>
        <w:rPr>
          <w:rFonts w:hint="eastAsia" w:ascii="宋体" w:hAnsi="宋体" w:eastAsia="宋体" w:cs="宋体"/>
          <w:highlight w:val="none"/>
        </w:rPr>
        <w:t>月</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日</w:t>
      </w:r>
    </w:p>
    <w:p w14:paraId="3822AFCB">
      <w:pPr>
        <w:spacing w:line="320" w:lineRule="exact"/>
        <w:rPr>
          <w:rFonts w:hint="eastAsia" w:ascii="宋体" w:hAnsi="宋体" w:eastAsia="宋体" w:cs="宋体"/>
          <w:b/>
          <w:sz w:val="24"/>
          <w:highlight w:val="none"/>
        </w:rPr>
      </w:pPr>
    </w:p>
    <w:p w14:paraId="2A01F6F9">
      <w:pPr>
        <w:spacing w:line="320" w:lineRule="exact"/>
        <w:rPr>
          <w:rFonts w:hint="eastAsia" w:ascii="宋体" w:hAnsi="宋体" w:eastAsia="宋体" w:cs="宋体"/>
          <w:b/>
          <w:sz w:val="24"/>
          <w:highlight w:val="none"/>
        </w:rPr>
      </w:pPr>
    </w:p>
    <w:p w14:paraId="0AE44FE1">
      <w:pPr>
        <w:shd w:val="clear"/>
        <w:spacing w:line="480" w:lineRule="exact"/>
        <w:jc w:val="center"/>
        <w:rPr>
          <w:rFonts w:hint="eastAsia" w:ascii="宋体" w:hAnsi="宋体" w:eastAsia="宋体" w:cs="宋体"/>
          <w:b/>
          <w:color w:val="auto"/>
          <w:sz w:val="28"/>
          <w:szCs w:val="28"/>
          <w:highlight w:val="none"/>
          <w:lang w:eastAsia="zh-CN"/>
        </w:rPr>
      </w:pPr>
      <w:r>
        <w:rPr>
          <w:rFonts w:hint="eastAsia" w:ascii="宋体" w:hAnsi="宋体" w:eastAsia="宋体" w:cs="宋体"/>
          <w:b/>
          <w:sz w:val="24"/>
          <w:highlight w:val="none"/>
        </w:rPr>
        <w:t>注：本合同作为示范文本，具体以中标供应商与招标人所签定正式合同为准。</w:t>
      </w:r>
    </w:p>
    <w:p w14:paraId="03FFB237">
      <w:pPr>
        <w:shd w:val="clear"/>
        <w:spacing w:line="400" w:lineRule="exact"/>
        <w:ind w:firstLine="560"/>
        <w:rPr>
          <w:rFonts w:hint="eastAsia" w:ascii="宋体" w:hAnsi="宋体" w:cs="宋体"/>
          <w:color w:val="auto"/>
          <w:szCs w:val="21"/>
          <w:highlight w:val="none"/>
        </w:rPr>
      </w:pPr>
    </w:p>
    <w:p w14:paraId="603F65EE">
      <w:pPr>
        <w:pStyle w:val="4"/>
        <w:shd w:val="clear"/>
        <w:spacing w:before="0" w:after="0" w:line="240" w:lineRule="auto"/>
        <w:jc w:val="center"/>
        <w:outlineLvl w:val="9"/>
        <w:rPr>
          <w:rFonts w:hint="eastAsia" w:ascii="宋体" w:hAnsi="宋体" w:cs="宋体"/>
          <w:snapToGrid w:val="0"/>
          <w:color w:val="auto"/>
          <w:sz w:val="36"/>
          <w:szCs w:val="36"/>
          <w:highlight w:val="none"/>
        </w:rPr>
      </w:pPr>
      <w:bookmarkStart w:id="177" w:name="_Toc317341951"/>
      <w:bookmarkStart w:id="178" w:name="_Toc18881"/>
      <w:bookmarkStart w:id="179" w:name="_Toc19174"/>
      <w:bookmarkStart w:id="180" w:name="_Toc25035"/>
      <w:bookmarkStart w:id="181" w:name="_Toc27994"/>
    </w:p>
    <w:p w14:paraId="3CA1EFAD">
      <w:pPr>
        <w:rPr>
          <w:rFonts w:hint="eastAsia" w:ascii="宋体" w:hAnsi="宋体" w:cs="宋体"/>
          <w:snapToGrid w:val="0"/>
          <w:color w:val="auto"/>
          <w:sz w:val="36"/>
          <w:szCs w:val="36"/>
          <w:highlight w:val="none"/>
        </w:rPr>
      </w:pPr>
    </w:p>
    <w:p w14:paraId="1B76FB88">
      <w:pPr>
        <w:pStyle w:val="2"/>
        <w:rPr>
          <w:rFonts w:hint="eastAsia" w:ascii="宋体" w:hAnsi="宋体" w:cs="宋体"/>
          <w:snapToGrid w:val="0"/>
          <w:color w:val="auto"/>
          <w:sz w:val="36"/>
          <w:szCs w:val="36"/>
          <w:highlight w:val="none"/>
        </w:rPr>
      </w:pPr>
    </w:p>
    <w:p w14:paraId="4408CAC4">
      <w:pPr>
        <w:pStyle w:val="3"/>
        <w:rPr>
          <w:rFonts w:hint="eastAsia" w:ascii="宋体" w:hAnsi="宋体" w:cs="宋体"/>
          <w:snapToGrid w:val="0"/>
          <w:color w:val="auto"/>
          <w:sz w:val="36"/>
          <w:szCs w:val="36"/>
          <w:highlight w:val="none"/>
        </w:rPr>
      </w:pPr>
    </w:p>
    <w:p w14:paraId="360B6F2A">
      <w:pPr>
        <w:pStyle w:val="3"/>
        <w:rPr>
          <w:rFonts w:hint="eastAsia" w:ascii="宋体" w:hAnsi="宋体" w:cs="宋体"/>
          <w:snapToGrid w:val="0"/>
          <w:color w:val="auto"/>
          <w:sz w:val="36"/>
          <w:szCs w:val="36"/>
          <w:highlight w:val="none"/>
        </w:rPr>
      </w:pPr>
    </w:p>
    <w:p w14:paraId="14E528C3">
      <w:pPr>
        <w:pStyle w:val="3"/>
        <w:rPr>
          <w:rFonts w:hint="eastAsia" w:ascii="宋体" w:hAnsi="宋体" w:cs="宋体"/>
          <w:snapToGrid w:val="0"/>
          <w:color w:val="auto"/>
          <w:sz w:val="36"/>
          <w:szCs w:val="36"/>
          <w:highlight w:val="none"/>
        </w:rPr>
      </w:pPr>
    </w:p>
    <w:p w14:paraId="20D382CF">
      <w:pPr>
        <w:pStyle w:val="3"/>
        <w:rPr>
          <w:rFonts w:hint="eastAsia" w:ascii="宋体" w:hAnsi="宋体" w:cs="宋体"/>
          <w:snapToGrid w:val="0"/>
          <w:color w:val="auto"/>
          <w:sz w:val="36"/>
          <w:szCs w:val="36"/>
          <w:highlight w:val="none"/>
        </w:rPr>
      </w:pPr>
    </w:p>
    <w:p w14:paraId="5196F989">
      <w:pPr>
        <w:pStyle w:val="4"/>
        <w:shd w:val="clear"/>
        <w:spacing w:before="0" w:after="0" w:line="240" w:lineRule="auto"/>
        <w:jc w:val="center"/>
        <w:outlineLvl w:val="9"/>
        <w:rPr>
          <w:rFonts w:hint="eastAsia" w:ascii="宋体" w:hAnsi="宋体" w:cs="宋体"/>
          <w:snapToGrid w:val="0"/>
          <w:color w:val="auto"/>
          <w:sz w:val="36"/>
          <w:szCs w:val="36"/>
          <w:highlight w:val="none"/>
        </w:rPr>
      </w:pPr>
    </w:p>
    <w:p w14:paraId="744F76D7">
      <w:pPr>
        <w:pStyle w:val="4"/>
        <w:shd w:val="clear"/>
        <w:spacing w:before="0" w:after="0" w:line="240" w:lineRule="auto"/>
        <w:jc w:val="center"/>
        <w:rPr>
          <w:rFonts w:hint="eastAsia" w:ascii="宋体" w:hAnsi="宋体" w:cs="宋体"/>
          <w:snapToGrid w:val="0"/>
          <w:color w:val="auto"/>
          <w:sz w:val="36"/>
          <w:szCs w:val="36"/>
          <w:highlight w:val="none"/>
        </w:rPr>
      </w:pPr>
      <w:bookmarkStart w:id="182" w:name="_Toc9861"/>
      <w:r>
        <w:rPr>
          <w:rFonts w:hint="eastAsia" w:ascii="宋体" w:hAnsi="宋体" w:cs="宋体"/>
          <w:snapToGrid w:val="0"/>
          <w:color w:val="auto"/>
          <w:sz w:val="36"/>
          <w:szCs w:val="36"/>
          <w:highlight w:val="none"/>
        </w:rPr>
        <w:t>第六章  投标文件的格式</w:t>
      </w:r>
      <w:bookmarkEnd w:id="176"/>
      <w:bookmarkEnd w:id="177"/>
      <w:bookmarkEnd w:id="178"/>
      <w:bookmarkEnd w:id="179"/>
      <w:bookmarkEnd w:id="180"/>
      <w:bookmarkEnd w:id="181"/>
      <w:bookmarkEnd w:id="182"/>
    </w:p>
    <w:p w14:paraId="4BFE8790">
      <w:pPr>
        <w:shd w:val="clear"/>
        <w:spacing w:line="320" w:lineRule="exact"/>
        <w:jc w:val="right"/>
        <w:rPr>
          <w:rFonts w:hint="eastAsia" w:ascii="宋体" w:hAnsi="宋体" w:cs="宋体"/>
          <w:color w:val="auto"/>
          <w:szCs w:val="21"/>
          <w:highlight w:val="none"/>
        </w:rPr>
      </w:pPr>
      <w:bookmarkStart w:id="183" w:name="_Toc286416745"/>
      <w:bookmarkStart w:id="184" w:name="_Toc251601950"/>
      <w:bookmarkStart w:id="185" w:name="_Toc251602205"/>
    </w:p>
    <w:p w14:paraId="669C1CC8">
      <w:pPr>
        <w:shd w:val="clear"/>
        <w:spacing w:line="320" w:lineRule="exact"/>
        <w:rPr>
          <w:rFonts w:hint="eastAsia" w:ascii="宋体" w:hAnsi="宋体" w:cs="宋体"/>
          <w:color w:val="auto"/>
          <w:szCs w:val="21"/>
          <w:highlight w:val="none"/>
        </w:rPr>
      </w:pPr>
    </w:p>
    <w:p w14:paraId="553A4162">
      <w:pPr>
        <w:pStyle w:val="5"/>
        <w:shd w:val="clear"/>
        <w:jc w:val="center"/>
        <w:rPr>
          <w:rFonts w:hint="eastAsia" w:ascii="宋体" w:hAnsi="宋体" w:eastAsia="宋体" w:cs="宋体"/>
          <w:color w:val="auto"/>
          <w:sz w:val="24"/>
          <w:highlight w:val="none"/>
        </w:rPr>
      </w:pPr>
      <w:bookmarkStart w:id="186" w:name="_Toc26573"/>
      <w:bookmarkStart w:id="187" w:name="_Toc95211197"/>
      <w:bookmarkStart w:id="188" w:name="_Toc32085"/>
      <w:bookmarkStart w:id="189" w:name="_Toc2236"/>
      <w:bookmarkStart w:id="190" w:name="_Toc4567"/>
      <w:bookmarkStart w:id="191" w:name="_Toc22205"/>
      <w:bookmarkStart w:id="192" w:name="_Toc318084367"/>
      <w:bookmarkStart w:id="193" w:name="_Toc32480"/>
      <w:r>
        <w:rPr>
          <w:rFonts w:hint="eastAsia" w:ascii="宋体" w:hAnsi="宋体" w:eastAsia="宋体" w:cs="宋体"/>
          <w:color w:val="auto"/>
          <w:sz w:val="28"/>
          <w:szCs w:val="28"/>
          <w:highlight w:val="none"/>
        </w:rPr>
        <w:t>一、资格证明文件格式</w:t>
      </w:r>
      <w:bookmarkEnd w:id="183"/>
      <w:bookmarkEnd w:id="186"/>
      <w:bookmarkEnd w:id="187"/>
      <w:bookmarkEnd w:id="188"/>
      <w:bookmarkEnd w:id="189"/>
      <w:bookmarkEnd w:id="190"/>
      <w:bookmarkEnd w:id="191"/>
      <w:bookmarkEnd w:id="192"/>
      <w:bookmarkEnd w:id="193"/>
    </w:p>
    <w:p w14:paraId="167EA2A7">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1、资格证明文件封面格式： </w:t>
      </w:r>
    </w:p>
    <w:p w14:paraId="7C3DBD61">
      <w:pPr>
        <w:shd w:val="clear"/>
        <w:adjustRightInd w:val="0"/>
        <w:snapToGrid w:val="0"/>
        <w:rPr>
          <w:rFonts w:hint="eastAsia" w:ascii="宋体" w:hAnsi="宋体" w:cs="宋体"/>
          <w:color w:val="auto"/>
          <w:sz w:val="24"/>
          <w:highlight w:val="none"/>
        </w:rPr>
      </w:pPr>
    </w:p>
    <w:p w14:paraId="12BCB890">
      <w:pPr>
        <w:shd w:val="clear"/>
        <w:adjustRightInd w:val="0"/>
        <w:snapToGrid w:val="0"/>
        <w:rPr>
          <w:rFonts w:hint="eastAsia" w:ascii="宋体" w:hAnsi="宋体" w:cs="宋体"/>
          <w:color w:val="auto"/>
          <w:sz w:val="24"/>
          <w:highlight w:val="none"/>
        </w:rPr>
      </w:pPr>
    </w:p>
    <w:p w14:paraId="4A6FAF40">
      <w:pPr>
        <w:shd w:val="clear"/>
        <w:adjustRightInd w:val="0"/>
        <w:snapToGrid w:val="0"/>
        <w:rPr>
          <w:rFonts w:hint="eastAsia" w:ascii="宋体" w:hAnsi="宋体" w:cs="宋体"/>
          <w:b/>
          <w:bCs/>
          <w:color w:val="auto"/>
          <w:sz w:val="24"/>
          <w:highlight w:val="none"/>
        </w:rPr>
      </w:pPr>
      <w:r>
        <w:rPr>
          <w:rFonts w:hint="eastAsia" w:ascii="宋体" w:hAnsi="宋体" w:cs="宋体"/>
          <w:color w:val="auto"/>
          <w:sz w:val="24"/>
          <w:highlight w:val="none"/>
        </w:rPr>
        <w:t xml:space="preserve">                                                         </w:t>
      </w:r>
    </w:p>
    <w:p w14:paraId="26A0134B">
      <w:pPr>
        <w:shd w:val="clear"/>
        <w:adjustRightInd w:val="0"/>
        <w:snapToGrid w:val="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×××（投标人名称）</w:t>
      </w:r>
    </w:p>
    <w:p w14:paraId="6BC59E2E">
      <w:pPr>
        <w:shd w:val="clear"/>
        <w:adjustRightInd w:val="0"/>
        <w:snapToGrid w:val="0"/>
        <w:jc w:val="center"/>
        <w:rPr>
          <w:rFonts w:hint="eastAsia" w:ascii="宋体" w:hAnsi="宋体" w:cs="宋体"/>
          <w:bCs/>
          <w:color w:val="auto"/>
          <w:sz w:val="30"/>
          <w:szCs w:val="30"/>
          <w:highlight w:val="none"/>
        </w:rPr>
      </w:pPr>
    </w:p>
    <w:p w14:paraId="7DA7E70F">
      <w:pPr>
        <w:shd w:val="clear"/>
        <w:adjustRightInd w:val="0"/>
        <w:snapToGrid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资格证明文件</w:t>
      </w:r>
    </w:p>
    <w:p w14:paraId="4FD05ADA">
      <w:pPr>
        <w:shd w:val="clear"/>
        <w:adjustRightInd w:val="0"/>
        <w:snapToGrid w:val="0"/>
        <w:jc w:val="center"/>
        <w:rPr>
          <w:rFonts w:hint="eastAsia" w:ascii="宋体" w:hAnsi="宋体" w:cs="宋体"/>
          <w:b/>
          <w:bCs/>
          <w:color w:val="auto"/>
          <w:sz w:val="44"/>
          <w:szCs w:val="44"/>
          <w:highlight w:val="none"/>
        </w:rPr>
      </w:pPr>
    </w:p>
    <w:p w14:paraId="0E64417D">
      <w:pPr>
        <w:shd w:val="clear"/>
        <w:adjustRightInd w:val="0"/>
        <w:snapToGrid w:val="0"/>
        <w:jc w:val="center"/>
        <w:rPr>
          <w:rFonts w:hint="eastAsia" w:ascii="宋体" w:hAnsi="宋体" w:cs="宋体"/>
          <w:b/>
          <w:bCs/>
          <w:color w:val="auto"/>
          <w:sz w:val="44"/>
          <w:szCs w:val="44"/>
          <w:highlight w:val="none"/>
        </w:rPr>
      </w:pPr>
    </w:p>
    <w:p w14:paraId="14A751D3">
      <w:pPr>
        <w:shd w:val="clear"/>
        <w:adjustRightInd w:val="0"/>
        <w:snapToGrid w:val="0"/>
        <w:ind w:left="2250" w:leftChars="500" w:hanging="1200" w:hangingChars="50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02E50943">
      <w:pPr>
        <w:shd w:val="clear"/>
        <w:adjustRightInd w:val="0"/>
        <w:snapToGrid w:val="0"/>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项目编号：</w:t>
      </w:r>
    </w:p>
    <w:p w14:paraId="0D037F82">
      <w:pPr>
        <w:shd w:val="clear"/>
        <w:adjustRightInd w:val="0"/>
        <w:snapToGri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投标人名称（盖章）：</w:t>
      </w:r>
    </w:p>
    <w:p w14:paraId="26748FA9">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投标人地址：</w:t>
      </w:r>
    </w:p>
    <w:p w14:paraId="01C82418">
      <w:pPr>
        <w:shd w:val="clear"/>
        <w:adjustRightInd w:val="0"/>
        <w:snapToGrid w:val="0"/>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授权代表签名或盖章：</w:t>
      </w:r>
    </w:p>
    <w:p w14:paraId="10FAB2D4">
      <w:pPr>
        <w:shd w:val="clear"/>
        <w:adjustRightInd w:val="0"/>
        <w:snapToGrid w:val="0"/>
        <w:ind w:firstLine="645"/>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55DC5498">
      <w:pPr>
        <w:shd w:val="clear"/>
        <w:adjustRightInd w:val="0"/>
        <w:snapToGrid w:val="0"/>
        <w:ind w:firstLine="645"/>
        <w:jc w:val="right"/>
        <w:rPr>
          <w:rFonts w:hint="eastAsia" w:ascii="宋体" w:hAnsi="宋体" w:cs="宋体"/>
          <w:color w:val="auto"/>
          <w:sz w:val="24"/>
          <w:highlight w:val="none"/>
        </w:rPr>
      </w:pPr>
    </w:p>
    <w:p w14:paraId="04B34BC8">
      <w:pPr>
        <w:shd w:val="clear"/>
        <w:adjustRightInd w:val="0"/>
        <w:snapToGrid w:val="0"/>
        <w:ind w:firstLine="645"/>
        <w:jc w:val="right"/>
        <w:rPr>
          <w:rFonts w:hint="eastAsia" w:ascii="宋体" w:hAnsi="宋体" w:cs="宋体"/>
          <w:color w:val="auto"/>
          <w:sz w:val="24"/>
          <w:highlight w:val="none"/>
        </w:rPr>
      </w:pPr>
    </w:p>
    <w:p w14:paraId="693EA81C">
      <w:pPr>
        <w:shd w:val="clear"/>
        <w:adjustRightInd w:val="0"/>
        <w:snapToGrid w:val="0"/>
        <w:ind w:firstLine="645"/>
        <w:jc w:val="right"/>
        <w:rPr>
          <w:rFonts w:hint="eastAsia" w:ascii="宋体" w:hAnsi="宋体" w:cs="宋体"/>
          <w:color w:val="auto"/>
          <w:sz w:val="24"/>
          <w:highlight w:val="none"/>
        </w:rPr>
      </w:pPr>
    </w:p>
    <w:p w14:paraId="07E9B946">
      <w:pPr>
        <w:pStyle w:val="3"/>
        <w:shd w:val="clear"/>
        <w:rPr>
          <w:rFonts w:hint="eastAsia" w:ascii="宋体" w:hAnsi="宋体" w:cs="宋体"/>
          <w:color w:val="auto"/>
          <w:sz w:val="24"/>
          <w:highlight w:val="none"/>
        </w:rPr>
      </w:pPr>
    </w:p>
    <w:p w14:paraId="7A6C742B">
      <w:pPr>
        <w:shd w:val="clear"/>
        <w:rPr>
          <w:rFonts w:hint="eastAsia" w:ascii="宋体" w:hAnsi="宋体" w:cs="宋体"/>
          <w:color w:val="auto"/>
          <w:sz w:val="24"/>
          <w:highlight w:val="none"/>
        </w:rPr>
      </w:pPr>
    </w:p>
    <w:p w14:paraId="63668DE1">
      <w:pPr>
        <w:pStyle w:val="3"/>
        <w:shd w:val="clear"/>
        <w:rPr>
          <w:rFonts w:hint="eastAsia" w:ascii="宋体" w:hAnsi="宋体" w:cs="宋体"/>
          <w:color w:val="auto"/>
          <w:sz w:val="24"/>
          <w:highlight w:val="none"/>
        </w:rPr>
      </w:pPr>
    </w:p>
    <w:p w14:paraId="596D5D40">
      <w:pPr>
        <w:shd w:val="clear"/>
        <w:rPr>
          <w:rFonts w:hint="eastAsia" w:ascii="宋体" w:hAnsi="宋体" w:cs="宋体"/>
          <w:color w:val="auto"/>
          <w:sz w:val="24"/>
          <w:highlight w:val="none"/>
        </w:rPr>
      </w:pPr>
    </w:p>
    <w:p w14:paraId="71D03356">
      <w:pPr>
        <w:pStyle w:val="3"/>
        <w:shd w:val="clear"/>
        <w:rPr>
          <w:rFonts w:hint="eastAsia" w:ascii="宋体" w:hAnsi="宋体" w:cs="宋体"/>
          <w:color w:val="auto"/>
          <w:sz w:val="24"/>
          <w:highlight w:val="none"/>
        </w:rPr>
      </w:pPr>
    </w:p>
    <w:p w14:paraId="48FB3BB7">
      <w:pPr>
        <w:shd w:val="clear"/>
        <w:rPr>
          <w:rFonts w:hint="eastAsia" w:ascii="宋体" w:hAnsi="宋体" w:cs="宋体"/>
          <w:color w:val="auto"/>
          <w:sz w:val="24"/>
          <w:highlight w:val="none"/>
        </w:rPr>
      </w:pPr>
    </w:p>
    <w:p w14:paraId="7ADB14A8">
      <w:pPr>
        <w:pStyle w:val="3"/>
        <w:shd w:val="clear"/>
        <w:rPr>
          <w:rFonts w:hint="eastAsia" w:ascii="宋体" w:hAnsi="宋体" w:cs="宋体"/>
          <w:color w:val="auto"/>
          <w:sz w:val="24"/>
          <w:highlight w:val="none"/>
        </w:rPr>
      </w:pPr>
    </w:p>
    <w:p w14:paraId="6400CC08">
      <w:pPr>
        <w:shd w:val="clear"/>
        <w:rPr>
          <w:rFonts w:hint="eastAsia" w:ascii="宋体" w:hAnsi="宋体" w:cs="宋体"/>
          <w:color w:val="auto"/>
          <w:sz w:val="24"/>
          <w:highlight w:val="none"/>
        </w:rPr>
      </w:pPr>
    </w:p>
    <w:p w14:paraId="6869470A">
      <w:pPr>
        <w:pStyle w:val="3"/>
        <w:shd w:val="clear"/>
        <w:rPr>
          <w:rFonts w:hint="eastAsia" w:ascii="宋体" w:hAnsi="宋体" w:cs="宋体"/>
          <w:color w:val="auto"/>
          <w:sz w:val="24"/>
          <w:highlight w:val="none"/>
        </w:rPr>
      </w:pPr>
    </w:p>
    <w:p w14:paraId="1063A510">
      <w:pPr>
        <w:shd w:val="clear"/>
        <w:rPr>
          <w:rFonts w:hint="eastAsia" w:ascii="宋体" w:hAnsi="宋体" w:cs="宋体"/>
          <w:color w:val="auto"/>
          <w:sz w:val="24"/>
          <w:highlight w:val="none"/>
        </w:rPr>
      </w:pPr>
    </w:p>
    <w:p w14:paraId="7A7B9C0F">
      <w:pPr>
        <w:pStyle w:val="3"/>
        <w:shd w:val="clear"/>
        <w:rPr>
          <w:rFonts w:hint="eastAsia" w:ascii="宋体" w:hAnsi="宋体" w:cs="宋体"/>
          <w:color w:val="auto"/>
          <w:sz w:val="24"/>
          <w:highlight w:val="none"/>
        </w:rPr>
      </w:pPr>
    </w:p>
    <w:p w14:paraId="2008AF8E">
      <w:pPr>
        <w:shd w:val="clear"/>
        <w:rPr>
          <w:rFonts w:hint="eastAsia" w:ascii="宋体" w:hAnsi="宋体" w:cs="宋体"/>
          <w:color w:val="auto"/>
          <w:sz w:val="24"/>
          <w:highlight w:val="none"/>
        </w:rPr>
      </w:pPr>
    </w:p>
    <w:p w14:paraId="383CE1CC">
      <w:pPr>
        <w:shd w:val="clear"/>
        <w:adjustRightInd w:val="0"/>
        <w:snapToGrid w:val="0"/>
        <w:ind w:firstLine="0"/>
        <w:jc w:val="left"/>
        <w:rPr>
          <w:rFonts w:hint="eastAsia" w:ascii="宋体" w:hAnsi="宋体" w:cs="宋体"/>
          <w:color w:val="auto"/>
          <w:sz w:val="24"/>
          <w:highlight w:val="none"/>
        </w:rPr>
      </w:pPr>
      <w:r>
        <w:rPr>
          <w:rFonts w:hint="eastAsia" w:ascii="宋体" w:hAnsi="宋体" w:cs="宋体"/>
          <w:color w:val="auto"/>
          <w:sz w:val="24"/>
          <w:highlight w:val="none"/>
        </w:rPr>
        <w:t>2、目录</w:t>
      </w:r>
    </w:p>
    <w:p w14:paraId="61F9BC5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资格证明文件：</w:t>
      </w:r>
    </w:p>
    <w:p w14:paraId="320C835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投标资格声明书（格式见第六章）；</w:t>
      </w:r>
    </w:p>
    <w:p w14:paraId="55E9754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营业执照副本复印件；</w:t>
      </w:r>
    </w:p>
    <w:p w14:paraId="501BE56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）最近一个季度依法缴纳税收和社保费的证明[税费凭证复印件，或者依法缴纳税费或依法免缴税费的证明]；</w:t>
      </w:r>
    </w:p>
    <w:p w14:paraId="2543425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中小企业声明函</w:t>
      </w:r>
      <w:r>
        <w:rPr>
          <w:rFonts w:hint="eastAsia" w:ascii="宋体" w:hAnsi="宋体" w:eastAsia="宋体" w:cs="宋体"/>
          <w:szCs w:val="21"/>
          <w:highlight w:val="none"/>
          <w:lang w:eastAsia="zh-CN"/>
        </w:rPr>
        <w:t>。（注：</w:t>
      </w:r>
      <w:r>
        <w:rPr>
          <w:rFonts w:hint="eastAsia" w:ascii="宋体" w:hAnsi="宋体" w:eastAsia="宋体" w:cs="宋体"/>
          <w:szCs w:val="21"/>
          <w:highlight w:val="none"/>
          <w:lang w:val="en-US" w:eastAsia="zh-CN"/>
        </w:rPr>
        <w:t>本项目为专门面向中小企业采购，投标供应商非中小企业的，资格审查不通过；符合上述条件的中小微型企业应按照磋商文件附件的格式要求在资格证明文件中提供《中小企业声明函》及证明材料</w:t>
      </w:r>
      <w:r>
        <w:rPr>
          <w:rFonts w:hint="eastAsia" w:ascii="宋体" w:hAnsi="宋体" w:eastAsia="宋体" w:cs="宋体"/>
          <w:szCs w:val="21"/>
          <w:highlight w:val="none"/>
          <w:lang w:eastAsia="zh-CN"/>
        </w:rPr>
        <w:t>）。</w:t>
      </w:r>
    </w:p>
    <w:p w14:paraId="41F03DDE">
      <w:pPr>
        <w:shd w:val="clear"/>
        <w:rPr>
          <w:color w:val="auto"/>
          <w:highlight w:val="none"/>
        </w:rPr>
      </w:pPr>
    </w:p>
    <w:p w14:paraId="4E92B874">
      <w:pPr>
        <w:pStyle w:val="3"/>
        <w:shd w:val="clear"/>
        <w:rPr>
          <w:color w:val="auto"/>
          <w:highlight w:val="none"/>
        </w:rPr>
      </w:pPr>
    </w:p>
    <w:p w14:paraId="260E59D1">
      <w:pPr>
        <w:shd w:val="clear"/>
        <w:rPr>
          <w:color w:val="auto"/>
          <w:highlight w:val="none"/>
        </w:rPr>
      </w:pPr>
    </w:p>
    <w:p w14:paraId="4DDBDECD">
      <w:pPr>
        <w:pStyle w:val="3"/>
        <w:shd w:val="clear"/>
        <w:rPr>
          <w:color w:val="auto"/>
          <w:highlight w:val="none"/>
        </w:rPr>
      </w:pPr>
    </w:p>
    <w:p w14:paraId="13B5A7D5">
      <w:pPr>
        <w:shd w:val="clear"/>
        <w:rPr>
          <w:color w:val="auto"/>
          <w:highlight w:val="none"/>
        </w:rPr>
      </w:pPr>
    </w:p>
    <w:p w14:paraId="1850572E">
      <w:pPr>
        <w:pStyle w:val="3"/>
        <w:shd w:val="clear"/>
        <w:rPr>
          <w:color w:val="auto"/>
          <w:highlight w:val="none"/>
        </w:rPr>
      </w:pPr>
    </w:p>
    <w:p w14:paraId="2AB2D59E">
      <w:pPr>
        <w:shd w:val="clear"/>
        <w:rPr>
          <w:color w:val="auto"/>
          <w:highlight w:val="none"/>
        </w:rPr>
      </w:pPr>
    </w:p>
    <w:p w14:paraId="64BB5A4C">
      <w:pPr>
        <w:pStyle w:val="3"/>
        <w:shd w:val="clear"/>
        <w:rPr>
          <w:color w:val="auto"/>
          <w:highlight w:val="none"/>
        </w:rPr>
      </w:pPr>
    </w:p>
    <w:p w14:paraId="1F025112">
      <w:pPr>
        <w:shd w:val="clear"/>
        <w:rPr>
          <w:color w:val="auto"/>
          <w:highlight w:val="none"/>
        </w:rPr>
      </w:pPr>
    </w:p>
    <w:p w14:paraId="7CEFB95B">
      <w:pPr>
        <w:pStyle w:val="3"/>
        <w:shd w:val="clear"/>
        <w:rPr>
          <w:color w:val="auto"/>
          <w:highlight w:val="none"/>
        </w:rPr>
      </w:pPr>
    </w:p>
    <w:p w14:paraId="4B500E1D">
      <w:pPr>
        <w:shd w:val="clear"/>
        <w:rPr>
          <w:color w:val="auto"/>
          <w:highlight w:val="none"/>
        </w:rPr>
      </w:pPr>
    </w:p>
    <w:p w14:paraId="4AC62516">
      <w:pPr>
        <w:pStyle w:val="3"/>
        <w:shd w:val="clear"/>
        <w:rPr>
          <w:color w:val="auto"/>
          <w:highlight w:val="none"/>
        </w:rPr>
      </w:pPr>
    </w:p>
    <w:p w14:paraId="7BA74870">
      <w:pPr>
        <w:shd w:val="clear"/>
        <w:rPr>
          <w:color w:val="auto"/>
          <w:highlight w:val="none"/>
        </w:rPr>
      </w:pPr>
    </w:p>
    <w:p w14:paraId="50AFA566">
      <w:pPr>
        <w:pStyle w:val="3"/>
        <w:shd w:val="clear"/>
        <w:rPr>
          <w:color w:val="auto"/>
          <w:highlight w:val="none"/>
        </w:rPr>
      </w:pPr>
    </w:p>
    <w:p w14:paraId="5FCA471D">
      <w:pPr>
        <w:shd w:val="clear"/>
        <w:rPr>
          <w:color w:val="auto"/>
          <w:highlight w:val="none"/>
        </w:rPr>
      </w:pPr>
    </w:p>
    <w:p w14:paraId="770F9455">
      <w:pPr>
        <w:pStyle w:val="3"/>
        <w:shd w:val="clear"/>
        <w:rPr>
          <w:color w:val="auto"/>
          <w:highlight w:val="none"/>
        </w:rPr>
      </w:pPr>
    </w:p>
    <w:p w14:paraId="603BEC8E">
      <w:pPr>
        <w:shd w:val="clear"/>
        <w:rPr>
          <w:color w:val="auto"/>
          <w:highlight w:val="none"/>
        </w:rPr>
      </w:pPr>
    </w:p>
    <w:p w14:paraId="0707B3A5">
      <w:pPr>
        <w:pStyle w:val="3"/>
        <w:shd w:val="clear"/>
        <w:rPr>
          <w:color w:val="auto"/>
          <w:highlight w:val="none"/>
        </w:rPr>
      </w:pPr>
    </w:p>
    <w:p w14:paraId="1095571F">
      <w:pPr>
        <w:shd w:val="clear"/>
        <w:rPr>
          <w:color w:val="auto"/>
          <w:highlight w:val="none"/>
        </w:rPr>
      </w:pPr>
    </w:p>
    <w:p w14:paraId="2CC55956">
      <w:pPr>
        <w:pStyle w:val="3"/>
        <w:shd w:val="clear"/>
        <w:rPr>
          <w:color w:val="auto"/>
          <w:highlight w:val="none"/>
        </w:rPr>
      </w:pPr>
    </w:p>
    <w:p w14:paraId="430C4F08">
      <w:pPr>
        <w:shd w:val="clear"/>
        <w:rPr>
          <w:color w:val="auto"/>
          <w:highlight w:val="none"/>
        </w:rPr>
      </w:pPr>
    </w:p>
    <w:p w14:paraId="162C9B51">
      <w:pPr>
        <w:pStyle w:val="3"/>
        <w:shd w:val="clear"/>
        <w:rPr>
          <w:color w:val="auto"/>
          <w:highlight w:val="none"/>
        </w:rPr>
      </w:pPr>
    </w:p>
    <w:p w14:paraId="3F809501">
      <w:pPr>
        <w:shd w:val="clear"/>
        <w:rPr>
          <w:color w:val="auto"/>
          <w:highlight w:val="none"/>
        </w:rPr>
      </w:pPr>
    </w:p>
    <w:p w14:paraId="36525C69">
      <w:pPr>
        <w:pStyle w:val="3"/>
        <w:shd w:val="clear"/>
        <w:rPr>
          <w:color w:val="auto"/>
          <w:highlight w:val="none"/>
        </w:rPr>
      </w:pPr>
    </w:p>
    <w:p w14:paraId="023C3D78">
      <w:pPr>
        <w:shd w:val="clear"/>
        <w:rPr>
          <w:color w:val="auto"/>
          <w:highlight w:val="none"/>
        </w:rPr>
      </w:pPr>
    </w:p>
    <w:p w14:paraId="4F6DA05A">
      <w:pPr>
        <w:pStyle w:val="3"/>
        <w:shd w:val="clear"/>
        <w:rPr>
          <w:color w:val="auto"/>
          <w:highlight w:val="none"/>
        </w:rPr>
      </w:pPr>
    </w:p>
    <w:p w14:paraId="3ED6379A">
      <w:pPr>
        <w:pStyle w:val="3"/>
        <w:shd w:val="clear"/>
        <w:rPr>
          <w:color w:val="auto"/>
          <w:highlight w:val="none"/>
        </w:rPr>
      </w:pPr>
    </w:p>
    <w:p w14:paraId="50962D5D">
      <w:pPr>
        <w:pStyle w:val="25"/>
        <w:shd w:val="clear"/>
        <w:rPr>
          <w:color w:val="auto"/>
          <w:highlight w:val="none"/>
        </w:rPr>
      </w:pPr>
    </w:p>
    <w:p w14:paraId="371BDFD4">
      <w:pPr>
        <w:shd w:val="clear"/>
        <w:rPr>
          <w:color w:val="auto"/>
          <w:highlight w:val="none"/>
        </w:rPr>
      </w:pPr>
    </w:p>
    <w:p w14:paraId="4ACE8C91">
      <w:pPr>
        <w:pStyle w:val="3"/>
        <w:shd w:val="clear"/>
        <w:rPr>
          <w:color w:val="auto"/>
          <w:highlight w:val="none"/>
        </w:rPr>
      </w:pPr>
    </w:p>
    <w:p w14:paraId="215291D4">
      <w:pPr>
        <w:pStyle w:val="25"/>
        <w:shd w:val="clear"/>
        <w:rPr>
          <w:color w:val="auto"/>
          <w:highlight w:val="none"/>
        </w:rPr>
      </w:pPr>
    </w:p>
    <w:p w14:paraId="7A053596">
      <w:pPr>
        <w:shd w:val="clear"/>
        <w:rPr>
          <w:color w:val="auto"/>
          <w:highlight w:val="none"/>
        </w:rPr>
      </w:pPr>
    </w:p>
    <w:p w14:paraId="3B7028DB">
      <w:pPr>
        <w:pStyle w:val="3"/>
        <w:shd w:val="clear"/>
        <w:rPr>
          <w:color w:val="auto"/>
          <w:highlight w:val="none"/>
        </w:rPr>
      </w:pPr>
    </w:p>
    <w:p w14:paraId="5C0B4548">
      <w:pPr>
        <w:pStyle w:val="25"/>
        <w:shd w:val="clear"/>
        <w:rPr>
          <w:color w:val="auto"/>
          <w:highlight w:val="none"/>
        </w:rPr>
      </w:pPr>
    </w:p>
    <w:p w14:paraId="36A62EF8">
      <w:pPr>
        <w:shd w:val="clear"/>
        <w:rPr>
          <w:rFonts w:hint="eastAsia" w:ascii="宋体" w:hAnsi="宋体" w:cs="宋体"/>
          <w:color w:val="auto"/>
          <w:sz w:val="24"/>
          <w:highlight w:val="none"/>
        </w:rPr>
      </w:pPr>
      <w:r>
        <w:rPr>
          <w:rFonts w:hint="eastAsia" w:ascii="宋体" w:hAnsi="宋体" w:cs="宋体"/>
          <w:color w:val="auto"/>
          <w:sz w:val="24"/>
          <w:highlight w:val="none"/>
        </w:rPr>
        <w:t>3、投标资格声明书格式</w:t>
      </w:r>
    </w:p>
    <w:p w14:paraId="4B89A7AC">
      <w:pPr>
        <w:shd w:val="clear"/>
        <w:rPr>
          <w:rFonts w:hint="eastAsia"/>
          <w:color w:val="auto"/>
          <w:highlight w:val="none"/>
        </w:rPr>
      </w:pPr>
    </w:p>
    <w:p w14:paraId="5F8A1504">
      <w:pPr>
        <w:shd w:val="clear"/>
        <w:adjustRightInd w:val="0"/>
        <w:snapToGrid w:val="0"/>
        <w:jc w:val="center"/>
        <w:rPr>
          <w:rFonts w:hint="eastAsia" w:ascii="宋体" w:hAnsi="宋体" w:cs="宋体"/>
          <w:b/>
          <w:color w:val="auto"/>
          <w:sz w:val="44"/>
          <w:szCs w:val="44"/>
          <w:highlight w:val="none"/>
        </w:rPr>
      </w:pPr>
      <w:r>
        <w:rPr>
          <w:rFonts w:hint="eastAsia" w:ascii="宋体" w:hAnsi="宋体" w:cs="宋体"/>
          <w:b/>
          <w:color w:val="auto"/>
          <w:sz w:val="36"/>
          <w:szCs w:val="36"/>
          <w:highlight w:val="none"/>
        </w:rPr>
        <w:t>投标资格声明书</w:t>
      </w:r>
    </w:p>
    <w:p w14:paraId="0B88B489">
      <w:pPr>
        <w:shd w:val="clear"/>
        <w:adjustRightInd w:val="0"/>
        <w:snapToGrid w:val="0"/>
        <w:spacing w:line="400" w:lineRule="exact"/>
        <w:rPr>
          <w:rFonts w:hint="eastAsia" w:ascii="宋体" w:hAnsi="宋体" w:cs="宋体"/>
          <w:color w:val="auto"/>
          <w:spacing w:val="8"/>
          <w:kern w:val="0"/>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安吉县农业农村局</w:t>
      </w:r>
      <w:r>
        <w:rPr>
          <w:rFonts w:hint="eastAsia" w:ascii="宋体" w:hAnsi="宋体" w:cs="宋体"/>
          <w:color w:val="auto"/>
          <w:szCs w:val="21"/>
          <w:highlight w:val="none"/>
          <w:u w:val="single"/>
        </w:rPr>
        <w:t>：</w:t>
      </w:r>
    </w:p>
    <w:p w14:paraId="4BAC816A">
      <w:pPr>
        <w:shd w:val="clear"/>
        <w:adjustRightInd w:val="0"/>
        <w:snapToGrid w:val="0"/>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u w:val="single"/>
          <w:lang w:eastAsia="zh-CN"/>
        </w:rPr>
        <w:t>湖州盛远招标代理有限公司</w:t>
      </w:r>
      <w:r>
        <w:rPr>
          <w:rFonts w:hint="eastAsia" w:ascii="宋体" w:hAnsi="宋体" w:cs="宋体"/>
          <w:color w:val="auto"/>
          <w:szCs w:val="21"/>
          <w:highlight w:val="none"/>
        </w:rPr>
        <w:t>：</w:t>
      </w:r>
    </w:p>
    <w:p w14:paraId="22C9E0C6">
      <w:pPr>
        <w:shd w:val="clear"/>
        <w:tabs>
          <w:tab w:val="left" w:pos="1418"/>
        </w:tabs>
        <w:snapToGrid w:val="0"/>
        <w:spacing w:before="50" w:after="5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2B902C">
      <w:pPr>
        <w:shd w:val="clear"/>
        <w:tabs>
          <w:tab w:val="left" w:pos="1418"/>
        </w:tabs>
        <w:snapToGrid w:val="0"/>
        <w:spacing w:before="50" w:after="5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项目的投标，为便于贵方公正、择优地确定中标人及其投标项目的服务，我方就本次投标有关事项郑重声明如下：</w:t>
      </w:r>
    </w:p>
    <w:p w14:paraId="298F1C26">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1、我方向贵方提交的所有投标文件、资料都是准确的和真实的；</w:t>
      </w:r>
    </w:p>
    <w:p w14:paraId="1974DDB2">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2、我方不是采购人的附属机构；在获知本项目采购信息后，与采购人聘请的为此项目提供咨询服务的公司及其附属机构没有任何联系。</w:t>
      </w:r>
    </w:p>
    <w:p w14:paraId="6F07EF01">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3、我方承诺已经具备招标文件规定的参加本项目政府采购活动的投标人应当具备的条件：</w:t>
      </w:r>
    </w:p>
    <w:p w14:paraId="3B30872D">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58503F5">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3050B83">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21920B7">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122FF375">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（5）参加本次政府采购活动前三年内，在经营活动中没有重大违法记录；</w:t>
      </w:r>
    </w:p>
    <w:p w14:paraId="3DC4FAFA">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（6）至本项目投标截止时间前，我方未列入失信被执行人、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14:paraId="3C5CEDB9">
      <w:pPr>
        <w:shd w:val="clea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4、以上事项如有虚假或隐瞒，我方愿意承担一切后果和责任。</w:t>
      </w:r>
    </w:p>
    <w:p w14:paraId="61AF3C7F">
      <w:pPr>
        <w:shd w:val="clear"/>
        <w:adjustRightInd w:val="0"/>
        <w:snapToGrid w:val="0"/>
        <w:spacing w:line="400" w:lineRule="exact"/>
        <w:ind w:firstLine="420" w:firstLineChars="200"/>
        <w:rPr>
          <w:rFonts w:hint="eastAsia" w:ascii="宋体" w:hAnsi="宋体" w:cs="宋体"/>
          <w:color w:val="auto"/>
          <w:szCs w:val="21"/>
          <w:highlight w:val="none"/>
          <w:u w:val="single"/>
        </w:rPr>
      </w:pPr>
    </w:p>
    <w:p w14:paraId="3FE2EBC5">
      <w:pPr>
        <w:shd w:val="clea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2C9E349B">
      <w:pPr>
        <w:shd w:val="clear"/>
        <w:adjustRightInd w:val="0"/>
        <w:snapToGrid w:val="0"/>
        <w:spacing w:line="400" w:lineRule="exact"/>
        <w:ind w:firstLine="420" w:firstLineChars="200"/>
        <w:rPr>
          <w:rFonts w:hint="eastAsia" w:ascii="宋体" w:hAnsi="宋体" w:cs="宋体"/>
          <w:color w:val="auto"/>
          <w:szCs w:val="21"/>
          <w:highlight w:val="none"/>
          <w:u w:val="single"/>
        </w:rPr>
      </w:pPr>
    </w:p>
    <w:p w14:paraId="506E5850">
      <w:pPr>
        <w:shd w:val="clea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投标人全称（盖章）：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6588A46">
      <w:pPr>
        <w:shd w:val="clear"/>
        <w:adjustRightInd w:val="0"/>
        <w:snapToGrid w:val="0"/>
        <w:spacing w:line="400" w:lineRule="exact"/>
        <w:ind w:firstLine="210" w:firstLineChars="10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p w14:paraId="60FF10C1">
      <w:pPr>
        <w:shd w:val="clear"/>
        <w:rPr>
          <w:rFonts w:hint="eastAsia"/>
          <w:color w:val="auto"/>
          <w:highlight w:val="none"/>
        </w:rPr>
      </w:pPr>
    </w:p>
    <w:p w14:paraId="04092759">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说明：重大违法记录是指因违法经营受到刑事处罚或者责令停产停业、吊销许可证或者执照、较大数额罚款（200万元及以上金额）等行政处罚。</w:t>
      </w:r>
    </w:p>
    <w:p w14:paraId="44E176E8">
      <w:pPr>
        <w:shd w:val="clear"/>
        <w:adjustRightInd w:val="0"/>
        <w:snapToGrid w:val="0"/>
        <w:ind w:firstLine="645"/>
        <w:jc w:val="left"/>
        <w:rPr>
          <w:rFonts w:hint="eastAsia" w:ascii="宋体" w:hAnsi="宋体" w:cs="宋体"/>
          <w:color w:val="auto"/>
          <w:sz w:val="24"/>
          <w:highlight w:val="none"/>
        </w:rPr>
      </w:pPr>
    </w:p>
    <w:p w14:paraId="20FCA296">
      <w:pPr>
        <w:shd w:val="clear"/>
        <w:adjustRightInd w:val="0"/>
        <w:snapToGrid w:val="0"/>
        <w:ind w:firstLine="645"/>
        <w:jc w:val="left"/>
        <w:rPr>
          <w:rFonts w:hint="eastAsia" w:ascii="宋体" w:hAnsi="宋体" w:cs="宋体"/>
          <w:color w:val="auto"/>
          <w:sz w:val="24"/>
          <w:highlight w:val="none"/>
        </w:rPr>
      </w:pPr>
    </w:p>
    <w:p w14:paraId="45A63EEA">
      <w:pPr>
        <w:shd w:val="clear"/>
        <w:rPr>
          <w:rFonts w:hint="eastAsia" w:ascii="宋体" w:hAnsi="宋体" w:cs="宋体"/>
          <w:color w:val="auto"/>
          <w:sz w:val="24"/>
          <w:highlight w:val="none"/>
        </w:rPr>
      </w:pPr>
    </w:p>
    <w:p w14:paraId="421CB422">
      <w:pPr>
        <w:shd w:val="clear"/>
        <w:spacing w:line="400" w:lineRule="exact"/>
        <w:rPr>
          <w:rFonts w:hint="eastAsia" w:ascii="宋体" w:hAnsi="宋体" w:cs="宋体"/>
          <w:color w:val="auto"/>
          <w:highlight w:val="none"/>
        </w:rPr>
      </w:pPr>
    </w:p>
    <w:p w14:paraId="6701044B">
      <w:pPr>
        <w:pStyle w:val="2"/>
        <w:rPr>
          <w:rFonts w:hint="eastAsia"/>
          <w:highlight w:val="none"/>
        </w:rPr>
      </w:pPr>
    </w:p>
    <w:p w14:paraId="6E0F44A5">
      <w:pPr>
        <w:shd w:val="clear"/>
        <w:rPr>
          <w:rFonts w:hint="eastAsia"/>
          <w:color w:val="auto"/>
          <w:highlight w:val="none"/>
        </w:rPr>
      </w:pPr>
    </w:p>
    <w:p w14:paraId="245417B5">
      <w:pPr>
        <w:shd w:val="clear"/>
        <w:spacing w:line="400" w:lineRule="exact"/>
        <w:rPr>
          <w:rFonts w:hint="eastAsia" w:ascii="宋体" w:hAnsi="宋体" w:cs="宋体"/>
          <w:color w:val="auto"/>
          <w:highlight w:val="none"/>
        </w:rPr>
      </w:pPr>
    </w:p>
    <w:p w14:paraId="17739827">
      <w:pPr>
        <w:shd w:val="clear"/>
        <w:rPr>
          <w:rFonts w:hint="eastAsia"/>
          <w:color w:val="auto"/>
          <w:highlight w:val="none"/>
        </w:rPr>
      </w:pPr>
    </w:p>
    <w:p w14:paraId="56C9C684">
      <w:pPr>
        <w:numPr>
          <w:ilvl w:val="0"/>
          <w:numId w:val="0"/>
        </w:numPr>
        <w:shd w:val="clear"/>
        <w:tabs>
          <w:tab w:val="left" w:pos="533"/>
        </w:tabs>
        <w:adjustRightInd w:val="0"/>
        <w:snapToGrid w:val="0"/>
        <w:spacing w:line="360" w:lineRule="exact"/>
        <w:ind w:left="113" w:firstLine="0"/>
        <w:jc w:val="left"/>
        <w:rPr>
          <w:rFonts w:hint="eastAsia" w:ascii="宋体" w:hAnsi="宋体" w:eastAsia="宋体" w:cs="宋体"/>
          <w:color w:val="auto"/>
          <w:sz w:val="24"/>
          <w:highlight w:val="none"/>
          <w:lang w:val="en-US" w:eastAsia="zh-CN"/>
        </w:rPr>
      </w:pPr>
    </w:p>
    <w:p w14:paraId="436E0629">
      <w:pPr>
        <w:numPr>
          <w:ilvl w:val="0"/>
          <w:numId w:val="0"/>
        </w:numPr>
        <w:shd w:val="clear"/>
        <w:tabs>
          <w:tab w:val="left" w:pos="533"/>
        </w:tabs>
        <w:adjustRightInd w:val="0"/>
        <w:snapToGrid w:val="0"/>
        <w:spacing w:line="360" w:lineRule="exact"/>
        <w:ind w:left="113"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4、中小企业声明函</w:t>
      </w:r>
    </w:p>
    <w:p w14:paraId="4FE43F8C">
      <w:pPr>
        <w:pStyle w:val="2"/>
        <w:numPr>
          <w:ilvl w:val="0"/>
          <w:numId w:val="0"/>
        </w:numPr>
        <w:rPr>
          <w:rFonts w:hint="eastAsia"/>
          <w:highlight w:val="none"/>
        </w:rPr>
      </w:pPr>
    </w:p>
    <w:p w14:paraId="0EA8C6F8">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bookmarkStart w:id="194" w:name="_Toc8549"/>
      <w:bookmarkStart w:id="195" w:name="_Toc5664"/>
      <w:bookmarkStart w:id="196" w:name="_Toc95211198"/>
      <w:bookmarkStart w:id="197" w:name="_Toc19603"/>
      <w:bookmarkStart w:id="198" w:name="_Toc17582"/>
      <w:bookmarkStart w:id="199" w:name="_Toc24255"/>
      <w:r>
        <w:rPr>
          <w:rFonts w:hint="eastAsia" w:ascii="宋体" w:hAnsi="宋体" w:eastAsia="宋体" w:cs="宋体"/>
          <w:b/>
          <w:bCs/>
          <w:color w:val="000000"/>
          <w:kern w:val="0"/>
          <w:sz w:val="36"/>
          <w:szCs w:val="36"/>
          <w:highlight w:val="none"/>
          <w:lang w:val="en-US" w:eastAsia="zh-CN" w:bidi="ar"/>
        </w:rPr>
        <w:t>中小企业声明函（服务）</w:t>
      </w:r>
    </w:p>
    <w:p w14:paraId="0CC82F78">
      <w:pPr>
        <w:pStyle w:val="2"/>
        <w:rPr>
          <w:rFonts w:hint="eastAsia"/>
          <w:highlight w:val="none"/>
        </w:rPr>
      </w:pPr>
    </w:p>
    <w:p w14:paraId="30A408F4">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olor w:val="000000"/>
          <w:kern w:val="0"/>
          <w:sz w:val="21"/>
          <w:szCs w:val="21"/>
          <w:highlight w:val="none"/>
          <w:u w:val="single"/>
          <w:lang w:val="en-US" w:eastAsia="zh-CN" w:bidi="ar"/>
        </w:rPr>
        <w:t>（单位名称）</w:t>
      </w:r>
      <w:r>
        <w:rPr>
          <w:rFonts w:hint="eastAsia" w:ascii="宋体" w:hAnsi="宋体" w:eastAsia="宋体" w:cs="宋体"/>
          <w:i w:val="0"/>
          <w:iCs w:val="0"/>
          <w:color w:val="000000"/>
          <w:kern w:val="0"/>
          <w:sz w:val="21"/>
          <w:szCs w:val="21"/>
          <w:highlight w:val="none"/>
          <w:lang w:val="en-US" w:eastAsia="zh-CN" w:bidi="ar"/>
        </w:rPr>
        <w:t>的</w:t>
      </w:r>
      <w:r>
        <w:rPr>
          <w:rFonts w:hint="eastAsia" w:ascii="宋体" w:hAnsi="宋体" w:eastAsia="宋体" w:cs="宋体"/>
          <w:i w:val="0"/>
          <w:iCs w:val="0"/>
          <w:color w:val="000000"/>
          <w:kern w:val="0"/>
          <w:sz w:val="21"/>
          <w:szCs w:val="21"/>
          <w:highlight w:val="none"/>
          <w:u w:val="single"/>
          <w:lang w:val="en-US" w:eastAsia="zh-CN" w:bidi="ar"/>
        </w:rPr>
        <w:t>（项目名称）</w:t>
      </w:r>
      <w:r>
        <w:rPr>
          <w:rFonts w:hint="eastAsia" w:ascii="宋体" w:hAnsi="宋体" w:eastAsia="宋体" w:cs="宋体"/>
          <w:i w:val="0"/>
          <w:iCs w:val="0"/>
          <w:color w:val="000000"/>
          <w:kern w:val="0"/>
          <w:sz w:val="21"/>
          <w:szCs w:val="21"/>
          <w:highlight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66ABA199">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single"/>
          <w:lang w:val="en-US" w:eastAsia="zh-CN" w:bidi="ar"/>
        </w:rPr>
        <w:t>（标的名称）</w:t>
      </w:r>
      <w:r>
        <w:rPr>
          <w:rFonts w:hint="eastAsia" w:ascii="宋体" w:hAnsi="宋体" w:eastAsia="宋体" w:cs="宋体"/>
          <w:i w:val="0"/>
          <w:iCs w:val="0"/>
          <w:color w:val="000000"/>
          <w:kern w:val="0"/>
          <w:sz w:val="21"/>
          <w:szCs w:val="21"/>
          <w:highlight w:val="none"/>
          <w:lang w:val="en-US" w:eastAsia="zh-CN" w:bidi="ar"/>
        </w:rPr>
        <w:t>，属于</w:t>
      </w:r>
      <w:r>
        <w:rPr>
          <w:rFonts w:hint="eastAsia" w:ascii="宋体" w:hAnsi="宋体" w:eastAsia="宋体" w:cs="宋体"/>
          <w:i w:val="0"/>
          <w:iCs w:val="0"/>
          <w:color w:val="000000"/>
          <w:kern w:val="0"/>
          <w:sz w:val="21"/>
          <w:szCs w:val="21"/>
          <w:highlight w:val="none"/>
          <w:u w:val="single"/>
          <w:lang w:val="en-US" w:eastAsia="zh-CN" w:bidi="ar"/>
        </w:rPr>
        <w:t>（采购文件中明确的所属行业）</w:t>
      </w:r>
      <w:r>
        <w:rPr>
          <w:rFonts w:hint="eastAsia" w:ascii="宋体" w:hAnsi="宋体" w:eastAsia="宋体" w:cs="宋体"/>
          <w:i w:val="0"/>
          <w:iCs w:val="0"/>
          <w:color w:val="000000"/>
          <w:kern w:val="0"/>
          <w:sz w:val="21"/>
          <w:szCs w:val="21"/>
          <w:highlight w:val="none"/>
          <w:lang w:val="en-US" w:eastAsia="zh-CN" w:bidi="ar"/>
        </w:rPr>
        <w:t>；承接企业为</w:t>
      </w:r>
      <w:r>
        <w:rPr>
          <w:rFonts w:hint="eastAsia" w:ascii="宋体" w:hAnsi="宋体" w:eastAsia="宋体" w:cs="宋体"/>
          <w:i w:val="0"/>
          <w:iCs w:val="0"/>
          <w:color w:val="000000"/>
          <w:kern w:val="0"/>
          <w:sz w:val="21"/>
          <w:szCs w:val="21"/>
          <w:highlight w:val="none"/>
          <w:u w:val="single"/>
          <w:lang w:val="en-US" w:eastAsia="zh-CN" w:bidi="ar"/>
        </w:rPr>
        <w:t>（企业名称）</w:t>
      </w:r>
      <w:r>
        <w:rPr>
          <w:rFonts w:hint="eastAsia" w:ascii="宋体" w:hAnsi="宋体" w:eastAsia="宋体" w:cs="宋体"/>
          <w:i w:val="0"/>
          <w:iCs w:val="0"/>
          <w:color w:val="000000"/>
          <w:kern w:val="0"/>
          <w:sz w:val="21"/>
          <w:szCs w:val="21"/>
          <w:highlight w:val="none"/>
          <w:lang w:val="en-US" w:eastAsia="zh-CN" w:bidi="ar"/>
        </w:rPr>
        <w:t>，从业人员</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人，营业收入为</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万元，资产总额为</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万元，属于</w:t>
      </w:r>
      <w:r>
        <w:rPr>
          <w:rFonts w:hint="eastAsia" w:ascii="宋体" w:hAnsi="宋体" w:eastAsia="宋体" w:cs="宋体"/>
          <w:i w:val="0"/>
          <w:iCs w:val="0"/>
          <w:color w:val="000000"/>
          <w:kern w:val="0"/>
          <w:sz w:val="21"/>
          <w:szCs w:val="21"/>
          <w:highlight w:val="none"/>
          <w:u w:val="single"/>
          <w:lang w:val="en-US" w:eastAsia="zh-CN" w:bidi="ar"/>
        </w:rPr>
        <w:t>（中型企业、 小型企业、微型企业）</w:t>
      </w:r>
      <w:r>
        <w:rPr>
          <w:rFonts w:hint="eastAsia" w:ascii="宋体" w:hAnsi="宋体" w:eastAsia="宋体" w:cs="宋体"/>
          <w:i w:val="0"/>
          <w:iCs w:val="0"/>
          <w:color w:val="000000"/>
          <w:kern w:val="0"/>
          <w:sz w:val="21"/>
          <w:szCs w:val="21"/>
          <w:highlight w:val="none"/>
          <w:lang w:val="en-US" w:eastAsia="zh-CN" w:bidi="ar"/>
        </w:rPr>
        <w:t xml:space="preserve">； </w:t>
      </w:r>
    </w:p>
    <w:p w14:paraId="6789F029">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2.</w:t>
      </w:r>
      <w:r>
        <w:rPr>
          <w:rFonts w:hint="eastAsia" w:ascii="宋体" w:hAnsi="宋体" w:eastAsia="宋体" w:cs="宋体"/>
          <w:i w:val="0"/>
          <w:iCs w:val="0"/>
          <w:color w:val="000000"/>
          <w:kern w:val="0"/>
          <w:sz w:val="21"/>
          <w:szCs w:val="21"/>
          <w:highlight w:val="none"/>
          <w:u w:val="single"/>
          <w:lang w:val="en-US" w:eastAsia="zh-CN" w:bidi="ar"/>
        </w:rPr>
        <w:t>（标的名称）</w:t>
      </w:r>
      <w:r>
        <w:rPr>
          <w:rFonts w:hint="eastAsia" w:ascii="宋体" w:hAnsi="宋体" w:eastAsia="宋体" w:cs="宋体"/>
          <w:i w:val="0"/>
          <w:iCs w:val="0"/>
          <w:color w:val="000000"/>
          <w:kern w:val="0"/>
          <w:sz w:val="21"/>
          <w:szCs w:val="21"/>
          <w:highlight w:val="none"/>
          <w:lang w:val="en-US" w:eastAsia="zh-CN" w:bidi="ar"/>
        </w:rPr>
        <w:t>，属于</w:t>
      </w:r>
      <w:r>
        <w:rPr>
          <w:rFonts w:hint="eastAsia" w:ascii="宋体" w:hAnsi="宋体" w:eastAsia="宋体" w:cs="宋体"/>
          <w:i w:val="0"/>
          <w:iCs w:val="0"/>
          <w:color w:val="000000"/>
          <w:kern w:val="0"/>
          <w:sz w:val="21"/>
          <w:szCs w:val="21"/>
          <w:highlight w:val="none"/>
          <w:u w:val="single"/>
          <w:lang w:val="en-US" w:eastAsia="zh-CN" w:bidi="ar"/>
        </w:rPr>
        <w:t>（采购文件中明确的所属行业）</w:t>
      </w:r>
      <w:r>
        <w:rPr>
          <w:rFonts w:hint="eastAsia" w:ascii="宋体" w:hAnsi="宋体" w:eastAsia="宋体" w:cs="宋体"/>
          <w:i w:val="0"/>
          <w:iCs w:val="0"/>
          <w:color w:val="000000"/>
          <w:kern w:val="0"/>
          <w:sz w:val="21"/>
          <w:szCs w:val="21"/>
          <w:highlight w:val="none"/>
          <w:lang w:val="en-US" w:eastAsia="zh-CN" w:bidi="ar"/>
        </w:rPr>
        <w:t>；承接企业为</w:t>
      </w:r>
      <w:r>
        <w:rPr>
          <w:rFonts w:hint="eastAsia" w:ascii="宋体" w:hAnsi="宋体" w:eastAsia="宋体" w:cs="宋体"/>
          <w:i w:val="0"/>
          <w:iCs w:val="0"/>
          <w:color w:val="000000"/>
          <w:kern w:val="0"/>
          <w:sz w:val="21"/>
          <w:szCs w:val="21"/>
          <w:highlight w:val="none"/>
          <w:u w:val="single"/>
          <w:lang w:val="en-US" w:eastAsia="zh-CN" w:bidi="ar"/>
        </w:rPr>
        <w:t>（企业名称）</w:t>
      </w:r>
      <w:r>
        <w:rPr>
          <w:rFonts w:hint="eastAsia" w:ascii="宋体" w:hAnsi="宋体" w:eastAsia="宋体" w:cs="宋体"/>
          <w:i w:val="0"/>
          <w:iCs w:val="0"/>
          <w:color w:val="000000"/>
          <w:kern w:val="0"/>
          <w:sz w:val="21"/>
          <w:szCs w:val="21"/>
          <w:highlight w:val="none"/>
          <w:lang w:val="en-US" w:eastAsia="zh-CN" w:bidi="ar"/>
        </w:rPr>
        <w:t>，从业人员</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人，营业收入为</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万元，资产总额为</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万元，属于</w:t>
      </w:r>
      <w:r>
        <w:rPr>
          <w:rFonts w:hint="eastAsia" w:ascii="宋体" w:hAnsi="宋体" w:eastAsia="宋体" w:cs="宋体"/>
          <w:i w:val="0"/>
          <w:iCs w:val="0"/>
          <w:color w:val="000000"/>
          <w:kern w:val="0"/>
          <w:sz w:val="21"/>
          <w:szCs w:val="21"/>
          <w:highlight w:val="none"/>
          <w:u w:val="single"/>
          <w:lang w:val="en-US" w:eastAsia="zh-CN" w:bidi="ar"/>
        </w:rPr>
        <w:t>（中型企业、 小型企业、微型企业）</w:t>
      </w:r>
      <w:r>
        <w:rPr>
          <w:rFonts w:hint="eastAsia" w:ascii="宋体" w:hAnsi="宋体" w:eastAsia="宋体" w:cs="宋体"/>
          <w:i w:val="0"/>
          <w:iCs w:val="0"/>
          <w:color w:val="000000"/>
          <w:kern w:val="0"/>
          <w:sz w:val="21"/>
          <w:szCs w:val="21"/>
          <w:highlight w:val="none"/>
          <w:lang w:val="en-US" w:eastAsia="zh-CN" w:bidi="ar"/>
        </w:rPr>
        <w:t xml:space="preserve">； </w:t>
      </w:r>
    </w:p>
    <w:p w14:paraId="4C0B4D2D">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w:t>
      </w:r>
    </w:p>
    <w:p w14:paraId="343697ED">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以上企业，不属于大企业的分支机构，不存在控股股东为大企业的情形，也不存在与大企业的负责人为同一人的情形。</w:t>
      </w:r>
    </w:p>
    <w:p w14:paraId="30A2F3F5">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 xml:space="preserve">本企业对上述声明内容的真实性负责。如有虚假，将依法承担相应责任。 </w:t>
      </w:r>
    </w:p>
    <w:p w14:paraId="516B254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i w:val="0"/>
          <w:iCs w:val="0"/>
          <w:color w:val="000000"/>
          <w:kern w:val="0"/>
          <w:sz w:val="21"/>
          <w:szCs w:val="21"/>
          <w:highlight w:val="none"/>
          <w:lang w:val="en-US" w:eastAsia="zh-CN" w:bidi="ar"/>
        </w:rPr>
      </w:pPr>
    </w:p>
    <w:p w14:paraId="3545180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 xml:space="preserve">企业名称（盖章）： </w:t>
      </w:r>
    </w:p>
    <w:p w14:paraId="2911309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lang w:val="en-US" w:eastAsia="zh-CN" w:bidi="ar"/>
        </w:rPr>
        <w:t xml:space="preserve">日 期： </w:t>
      </w:r>
      <w:r>
        <w:rPr>
          <w:rFonts w:hint="eastAsia" w:ascii="宋体" w:hAnsi="宋体" w:eastAsia="宋体" w:cs="宋体"/>
          <w:color w:val="000000"/>
          <w:kern w:val="0"/>
          <w:sz w:val="21"/>
          <w:szCs w:val="21"/>
          <w:highlight w:val="none"/>
          <w:lang w:bidi="ar"/>
        </w:rPr>
        <w:t xml:space="preserve"> </w:t>
      </w:r>
    </w:p>
    <w:p w14:paraId="002E5A86">
      <w:pPr>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lang w:bidi="ar"/>
        </w:rPr>
      </w:pPr>
    </w:p>
    <w:p w14:paraId="23C8314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说明：1、从业人员、营业收入、资产总额填报上一年度数据，无上一年度数据的新成立企业可不填报。为本项目提供服务的企业按照《关于印发中小企业划型标准规定的通知》（工信部联企业〔2011〕300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ascii="宋体" w:hAnsi="宋体" w:eastAsia="宋体" w:cs="宋体"/>
          <w:b/>
          <w:bCs/>
          <w:i w:val="0"/>
          <w:iCs w:val="0"/>
          <w:color w:val="000000"/>
          <w:kern w:val="0"/>
          <w:sz w:val="22"/>
          <w:szCs w:val="22"/>
          <w:highlight w:val="none"/>
          <w:u w:val="single"/>
          <w:lang w:bidi="ar"/>
        </w:rPr>
        <w:t>其他未列明行业</w:t>
      </w:r>
      <w:r>
        <w:rPr>
          <w:rFonts w:hint="eastAsia" w:ascii="宋体" w:hAnsi="宋体" w:eastAsia="宋体" w:cs="宋体"/>
          <w:color w:val="000000"/>
          <w:kern w:val="0"/>
          <w:sz w:val="21"/>
          <w:szCs w:val="21"/>
          <w:highlight w:val="none"/>
          <w:lang w:bidi="ar"/>
        </w:rPr>
        <w:t>。</w:t>
      </w:r>
    </w:p>
    <w:p w14:paraId="6AFFDBFB">
      <w:pPr>
        <w:pStyle w:val="4"/>
        <w:keepNext/>
        <w:keepLines/>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000000"/>
          <w:kern w:val="0"/>
          <w:sz w:val="21"/>
          <w:szCs w:val="21"/>
          <w:highlight w:val="none"/>
          <w:lang w:val="en-US" w:eastAsia="zh-CN" w:bidi="ar"/>
        </w:rPr>
      </w:pPr>
      <w:bookmarkStart w:id="200" w:name="_Toc31567"/>
      <w:bookmarkStart w:id="201" w:name="_Toc2289"/>
      <w:r>
        <w:rPr>
          <w:rFonts w:hint="eastAsia" w:ascii="宋体" w:hAnsi="宋体" w:eastAsia="宋体" w:cs="宋体"/>
          <w:b w:val="0"/>
          <w:bCs w:val="0"/>
          <w:color w:val="000000"/>
          <w:kern w:val="0"/>
          <w:sz w:val="21"/>
          <w:szCs w:val="21"/>
          <w:highlight w:val="none"/>
          <w:lang w:val="en-US" w:eastAsia="zh-CN" w:bidi="ar"/>
        </w:rPr>
        <w:t>2、投标人必须如实且规范填写本表格。如投标人提供的服务非中小企业的，资格审查不通过，投标无效；</w:t>
      </w:r>
      <w:bookmarkEnd w:id="200"/>
      <w:bookmarkEnd w:id="201"/>
    </w:p>
    <w:p w14:paraId="10015E0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w:t>
      </w:r>
      <w:r>
        <w:rPr>
          <w:rStyle w:val="38"/>
          <w:rFonts w:hint="eastAsia" w:ascii="宋体" w:hAnsi="宋体" w:eastAsia="宋体" w:cs="宋体"/>
          <w:b w:val="0"/>
          <w:color w:val="000000"/>
          <w:kern w:val="0"/>
          <w:sz w:val="21"/>
          <w:szCs w:val="21"/>
          <w:highlight w:val="none"/>
          <w:lang w:bidi="ar"/>
        </w:rPr>
        <w:t>中小企业划分为中型、小型、微型三种类型，具体标准根据企业从业人员、营业收入、资产总额等指标，结合行业特点制定。各行业划型标准为：</w:t>
      </w:r>
    </w:p>
    <w:p w14:paraId="305947B0">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2" w:firstLineChars="3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（一）农、林、牧、渔业</w:t>
      </w:r>
    </w:p>
    <w:p w14:paraId="563918AA">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0" w:firstLineChars="3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19EB8C50">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2" w:firstLineChars="3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（二）工业</w:t>
      </w:r>
    </w:p>
    <w:p w14:paraId="6715E9CC">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0" w:firstLineChars="3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00F99B">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2" w:firstLineChars="3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（三）建筑业</w:t>
      </w:r>
    </w:p>
    <w:p w14:paraId="62DFCE55">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0" w:firstLineChars="3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376EB44">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2" w:firstLineChars="3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（四）批发业</w:t>
      </w:r>
    </w:p>
    <w:p w14:paraId="028ED368">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0" w:firstLineChars="3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97651B">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（五）零售业</w:t>
      </w:r>
    </w:p>
    <w:p w14:paraId="1C025B8B">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0" w:firstLineChars="3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599EBB6">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（六）交通运输业</w:t>
      </w:r>
    </w:p>
    <w:p w14:paraId="4D139F0E">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从业人员1000人以下或营业收入30000万元以下的为中小微型企业。</w:t>
      </w:r>
    </w:p>
    <w:p w14:paraId="729AF3E5">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（七）仓储业</w:t>
      </w:r>
    </w:p>
    <w:p w14:paraId="31DB3F4B">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DB6AAA">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（八）邮政业</w:t>
      </w:r>
    </w:p>
    <w:p w14:paraId="604957CD">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6FE79EF">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（九）住宿业</w:t>
      </w:r>
    </w:p>
    <w:p w14:paraId="00418D9E">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667328">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（十）餐饮业</w:t>
      </w:r>
    </w:p>
    <w:p w14:paraId="5D221C38">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E01E63">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（十一）信息传输业</w:t>
      </w:r>
    </w:p>
    <w:p w14:paraId="3FA6CAC5">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D9A484">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（十二）软件和信息技术服务业</w:t>
      </w:r>
    </w:p>
    <w:p w14:paraId="1ADB06F3">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64B295">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（十三）房地产开发经营</w:t>
      </w:r>
    </w:p>
    <w:p w14:paraId="68FC61C8">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018CE1">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（十四）物业管理</w:t>
      </w:r>
    </w:p>
    <w:p w14:paraId="68064A8A">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F02EE0F">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（十五）租赁和商务服务业</w:t>
      </w:r>
    </w:p>
    <w:p w14:paraId="67A7D9D1">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8D43C8C">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8"/>
          <w:rFonts w:hint="eastAsia" w:ascii="宋体" w:hAnsi="宋体" w:eastAsia="宋体" w:cs="宋体"/>
          <w:color w:val="191919"/>
          <w:sz w:val="21"/>
          <w:szCs w:val="21"/>
          <w:highlight w:val="none"/>
          <w:shd w:val="clear" w:color="auto" w:fill="FFFFFF"/>
        </w:rPr>
        <w:t>（十六）其他未列明行业</w:t>
      </w:r>
    </w:p>
    <w:p w14:paraId="7290DFD9">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r>
        <w:rPr>
          <w:rFonts w:hint="eastAsia" w:ascii="宋体" w:hAnsi="宋体" w:eastAsia="宋体" w:cs="宋体"/>
          <w:color w:val="191919"/>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57DCA8A2">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57C1F02C">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57CFCC76">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1E02EF55">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6781E363">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2F1A2D69">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245BC3EC">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4D96ED54">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5046FE48">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3B6E9FDB">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1388C156">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35DFD466">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5F3D1B38">
      <w:pPr>
        <w:pStyle w:val="31"/>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1444E805">
      <w:pPr>
        <w:pStyle w:val="5"/>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二、技术资信文件格式</w:t>
      </w:r>
      <w:bookmarkEnd w:id="194"/>
      <w:bookmarkEnd w:id="195"/>
      <w:bookmarkEnd w:id="196"/>
      <w:bookmarkEnd w:id="197"/>
      <w:bookmarkEnd w:id="198"/>
      <w:bookmarkEnd w:id="199"/>
    </w:p>
    <w:p w14:paraId="5EDD9439">
      <w:pPr>
        <w:shd w:val="clear"/>
        <w:adjustRightInd w:val="0"/>
        <w:snapToGrid w:val="0"/>
        <w:rPr>
          <w:rFonts w:hint="eastAsia" w:ascii="宋体" w:hAnsi="宋体" w:cs="宋体"/>
          <w:color w:val="auto"/>
          <w:sz w:val="24"/>
          <w:highlight w:val="none"/>
        </w:rPr>
      </w:pPr>
    </w:p>
    <w:p w14:paraId="6DEFDCDE">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1、技术资信文件封面格式： </w:t>
      </w:r>
    </w:p>
    <w:p w14:paraId="49ED0AC3">
      <w:pPr>
        <w:shd w:val="clear"/>
        <w:adjustRightInd w:val="0"/>
        <w:snapToGrid w:val="0"/>
        <w:rPr>
          <w:rFonts w:hint="eastAsia" w:ascii="宋体" w:hAnsi="宋体" w:cs="宋体"/>
          <w:color w:val="auto"/>
          <w:sz w:val="24"/>
          <w:highlight w:val="none"/>
        </w:rPr>
      </w:pPr>
    </w:p>
    <w:p w14:paraId="7613F898">
      <w:pPr>
        <w:shd w:val="clear"/>
        <w:adjustRightInd w:val="0"/>
        <w:snapToGrid w:val="0"/>
        <w:rPr>
          <w:rFonts w:hint="eastAsia" w:ascii="宋体" w:hAnsi="宋体" w:cs="宋体"/>
          <w:b/>
          <w:bCs/>
          <w:color w:val="auto"/>
          <w:sz w:val="24"/>
          <w:highlight w:val="none"/>
        </w:rPr>
      </w:pPr>
      <w:r>
        <w:rPr>
          <w:rFonts w:hint="eastAsia" w:ascii="宋体" w:hAnsi="宋体" w:cs="宋体"/>
          <w:color w:val="auto"/>
          <w:sz w:val="24"/>
          <w:highlight w:val="none"/>
        </w:rPr>
        <w:t xml:space="preserve">                                                         </w:t>
      </w:r>
    </w:p>
    <w:p w14:paraId="01A0DD5A">
      <w:pPr>
        <w:shd w:val="clear"/>
        <w:adjustRightInd w:val="0"/>
        <w:snapToGrid w:val="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×××（投标人名称）</w:t>
      </w:r>
    </w:p>
    <w:p w14:paraId="240F1A73">
      <w:pPr>
        <w:shd w:val="clear"/>
        <w:adjustRightInd w:val="0"/>
        <w:snapToGrid w:val="0"/>
        <w:jc w:val="center"/>
        <w:rPr>
          <w:rFonts w:hint="eastAsia" w:ascii="宋体" w:hAnsi="宋体" w:cs="宋体"/>
          <w:bCs/>
          <w:color w:val="auto"/>
          <w:sz w:val="30"/>
          <w:szCs w:val="30"/>
          <w:highlight w:val="none"/>
        </w:rPr>
      </w:pPr>
    </w:p>
    <w:p w14:paraId="209D9AD4">
      <w:pPr>
        <w:shd w:val="clear"/>
        <w:adjustRightInd w:val="0"/>
        <w:snapToGrid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技术资信文件</w:t>
      </w:r>
    </w:p>
    <w:p w14:paraId="7EEFDD4C">
      <w:pPr>
        <w:shd w:val="clear"/>
        <w:adjustRightInd w:val="0"/>
        <w:snapToGrid w:val="0"/>
        <w:jc w:val="center"/>
        <w:rPr>
          <w:rFonts w:hint="eastAsia" w:ascii="宋体" w:hAnsi="宋体" w:cs="宋体"/>
          <w:b/>
          <w:bCs/>
          <w:color w:val="auto"/>
          <w:sz w:val="44"/>
          <w:szCs w:val="44"/>
          <w:highlight w:val="none"/>
        </w:rPr>
      </w:pPr>
    </w:p>
    <w:p w14:paraId="192F9FE5">
      <w:pPr>
        <w:shd w:val="clear"/>
        <w:adjustRightInd w:val="0"/>
        <w:snapToGrid w:val="0"/>
        <w:ind w:left="2250" w:leftChars="500" w:hanging="1200" w:hangingChars="50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699D9E0F">
      <w:pPr>
        <w:shd w:val="clear"/>
        <w:adjustRightInd w:val="0"/>
        <w:snapToGrid w:val="0"/>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项目编号：</w:t>
      </w:r>
    </w:p>
    <w:p w14:paraId="01F7E443">
      <w:pPr>
        <w:shd w:val="clear"/>
        <w:adjustRightInd w:val="0"/>
        <w:snapToGri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投标人名称（盖章）：</w:t>
      </w:r>
    </w:p>
    <w:p w14:paraId="4F08B8E3">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投标人地址：</w:t>
      </w:r>
    </w:p>
    <w:p w14:paraId="68C83306">
      <w:pPr>
        <w:shd w:val="clear"/>
        <w:adjustRightInd w:val="0"/>
        <w:snapToGrid w:val="0"/>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授权代表签名或盖章：</w:t>
      </w:r>
    </w:p>
    <w:p w14:paraId="4AC63709">
      <w:pPr>
        <w:shd w:val="clear"/>
        <w:adjustRightInd w:val="0"/>
        <w:snapToGrid w:val="0"/>
        <w:ind w:firstLine="645"/>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0ECE7EE">
      <w:pPr>
        <w:shd w:val="clear"/>
        <w:adjustRightInd w:val="0"/>
        <w:snapToGrid w:val="0"/>
        <w:rPr>
          <w:rFonts w:hint="eastAsia" w:ascii="宋体" w:hAnsi="宋体" w:cs="宋体"/>
          <w:color w:val="auto"/>
          <w:sz w:val="24"/>
          <w:highlight w:val="none"/>
        </w:rPr>
      </w:pPr>
    </w:p>
    <w:p w14:paraId="2D6B8019">
      <w:pPr>
        <w:shd w:val="clear"/>
        <w:adjustRightInd w:val="0"/>
        <w:snapToGrid w:val="0"/>
        <w:rPr>
          <w:rFonts w:hint="eastAsia" w:ascii="宋体" w:hAnsi="宋体" w:cs="宋体"/>
          <w:color w:val="auto"/>
          <w:sz w:val="24"/>
          <w:highlight w:val="none"/>
        </w:rPr>
      </w:pPr>
    </w:p>
    <w:p w14:paraId="68D1FA99">
      <w:pPr>
        <w:shd w:val="clear"/>
        <w:adjustRightInd w:val="0"/>
        <w:snapToGrid w:val="0"/>
        <w:rPr>
          <w:rFonts w:hint="eastAsia" w:ascii="宋体" w:hAnsi="宋体" w:cs="宋体"/>
          <w:color w:val="auto"/>
          <w:sz w:val="24"/>
          <w:highlight w:val="none"/>
        </w:rPr>
      </w:pPr>
    </w:p>
    <w:p w14:paraId="65FDE7B2">
      <w:pPr>
        <w:shd w:val="clear"/>
        <w:adjustRightInd w:val="0"/>
        <w:snapToGrid w:val="0"/>
        <w:rPr>
          <w:rFonts w:hint="eastAsia" w:ascii="宋体" w:hAnsi="宋体" w:cs="宋体"/>
          <w:color w:val="auto"/>
          <w:sz w:val="24"/>
          <w:highlight w:val="none"/>
        </w:rPr>
      </w:pPr>
    </w:p>
    <w:p w14:paraId="16F6C6F2">
      <w:pPr>
        <w:shd w:val="clear"/>
        <w:adjustRightInd w:val="0"/>
        <w:snapToGrid w:val="0"/>
        <w:rPr>
          <w:rFonts w:hint="eastAsia" w:ascii="宋体" w:hAnsi="宋体" w:cs="宋体"/>
          <w:color w:val="auto"/>
          <w:sz w:val="24"/>
          <w:highlight w:val="none"/>
        </w:rPr>
      </w:pPr>
    </w:p>
    <w:p w14:paraId="45DA2637">
      <w:pPr>
        <w:shd w:val="clear"/>
        <w:adjustRightInd w:val="0"/>
        <w:snapToGrid w:val="0"/>
        <w:rPr>
          <w:rFonts w:hint="eastAsia" w:ascii="宋体" w:hAnsi="宋体" w:cs="宋体"/>
          <w:color w:val="auto"/>
          <w:sz w:val="24"/>
          <w:highlight w:val="none"/>
        </w:rPr>
      </w:pPr>
    </w:p>
    <w:p w14:paraId="0028D5D0">
      <w:pPr>
        <w:shd w:val="clear"/>
        <w:adjustRightInd w:val="0"/>
        <w:snapToGrid w:val="0"/>
        <w:rPr>
          <w:rFonts w:hint="eastAsia" w:ascii="宋体" w:hAnsi="宋体" w:cs="宋体"/>
          <w:color w:val="auto"/>
          <w:sz w:val="24"/>
          <w:highlight w:val="none"/>
        </w:rPr>
      </w:pPr>
    </w:p>
    <w:p w14:paraId="3F859605">
      <w:pPr>
        <w:shd w:val="clear"/>
        <w:adjustRightInd w:val="0"/>
        <w:snapToGrid w:val="0"/>
        <w:rPr>
          <w:rFonts w:hint="eastAsia" w:ascii="宋体" w:hAnsi="宋体" w:cs="宋体"/>
          <w:color w:val="auto"/>
          <w:sz w:val="24"/>
          <w:highlight w:val="none"/>
        </w:rPr>
      </w:pPr>
    </w:p>
    <w:p w14:paraId="51269875">
      <w:pPr>
        <w:shd w:val="clear"/>
        <w:adjustRightInd w:val="0"/>
        <w:snapToGrid w:val="0"/>
        <w:rPr>
          <w:rFonts w:hint="eastAsia" w:ascii="宋体" w:hAnsi="宋体" w:cs="宋体"/>
          <w:color w:val="auto"/>
          <w:sz w:val="24"/>
          <w:highlight w:val="none"/>
        </w:rPr>
      </w:pPr>
    </w:p>
    <w:p w14:paraId="4C512F1A">
      <w:pPr>
        <w:shd w:val="clear"/>
        <w:adjustRightInd w:val="0"/>
        <w:snapToGrid w:val="0"/>
        <w:rPr>
          <w:rFonts w:hint="eastAsia" w:ascii="宋体" w:hAnsi="宋体" w:cs="宋体"/>
          <w:color w:val="auto"/>
          <w:sz w:val="24"/>
          <w:highlight w:val="none"/>
        </w:rPr>
      </w:pPr>
    </w:p>
    <w:p w14:paraId="048F56F8">
      <w:pPr>
        <w:shd w:val="clear"/>
        <w:adjustRightInd w:val="0"/>
        <w:snapToGrid w:val="0"/>
        <w:rPr>
          <w:rFonts w:hint="eastAsia" w:ascii="宋体" w:hAnsi="宋体" w:cs="宋体"/>
          <w:color w:val="auto"/>
          <w:sz w:val="24"/>
          <w:highlight w:val="none"/>
        </w:rPr>
      </w:pPr>
    </w:p>
    <w:p w14:paraId="4F93DB50">
      <w:pPr>
        <w:shd w:val="clear"/>
        <w:adjustRightInd w:val="0"/>
        <w:snapToGrid w:val="0"/>
        <w:rPr>
          <w:rFonts w:hint="eastAsia" w:ascii="宋体" w:hAnsi="宋体" w:cs="宋体"/>
          <w:color w:val="auto"/>
          <w:sz w:val="24"/>
          <w:highlight w:val="none"/>
        </w:rPr>
      </w:pPr>
    </w:p>
    <w:p w14:paraId="6485721F">
      <w:pPr>
        <w:shd w:val="clear"/>
        <w:adjustRightInd w:val="0"/>
        <w:snapToGrid w:val="0"/>
        <w:rPr>
          <w:rFonts w:hint="eastAsia" w:ascii="宋体" w:hAnsi="宋体" w:cs="宋体"/>
          <w:color w:val="auto"/>
          <w:sz w:val="24"/>
          <w:highlight w:val="none"/>
        </w:rPr>
      </w:pPr>
    </w:p>
    <w:p w14:paraId="435DA490">
      <w:pPr>
        <w:shd w:val="clear"/>
        <w:adjustRightInd w:val="0"/>
        <w:snapToGrid w:val="0"/>
        <w:rPr>
          <w:rFonts w:hint="eastAsia" w:ascii="宋体" w:hAnsi="宋体" w:cs="宋体"/>
          <w:color w:val="auto"/>
          <w:sz w:val="24"/>
          <w:highlight w:val="none"/>
        </w:rPr>
      </w:pPr>
    </w:p>
    <w:p w14:paraId="5B29C06E">
      <w:pPr>
        <w:shd w:val="clear"/>
        <w:adjustRightInd w:val="0"/>
        <w:snapToGrid w:val="0"/>
        <w:rPr>
          <w:rFonts w:hint="eastAsia" w:ascii="宋体" w:hAnsi="宋体" w:cs="宋体"/>
          <w:color w:val="auto"/>
          <w:sz w:val="24"/>
          <w:highlight w:val="none"/>
        </w:rPr>
      </w:pPr>
    </w:p>
    <w:p w14:paraId="4CA41813">
      <w:pPr>
        <w:shd w:val="clear"/>
        <w:adjustRightInd w:val="0"/>
        <w:snapToGrid w:val="0"/>
        <w:rPr>
          <w:rFonts w:hint="eastAsia" w:ascii="宋体" w:hAnsi="宋体" w:cs="宋体"/>
          <w:color w:val="auto"/>
          <w:sz w:val="24"/>
          <w:highlight w:val="none"/>
        </w:rPr>
      </w:pPr>
    </w:p>
    <w:p w14:paraId="58227E3D">
      <w:pPr>
        <w:shd w:val="clear"/>
        <w:adjustRightInd w:val="0"/>
        <w:snapToGrid w:val="0"/>
        <w:rPr>
          <w:rFonts w:hint="eastAsia" w:ascii="宋体" w:hAnsi="宋体" w:cs="宋体"/>
          <w:color w:val="auto"/>
          <w:sz w:val="24"/>
          <w:highlight w:val="none"/>
        </w:rPr>
      </w:pPr>
    </w:p>
    <w:p w14:paraId="5A421ADF">
      <w:pPr>
        <w:shd w:val="clear"/>
        <w:adjustRightInd w:val="0"/>
        <w:snapToGrid w:val="0"/>
        <w:rPr>
          <w:rFonts w:hint="eastAsia" w:ascii="宋体" w:hAnsi="宋体" w:cs="宋体"/>
          <w:color w:val="auto"/>
          <w:sz w:val="24"/>
          <w:highlight w:val="none"/>
        </w:rPr>
      </w:pPr>
    </w:p>
    <w:p w14:paraId="0A290717">
      <w:pPr>
        <w:shd w:val="clear"/>
        <w:adjustRightInd w:val="0"/>
        <w:snapToGrid w:val="0"/>
        <w:rPr>
          <w:rFonts w:hint="eastAsia" w:ascii="宋体" w:hAnsi="宋体" w:cs="宋体"/>
          <w:color w:val="auto"/>
          <w:sz w:val="24"/>
          <w:highlight w:val="none"/>
        </w:rPr>
      </w:pPr>
    </w:p>
    <w:p w14:paraId="6D9B4218">
      <w:pPr>
        <w:shd w:val="clear"/>
        <w:adjustRightInd w:val="0"/>
        <w:snapToGrid w:val="0"/>
        <w:rPr>
          <w:rFonts w:hint="eastAsia" w:ascii="宋体" w:hAnsi="宋体" w:cs="宋体"/>
          <w:color w:val="auto"/>
          <w:sz w:val="24"/>
          <w:highlight w:val="none"/>
        </w:rPr>
      </w:pPr>
    </w:p>
    <w:p w14:paraId="70BD63C5">
      <w:pPr>
        <w:shd w:val="clear"/>
        <w:adjustRightInd w:val="0"/>
        <w:snapToGrid w:val="0"/>
        <w:rPr>
          <w:rFonts w:hint="eastAsia" w:ascii="宋体" w:hAnsi="宋体" w:cs="宋体"/>
          <w:color w:val="auto"/>
          <w:sz w:val="24"/>
          <w:highlight w:val="none"/>
        </w:rPr>
      </w:pPr>
    </w:p>
    <w:p w14:paraId="5A9828F5">
      <w:pPr>
        <w:shd w:val="clear"/>
        <w:adjustRightInd w:val="0"/>
        <w:snapToGrid w:val="0"/>
        <w:rPr>
          <w:rFonts w:hint="eastAsia" w:ascii="宋体" w:hAnsi="宋体" w:cs="宋体"/>
          <w:color w:val="auto"/>
          <w:sz w:val="24"/>
          <w:highlight w:val="none"/>
        </w:rPr>
      </w:pPr>
    </w:p>
    <w:p w14:paraId="2594B140">
      <w:pPr>
        <w:shd w:val="clear"/>
        <w:adjustRightInd w:val="0"/>
        <w:snapToGrid w:val="0"/>
        <w:rPr>
          <w:rFonts w:hint="eastAsia" w:ascii="宋体" w:hAnsi="宋体" w:cs="宋体"/>
          <w:color w:val="auto"/>
          <w:sz w:val="24"/>
          <w:highlight w:val="none"/>
        </w:rPr>
      </w:pPr>
    </w:p>
    <w:p w14:paraId="5A465A9F">
      <w:pPr>
        <w:shd w:val="clear"/>
        <w:adjustRightInd w:val="0"/>
        <w:snapToGrid w:val="0"/>
        <w:rPr>
          <w:rFonts w:hint="eastAsia" w:ascii="宋体" w:hAnsi="宋体" w:cs="宋体"/>
          <w:color w:val="auto"/>
          <w:sz w:val="24"/>
          <w:highlight w:val="none"/>
        </w:rPr>
      </w:pPr>
    </w:p>
    <w:p w14:paraId="4EB98580">
      <w:pPr>
        <w:shd w:val="clear"/>
        <w:adjustRightInd w:val="0"/>
        <w:snapToGrid w:val="0"/>
        <w:rPr>
          <w:rFonts w:hint="eastAsia" w:ascii="宋体" w:hAnsi="宋体" w:cs="宋体"/>
          <w:color w:val="auto"/>
          <w:sz w:val="24"/>
          <w:highlight w:val="none"/>
        </w:rPr>
      </w:pPr>
    </w:p>
    <w:p w14:paraId="0C11C641">
      <w:pPr>
        <w:pStyle w:val="3"/>
        <w:shd w:val="clear"/>
        <w:rPr>
          <w:rFonts w:hint="eastAsia"/>
          <w:highlight w:val="none"/>
        </w:rPr>
      </w:pPr>
    </w:p>
    <w:p w14:paraId="786162FC">
      <w:pPr>
        <w:shd w:val="clear"/>
        <w:adjustRightInd w:val="0"/>
        <w:snapToGrid w:val="0"/>
        <w:ind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、目录</w:t>
      </w:r>
    </w:p>
    <w:p w14:paraId="5C28F81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2"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b/>
          <w:szCs w:val="21"/>
          <w:highlight w:val="none"/>
        </w:rPr>
        <w:t>技术资信文件</w:t>
      </w:r>
      <w:r>
        <w:rPr>
          <w:rFonts w:hint="eastAsia" w:ascii="宋体" w:hAnsi="宋体" w:eastAsia="宋体" w:cs="宋体"/>
          <w:b/>
          <w:szCs w:val="21"/>
          <w:highlight w:val="none"/>
          <w:lang w:eastAsia="zh-CN"/>
        </w:rPr>
        <w:t>：</w:t>
      </w:r>
    </w:p>
    <w:p w14:paraId="13C2DC3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投标函（格式见第六章）；</w:t>
      </w:r>
    </w:p>
    <w:p w14:paraId="76C3D9A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营业执照复印件</w:t>
      </w:r>
      <w:r>
        <w:rPr>
          <w:rFonts w:hint="eastAsia" w:ascii="宋体" w:hAnsi="宋体" w:eastAsia="宋体" w:cs="宋体"/>
          <w:szCs w:val="21"/>
          <w:highlight w:val="none"/>
          <w:lang w:eastAsia="zh-CN"/>
        </w:rPr>
        <w:t>；</w:t>
      </w:r>
    </w:p>
    <w:p w14:paraId="7A2B4F3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法定代表人身份证明书、法定代表人授权委托书（格式见第六章）</w:t>
      </w:r>
      <w:r>
        <w:rPr>
          <w:rFonts w:hint="eastAsia" w:ascii="宋体" w:hAnsi="宋体" w:eastAsia="宋体" w:cs="宋体"/>
          <w:szCs w:val="21"/>
          <w:highlight w:val="none"/>
          <w:lang w:eastAsia="zh-CN"/>
        </w:rPr>
        <w:t>；</w:t>
      </w:r>
    </w:p>
    <w:p w14:paraId="563E94B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投标单位情况表（格式见第六章）；</w:t>
      </w:r>
    </w:p>
    <w:p w14:paraId="1FE9FB1E">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技术响应表（格式见第六章）；</w:t>
      </w:r>
    </w:p>
    <w:p w14:paraId="06D1EEB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eastAsia="宋体" w:cs="宋体"/>
          <w:szCs w:val="21"/>
          <w:highlight w:val="none"/>
          <w:lang w:eastAsia="zh-CN"/>
        </w:rPr>
        <w:t>）农药废弃包装物回收、暂存和分拣方案</w:t>
      </w:r>
      <w:r>
        <w:rPr>
          <w:rFonts w:hint="eastAsia" w:ascii="宋体" w:hAnsi="宋体" w:eastAsia="宋体" w:cs="宋体"/>
          <w:szCs w:val="21"/>
          <w:highlight w:val="none"/>
          <w:lang w:val="en-US" w:eastAsia="zh-CN"/>
        </w:rPr>
        <w:t>；</w:t>
      </w:r>
    </w:p>
    <w:p w14:paraId="231A07C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eastAsia="宋体" w:cs="宋体"/>
          <w:szCs w:val="21"/>
          <w:highlight w:val="none"/>
          <w:lang w:eastAsia="zh-CN"/>
        </w:rPr>
        <w:t>）安全作业保障措施方案</w:t>
      </w:r>
      <w:r>
        <w:rPr>
          <w:rFonts w:hint="eastAsia" w:ascii="宋体" w:hAnsi="宋体" w:eastAsia="宋体" w:cs="宋体"/>
          <w:szCs w:val="21"/>
          <w:highlight w:val="none"/>
          <w:lang w:val="en-US" w:eastAsia="zh-CN"/>
        </w:rPr>
        <w:t>；</w:t>
      </w:r>
    </w:p>
    <w:p w14:paraId="035543D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8</w:t>
      </w:r>
      <w:r>
        <w:rPr>
          <w:rFonts w:hint="eastAsia" w:ascii="宋体" w:hAnsi="宋体" w:eastAsia="宋体" w:cs="宋体"/>
          <w:szCs w:val="21"/>
          <w:highlight w:val="none"/>
          <w:lang w:eastAsia="zh-CN"/>
        </w:rPr>
        <w:t>）台账设置与管理</w:t>
      </w:r>
      <w:r>
        <w:rPr>
          <w:rFonts w:hint="eastAsia" w:ascii="宋体" w:hAnsi="宋体" w:eastAsia="宋体" w:cs="宋体"/>
          <w:szCs w:val="21"/>
          <w:highlight w:val="none"/>
          <w:lang w:val="en-US" w:eastAsia="zh-CN"/>
        </w:rPr>
        <w:t>；</w:t>
      </w:r>
    </w:p>
    <w:p w14:paraId="3ACE645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9</w:t>
      </w:r>
      <w:r>
        <w:rPr>
          <w:rFonts w:hint="eastAsia" w:ascii="宋体" w:hAnsi="宋体" w:eastAsia="宋体" w:cs="宋体"/>
          <w:szCs w:val="21"/>
          <w:highlight w:val="none"/>
          <w:lang w:eastAsia="zh-CN"/>
        </w:rPr>
        <w:t>）储存仓库；</w:t>
      </w:r>
    </w:p>
    <w:p w14:paraId="2D0E9057">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）回收车辆情况；</w:t>
      </w:r>
    </w:p>
    <w:p w14:paraId="6114235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拟投入实施的团队人员配置（格式见第六章）</w:t>
      </w:r>
      <w:r>
        <w:rPr>
          <w:rFonts w:hint="eastAsia" w:ascii="宋体" w:hAnsi="宋体" w:eastAsia="宋体" w:cs="宋体"/>
          <w:szCs w:val="21"/>
          <w:highlight w:val="none"/>
          <w:lang w:val="en-US" w:eastAsia="zh-CN"/>
        </w:rPr>
        <w:t>；</w:t>
      </w:r>
    </w:p>
    <w:p w14:paraId="6BEF4E2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）服务承诺；</w:t>
      </w:r>
    </w:p>
    <w:p w14:paraId="2D72028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商务响应表（格式见第六章）；</w:t>
      </w:r>
    </w:p>
    <w:p w14:paraId="47F4BF6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同类项目实施情况一览表（格式见第六章）；</w:t>
      </w:r>
    </w:p>
    <w:p w14:paraId="03CC73B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b w:val="0"/>
          <w:bCs w:val="0"/>
          <w:color w:val="000000"/>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根据评分表及项目需求情况，自行</w:t>
      </w:r>
      <w:r>
        <w:rPr>
          <w:rFonts w:hint="eastAsia" w:ascii="宋体" w:hAnsi="宋体" w:eastAsia="宋体" w:cs="宋体"/>
          <w:b w:val="0"/>
          <w:bCs w:val="0"/>
          <w:color w:val="000000"/>
          <w:szCs w:val="21"/>
          <w:highlight w:val="none"/>
        </w:rPr>
        <w:t>添加相关表格及资料</w:t>
      </w:r>
      <w:r>
        <w:rPr>
          <w:rFonts w:hint="eastAsia" w:ascii="宋体" w:hAnsi="宋体" w:eastAsia="宋体" w:cs="宋体"/>
          <w:b w:val="0"/>
          <w:bCs w:val="0"/>
          <w:color w:val="000000"/>
          <w:szCs w:val="21"/>
          <w:highlight w:val="none"/>
          <w:lang w:eastAsia="zh-CN"/>
        </w:rPr>
        <w:t>。</w:t>
      </w:r>
    </w:p>
    <w:p w14:paraId="6EE177CB">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68CA4C32">
      <w:pPr>
        <w:numPr>
          <w:ilvl w:val="0"/>
          <w:numId w:val="0"/>
        </w:numPr>
        <w:shd w:val="clear"/>
        <w:tabs>
          <w:tab w:val="left" w:pos="533"/>
        </w:tabs>
        <w:adjustRightInd w:val="0"/>
        <w:snapToGrid w:val="0"/>
        <w:spacing w:line="360" w:lineRule="exact"/>
        <w:ind w:left="113" w:firstLine="0"/>
        <w:jc w:val="left"/>
        <w:rPr>
          <w:rFonts w:hint="eastAsia" w:ascii="宋体" w:hAnsi="宋体" w:eastAsia="宋体" w:cs="宋体"/>
          <w:szCs w:val="24"/>
          <w:highlight w:val="none"/>
        </w:rPr>
      </w:pPr>
    </w:p>
    <w:p w14:paraId="101591D6">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17DC409B">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2F0D9B57">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21E832FC">
      <w:pPr>
        <w:pStyle w:val="3"/>
        <w:rPr>
          <w:rFonts w:hint="eastAsia" w:ascii="宋体" w:hAnsi="宋体" w:cs="宋体"/>
          <w:color w:val="auto"/>
          <w:sz w:val="24"/>
          <w:highlight w:val="none"/>
          <w:lang w:val="en-US" w:eastAsia="zh-CN"/>
        </w:rPr>
      </w:pPr>
    </w:p>
    <w:p w14:paraId="123131E4">
      <w:pPr>
        <w:pStyle w:val="3"/>
        <w:rPr>
          <w:rFonts w:hint="eastAsia" w:ascii="宋体" w:hAnsi="宋体" w:cs="宋体"/>
          <w:color w:val="auto"/>
          <w:sz w:val="24"/>
          <w:highlight w:val="none"/>
          <w:lang w:val="en-US" w:eastAsia="zh-CN"/>
        </w:rPr>
      </w:pPr>
    </w:p>
    <w:p w14:paraId="69ED0888">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8D79EAC">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2F9452B4">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70D855C">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1C9DDCAF">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4EEBBF0C">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60D3E81">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EE970CA">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78E3217">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2104A589">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3698B08">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4BCA2FE0">
      <w:pPr>
        <w:pStyle w:val="3"/>
        <w:shd w:val="clear"/>
        <w:ind w:left="0" w:leftChars="0" w:firstLine="0" w:firstLineChars="0"/>
        <w:rPr>
          <w:rFonts w:hint="eastAsia"/>
          <w:highlight w:val="none"/>
        </w:rPr>
      </w:pPr>
    </w:p>
    <w:p w14:paraId="0F41FB93">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、投标函格式</w:t>
      </w:r>
    </w:p>
    <w:p w14:paraId="13E2E41A">
      <w:pPr>
        <w:shd w:val="clea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投 标 函</w:t>
      </w:r>
    </w:p>
    <w:p w14:paraId="76D061BE">
      <w:pPr>
        <w:shd w:val="clea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致：</w:t>
      </w:r>
      <w:r>
        <w:rPr>
          <w:rFonts w:hint="eastAsia" w:ascii="宋体" w:hAnsi="宋体" w:cs="宋体"/>
          <w:color w:val="auto"/>
          <w:szCs w:val="21"/>
          <w:highlight w:val="none"/>
          <w:u w:val="single"/>
          <w:lang w:eastAsia="zh-CN"/>
        </w:rPr>
        <w:t>安吉县农业农村局</w:t>
      </w:r>
      <w:r>
        <w:rPr>
          <w:rFonts w:hint="eastAsia" w:ascii="宋体" w:hAnsi="宋体" w:cs="宋体"/>
          <w:color w:val="auto"/>
          <w:szCs w:val="21"/>
          <w:highlight w:val="none"/>
          <w:u w:val="single"/>
        </w:rPr>
        <w:t>：</w:t>
      </w:r>
    </w:p>
    <w:p w14:paraId="3058FEEA">
      <w:pPr>
        <w:shd w:val="clear"/>
        <w:spacing w:line="42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湖州盛远招标代理有限公司</w:t>
      </w:r>
      <w:r>
        <w:rPr>
          <w:rFonts w:hint="eastAsia" w:ascii="宋体" w:hAnsi="宋体" w:cs="宋体"/>
          <w:color w:val="auto"/>
          <w:szCs w:val="21"/>
          <w:highlight w:val="none"/>
          <w:u w:val="single"/>
        </w:rPr>
        <w:t>：</w:t>
      </w:r>
    </w:p>
    <w:p w14:paraId="783DCC3E">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根据已收到贵方的招标文件编号</w:t>
      </w:r>
      <w:r>
        <w:rPr>
          <w:rFonts w:hint="eastAsia" w:ascii="宋体" w:hAnsi="宋体" w:cs="宋体"/>
          <w:color w:val="auto"/>
          <w:szCs w:val="21"/>
          <w:highlight w:val="none"/>
          <w:u w:val="single"/>
          <w:lang w:eastAsia="zh-CN"/>
        </w:rPr>
        <w:t>HZSY20250215</w:t>
      </w:r>
      <w:r>
        <w:rPr>
          <w:rFonts w:hint="eastAsia" w:ascii="宋体" w:hAnsi="宋体" w:cs="宋体"/>
          <w:color w:val="auto"/>
          <w:szCs w:val="21"/>
          <w:highlight w:val="none"/>
        </w:rPr>
        <w:t xml:space="preserve">的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2025年安吉县农药包装废弃物回收和集中处置服务采购项目</w:t>
      </w:r>
      <w:r>
        <w:rPr>
          <w:rFonts w:hint="eastAsia" w:ascii="宋体" w:hAnsi="宋体" w:cs="宋体"/>
          <w:color w:val="auto"/>
          <w:szCs w:val="21"/>
          <w:highlight w:val="none"/>
          <w:u w:val="single"/>
        </w:rPr>
        <w:t>》</w:t>
      </w:r>
      <w:r>
        <w:rPr>
          <w:rFonts w:hint="eastAsia" w:ascii="宋体" w:hAnsi="宋体" w:cs="宋体"/>
          <w:color w:val="auto"/>
          <w:szCs w:val="21"/>
          <w:highlight w:val="none"/>
        </w:rPr>
        <w:t>招标文件，正式授权下述签字人：</w:t>
      </w:r>
      <w:r>
        <w:rPr>
          <w:rFonts w:hint="eastAsia" w:ascii="宋体" w:hAnsi="宋体" w:cs="宋体"/>
          <w:color w:val="auto"/>
          <w:szCs w:val="21"/>
          <w:highlight w:val="none"/>
          <w:u w:val="single"/>
        </w:rPr>
        <w:t>（姓名和职务）</w:t>
      </w:r>
      <w:r>
        <w:rPr>
          <w:rFonts w:hint="eastAsia" w:ascii="宋体" w:hAnsi="宋体" w:cs="宋体"/>
          <w:color w:val="auto"/>
          <w:szCs w:val="21"/>
          <w:highlight w:val="none"/>
        </w:rPr>
        <w:t>为我公司在职职工，代表</w:t>
      </w:r>
      <w:r>
        <w:rPr>
          <w:rFonts w:hint="eastAsia" w:ascii="宋体" w:hAnsi="宋体" w:cs="宋体"/>
          <w:color w:val="auto"/>
          <w:szCs w:val="21"/>
          <w:highlight w:val="none"/>
          <w:u w:val="single"/>
        </w:rPr>
        <w:t xml:space="preserve"> 投标人（即投标单位）</w:t>
      </w:r>
      <w:r>
        <w:rPr>
          <w:rFonts w:hint="eastAsia" w:ascii="宋体" w:hAnsi="宋体" w:cs="宋体"/>
          <w:color w:val="auto"/>
          <w:szCs w:val="21"/>
          <w:highlight w:val="none"/>
        </w:rPr>
        <w:t>，按招标文件要求提交投标文件。</w:t>
      </w:r>
    </w:p>
    <w:p w14:paraId="18498566">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据此函，签字人兹宣布同意如下：</w:t>
      </w:r>
    </w:p>
    <w:p w14:paraId="0431ADFB">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2FE37845">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2、投标人在投标之前已经与贵方进行了充分的沟通，完全理解并接受招标文件的各项规定和要求，对招标文件的合理性、合法性不再有异议。</w:t>
      </w:r>
    </w:p>
    <w:p w14:paraId="091FCC15">
      <w:pPr>
        <w:shd w:val="clear"/>
        <w:adjustRightInd w:val="0"/>
        <w:snapToGrid w:val="0"/>
        <w:spacing w:line="420" w:lineRule="exact"/>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3. 本投标有效期自开标日起</w:t>
      </w:r>
      <w:r>
        <w:rPr>
          <w:rFonts w:hint="eastAsia" w:ascii="宋体" w:hAnsi="宋体" w:cs="宋体"/>
          <w:color w:val="auto"/>
          <w:szCs w:val="21"/>
          <w:highlight w:val="none"/>
          <w:u w:val="single"/>
        </w:rPr>
        <w:t xml:space="preserve"> 90个</w:t>
      </w:r>
      <w:r>
        <w:rPr>
          <w:rFonts w:hint="eastAsia" w:ascii="宋体" w:hAnsi="宋体" w:cs="宋体"/>
          <w:color w:val="auto"/>
          <w:szCs w:val="21"/>
          <w:highlight w:val="none"/>
        </w:rPr>
        <w:t>日历天；</w:t>
      </w:r>
    </w:p>
    <w:p w14:paraId="32E02A09">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我单位同意提供采购人和采购代理机构可能另外要求的与其招标有关的任何数据或资料；</w:t>
      </w:r>
    </w:p>
    <w:p w14:paraId="353DDD44">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我单位同意按照招标文件中规定的服务期限如期提供服务；</w:t>
      </w:r>
    </w:p>
    <w:p w14:paraId="36257B8A">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我单位保证所供服务项目质量符合国家强制性规范和标准，达到招标文件规定的要求；</w:t>
      </w:r>
    </w:p>
    <w:p w14:paraId="2104324C">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 我单位同意所提交的投标文件在招标有效期内有效，在此期间我方的投标有可能中标，我方将受此约束；</w:t>
      </w:r>
    </w:p>
    <w:p w14:paraId="536D1501">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 除非另外达成协议并生效，招标文件、招标文件补充、修改通知、技术规范、中标通知书和本投标文件将构成约束我们双方的合同。</w:t>
      </w:r>
    </w:p>
    <w:p w14:paraId="26F83313">
      <w:pPr>
        <w:shd w:val="clea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 与本次投标有关的一切正式往来函件信息如下：</w:t>
      </w:r>
    </w:p>
    <w:p w14:paraId="5BF408DB">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电子邮箱：</w:t>
      </w:r>
      <w:r>
        <w:rPr>
          <w:rFonts w:hint="eastAsia" w:ascii="宋体" w:hAnsi="宋体" w:cs="宋体"/>
          <w:color w:val="auto"/>
          <w:szCs w:val="21"/>
          <w:highlight w:val="none"/>
          <w:u w:val="single"/>
        </w:rPr>
        <w:t xml:space="preserve">            </w:t>
      </w:r>
    </w:p>
    <w:p w14:paraId="5E2B5B68">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邮编：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 </w:t>
      </w:r>
      <w:r>
        <w:rPr>
          <w:rFonts w:hint="eastAsia" w:ascii="宋体" w:hAnsi="宋体" w:cs="宋体"/>
          <w:color w:val="auto"/>
          <w:szCs w:val="21"/>
          <w:highlight w:val="none"/>
          <w:u w:val="single"/>
        </w:rPr>
        <w:t xml:space="preserve">     </w:t>
      </w:r>
    </w:p>
    <w:p w14:paraId="5516679A">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银行帐号：</w:t>
      </w:r>
      <w:r>
        <w:rPr>
          <w:rFonts w:hint="eastAsia" w:ascii="宋体" w:hAnsi="宋体" w:cs="宋体"/>
          <w:color w:val="auto"/>
          <w:szCs w:val="21"/>
          <w:highlight w:val="none"/>
          <w:u w:val="single"/>
        </w:rPr>
        <w:t xml:space="preserve">         </w:t>
      </w:r>
    </w:p>
    <w:p w14:paraId="4018E653">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投标人代表姓名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37D0DB8A">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58320EE9">
      <w:pPr>
        <w:pStyle w:val="13"/>
        <w:shd w:val="clear"/>
        <w:tabs>
          <w:tab w:val="left" w:pos="939"/>
        </w:tabs>
        <w:snapToGrid w:val="0"/>
        <w:spacing w:line="420" w:lineRule="exact"/>
        <w:ind w:left="0" w:leftChars="0" w:firstLine="420" w:firstLineChars="200"/>
        <w:rPr>
          <w:rFonts w:hint="eastAsia" w:ascii="宋体" w:hAnsi="宋体" w:cs="宋体"/>
          <w:color w:val="auto"/>
          <w:szCs w:val="21"/>
          <w:highlight w:val="none"/>
        </w:rPr>
      </w:pPr>
    </w:p>
    <w:p w14:paraId="0616F83E">
      <w:pPr>
        <w:pStyle w:val="13"/>
        <w:shd w:val="clear"/>
        <w:tabs>
          <w:tab w:val="left" w:pos="939"/>
        </w:tabs>
        <w:snapToGrid w:val="0"/>
        <w:spacing w:line="420" w:lineRule="exact"/>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投标人全称（公章）：</w:t>
      </w:r>
    </w:p>
    <w:p w14:paraId="6681DFA4">
      <w:pPr>
        <w:shd w:val="clear"/>
        <w:ind w:firstLine="420" w:firstLineChars="200"/>
        <w:rPr>
          <w:rFonts w:hint="eastAsia" w:ascii="宋体" w:hAnsi="宋体" w:cs="宋体"/>
          <w:color w:val="auto"/>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529613DD">
      <w:pPr>
        <w:shd w:val="clear"/>
        <w:adjustRightInd w:val="0"/>
        <w:snapToGrid w:val="0"/>
        <w:rPr>
          <w:rFonts w:hint="eastAsia" w:ascii="宋体" w:hAnsi="宋体" w:cs="宋体"/>
          <w:color w:val="auto"/>
          <w:sz w:val="24"/>
          <w:highlight w:val="none"/>
        </w:rPr>
      </w:pPr>
    </w:p>
    <w:p w14:paraId="4F3C5031">
      <w:pPr>
        <w:shd w:val="clear"/>
        <w:adjustRightInd w:val="0"/>
        <w:snapToGrid w:val="0"/>
        <w:rPr>
          <w:rFonts w:hint="eastAsia" w:ascii="宋体" w:hAnsi="宋体" w:cs="宋体"/>
          <w:color w:val="auto"/>
          <w:sz w:val="24"/>
          <w:highlight w:val="none"/>
        </w:rPr>
      </w:pPr>
    </w:p>
    <w:p w14:paraId="1864E7EC">
      <w:pPr>
        <w:shd w:val="clear"/>
        <w:adjustRightInd w:val="0"/>
        <w:snapToGrid w:val="0"/>
        <w:rPr>
          <w:rFonts w:hint="eastAsia" w:ascii="宋体" w:hAnsi="宋体" w:cs="宋体"/>
          <w:color w:val="auto"/>
          <w:sz w:val="24"/>
          <w:highlight w:val="none"/>
        </w:rPr>
      </w:pPr>
    </w:p>
    <w:p w14:paraId="6963C002">
      <w:pPr>
        <w:shd w:val="clear"/>
        <w:adjustRightInd w:val="0"/>
        <w:snapToGrid w:val="0"/>
        <w:rPr>
          <w:rFonts w:hint="eastAsia" w:ascii="宋体" w:hAnsi="宋体" w:cs="宋体"/>
          <w:color w:val="auto"/>
          <w:sz w:val="24"/>
          <w:highlight w:val="none"/>
        </w:rPr>
      </w:pPr>
    </w:p>
    <w:p w14:paraId="7AF7E225">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、法定代表人身份证明书格式</w:t>
      </w:r>
    </w:p>
    <w:p w14:paraId="0B236E58">
      <w:pPr>
        <w:shd w:val="clear"/>
        <w:adjustRightInd w:val="0"/>
        <w:snapToGrid w:val="0"/>
        <w:jc w:val="center"/>
        <w:rPr>
          <w:rFonts w:hint="eastAsia" w:ascii="宋体" w:hAnsi="宋体" w:cs="宋体"/>
          <w:b/>
          <w:color w:val="auto"/>
          <w:sz w:val="36"/>
          <w:szCs w:val="36"/>
          <w:highlight w:val="none"/>
        </w:rPr>
      </w:pPr>
    </w:p>
    <w:p w14:paraId="188D512E">
      <w:pPr>
        <w:shd w:val="clear"/>
        <w:adjustRightInd w:val="0"/>
        <w:snapToGrid w:val="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法定代表人身份证明书</w:t>
      </w:r>
    </w:p>
    <w:p w14:paraId="2070B86B">
      <w:pPr>
        <w:shd w:val="clear"/>
        <w:spacing w:line="480" w:lineRule="auto"/>
        <w:ind w:firstLine="403" w:firstLineChars="192"/>
        <w:rPr>
          <w:rFonts w:hint="eastAsia" w:ascii="宋体" w:hAnsi="宋体" w:cs="宋体"/>
          <w:color w:val="auto"/>
          <w:sz w:val="21"/>
          <w:szCs w:val="21"/>
          <w:highlight w:val="none"/>
        </w:rPr>
      </w:pPr>
    </w:p>
    <w:p w14:paraId="6C340A50">
      <w:pPr>
        <w:shd w:val="clear"/>
        <w:adjustRightInd w:val="0"/>
        <w:snapToGrid w:val="0"/>
        <w:spacing w:line="480" w:lineRule="auto"/>
        <w:jc w:val="left"/>
        <w:rPr>
          <w:rFonts w:hint="eastAsia" w:ascii="宋体" w:hAnsi="宋体" w:cs="宋体"/>
          <w:color w:val="auto"/>
          <w:sz w:val="21"/>
          <w:szCs w:val="21"/>
          <w:highlight w:val="none"/>
          <w:u w:val="single"/>
        </w:rPr>
      </w:pPr>
      <w:bookmarkStart w:id="202" w:name="_Toc24953114"/>
      <w:r>
        <w:rPr>
          <w:rFonts w:hint="eastAsia" w:ascii="宋体" w:hAnsi="宋体" w:cs="宋体"/>
          <w:color w:val="auto"/>
          <w:sz w:val="21"/>
          <w:szCs w:val="21"/>
          <w:highlight w:val="none"/>
          <w:u w:val="single"/>
        </w:rPr>
        <w:t>致</w:t>
      </w:r>
      <w:r>
        <w:rPr>
          <w:rFonts w:hint="eastAsia" w:ascii="宋体" w:hAnsi="宋体" w:cs="宋体"/>
          <w:color w:val="auto"/>
          <w:sz w:val="21"/>
          <w:szCs w:val="21"/>
          <w:highlight w:val="none"/>
          <w:u w:val="single"/>
          <w:lang w:eastAsia="zh-CN"/>
        </w:rPr>
        <w:t>安吉县农业农村局</w:t>
      </w:r>
      <w:r>
        <w:rPr>
          <w:rFonts w:hint="eastAsia" w:ascii="宋体" w:hAnsi="宋体" w:cs="宋体"/>
          <w:color w:val="auto"/>
          <w:sz w:val="21"/>
          <w:szCs w:val="21"/>
          <w:highlight w:val="none"/>
          <w:u w:val="single"/>
        </w:rPr>
        <w:t>：</w:t>
      </w:r>
    </w:p>
    <w:p w14:paraId="0EAA76D4">
      <w:pPr>
        <w:shd w:val="clear"/>
        <w:adjustRightInd w:val="0"/>
        <w:snapToGrid w:val="0"/>
        <w:spacing w:line="480" w:lineRule="auto"/>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湖州盛远招标代理有限公司</w:t>
      </w:r>
      <w:r>
        <w:rPr>
          <w:rFonts w:hint="eastAsia" w:ascii="宋体" w:hAnsi="宋体" w:cs="宋体"/>
          <w:color w:val="auto"/>
          <w:sz w:val="21"/>
          <w:szCs w:val="21"/>
          <w:highlight w:val="none"/>
          <w:u w:val="single"/>
        </w:rPr>
        <w:t>：</w:t>
      </w:r>
    </w:p>
    <w:p w14:paraId="41226E44">
      <w:pPr>
        <w:shd w:val="clear"/>
        <w:adjustRightInd w:val="0"/>
        <w:snapToGrid w:val="0"/>
        <w:spacing w:line="48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2CD521CA">
      <w:pPr>
        <w:shd w:val="clear"/>
        <w:adjustRightInd w:val="0"/>
        <w:snapToGrid w:val="0"/>
        <w:spacing w:line="480" w:lineRule="auto"/>
        <w:ind w:firstLine="525" w:firstLineChars="25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，性别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，是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的法定代表人。联系电话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传真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通讯地址：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6DB3C0F">
      <w:pPr>
        <w:shd w:val="clear"/>
        <w:adjustRightInd w:val="0"/>
        <w:snapToGrid w:val="0"/>
        <w:spacing w:line="480" w:lineRule="auto"/>
        <w:jc w:val="center"/>
        <w:rPr>
          <w:rFonts w:hint="eastAsia" w:ascii="宋体" w:hAnsi="宋体" w:cs="宋体"/>
          <w:color w:val="auto"/>
          <w:sz w:val="21"/>
          <w:szCs w:val="21"/>
          <w:highlight w:val="none"/>
        </w:rPr>
      </w:pPr>
    </w:p>
    <w:p w14:paraId="07D62D8C">
      <w:pPr>
        <w:shd w:val="clear"/>
        <w:adjustRightInd w:val="0"/>
        <w:snapToGrid w:val="0"/>
        <w:spacing w:line="48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14:paraId="32742EBA">
      <w:pPr>
        <w:shd w:val="clear"/>
        <w:adjustRightInd w:val="0"/>
        <w:snapToGrid w:val="0"/>
        <w:spacing w:line="480" w:lineRule="auto"/>
        <w:jc w:val="center"/>
        <w:rPr>
          <w:rFonts w:hint="eastAsia" w:ascii="宋体" w:hAnsi="宋体" w:cs="宋体"/>
          <w:color w:val="auto"/>
          <w:sz w:val="21"/>
          <w:szCs w:val="21"/>
          <w:highlight w:val="none"/>
        </w:rPr>
      </w:pPr>
    </w:p>
    <w:p w14:paraId="3DBFE19A">
      <w:pPr>
        <w:shd w:val="clear"/>
        <w:adjustRightInd w:val="0"/>
        <w:snapToGrid w:val="0"/>
        <w:spacing w:line="48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投标人全称：（公章）</w:t>
      </w:r>
      <w:r>
        <w:rPr>
          <w:rFonts w:hint="eastAsia" w:ascii="宋体" w:hAnsi="宋体" w:cs="宋体"/>
          <w:color w:val="auto"/>
          <w:sz w:val="21"/>
          <w:szCs w:val="21"/>
          <w:highlight w:val="none"/>
          <w:u w:val="single"/>
        </w:rPr>
        <w:t xml:space="preserve">              </w:t>
      </w:r>
    </w:p>
    <w:p w14:paraId="6EB02399">
      <w:pPr>
        <w:shd w:val="clear"/>
        <w:wordWrap w:val="0"/>
        <w:adjustRightInd w:val="0"/>
        <w:snapToGrid w:val="0"/>
        <w:spacing w:line="480" w:lineRule="auto"/>
        <w:jc w:val="righ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月</w:t>
      </w:r>
      <w:r>
        <w:rPr>
          <w:rFonts w:hint="eastAsia" w:ascii="宋体" w:hAnsi="宋体" w:cs="宋体"/>
          <w:color w:val="auto"/>
          <w:sz w:val="21"/>
          <w:szCs w:val="21"/>
          <w:highlight w:val="none"/>
          <w:u w:val="single"/>
        </w:rPr>
        <w:t xml:space="preserve">      日</w:t>
      </w:r>
    </w:p>
    <w:p w14:paraId="38B92B1B">
      <w:pPr>
        <w:shd w:val="clear"/>
        <w:adjustRightInd w:val="0"/>
        <w:snapToGrid w:val="0"/>
        <w:spacing w:line="480" w:lineRule="auto"/>
        <w:jc w:val="right"/>
        <w:rPr>
          <w:rFonts w:hint="eastAsia" w:ascii="宋体" w:hAnsi="宋体" w:cs="宋体"/>
          <w:color w:val="auto"/>
          <w:sz w:val="21"/>
          <w:szCs w:val="21"/>
          <w:highlight w:val="none"/>
          <w:u w:val="single"/>
        </w:rPr>
      </w:pPr>
    </w:p>
    <w:p w14:paraId="47229571">
      <w:pPr>
        <w:shd w:val="clear"/>
        <w:adjustRightInd w:val="0"/>
        <w:snapToGrid w:val="0"/>
        <w:spacing w:line="480" w:lineRule="auto"/>
        <w:jc w:val="right"/>
        <w:rPr>
          <w:rFonts w:hint="eastAsia" w:ascii="宋体" w:hAnsi="宋体" w:cs="宋体"/>
          <w:color w:val="auto"/>
          <w:sz w:val="21"/>
          <w:szCs w:val="21"/>
          <w:highlight w:val="none"/>
          <w:u w:val="single"/>
        </w:rPr>
      </w:pPr>
    </w:p>
    <w:p w14:paraId="4B269907">
      <w:pPr>
        <w:shd w:val="clear"/>
        <w:adjustRightInd w:val="0"/>
        <w:snapToGrid w:val="0"/>
        <w:spacing w:line="480" w:lineRule="auto"/>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14:paraId="3AB3AFE2">
      <w:pPr>
        <w:shd w:val="clear"/>
        <w:adjustRightInd w:val="0"/>
        <w:snapToGrid w:val="0"/>
        <w:spacing w:line="480" w:lineRule="auto"/>
        <w:jc w:val="center"/>
        <w:rPr>
          <w:rFonts w:hint="eastAsia" w:ascii="宋体" w:hAnsi="宋体" w:cs="宋体"/>
          <w:color w:val="auto"/>
          <w:sz w:val="21"/>
          <w:szCs w:val="21"/>
          <w:highlight w:val="none"/>
        </w:rPr>
      </w:pPr>
    </w:p>
    <w:p w14:paraId="40FB071F">
      <w:pPr>
        <w:shd w:val="clear"/>
        <w:adjustRightInd w:val="0"/>
        <w:snapToGrid w:val="0"/>
        <w:spacing w:line="48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法定代表人身份证复印件黏贴处</w:t>
      </w:r>
    </w:p>
    <w:p w14:paraId="216B02D0">
      <w:pPr>
        <w:shd w:val="clear"/>
        <w:adjustRightInd w:val="0"/>
        <w:snapToGrid w:val="0"/>
        <w:rPr>
          <w:rFonts w:hint="eastAsia" w:ascii="宋体" w:hAnsi="宋体" w:cs="宋体"/>
          <w:color w:val="auto"/>
          <w:sz w:val="24"/>
          <w:highlight w:val="none"/>
          <w:u w:val="single"/>
        </w:rPr>
      </w:pPr>
      <w:r>
        <w:rPr>
          <w:rFonts w:hint="eastAsia" w:ascii="宋体" w:hAnsi="宋体" w:cs="宋体"/>
          <w:bCs/>
          <w:color w:val="auto"/>
          <w:sz w:val="24"/>
          <w:highlight w:val="none"/>
        </w:rPr>
        <w:br w:type="page"/>
      </w:r>
      <w:bookmarkEnd w:id="202"/>
      <w:bookmarkStart w:id="203" w:name="_Toc251602206"/>
      <w:bookmarkStart w:id="204" w:name="_Toc251601951"/>
      <w:r>
        <w:rPr>
          <w:rFonts w:hint="eastAsia" w:ascii="宋体" w:hAnsi="宋体" w:cs="宋体"/>
          <w:bCs/>
          <w:color w:val="auto"/>
          <w:sz w:val="24"/>
          <w:highlight w:val="none"/>
          <w:lang w:val="en-US" w:eastAsia="zh-CN"/>
        </w:rPr>
        <w:t>5</w:t>
      </w:r>
      <w:r>
        <w:rPr>
          <w:rFonts w:hint="eastAsia" w:ascii="宋体" w:hAnsi="宋体" w:cs="宋体"/>
          <w:color w:val="auto"/>
          <w:sz w:val="24"/>
          <w:highlight w:val="none"/>
        </w:rPr>
        <w:t>、法定代表人授权委托书格式</w:t>
      </w:r>
    </w:p>
    <w:p w14:paraId="0EED711B">
      <w:pPr>
        <w:shd w:val="clear"/>
        <w:spacing w:line="360" w:lineRule="auto"/>
        <w:jc w:val="center"/>
        <w:rPr>
          <w:rFonts w:hint="eastAsia" w:ascii="宋体" w:hAnsi="宋体" w:cs="宋体"/>
          <w:b/>
          <w:color w:val="auto"/>
          <w:sz w:val="28"/>
          <w:szCs w:val="28"/>
          <w:highlight w:val="none"/>
        </w:rPr>
      </w:pPr>
    </w:p>
    <w:p w14:paraId="2F48B14B">
      <w:pPr>
        <w:shd w:val="clear"/>
        <w:adjustRightInd w:val="0"/>
        <w:snapToGrid w:val="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bookmarkEnd w:id="203"/>
      <w:bookmarkEnd w:id="204"/>
    </w:p>
    <w:p w14:paraId="6072861F">
      <w:pPr>
        <w:shd w:val="clear"/>
        <w:spacing w:line="360" w:lineRule="auto"/>
        <w:jc w:val="center"/>
        <w:rPr>
          <w:rFonts w:hint="eastAsia" w:ascii="宋体" w:hAnsi="宋体" w:cs="宋体"/>
          <w:b/>
          <w:color w:val="auto"/>
          <w:sz w:val="28"/>
          <w:szCs w:val="28"/>
          <w:highlight w:val="none"/>
        </w:rPr>
      </w:pPr>
    </w:p>
    <w:p w14:paraId="7FCFE432">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本授权委托书声明: 我 </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为我公司授权代表，以本公司的名义参加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安吉县农业农村局</w:t>
      </w:r>
      <w:r>
        <w:rPr>
          <w:rFonts w:hint="eastAsia" w:ascii="宋体" w:hAnsi="宋体" w:cs="宋体"/>
          <w:color w:val="auto"/>
          <w:szCs w:val="21"/>
          <w:highlight w:val="none"/>
        </w:rPr>
        <w:t>的</w:t>
      </w:r>
      <w:r>
        <w:rPr>
          <w:rFonts w:hint="eastAsia" w:ascii="宋体" w:hAnsi="宋体" w:cs="宋体"/>
          <w:color w:val="auto"/>
          <w:szCs w:val="21"/>
          <w:highlight w:val="none"/>
          <w:u w:val="single"/>
          <w:lang w:eastAsia="zh-CN"/>
        </w:rPr>
        <w:t>2025年安吉县农药包装废弃物回收和集中处置服务采购项目</w:t>
      </w:r>
      <w:r>
        <w:rPr>
          <w:rFonts w:hint="eastAsia" w:ascii="宋体" w:hAnsi="宋体" w:cs="宋体"/>
          <w:color w:val="auto"/>
          <w:szCs w:val="21"/>
          <w:highlight w:val="none"/>
        </w:rPr>
        <w:t>的投标活动。授权代表在开标、询标、合同招标过程中所签署的一切文件和处理与之有关的一切事务，我均予以承认。</w:t>
      </w:r>
    </w:p>
    <w:p w14:paraId="49B6544F">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授权代表无转委托权。特此委托。</w:t>
      </w:r>
    </w:p>
    <w:p w14:paraId="2F638E79">
      <w:pPr>
        <w:pStyle w:val="17"/>
        <w:shd w:val="clear"/>
        <w:spacing w:line="480" w:lineRule="auto"/>
        <w:ind w:left="5250"/>
        <w:rPr>
          <w:rFonts w:hint="eastAsia" w:ascii="宋体" w:eastAsia="宋体" w:cs="宋体"/>
          <w:color w:val="auto"/>
          <w:sz w:val="21"/>
          <w:szCs w:val="21"/>
          <w:highlight w:val="none"/>
        </w:rPr>
      </w:pPr>
    </w:p>
    <w:p w14:paraId="23F36E26">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授权代表（签字）：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性  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p>
    <w:p w14:paraId="254D0150">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w:t>
      </w:r>
    </w:p>
    <w:p w14:paraId="062916A3">
      <w:pPr>
        <w:shd w:val="clea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部    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   务： </w:t>
      </w:r>
      <w:r>
        <w:rPr>
          <w:rFonts w:hint="eastAsia" w:ascii="宋体" w:hAnsi="宋体" w:cs="宋体"/>
          <w:color w:val="auto"/>
          <w:szCs w:val="21"/>
          <w:highlight w:val="none"/>
          <w:u w:val="single"/>
        </w:rPr>
        <w:t xml:space="preserve">  　　　　　　　　　　</w:t>
      </w:r>
    </w:p>
    <w:p w14:paraId="2020967C">
      <w:pPr>
        <w:shd w:val="clea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投标人 (盖章)：</w:t>
      </w:r>
      <w:r>
        <w:rPr>
          <w:rFonts w:hint="eastAsia" w:ascii="宋体" w:hAnsi="宋体" w:cs="宋体"/>
          <w:color w:val="auto"/>
          <w:szCs w:val="21"/>
          <w:highlight w:val="none"/>
          <w:u w:val="single"/>
        </w:rPr>
        <w:t xml:space="preserve">                                   </w:t>
      </w:r>
    </w:p>
    <w:p w14:paraId="67EE0594">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法定代表人(签字)： </w:t>
      </w:r>
      <w:r>
        <w:rPr>
          <w:rFonts w:hint="eastAsia" w:ascii="宋体" w:hAnsi="宋体" w:cs="宋体"/>
          <w:color w:val="auto"/>
          <w:szCs w:val="21"/>
          <w:highlight w:val="none"/>
          <w:u w:val="single"/>
        </w:rPr>
        <w:t xml:space="preserve">                         </w:t>
      </w:r>
    </w:p>
    <w:p w14:paraId="0C413369">
      <w:pPr>
        <w:pStyle w:val="17"/>
        <w:shd w:val="clear"/>
        <w:spacing w:line="480" w:lineRule="auto"/>
        <w:ind w:left="5250"/>
        <w:rPr>
          <w:rFonts w:hint="eastAsia" w:ascii="宋体" w:eastAsia="宋体" w:cs="宋体"/>
          <w:color w:val="auto"/>
          <w:sz w:val="21"/>
          <w:szCs w:val="21"/>
          <w:highlight w:val="none"/>
        </w:rPr>
      </w:pPr>
    </w:p>
    <w:p w14:paraId="57682BCD">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BA30306">
      <w:pPr>
        <w:shd w:val="clear"/>
        <w:snapToGrid w:val="0"/>
        <w:spacing w:line="360" w:lineRule="auto"/>
        <w:rPr>
          <w:rFonts w:hint="eastAsia" w:ascii="宋体" w:hAnsi="宋体" w:cs="宋体"/>
          <w:b/>
          <w:color w:val="auto"/>
          <w:sz w:val="24"/>
          <w:highlight w:val="none"/>
          <w:u w:val="dash"/>
        </w:rPr>
      </w:pPr>
      <w:r>
        <w:rPr>
          <w:rFonts w:hint="eastAsia" w:ascii="宋体" w:hAnsi="宋体" w:cs="宋体"/>
          <w:b/>
          <w:color w:val="auto"/>
          <w:sz w:val="24"/>
          <w:highlight w:val="none"/>
          <w:u w:val="dash"/>
        </w:rPr>
        <w:t xml:space="preserve">                                                                              </w:t>
      </w:r>
    </w:p>
    <w:p w14:paraId="30B1D8B4">
      <w:pPr>
        <w:shd w:val="clear"/>
        <w:spacing w:line="360" w:lineRule="auto"/>
        <w:jc w:val="center"/>
        <w:rPr>
          <w:rFonts w:hint="eastAsia" w:ascii="宋体" w:hAnsi="宋体" w:cs="宋体"/>
          <w:bCs/>
          <w:color w:val="auto"/>
          <w:sz w:val="24"/>
          <w:highlight w:val="none"/>
        </w:rPr>
      </w:pPr>
    </w:p>
    <w:p w14:paraId="2791383A">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被授权人身份证复印件黏贴处</w:t>
      </w:r>
    </w:p>
    <w:p w14:paraId="7B313BFB">
      <w:pPr>
        <w:shd w:val="clear"/>
        <w:spacing w:line="540" w:lineRule="exact"/>
        <w:rPr>
          <w:rFonts w:hint="eastAsia" w:ascii="宋体" w:hAnsi="宋体" w:cs="宋体"/>
          <w:color w:val="auto"/>
          <w:sz w:val="32"/>
          <w:szCs w:val="32"/>
          <w:highlight w:val="none"/>
        </w:rPr>
      </w:pPr>
    </w:p>
    <w:p w14:paraId="1E415731">
      <w:pPr>
        <w:shd w:val="clear"/>
        <w:spacing w:line="540" w:lineRule="exact"/>
        <w:rPr>
          <w:rFonts w:hint="eastAsia" w:ascii="宋体" w:hAnsi="宋体" w:cs="宋体"/>
          <w:color w:val="auto"/>
          <w:sz w:val="32"/>
          <w:szCs w:val="32"/>
          <w:highlight w:val="none"/>
        </w:rPr>
      </w:pPr>
    </w:p>
    <w:p w14:paraId="0CFDEF86">
      <w:pPr>
        <w:shd w:val="clear"/>
        <w:spacing w:line="540" w:lineRule="exact"/>
        <w:rPr>
          <w:rFonts w:hint="eastAsia" w:ascii="宋体" w:hAnsi="宋体" w:cs="宋体"/>
          <w:color w:val="auto"/>
          <w:sz w:val="32"/>
          <w:szCs w:val="32"/>
          <w:highlight w:val="none"/>
        </w:rPr>
      </w:pPr>
    </w:p>
    <w:p w14:paraId="598CEC2C">
      <w:pPr>
        <w:shd w:val="clear"/>
        <w:spacing w:line="540" w:lineRule="exact"/>
        <w:rPr>
          <w:rFonts w:hint="eastAsia" w:ascii="宋体" w:hAnsi="宋体" w:cs="宋体"/>
          <w:color w:val="auto"/>
          <w:sz w:val="32"/>
          <w:szCs w:val="32"/>
          <w:highlight w:val="none"/>
        </w:rPr>
      </w:pPr>
    </w:p>
    <w:p w14:paraId="79EB3937">
      <w:pPr>
        <w:shd w:val="clear"/>
        <w:spacing w:line="540" w:lineRule="exact"/>
        <w:rPr>
          <w:rFonts w:hint="eastAsia" w:ascii="宋体" w:hAnsi="宋体" w:cs="宋体"/>
          <w:color w:val="auto"/>
          <w:sz w:val="32"/>
          <w:szCs w:val="32"/>
          <w:highlight w:val="none"/>
        </w:rPr>
      </w:pPr>
    </w:p>
    <w:p w14:paraId="5B592401">
      <w:pPr>
        <w:shd w:val="clear"/>
        <w:spacing w:line="540" w:lineRule="exact"/>
        <w:rPr>
          <w:rFonts w:hint="eastAsia" w:ascii="宋体" w:hAnsi="宋体" w:cs="宋体"/>
          <w:color w:val="auto"/>
          <w:sz w:val="32"/>
          <w:szCs w:val="32"/>
          <w:highlight w:val="none"/>
        </w:rPr>
      </w:pPr>
    </w:p>
    <w:p w14:paraId="42A00740">
      <w:pPr>
        <w:pStyle w:val="3"/>
        <w:shd w:val="clear"/>
        <w:rPr>
          <w:rFonts w:hint="eastAsia"/>
          <w:color w:val="auto"/>
          <w:highlight w:val="none"/>
        </w:rPr>
      </w:pPr>
    </w:p>
    <w:p w14:paraId="05F355AC">
      <w:pPr>
        <w:shd w:val="clear"/>
        <w:adjustRightInd w:val="0"/>
        <w:snapToGrid w:val="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、投标单位情况表格式</w:t>
      </w:r>
    </w:p>
    <w:p w14:paraId="27B05888">
      <w:pPr>
        <w:shd w:val="clear"/>
        <w:spacing w:line="360" w:lineRule="exact"/>
        <w:ind w:firstLine="281" w:firstLineChars="100"/>
        <w:jc w:val="center"/>
        <w:rPr>
          <w:rFonts w:hint="eastAsia" w:ascii="宋体" w:hAnsi="宋体" w:cs="宋体"/>
          <w:b/>
          <w:color w:val="auto"/>
          <w:sz w:val="28"/>
          <w:szCs w:val="28"/>
          <w:highlight w:val="none"/>
        </w:rPr>
      </w:pPr>
    </w:p>
    <w:p w14:paraId="57222E6B">
      <w:pPr>
        <w:shd w:val="clear"/>
        <w:adjustRightInd w:val="0"/>
        <w:snapToGrid w:val="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投标单位情况表</w:t>
      </w:r>
    </w:p>
    <w:p w14:paraId="72407C5F">
      <w:pPr>
        <w:shd w:val="clear"/>
        <w:spacing w:line="3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项目名称：                                                         项目编号：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3A00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0"/>
            <w:vAlign w:val="center"/>
          </w:tcPr>
          <w:p w14:paraId="0CA38669">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投标单位（盖章）</w:t>
            </w:r>
          </w:p>
        </w:tc>
        <w:tc>
          <w:tcPr>
            <w:tcW w:w="2162" w:type="dxa"/>
            <w:gridSpan w:val="2"/>
            <w:noWrap w:val="0"/>
            <w:vAlign w:val="center"/>
          </w:tcPr>
          <w:p w14:paraId="4B501926">
            <w:pPr>
              <w:pStyle w:val="6"/>
              <w:shd w:val="clear"/>
              <w:ind w:firstLine="0"/>
              <w:jc w:val="center"/>
              <w:rPr>
                <w:rFonts w:hint="eastAsia" w:ascii="宋体" w:hAnsi="宋体" w:cs="宋体"/>
                <w:color w:val="auto"/>
                <w:szCs w:val="21"/>
                <w:highlight w:val="none"/>
              </w:rPr>
            </w:pPr>
          </w:p>
        </w:tc>
        <w:tc>
          <w:tcPr>
            <w:tcW w:w="1722" w:type="dxa"/>
            <w:noWrap w:val="0"/>
            <w:vAlign w:val="center"/>
          </w:tcPr>
          <w:p w14:paraId="6D424260">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注册时间</w:t>
            </w:r>
          </w:p>
        </w:tc>
        <w:tc>
          <w:tcPr>
            <w:tcW w:w="2747" w:type="dxa"/>
            <w:gridSpan w:val="2"/>
            <w:noWrap w:val="0"/>
            <w:vAlign w:val="center"/>
          </w:tcPr>
          <w:p w14:paraId="72DF05E3">
            <w:pPr>
              <w:pStyle w:val="6"/>
              <w:shd w:val="clear"/>
              <w:ind w:firstLine="0"/>
              <w:jc w:val="center"/>
              <w:rPr>
                <w:rFonts w:hint="eastAsia" w:ascii="宋体" w:hAnsi="宋体" w:cs="宋体"/>
                <w:color w:val="auto"/>
                <w:szCs w:val="21"/>
                <w:highlight w:val="none"/>
              </w:rPr>
            </w:pPr>
          </w:p>
        </w:tc>
      </w:tr>
      <w:tr w14:paraId="630D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0"/>
            <w:vAlign w:val="center"/>
          </w:tcPr>
          <w:p w14:paraId="21D925AA">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2162" w:type="dxa"/>
            <w:gridSpan w:val="2"/>
            <w:noWrap w:val="0"/>
            <w:vAlign w:val="center"/>
          </w:tcPr>
          <w:p w14:paraId="52F1ECED">
            <w:pPr>
              <w:pStyle w:val="6"/>
              <w:shd w:val="clear"/>
              <w:ind w:firstLine="0"/>
              <w:jc w:val="center"/>
              <w:rPr>
                <w:rFonts w:hint="eastAsia" w:ascii="宋体" w:hAnsi="宋体" w:cs="宋体"/>
                <w:color w:val="auto"/>
                <w:szCs w:val="21"/>
                <w:highlight w:val="none"/>
              </w:rPr>
            </w:pPr>
          </w:p>
        </w:tc>
        <w:tc>
          <w:tcPr>
            <w:tcW w:w="1722" w:type="dxa"/>
            <w:noWrap w:val="0"/>
            <w:vAlign w:val="center"/>
          </w:tcPr>
          <w:p w14:paraId="18B72D81">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747" w:type="dxa"/>
            <w:gridSpan w:val="2"/>
            <w:noWrap w:val="0"/>
            <w:vAlign w:val="center"/>
          </w:tcPr>
          <w:p w14:paraId="31C252DE">
            <w:pPr>
              <w:pStyle w:val="6"/>
              <w:shd w:val="clear"/>
              <w:ind w:firstLine="0"/>
              <w:jc w:val="center"/>
              <w:rPr>
                <w:rFonts w:hint="eastAsia" w:ascii="宋体" w:hAnsi="宋体" w:cs="宋体"/>
                <w:color w:val="auto"/>
                <w:szCs w:val="21"/>
                <w:highlight w:val="none"/>
              </w:rPr>
            </w:pPr>
          </w:p>
        </w:tc>
      </w:tr>
      <w:tr w14:paraId="2E57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0"/>
            <w:vAlign w:val="center"/>
          </w:tcPr>
          <w:p w14:paraId="735445E7">
            <w:pPr>
              <w:pStyle w:val="6"/>
              <w:shd w:val="clear"/>
              <w:ind w:firstLine="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资质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p>
        </w:tc>
        <w:tc>
          <w:tcPr>
            <w:tcW w:w="2162" w:type="dxa"/>
            <w:gridSpan w:val="2"/>
            <w:noWrap w:val="0"/>
            <w:vAlign w:val="center"/>
          </w:tcPr>
          <w:p w14:paraId="6C5FCA3D">
            <w:pPr>
              <w:pStyle w:val="6"/>
              <w:shd w:val="clear"/>
              <w:ind w:firstLine="0"/>
              <w:jc w:val="center"/>
              <w:rPr>
                <w:rFonts w:hint="eastAsia" w:ascii="宋体" w:hAnsi="宋体" w:cs="宋体"/>
                <w:color w:val="auto"/>
                <w:szCs w:val="21"/>
                <w:highlight w:val="none"/>
              </w:rPr>
            </w:pPr>
          </w:p>
        </w:tc>
        <w:tc>
          <w:tcPr>
            <w:tcW w:w="1722" w:type="dxa"/>
            <w:noWrap w:val="0"/>
            <w:vAlign w:val="center"/>
          </w:tcPr>
          <w:p w14:paraId="479EB837">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2747" w:type="dxa"/>
            <w:gridSpan w:val="2"/>
            <w:noWrap w:val="0"/>
            <w:vAlign w:val="center"/>
          </w:tcPr>
          <w:p w14:paraId="0FDC1C52">
            <w:pPr>
              <w:pStyle w:val="6"/>
              <w:shd w:val="clear"/>
              <w:ind w:firstLine="0"/>
              <w:jc w:val="center"/>
              <w:rPr>
                <w:rFonts w:hint="eastAsia" w:ascii="宋体" w:hAnsi="宋体" w:cs="宋体"/>
                <w:color w:val="auto"/>
                <w:szCs w:val="21"/>
                <w:highlight w:val="none"/>
              </w:rPr>
            </w:pPr>
          </w:p>
        </w:tc>
      </w:tr>
      <w:tr w14:paraId="27F9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0"/>
            <w:vAlign w:val="center"/>
          </w:tcPr>
          <w:p w14:paraId="4721AC4D">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1108" w:type="dxa"/>
            <w:noWrap w:val="0"/>
            <w:vAlign w:val="center"/>
          </w:tcPr>
          <w:p w14:paraId="10198D78">
            <w:pPr>
              <w:pStyle w:val="6"/>
              <w:shd w:val="clear"/>
              <w:ind w:firstLine="0"/>
              <w:jc w:val="center"/>
              <w:rPr>
                <w:rFonts w:hint="eastAsia" w:ascii="宋体" w:hAnsi="宋体" w:cs="宋体"/>
                <w:color w:val="auto"/>
                <w:szCs w:val="21"/>
                <w:highlight w:val="none"/>
              </w:rPr>
            </w:pPr>
          </w:p>
        </w:tc>
        <w:tc>
          <w:tcPr>
            <w:tcW w:w="1054" w:type="dxa"/>
            <w:noWrap w:val="0"/>
            <w:vAlign w:val="center"/>
          </w:tcPr>
          <w:p w14:paraId="02102E89">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722" w:type="dxa"/>
            <w:noWrap w:val="0"/>
            <w:vAlign w:val="center"/>
          </w:tcPr>
          <w:p w14:paraId="4376AF36">
            <w:pPr>
              <w:pStyle w:val="6"/>
              <w:shd w:val="clear"/>
              <w:ind w:firstLine="0"/>
              <w:jc w:val="center"/>
              <w:rPr>
                <w:rFonts w:hint="eastAsia" w:ascii="宋体" w:hAnsi="宋体" w:cs="宋体"/>
                <w:color w:val="auto"/>
                <w:szCs w:val="21"/>
                <w:highlight w:val="none"/>
              </w:rPr>
            </w:pPr>
          </w:p>
        </w:tc>
        <w:tc>
          <w:tcPr>
            <w:tcW w:w="880" w:type="dxa"/>
            <w:noWrap w:val="0"/>
            <w:vAlign w:val="center"/>
          </w:tcPr>
          <w:p w14:paraId="64769AC3">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传真</w:t>
            </w:r>
          </w:p>
        </w:tc>
        <w:tc>
          <w:tcPr>
            <w:tcW w:w="1867" w:type="dxa"/>
            <w:noWrap w:val="0"/>
            <w:vAlign w:val="center"/>
          </w:tcPr>
          <w:p w14:paraId="42691C75">
            <w:pPr>
              <w:pStyle w:val="6"/>
              <w:shd w:val="clear"/>
              <w:ind w:firstLine="0"/>
              <w:jc w:val="center"/>
              <w:rPr>
                <w:rFonts w:hint="eastAsia" w:ascii="宋体" w:hAnsi="宋体" w:cs="宋体"/>
                <w:color w:val="auto"/>
                <w:szCs w:val="21"/>
                <w:highlight w:val="none"/>
              </w:rPr>
            </w:pPr>
          </w:p>
        </w:tc>
      </w:tr>
      <w:tr w14:paraId="60B9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0"/>
            <w:vAlign w:val="center"/>
          </w:tcPr>
          <w:p w14:paraId="588F4E66">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162" w:type="dxa"/>
            <w:gridSpan w:val="2"/>
            <w:noWrap w:val="0"/>
            <w:vAlign w:val="center"/>
          </w:tcPr>
          <w:p w14:paraId="605D800F">
            <w:pPr>
              <w:pStyle w:val="6"/>
              <w:shd w:val="clear"/>
              <w:ind w:firstLine="0"/>
              <w:jc w:val="center"/>
              <w:rPr>
                <w:rFonts w:hint="eastAsia" w:ascii="宋体" w:hAnsi="宋体" w:cs="宋体"/>
                <w:color w:val="auto"/>
                <w:szCs w:val="21"/>
                <w:highlight w:val="none"/>
              </w:rPr>
            </w:pPr>
          </w:p>
        </w:tc>
        <w:tc>
          <w:tcPr>
            <w:tcW w:w="1722" w:type="dxa"/>
            <w:noWrap w:val="0"/>
            <w:vAlign w:val="center"/>
          </w:tcPr>
          <w:p w14:paraId="51D2B254">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2747" w:type="dxa"/>
            <w:gridSpan w:val="2"/>
            <w:noWrap w:val="0"/>
            <w:vAlign w:val="center"/>
          </w:tcPr>
          <w:p w14:paraId="2E917C5E">
            <w:pPr>
              <w:pStyle w:val="6"/>
              <w:shd w:val="clear"/>
              <w:ind w:firstLine="0"/>
              <w:jc w:val="center"/>
              <w:rPr>
                <w:rFonts w:hint="eastAsia" w:ascii="宋体" w:hAnsi="宋体" w:cs="宋体"/>
                <w:color w:val="auto"/>
                <w:szCs w:val="21"/>
                <w:highlight w:val="none"/>
              </w:rPr>
            </w:pPr>
          </w:p>
        </w:tc>
      </w:tr>
      <w:tr w14:paraId="0F82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0"/>
            <w:vAlign w:val="center"/>
          </w:tcPr>
          <w:p w14:paraId="5626430A">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职工人数</w:t>
            </w:r>
          </w:p>
        </w:tc>
        <w:tc>
          <w:tcPr>
            <w:tcW w:w="6631" w:type="dxa"/>
            <w:gridSpan w:val="5"/>
            <w:noWrap w:val="0"/>
            <w:vAlign w:val="center"/>
          </w:tcPr>
          <w:p w14:paraId="05926879">
            <w:pPr>
              <w:pStyle w:val="6"/>
              <w:shd w:val="clear"/>
              <w:ind w:firstLine="0"/>
              <w:jc w:val="center"/>
              <w:rPr>
                <w:rFonts w:hint="eastAsia" w:ascii="宋体" w:hAnsi="宋体" w:cs="宋体"/>
                <w:color w:val="auto"/>
                <w:szCs w:val="21"/>
                <w:highlight w:val="none"/>
              </w:rPr>
            </w:pPr>
          </w:p>
        </w:tc>
      </w:tr>
      <w:tr w14:paraId="1A64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0"/>
            <w:vAlign w:val="center"/>
          </w:tcPr>
          <w:p w14:paraId="5C401BB7">
            <w:pPr>
              <w:pStyle w:val="6"/>
              <w:shd w:val="clear"/>
              <w:ind w:firstLine="0"/>
              <w:rPr>
                <w:rFonts w:hint="eastAsia" w:ascii="宋体" w:hAnsi="宋体" w:cs="宋体"/>
                <w:color w:val="auto"/>
                <w:szCs w:val="21"/>
                <w:highlight w:val="none"/>
              </w:rPr>
            </w:pPr>
            <w:r>
              <w:rPr>
                <w:rFonts w:hint="eastAsia" w:ascii="宋体" w:hAnsi="宋体" w:cs="宋体"/>
                <w:color w:val="auto"/>
                <w:szCs w:val="21"/>
                <w:highlight w:val="none"/>
              </w:rPr>
              <w:t>可从事业务范围</w:t>
            </w:r>
          </w:p>
        </w:tc>
        <w:tc>
          <w:tcPr>
            <w:tcW w:w="6631" w:type="dxa"/>
            <w:gridSpan w:val="5"/>
            <w:noWrap w:val="0"/>
            <w:vAlign w:val="center"/>
          </w:tcPr>
          <w:p w14:paraId="5D535CFA">
            <w:pPr>
              <w:pStyle w:val="6"/>
              <w:shd w:val="clear"/>
              <w:ind w:firstLine="0"/>
              <w:jc w:val="center"/>
              <w:rPr>
                <w:rFonts w:hint="eastAsia" w:ascii="宋体" w:hAnsi="宋体" w:cs="宋体"/>
                <w:color w:val="auto"/>
                <w:szCs w:val="21"/>
                <w:highlight w:val="none"/>
              </w:rPr>
            </w:pPr>
          </w:p>
        </w:tc>
      </w:tr>
      <w:tr w14:paraId="6DB0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0"/>
            <w:vAlign w:val="center"/>
          </w:tcPr>
          <w:p w14:paraId="34122CDD">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公司简介</w:t>
            </w:r>
          </w:p>
        </w:tc>
        <w:tc>
          <w:tcPr>
            <w:tcW w:w="6631" w:type="dxa"/>
            <w:gridSpan w:val="5"/>
            <w:noWrap w:val="0"/>
            <w:vAlign w:val="center"/>
          </w:tcPr>
          <w:p w14:paraId="22D82167">
            <w:pPr>
              <w:pStyle w:val="6"/>
              <w:shd w:val="clear"/>
              <w:ind w:firstLine="0"/>
              <w:jc w:val="center"/>
              <w:rPr>
                <w:rFonts w:hint="eastAsia" w:ascii="宋体" w:hAnsi="宋体" w:cs="宋体"/>
                <w:color w:val="auto"/>
                <w:szCs w:val="21"/>
                <w:highlight w:val="none"/>
              </w:rPr>
            </w:pPr>
          </w:p>
        </w:tc>
      </w:tr>
    </w:tbl>
    <w:p w14:paraId="6D456066">
      <w:pPr>
        <w:shd w:val="clear"/>
        <w:spacing w:line="360" w:lineRule="exact"/>
        <w:rPr>
          <w:rFonts w:hint="eastAsia" w:ascii="宋体" w:hAnsi="宋体" w:cs="宋体"/>
          <w:color w:val="auto"/>
          <w:szCs w:val="21"/>
          <w:highlight w:val="none"/>
        </w:rPr>
      </w:pPr>
    </w:p>
    <w:p w14:paraId="3CC290D3">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注：除此表外，可另附文字和资料加以说明。</w:t>
      </w:r>
    </w:p>
    <w:p w14:paraId="0A4A4444">
      <w:pPr>
        <w:shd w:val="clear"/>
        <w:tabs>
          <w:tab w:val="left" w:pos="450"/>
          <w:tab w:val="left" w:pos="8280"/>
        </w:tabs>
        <w:spacing w:line="400" w:lineRule="exact"/>
        <w:jc w:val="right"/>
        <w:rPr>
          <w:rFonts w:hint="eastAsia" w:ascii="宋体" w:hAnsi="宋体" w:cs="宋体"/>
          <w:color w:val="auto"/>
          <w:sz w:val="24"/>
          <w:highlight w:val="none"/>
        </w:rPr>
      </w:pPr>
    </w:p>
    <w:p w14:paraId="5DEDE6D7">
      <w:pPr>
        <w:shd w:val="clear"/>
        <w:tabs>
          <w:tab w:val="left" w:pos="450"/>
          <w:tab w:val="left" w:pos="8280"/>
        </w:tabs>
        <w:spacing w:line="400" w:lineRule="exact"/>
        <w:jc w:val="right"/>
        <w:rPr>
          <w:rFonts w:hint="eastAsia" w:ascii="宋体" w:hAnsi="宋体" w:cs="宋体"/>
          <w:color w:val="auto"/>
          <w:sz w:val="24"/>
          <w:highlight w:val="none"/>
        </w:rPr>
      </w:pPr>
    </w:p>
    <w:p w14:paraId="64A2DC9C">
      <w:pPr>
        <w:shd w:val="clear"/>
        <w:tabs>
          <w:tab w:val="left" w:pos="450"/>
          <w:tab w:val="left" w:pos="8280"/>
        </w:tabs>
        <w:spacing w:line="400" w:lineRule="exact"/>
        <w:jc w:val="right"/>
        <w:rPr>
          <w:rFonts w:hint="eastAsia" w:ascii="宋体" w:hAnsi="宋体" w:cs="宋体"/>
          <w:color w:val="auto"/>
          <w:sz w:val="24"/>
          <w:highlight w:val="none"/>
        </w:rPr>
      </w:pPr>
    </w:p>
    <w:p w14:paraId="22EFCF94">
      <w:pPr>
        <w:shd w:val="clear"/>
        <w:tabs>
          <w:tab w:val="left" w:pos="450"/>
          <w:tab w:val="left" w:pos="8280"/>
        </w:tabs>
        <w:spacing w:line="400" w:lineRule="exact"/>
        <w:jc w:val="right"/>
        <w:rPr>
          <w:rFonts w:hint="eastAsia" w:ascii="宋体" w:hAnsi="宋体" w:cs="宋体"/>
          <w:color w:val="auto"/>
          <w:sz w:val="24"/>
          <w:highlight w:val="none"/>
        </w:rPr>
      </w:pPr>
      <w:r>
        <w:rPr>
          <w:rFonts w:hint="eastAsia" w:ascii="宋体" w:hAnsi="宋体" w:cs="宋体"/>
          <w:color w:val="auto"/>
          <w:sz w:val="24"/>
          <w:highlight w:val="none"/>
        </w:rPr>
        <w:t>投标人全称：（盖章）</w:t>
      </w:r>
    </w:p>
    <w:p w14:paraId="4AF481E5">
      <w:pPr>
        <w:shd w:val="clear"/>
        <w:tabs>
          <w:tab w:val="left" w:pos="450"/>
          <w:tab w:val="left" w:pos="8280"/>
        </w:tabs>
        <w:spacing w:line="400" w:lineRule="exact"/>
        <w:jc w:val="right"/>
        <w:rPr>
          <w:rFonts w:hint="eastAsia" w:ascii="宋体" w:hAnsi="宋体" w:cs="宋体"/>
          <w:color w:val="auto"/>
          <w:sz w:val="24"/>
          <w:highlight w:val="none"/>
        </w:rPr>
      </w:pPr>
      <w:r>
        <w:rPr>
          <w:rFonts w:hint="eastAsia" w:ascii="宋体" w:hAnsi="宋体" w:cs="宋体"/>
          <w:color w:val="auto"/>
          <w:sz w:val="24"/>
          <w:highlight w:val="none"/>
        </w:rPr>
        <w:t>授权代表或法定代表人签名：</w:t>
      </w:r>
    </w:p>
    <w:p w14:paraId="3DAAA2AE">
      <w:pPr>
        <w:shd w:val="clear"/>
        <w:tabs>
          <w:tab w:val="left" w:pos="450"/>
          <w:tab w:val="left" w:pos="8280"/>
        </w:tabs>
        <w:spacing w:line="400" w:lineRule="exact"/>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0CEDFBFE">
      <w:pPr>
        <w:shd w:val="clear"/>
        <w:spacing w:line="480" w:lineRule="exact"/>
        <w:ind w:firstLine="420" w:firstLineChars="200"/>
        <w:rPr>
          <w:rFonts w:hint="eastAsia" w:ascii="宋体" w:hAnsi="宋体" w:cs="宋体"/>
          <w:color w:val="auto"/>
          <w:szCs w:val="21"/>
          <w:highlight w:val="none"/>
        </w:rPr>
      </w:pPr>
    </w:p>
    <w:p w14:paraId="594D1CE7">
      <w:pPr>
        <w:shd w:val="clear"/>
        <w:spacing w:line="480" w:lineRule="exact"/>
        <w:ind w:firstLine="420" w:firstLineChars="200"/>
        <w:rPr>
          <w:rFonts w:hint="eastAsia" w:ascii="宋体" w:hAnsi="宋体" w:cs="宋体"/>
          <w:color w:val="auto"/>
          <w:szCs w:val="21"/>
          <w:highlight w:val="none"/>
        </w:rPr>
      </w:pPr>
    </w:p>
    <w:p w14:paraId="51B852AA">
      <w:pPr>
        <w:shd w:val="clear"/>
        <w:spacing w:line="480" w:lineRule="exact"/>
        <w:ind w:firstLine="420" w:firstLineChars="200"/>
        <w:rPr>
          <w:rFonts w:hint="eastAsia" w:ascii="宋体" w:hAnsi="宋体" w:cs="宋体"/>
          <w:color w:val="auto"/>
          <w:szCs w:val="21"/>
          <w:highlight w:val="none"/>
        </w:rPr>
      </w:pPr>
    </w:p>
    <w:p w14:paraId="3B8C59CF">
      <w:pPr>
        <w:shd w:val="clear"/>
        <w:spacing w:line="480" w:lineRule="exact"/>
        <w:ind w:firstLine="420" w:firstLineChars="200"/>
        <w:rPr>
          <w:rFonts w:hint="eastAsia" w:ascii="宋体" w:hAnsi="宋体" w:cs="宋体"/>
          <w:color w:val="auto"/>
          <w:szCs w:val="21"/>
          <w:highlight w:val="none"/>
        </w:rPr>
      </w:pPr>
    </w:p>
    <w:p w14:paraId="6F9DE1DC">
      <w:pPr>
        <w:shd w:val="clear"/>
        <w:tabs>
          <w:tab w:val="left" w:pos="450"/>
          <w:tab w:val="left" w:pos="8280"/>
        </w:tabs>
        <w:rPr>
          <w:rFonts w:hint="eastAsia" w:ascii="宋体" w:hAnsi="宋体" w:cs="宋体"/>
          <w:color w:val="auto"/>
          <w:sz w:val="24"/>
          <w:highlight w:val="none"/>
        </w:rPr>
        <w:sectPr>
          <w:headerReference r:id="rId4" w:type="default"/>
          <w:footerReference r:id="rId5" w:type="default"/>
          <w:footerReference r:id="rId6" w:type="even"/>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14:paraId="6088D48B">
      <w:pPr>
        <w:shd w:val="clear"/>
        <w:tabs>
          <w:tab w:val="left" w:pos="450"/>
          <w:tab w:val="left" w:pos="8280"/>
        </w:tabs>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、同类项目实施情况一览表格式</w:t>
      </w:r>
    </w:p>
    <w:p w14:paraId="1BAABED9">
      <w:pPr>
        <w:shd w:val="clear"/>
        <w:rPr>
          <w:rFonts w:hint="eastAsia"/>
          <w:color w:val="auto"/>
          <w:highlight w:val="none"/>
        </w:rPr>
      </w:pPr>
    </w:p>
    <w:p w14:paraId="756075C6">
      <w:pPr>
        <w:shd w:val="clear"/>
        <w:rPr>
          <w:rFonts w:hint="eastAsia"/>
          <w:color w:val="auto"/>
          <w:highlight w:val="none"/>
        </w:rPr>
      </w:pPr>
    </w:p>
    <w:p w14:paraId="30BCA10F">
      <w:pPr>
        <w:shd w:val="clear"/>
        <w:adjustRightInd w:val="0"/>
        <w:snapToGrid w:val="0"/>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投标人同类项目实施情况一览表</w:t>
      </w:r>
    </w:p>
    <w:p w14:paraId="4B05A3E6">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70EF49CC">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p w14:paraId="78362F4C">
      <w:pPr>
        <w:shd w:val="clear"/>
        <w:autoSpaceDE w:val="0"/>
        <w:autoSpaceDN w:val="0"/>
        <w:adjustRightInd w:val="0"/>
        <w:snapToGrid w:val="0"/>
        <w:spacing w:line="440" w:lineRule="exact"/>
        <w:jc w:val="center"/>
        <w:rPr>
          <w:rFonts w:hint="eastAsia" w:ascii="宋体" w:hAnsi="宋体" w:cs="宋体"/>
          <w:b/>
          <w:color w:val="auto"/>
          <w:szCs w:val="21"/>
          <w:highlight w:val="none"/>
        </w:rPr>
      </w:pPr>
    </w:p>
    <w:tbl>
      <w:tblPr>
        <w:tblStyle w:val="35"/>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369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0"/>
            <w:vAlign w:val="center"/>
          </w:tcPr>
          <w:p w14:paraId="3986ADFF">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53" w:type="dxa"/>
            <w:noWrap w:val="0"/>
            <w:vAlign w:val="center"/>
          </w:tcPr>
          <w:p w14:paraId="02F1C7DB">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551" w:type="dxa"/>
            <w:noWrap w:val="0"/>
            <w:vAlign w:val="center"/>
          </w:tcPr>
          <w:p w14:paraId="5DC2CDF7">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项目服务时间</w:t>
            </w:r>
          </w:p>
        </w:tc>
        <w:tc>
          <w:tcPr>
            <w:tcW w:w="1832" w:type="dxa"/>
            <w:noWrap w:val="0"/>
            <w:vAlign w:val="center"/>
          </w:tcPr>
          <w:p w14:paraId="23C7D437">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采购人名称</w:t>
            </w:r>
          </w:p>
        </w:tc>
        <w:tc>
          <w:tcPr>
            <w:tcW w:w="1936" w:type="dxa"/>
            <w:noWrap w:val="0"/>
            <w:vAlign w:val="center"/>
          </w:tcPr>
          <w:p w14:paraId="687F1718">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1182" w:type="dxa"/>
            <w:noWrap w:val="0"/>
            <w:vAlign w:val="center"/>
          </w:tcPr>
          <w:p w14:paraId="091FC837">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r>
      <w:tr w14:paraId="3C4F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3331CCD8">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0C9421AD">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4EFE9879">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57553D23">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625D4A94">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31D3FFC9">
            <w:pPr>
              <w:shd w:val="clear"/>
              <w:spacing w:line="360" w:lineRule="exact"/>
              <w:jc w:val="center"/>
              <w:rPr>
                <w:rFonts w:hint="eastAsia" w:ascii="宋体" w:hAnsi="宋体" w:cs="宋体"/>
                <w:color w:val="auto"/>
                <w:szCs w:val="21"/>
                <w:highlight w:val="none"/>
              </w:rPr>
            </w:pPr>
          </w:p>
        </w:tc>
      </w:tr>
      <w:tr w14:paraId="712F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29B33084">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67981F75">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65AB4689">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7210E91D">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19D1049F">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2E1F7858">
            <w:pPr>
              <w:shd w:val="clear"/>
              <w:spacing w:line="360" w:lineRule="exact"/>
              <w:jc w:val="center"/>
              <w:rPr>
                <w:rFonts w:hint="eastAsia" w:ascii="宋体" w:hAnsi="宋体" w:cs="宋体"/>
                <w:color w:val="auto"/>
                <w:szCs w:val="21"/>
                <w:highlight w:val="none"/>
              </w:rPr>
            </w:pPr>
          </w:p>
        </w:tc>
      </w:tr>
      <w:tr w14:paraId="7068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541C0BAA">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3B746670">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329A75C1">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4B3631A9">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3C41B7A2">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7DA663DE">
            <w:pPr>
              <w:shd w:val="clear"/>
              <w:spacing w:line="360" w:lineRule="exact"/>
              <w:jc w:val="center"/>
              <w:rPr>
                <w:rFonts w:hint="eastAsia" w:ascii="宋体" w:hAnsi="宋体" w:cs="宋体"/>
                <w:color w:val="auto"/>
                <w:szCs w:val="21"/>
                <w:highlight w:val="none"/>
              </w:rPr>
            </w:pPr>
          </w:p>
        </w:tc>
      </w:tr>
      <w:tr w14:paraId="23A2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283CFA89">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3971E3BA">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6201AA31">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799395D8">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370C945B">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61F75A29">
            <w:pPr>
              <w:shd w:val="clear"/>
              <w:spacing w:line="360" w:lineRule="exact"/>
              <w:jc w:val="center"/>
              <w:rPr>
                <w:rFonts w:hint="eastAsia" w:ascii="宋体" w:hAnsi="宋体" w:cs="宋体"/>
                <w:color w:val="auto"/>
                <w:szCs w:val="21"/>
                <w:highlight w:val="none"/>
              </w:rPr>
            </w:pPr>
          </w:p>
        </w:tc>
      </w:tr>
      <w:tr w14:paraId="38A2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76773FD3">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1129B11D">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3B6A14D4">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72FE1E3F">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3758573C">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1D2C753D">
            <w:pPr>
              <w:shd w:val="clear"/>
              <w:spacing w:line="360" w:lineRule="exact"/>
              <w:jc w:val="center"/>
              <w:rPr>
                <w:rFonts w:hint="eastAsia" w:ascii="宋体" w:hAnsi="宋体" w:cs="宋体"/>
                <w:color w:val="auto"/>
                <w:szCs w:val="21"/>
                <w:highlight w:val="none"/>
              </w:rPr>
            </w:pPr>
          </w:p>
        </w:tc>
      </w:tr>
      <w:tr w14:paraId="5E87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6B1E6423">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7E472589">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1E14C021">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1043254D">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3C80CD29">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47885560">
            <w:pPr>
              <w:shd w:val="clear"/>
              <w:spacing w:line="360" w:lineRule="exact"/>
              <w:jc w:val="center"/>
              <w:rPr>
                <w:rFonts w:hint="eastAsia" w:ascii="宋体" w:hAnsi="宋体" w:cs="宋体"/>
                <w:color w:val="auto"/>
                <w:szCs w:val="21"/>
                <w:highlight w:val="none"/>
              </w:rPr>
            </w:pPr>
          </w:p>
        </w:tc>
      </w:tr>
      <w:tr w14:paraId="1ED3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715DF56C">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28D2FD20">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1A0794E9">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5226C1DD">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648D1845">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1940C2FC">
            <w:pPr>
              <w:shd w:val="clear"/>
              <w:spacing w:line="360" w:lineRule="exact"/>
              <w:jc w:val="center"/>
              <w:rPr>
                <w:rFonts w:hint="eastAsia" w:ascii="宋体" w:hAnsi="宋体" w:cs="宋体"/>
                <w:color w:val="auto"/>
                <w:szCs w:val="21"/>
                <w:highlight w:val="none"/>
              </w:rPr>
            </w:pPr>
          </w:p>
        </w:tc>
      </w:tr>
      <w:tr w14:paraId="7F2A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59750EFE">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3894C2E1">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4F5A714F">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285B9B64">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56ECA6DC">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77FE17EF">
            <w:pPr>
              <w:shd w:val="clear"/>
              <w:spacing w:line="360" w:lineRule="exact"/>
              <w:jc w:val="center"/>
              <w:rPr>
                <w:rFonts w:hint="eastAsia" w:ascii="宋体" w:hAnsi="宋体" w:cs="宋体"/>
                <w:color w:val="auto"/>
                <w:szCs w:val="21"/>
                <w:highlight w:val="none"/>
              </w:rPr>
            </w:pPr>
          </w:p>
        </w:tc>
      </w:tr>
      <w:tr w14:paraId="5CA4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4CC4DF4B">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637B2497">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0507D259">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1CE9D04D">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09989BAC">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5AB966C1">
            <w:pPr>
              <w:shd w:val="clear"/>
              <w:spacing w:line="360" w:lineRule="exact"/>
              <w:jc w:val="center"/>
              <w:rPr>
                <w:rFonts w:hint="eastAsia" w:ascii="宋体" w:hAnsi="宋体" w:cs="宋体"/>
                <w:color w:val="auto"/>
                <w:szCs w:val="21"/>
                <w:highlight w:val="none"/>
              </w:rPr>
            </w:pPr>
          </w:p>
        </w:tc>
      </w:tr>
      <w:tr w14:paraId="7578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6C68E292">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042077A3">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419FA4F4">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342A594B">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5AE0042C">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38F710D3">
            <w:pPr>
              <w:shd w:val="clear"/>
              <w:spacing w:line="360" w:lineRule="exact"/>
              <w:jc w:val="center"/>
              <w:rPr>
                <w:rFonts w:hint="eastAsia" w:ascii="宋体" w:hAnsi="宋体" w:cs="宋体"/>
                <w:color w:val="auto"/>
                <w:szCs w:val="21"/>
                <w:highlight w:val="none"/>
              </w:rPr>
            </w:pPr>
          </w:p>
        </w:tc>
      </w:tr>
      <w:tr w14:paraId="0861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40F6731B">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44646B2E">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2B621469">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67001C49">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023393E1">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757268FF">
            <w:pPr>
              <w:shd w:val="clear"/>
              <w:spacing w:line="360" w:lineRule="exact"/>
              <w:jc w:val="center"/>
              <w:rPr>
                <w:rFonts w:hint="eastAsia" w:ascii="宋体" w:hAnsi="宋体" w:cs="宋体"/>
                <w:color w:val="auto"/>
                <w:szCs w:val="21"/>
                <w:highlight w:val="none"/>
              </w:rPr>
            </w:pPr>
          </w:p>
        </w:tc>
      </w:tr>
    </w:tbl>
    <w:p w14:paraId="5267CD44">
      <w:pPr>
        <w:shd w:val="clear"/>
        <w:snapToGrid w:val="0"/>
        <w:spacing w:line="440" w:lineRule="exact"/>
        <w:rPr>
          <w:rFonts w:hint="eastAsia" w:ascii="宋体" w:hAnsi="宋体" w:cs="宋体"/>
          <w:color w:val="auto"/>
          <w:szCs w:val="21"/>
          <w:highlight w:val="none"/>
        </w:rPr>
      </w:pPr>
    </w:p>
    <w:p w14:paraId="016CDAC4">
      <w:pPr>
        <w:shd w:val="clea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14:paraId="2A1CFC42">
      <w:pPr>
        <w:pStyle w:val="2"/>
        <w:shd w:val="clear"/>
        <w:adjustRightInd w:val="0"/>
        <w:snapToGrid w:val="0"/>
        <w:spacing w:after="0" w:line="440" w:lineRule="exact"/>
        <w:rPr>
          <w:rFonts w:hint="eastAsia"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p>
    <w:p w14:paraId="020EDA3E">
      <w:pPr>
        <w:shd w:val="clea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2CFF6A98">
      <w:pPr>
        <w:shd w:val="clear"/>
        <w:adjustRightInd w:val="0"/>
        <w:snapToGrid w:val="0"/>
        <w:jc w:val="left"/>
        <w:rPr>
          <w:rFonts w:hint="eastAsia" w:ascii="宋体" w:hAnsi="宋体" w:cs="宋体"/>
          <w:color w:val="auto"/>
          <w:sz w:val="24"/>
          <w:highlight w:val="none"/>
        </w:rPr>
      </w:pPr>
    </w:p>
    <w:p w14:paraId="6C74A856">
      <w:pPr>
        <w:shd w:val="clear"/>
        <w:adjustRightInd w:val="0"/>
        <w:snapToGrid w:val="0"/>
        <w:jc w:val="left"/>
        <w:rPr>
          <w:rFonts w:hint="eastAsia" w:ascii="宋体" w:hAnsi="宋体" w:cs="宋体"/>
          <w:color w:val="auto"/>
          <w:sz w:val="24"/>
          <w:highlight w:val="none"/>
        </w:rPr>
      </w:pPr>
    </w:p>
    <w:p w14:paraId="5EB882AB">
      <w:pPr>
        <w:shd w:val="clear"/>
        <w:autoSpaceDE w:val="0"/>
        <w:autoSpaceDN w:val="0"/>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w:t>
      </w:r>
      <w:r>
        <w:rPr>
          <w:rFonts w:hint="eastAsia" w:ascii="宋体" w:hAnsi="宋体" w:cs="宋体"/>
          <w:color w:val="auto"/>
          <w:szCs w:val="21"/>
          <w:highlight w:val="none"/>
          <w:lang w:val="en-US" w:eastAsia="zh-CN"/>
        </w:rPr>
        <w:t>附件资料</w:t>
      </w:r>
      <w:r>
        <w:rPr>
          <w:rFonts w:hint="eastAsia" w:ascii="宋体" w:hAnsi="宋体" w:cs="宋体"/>
          <w:color w:val="auto"/>
          <w:szCs w:val="21"/>
          <w:highlight w:val="none"/>
        </w:rPr>
        <w:t>按评分标准提供。</w:t>
      </w:r>
    </w:p>
    <w:p w14:paraId="72719E7D">
      <w:pPr>
        <w:shd w:val="clear"/>
        <w:adjustRightInd w:val="0"/>
        <w:snapToGrid w:val="0"/>
        <w:jc w:val="left"/>
        <w:rPr>
          <w:rFonts w:hint="eastAsia" w:ascii="宋体" w:hAnsi="宋体" w:cs="宋体"/>
          <w:color w:val="auto"/>
          <w:sz w:val="24"/>
          <w:highlight w:val="none"/>
        </w:rPr>
      </w:pPr>
    </w:p>
    <w:p w14:paraId="6BF9BBCF">
      <w:pPr>
        <w:shd w:val="clear"/>
        <w:adjustRightInd w:val="0"/>
        <w:snapToGrid w:val="0"/>
        <w:jc w:val="left"/>
        <w:rPr>
          <w:rFonts w:hint="eastAsia" w:ascii="宋体" w:hAnsi="宋体" w:cs="宋体"/>
          <w:color w:val="auto"/>
          <w:sz w:val="24"/>
          <w:highlight w:val="none"/>
        </w:rPr>
      </w:pPr>
    </w:p>
    <w:p w14:paraId="045216C1">
      <w:pPr>
        <w:shd w:val="clear"/>
        <w:adjustRightInd w:val="0"/>
        <w:snapToGrid w:val="0"/>
        <w:jc w:val="left"/>
        <w:rPr>
          <w:rFonts w:hint="eastAsia" w:ascii="宋体" w:hAnsi="宋体" w:cs="宋体"/>
          <w:color w:val="auto"/>
          <w:sz w:val="24"/>
          <w:highlight w:val="none"/>
        </w:rPr>
      </w:pPr>
    </w:p>
    <w:p w14:paraId="554814A8">
      <w:pPr>
        <w:shd w:val="clear"/>
        <w:adjustRightInd w:val="0"/>
        <w:snapToGrid w:val="0"/>
        <w:jc w:val="left"/>
        <w:rPr>
          <w:rFonts w:hint="eastAsia" w:ascii="宋体" w:hAnsi="宋体" w:cs="宋体"/>
          <w:color w:val="auto"/>
          <w:sz w:val="24"/>
          <w:highlight w:val="none"/>
        </w:rPr>
      </w:pPr>
    </w:p>
    <w:p w14:paraId="23BFB25B">
      <w:pPr>
        <w:shd w:val="clear"/>
        <w:adjustRightInd w:val="0"/>
        <w:snapToGrid w:val="0"/>
        <w:jc w:val="left"/>
        <w:rPr>
          <w:rFonts w:hint="eastAsia" w:ascii="宋体" w:hAnsi="宋体" w:cs="宋体"/>
          <w:color w:val="auto"/>
          <w:sz w:val="24"/>
          <w:highlight w:val="none"/>
        </w:rPr>
      </w:pPr>
    </w:p>
    <w:p w14:paraId="09E9B987">
      <w:pPr>
        <w:shd w:val="clear"/>
        <w:adjustRightInd w:val="0"/>
        <w:snapToGrid w:val="0"/>
        <w:jc w:val="left"/>
        <w:rPr>
          <w:rFonts w:hint="eastAsia" w:ascii="宋体" w:hAnsi="宋体" w:cs="宋体"/>
          <w:color w:val="auto"/>
          <w:sz w:val="24"/>
          <w:highlight w:val="none"/>
        </w:rPr>
      </w:pPr>
    </w:p>
    <w:p w14:paraId="2289F7E5">
      <w:pPr>
        <w:shd w:val="clear"/>
        <w:adjustRightInd w:val="0"/>
        <w:snapToGrid w:val="0"/>
        <w:jc w:val="left"/>
        <w:rPr>
          <w:rFonts w:hint="eastAsia" w:ascii="宋体" w:hAnsi="宋体" w:cs="宋体"/>
          <w:color w:val="auto"/>
          <w:sz w:val="24"/>
          <w:highlight w:val="none"/>
        </w:rPr>
      </w:pPr>
    </w:p>
    <w:p w14:paraId="544FD8CE">
      <w:pPr>
        <w:shd w:val="clear"/>
        <w:adjustRightInd w:val="0"/>
        <w:snapToGrid w:val="0"/>
        <w:jc w:val="left"/>
        <w:rPr>
          <w:rFonts w:hint="eastAsia" w:ascii="宋体" w:hAnsi="宋体" w:cs="宋体"/>
          <w:color w:val="auto"/>
          <w:sz w:val="24"/>
          <w:highlight w:val="none"/>
        </w:rPr>
      </w:pPr>
    </w:p>
    <w:p w14:paraId="5615246F">
      <w:pPr>
        <w:shd w:val="clear"/>
        <w:adjustRightInd w:val="0"/>
        <w:snapToGrid w:val="0"/>
        <w:jc w:val="left"/>
        <w:rPr>
          <w:rFonts w:hint="eastAsia" w:ascii="宋体" w:hAnsi="宋体" w:cs="宋体"/>
          <w:color w:val="auto"/>
          <w:sz w:val="24"/>
          <w:highlight w:val="none"/>
        </w:rPr>
      </w:pPr>
    </w:p>
    <w:p w14:paraId="5D5D683F">
      <w:pPr>
        <w:shd w:val="clear"/>
        <w:adjustRightInd w:val="0"/>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8、商务响应表格式</w:t>
      </w:r>
    </w:p>
    <w:p w14:paraId="00010A61">
      <w:pPr>
        <w:shd w:val="clear"/>
        <w:adjustRightInd w:val="0"/>
        <w:snapToGrid w:val="0"/>
        <w:rPr>
          <w:rFonts w:hint="eastAsia" w:ascii="宋体" w:hAnsi="宋体" w:cs="宋体"/>
          <w:b/>
          <w:color w:val="auto"/>
          <w:sz w:val="44"/>
          <w:szCs w:val="44"/>
          <w:highlight w:val="none"/>
        </w:rPr>
      </w:pPr>
    </w:p>
    <w:p w14:paraId="0C722D28">
      <w:pPr>
        <w:shd w:val="clear"/>
        <w:adjustRightInd w:val="0"/>
        <w:snapToGrid w:val="0"/>
        <w:spacing w:line="440" w:lineRule="exact"/>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商务响应表</w:t>
      </w:r>
    </w:p>
    <w:p w14:paraId="101BB70D">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61073FDE">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tbl>
      <w:tblPr>
        <w:tblStyle w:val="35"/>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1930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0"/>
            <w:vAlign w:val="center"/>
          </w:tcPr>
          <w:p w14:paraId="5D96A673">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4043" w:type="dxa"/>
            <w:noWrap w:val="0"/>
            <w:vAlign w:val="center"/>
          </w:tcPr>
          <w:p w14:paraId="52AF0E55">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招标文件要求</w:t>
            </w:r>
          </w:p>
        </w:tc>
        <w:tc>
          <w:tcPr>
            <w:tcW w:w="1265" w:type="dxa"/>
            <w:noWrap w:val="0"/>
            <w:vAlign w:val="center"/>
          </w:tcPr>
          <w:p w14:paraId="655C7172">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是否响应</w:t>
            </w:r>
          </w:p>
        </w:tc>
        <w:tc>
          <w:tcPr>
            <w:tcW w:w="1596" w:type="dxa"/>
            <w:noWrap w:val="0"/>
            <w:vAlign w:val="center"/>
          </w:tcPr>
          <w:p w14:paraId="5230F8EF">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投标人的承诺或说明</w:t>
            </w:r>
          </w:p>
        </w:tc>
      </w:tr>
      <w:tr w14:paraId="0ABC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4BCD6F32">
            <w:pPr>
              <w:shd w:val="clear"/>
              <w:adjustRightInd w:val="0"/>
              <w:snapToGrid w:val="0"/>
              <w:rPr>
                <w:rFonts w:ascii="宋体" w:hAnsi="宋体" w:cs="宋体"/>
                <w:b/>
                <w:color w:val="auto"/>
                <w:sz w:val="18"/>
                <w:szCs w:val="18"/>
                <w:highlight w:val="none"/>
              </w:rPr>
            </w:pPr>
          </w:p>
        </w:tc>
        <w:tc>
          <w:tcPr>
            <w:tcW w:w="4043" w:type="dxa"/>
            <w:noWrap w:val="0"/>
            <w:vAlign w:val="center"/>
          </w:tcPr>
          <w:p w14:paraId="182074E0">
            <w:pPr>
              <w:shd w:val="clear"/>
              <w:adjustRightInd w:val="0"/>
              <w:snapToGrid w:val="0"/>
              <w:rPr>
                <w:rFonts w:hint="eastAsia" w:ascii="宋体" w:hAnsi="宋体" w:cs="宋体"/>
                <w:color w:val="auto"/>
                <w:sz w:val="18"/>
                <w:szCs w:val="18"/>
                <w:highlight w:val="none"/>
              </w:rPr>
            </w:pPr>
          </w:p>
        </w:tc>
        <w:tc>
          <w:tcPr>
            <w:tcW w:w="1265" w:type="dxa"/>
            <w:noWrap w:val="0"/>
            <w:vAlign w:val="center"/>
          </w:tcPr>
          <w:p w14:paraId="51007122">
            <w:pPr>
              <w:shd w:val="clear"/>
              <w:adjustRightInd w:val="0"/>
              <w:snapToGrid w:val="0"/>
              <w:spacing w:line="240" w:lineRule="exact"/>
              <w:jc w:val="center"/>
              <w:rPr>
                <w:rFonts w:hint="eastAsia" w:ascii="宋体" w:hAnsi="宋体" w:cs="宋体"/>
                <w:b/>
                <w:color w:val="auto"/>
                <w:sz w:val="18"/>
                <w:szCs w:val="18"/>
                <w:highlight w:val="none"/>
              </w:rPr>
            </w:pPr>
          </w:p>
        </w:tc>
        <w:tc>
          <w:tcPr>
            <w:tcW w:w="1596" w:type="dxa"/>
            <w:noWrap w:val="0"/>
            <w:vAlign w:val="center"/>
          </w:tcPr>
          <w:p w14:paraId="05412C73">
            <w:pPr>
              <w:shd w:val="clear"/>
              <w:adjustRightInd w:val="0"/>
              <w:snapToGrid w:val="0"/>
              <w:spacing w:line="240" w:lineRule="exact"/>
              <w:jc w:val="center"/>
              <w:rPr>
                <w:rFonts w:hint="eastAsia" w:ascii="宋体" w:hAnsi="宋体" w:cs="宋体"/>
                <w:b/>
                <w:color w:val="auto"/>
                <w:sz w:val="18"/>
                <w:szCs w:val="18"/>
                <w:highlight w:val="none"/>
              </w:rPr>
            </w:pPr>
          </w:p>
        </w:tc>
      </w:tr>
      <w:tr w14:paraId="5176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519ACBCE">
            <w:pPr>
              <w:shd w:val="clear"/>
              <w:adjustRightInd w:val="0"/>
              <w:snapToGrid w:val="0"/>
              <w:rPr>
                <w:rFonts w:ascii="宋体" w:hAnsi="宋体" w:cs="宋体"/>
                <w:b/>
                <w:color w:val="auto"/>
                <w:sz w:val="18"/>
                <w:szCs w:val="18"/>
                <w:highlight w:val="none"/>
              </w:rPr>
            </w:pPr>
          </w:p>
        </w:tc>
        <w:tc>
          <w:tcPr>
            <w:tcW w:w="4043" w:type="dxa"/>
            <w:noWrap w:val="0"/>
            <w:vAlign w:val="top"/>
          </w:tcPr>
          <w:p w14:paraId="0EDF431B">
            <w:pPr>
              <w:shd w:val="clear"/>
              <w:adjustRightInd w:val="0"/>
              <w:snapToGrid w:val="0"/>
              <w:ind w:firstLine="360" w:firstLineChars="200"/>
              <w:rPr>
                <w:rFonts w:hint="eastAsia" w:ascii="宋体" w:hAnsi="宋体" w:cs="宋体"/>
                <w:color w:val="auto"/>
                <w:sz w:val="18"/>
                <w:szCs w:val="18"/>
                <w:highlight w:val="none"/>
              </w:rPr>
            </w:pPr>
          </w:p>
        </w:tc>
        <w:tc>
          <w:tcPr>
            <w:tcW w:w="1265" w:type="dxa"/>
            <w:noWrap w:val="0"/>
            <w:vAlign w:val="center"/>
          </w:tcPr>
          <w:p w14:paraId="68233794">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center"/>
          </w:tcPr>
          <w:p w14:paraId="040FF7F6">
            <w:pPr>
              <w:shd w:val="clear"/>
              <w:adjustRightInd w:val="0"/>
              <w:snapToGrid w:val="0"/>
              <w:spacing w:line="240" w:lineRule="exact"/>
              <w:rPr>
                <w:rFonts w:hint="eastAsia" w:ascii="宋体" w:hAnsi="宋体" w:cs="宋体"/>
                <w:color w:val="auto"/>
                <w:sz w:val="18"/>
                <w:szCs w:val="18"/>
                <w:highlight w:val="none"/>
              </w:rPr>
            </w:pPr>
          </w:p>
        </w:tc>
      </w:tr>
      <w:tr w14:paraId="7DEC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3BB6FE5C">
            <w:pPr>
              <w:shd w:val="clear"/>
              <w:adjustRightInd w:val="0"/>
              <w:snapToGrid w:val="0"/>
              <w:rPr>
                <w:rFonts w:hint="eastAsia" w:ascii="宋体" w:hAnsi="宋体" w:cs="宋体"/>
                <w:b/>
                <w:color w:val="auto"/>
                <w:sz w:val="18"/>
                <w:szCs w:val="18"/>
                <w:highlight w:val="none"/>
              </w:rPr>
            </w:pPr>
          </w:p>
        </w:tc>
        <w:tc>
          <w:tcPr>
            <w:tcW w:w="4043" w:type="dxa"/>
            <w:noWrap w:val="0"/>
            <w:vAlign w:val="top"/>
          </w:tcPr>
          <w:p w14:paraId="6E422B90">
            <w:pPr>
              <w:shd w:val="clear"/>
              <w:adjustRightInd w:val="0"/>
              <w:snapToGrid w:val="0"/>
              <w:rPr>
                <w:rFonts w:hint="eastAsia" w:ascii="宋体" w:hAnsi="宋体" w:cs="宋体"/>
                <w:b/>
                <w:color w:val="auto"/>
                <w:sz w:val="18"/>
                <w:szCs w:val="18"/>
                <w:highlight w:val="none"/>
              </w:rPr>
            </w:pPr>
          </w:p>
        </w:tc>
        <w:tc>
          <w:tcPr>
            <w:tcW w:w="1265" w:type="dxa"/>
            <w:noWrap w:val="0"/>
            <w:vAlign w:val="top"/>
          </w:tcPr>
          <w:p w14:paraId="42AAB550">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14:paraId="09990C31">
            <w:pPr>
              <w:shd w:val="clear"/>
              <w:adjustRightInd w:val="0"/>
              <w:snapToGrid w:val="0"/>
              <w:spacing w:line="240" w:lineRule="exact"/>
              <w:rPr>
                <w:rFonts w:hint="eastAsia" w:ascii="宋体" w:hAnsi="宋体" w:cs="宋体"/>
                <w:color w:val="auto"/>
                <w:sz w:val="18"/>
                <w:szCs w:val="18"/>
                <w:highlight w:val="none"/>
              </w:rPr>
            </w:pPr>
          </w:p>
        </w:tc>
      </w:tr>
      <w:tr w14:paraId="3AA4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77F3E08E">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14:paraId="64A1D939">
            <w:pPr>
              <w:shd w:val="clear"/>
              <w:adjustRightInd w:val="0"/>
              <w:snapToGrid w:val="0"/>
              <w:rPr>
                <w:rFonts w:hint="eastAsia" w:ascii="宋体" w:hAnsi="宋体" w:cs="宋体"/>
                <w:color w:val="auto"/>
                <w:sz w:val="18"/>
                <w:szCs w:val="18"/>
                <w:highlight w:val="none"/>
              </w:rPr>
            </w:pPr>
          </w:p>
        </w:tc>
        <w:tc>
          <w:tcPr>
            <w:tcW w:w="1265" w:type="dxa"/>
            <w:noWrap w:val="0"/>
            <w:vAlign w:val="top"/>
          </w:tcPr>
          <w:p w14:paraId="0715C83B">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14:paraId="77B4E2B1">
            <w:pPr>
              <w:shd w:val="clear"/>
              <w:adjustRightInd w:val="0"/>
              <w:snapToGrid w:val="0"/>
              <w:spacing w:line="240" w:lineRule="exact"/>
              <w:rPr>
                <w:rFonts w:hint="eastAsia" w:ascii="宋体" w:hAnsi="宋体" w:cs="宋体"/>
                <w:color w:val="auto"/>
                <w:sz w:val="18"/>
                <w:szCs w:val="18"/>
                <w:highlight w:val="none"/>
              </w:rPr>
            </w:pPr>
          </w:p>
        </w:tc>
      </w:tr>
      <w:tr w14:paraId="3B4E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2A1D8405">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14:paraId="237FB7F7">
            <w:pPr>
              <w:shd w:val="clear"/>
              <w:autoSpaceDE w:val="0"/>
              <w:autoSpaceDN w:val="0"/>
              <w:adjustRightInd w:val="0"/>
              <w:ind w:right="-100"/>
              <w:jc w:val="left"/>
              <w:rPr>
                <w:rFonts w:hint="eastAsia" w:ascii="宋体" w:hAnsi="宋体" w:cs="宋体"/>
                <w:color w:val="auto"/>
                <w:kern w:val="0"/>
                <w:sz w:val="18"/>
                <w:szCs w:val="18"/>
                <w:highlight w:val="none"/>
              </w:rPr>
            </w:pPr>
          </w:p>
        </w:tc>
        <w:tc>
          <w:tcPr>
            <w:tcW w:w="1265" w:type="dxa"/>
            <w:noWrap w:val="0"/>
            <w:vAlign w:val="top"/>
          </w:tcPr>
          <w:p w14:paraId="7635E569">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14:paraId="484A5409">
            <w:pPr>
              <w:shd w:val="clear"/>
              <w:adjustRightInd w:val="0"/>
              <w:snapToGrid w:val="0"/>
              <w:spacing w:line="240" w:lineRule="exact"/>
              <w:rPr>
                <w:rFonts w:hint="eastAsia" w:ascii="宋体" w:hAnsi="宋体" w:cs="宋体"/>
                <w:color w:val="auto"/>
                <w:sz w:val="18"/>
                <w:szCs w:val="18"/>
                <w:highlight w:val="none"/>
              </w:rPr>
            </w:pPr>
          </w:p>
        </w:tc>
      </w:tr>
      <w:tr w14:paraId="6E34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04ADD012">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14:paraId="13823AF3">
            <w:pPr>
              <w:shd w:val="clear"/>
              <w:adjustRightInd w:val="0"/>
              <w:snapToGrid w:val="0"/>
              <w:rPr>
                <w:rFonts w:hint="eastAsia" w:ascii="宋体" w:hAnsi="宋体" w:cs="宋体"/>
                <w:color w:val="auto"/>
                <w:sz w:val="18"/>
                <w:szCs w:val="18"/>
                <w:highlight w:val="none"/>
              </w:rPr>
            </w:pPr>
          </w:p>
        </w:tc>
        <w:tc>
          <w:tcPr>
            <w:tcW w:w="1265" w:type="dxa"/>
            <w:noWrap w:val="0"/>
            <w:vAlign w:val="top"/>
          </w:tcPr>
          <w:p w14:paraId="691F1CFD">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14:paraId="24437B75">
            <w:pPr>
              <w:shd w:val="clear"/>
              <w:adjustRightInd w:val="0"/>
              <w:snapToGrid w:val="0"/>
              <w:spacing w:line="240" w:lineRule="exact"/>
              <w:rPr>
                <w:rFonts w:hint="eastAsia" w:ascii="宋体" w:hAnsi="宋体" w:cs="宋体"/>
                <w:color w:val="auto"/>
                <w:sz w:val="18"/>
                <w:szCs w:val="18"/>
                <w:highlight w:val="none"/>
              </w:rPr>
            </w:pPr>
          </w:p>
        </w:tc>
      </w:tr>
      <w:tr w14:paraId="716A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66F6C459">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14:paraId="433CD364">
            <w:pPr>
              <w:shd w:val="clear"/>
              <w:rPr>
                <w:rFonts w:hint="eastAsia" w:ascii="宋体" w:hAnsi="宋体" w:cs="宋体"/>
                <w:color w:val="auto"/>
                <w:sz w:val="18"/>
                <w:szCs w:val="18"/>
                <w:highlight w:val="none"/>
              </w:rPr>
            </w:pPr>
          </w:p>
        </w:tc>
        <w:tc>
          <w:tcPr>
            <w:tcW w:w="1265" w:type="dxa"/>
            <w:noWrap w:val="0"/>
            <w:vAlign w:val="top"/>
          </w:tcPr>
          <w:p w14:paraId="14FDA395">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14:paraId="44EE7D04">
            <w:pPr>
              <w:shd w:val="clear"/>
              <w:adjustRightInd w:val="0"/>
              <w:snapToGrid w:val="0"/>
              <w:spacing w:line="240" w:lineRule="exact"/>
              <w:rPr>
                <w:rFonts w:hint="eastAsia" w:ascii="宋体" w:hAnsi="宋体" w:cs="宋体"/>
                <w:color w:val="auto"/>
                <w:sz w:val="18"/>
                <w:szCs w:val="18"/>
                <w:highlight w:val="none"/>
              </w:rPr>
            </w:pPr>
          </w:p>
        </w:tc>
      </w:tr>
    </w:tbl>
    <w:p w14:paraId="49428B17">
      <w:pPr>
        <w:shd w:val="clear"/>
        <w:snapToGrid w:val="0"/>
        <w:spacing w:before="50" w:after="50"/>
        <w:rPr>
          <w:rFonts w:hint="eastAsia" w:ascii="宋体" w:hAnsi="宋体" w:cs="宋体"/>
          <w:color w:val="auto"/>
          <w:sz w:val="21"/>
          <w:szCs w:val="21"/>
          <w:highlight w:val="none"/>
        </w:rPr>
      </w:pPr>
    </w:p>
    <w:p w14:paraId="65ECAF04">
      <w:pPr>
        <w:shd w:val="clear"/>
        <w:snapToGrid w:val="0"/>
        <w:spacing w:before="50" w:after="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授权代表签名：</w:t>
      </w:r>
      <w:r>
        <w:rPr>
          <w:rFonts w:hint="eastAsia" w:ascii="宋体" w:hAnsi="宋体" w:cs="宋体"/>
          <w:color w:val="auto"/>
          <w:sz w:val="21"/>
          <w:szCs w:val="21"/>
          <w:highlight w:val="none"/>
          <w:u w:val="single"/>
        </w:rPr>
        <w:t xml:space="preserve">        </w:t>
      </w:r>
    </w:p>
    <w:p w14:paraId="5CA63626">
      <w:pPr>
        <w:pStyle w:val="2"/>
        <w:shd w:val="clear"/>
        <w:snapToGrid w:val="0"/>
        <w:ind w:right="280"/>
        <w:rPr>
          <w:rFonts w:cs="宋体"/>
          <w:color w:val="auto"/>
          <w:sz w:val="24"/>
          <w:highlight w:val="none"/>
        </w:rPr>
      </w:pPr>
      <w:r>
        <w:rPr>
          <w:rFonts w:cs="宋体"/>
          <w:color w:val="auto"/>
          <w:sz w:val="21"/>
          <w:szCs w:val="21"/>
          <w:highlight w:val="none"/>
        </w:rPr>
        <w:t>投标人全称（盖章）：</w:t>
      </w:r>
      <w:r>
        <w:rPr>
          <w:rFonts w:cs="宋体"/>
          <w:color w:val="auto"/>
          <w:sz w:val="21"/>
          <w:szCs w:val="21"/>
          <w:highlight w:val="none"/>
          <w:u w:val="single"/>
        </w:rPr>
        <w:t xml:space="preserve">               </w:t>
      </w:r>
      <w:r>
        <w:rPr>
          <w:rFonts w:cs="宋体"/>
          <w:color w:val="auto"/>
          <w:sz w:val="21"/>
          <w:szCs w:val="21"/>
          <w:highlight w:val="none"/>
        </w:rPr>
        <w:t xml:space="preserve">              年    月　 日</w:t>
      </w:r>
    </w:p>
    <w:p w14:paraId="3B3D85A2">
      <w:pPr>
        <w:shd w:val="clear"/>
        <w:adjustRightInd w:val="0"/>
        <w:snapToGrid w:val="0"/>
        <w:jc w:val="left"/>
        <w:rPr>
          <w:rFonts w:hint="eastAsia" w:ascii="宋体" w:hAnsi="宋体" w:cs="宋体"/>
          <w:color w:val="auto"/>
          <w:sz w:val="24"/>
          <w:highlight w:val="none"/>
        </w:rPr>
      </w:pPr>
    </w:p>
    <w:p w14:paraId="7E33146D">
      <w:pPr>
        <w:shd w:val="clear"/>
        <w:adjustRightInd w:val="0"/>
        <w:snapToGrid w:val="0"/>
        <w:jc w:val="left"/>
        <w:rPr>
          <w:rFonts w:hint="eastAsia" w:ascii="宋体" w:hAnsi="宋体" w:cs="宋体"/>
          <w:color w:val="auto"/>
          <w:sz w:val="24"/>
          <w:highlight w:val="none"/>
        </w:rPr>
      </w:pPr>
    </w:p>
    <w:p w14:paraId="17F16103">
      <w:pPr>
        <w:pStyle w:val="11"/>
        <w:shd w:val="clear"/>
        <w:adjustRightInd w:val="0"/>
        <w:snapToGrid w:val="0"/>
        <w:spacing w:after="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注：按招标文件第二章</w:t>
      </w:r>
      <w:r>
        <w:rPr>
          <w:rFonts w:hint="eastAsia" w:ascii="宋体" w:hAnsi="宋体" w:cs="宋体"/>
          <w:color w:val="auto"/>
          <w:sz w:val="21"/>
          <w:szCs w:val="21"/>
          <w:highlight w:val="none"/>
          <w:lang w:val="en-US" w:eastAsia="zh-CN"/>
        </w:rPr>
        <w:t>商务</w:t>
      </w:r>
      <w:r>
        <w:rPr>
          <w:rFonts w:hint="eastAsia" w:ascii="宋体" w:hAnsi="宋体" w:cs="宋体"/>
          <w:color w:val="auto"/>
          <w:sz w:val="21"/>
          <w:szCs w:val="21"/>
          <w:highlight w:val="none"/>
        </w:rPr>
        <w:t>要求列表，对照招标文件要求在“偏离情况”栏注明“正偏离”、“负偏离”或“无偏离”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不填写视同无偏离。</w:t>
      </w:r>
    </w:p>
    <w:p w14:paraId="70133375">
      <w:pPr>
        <w:pStyle w:val="11"/>
        <w:shd w:val="clear"/>
        <w:adjustRightInd w:val="0"/>
        <w:snapToGrid w:val="0"/>
        <w:spacing w:after="0"/>
        <w:rPr>
          <w:rFonts w:hint="eastAsia" w:ascii="宋体" w:hAnsi="宋体" w:cs="宋体"/>
          <w:color w:val="auto"/>
          <w:sz w:val="21"/>
          <w:szCs w:val="21"/>
          <w:highlight w:val="none"/>
          <w:lang w:val="en-US" w:eastAsia="zh-CN"/>
        </w:rPr>
      </w:pPr>
    </w:p>
    <w:p w14:paraId="210F1D2F">
      <w:pPr>
        <w:pStyle w:val="11"/>
        <w:shd w:val="clear"/>
        <w:adjustRightInd w:val="0"/>
        <w:snapToGrid w:val="0"/>
        <w:spacing w:after="0"/>
        <w:rPr>
          <w:rFonts w:hint="eastAsia" w:ascii="宋体" w:hAnsi="宋体" w:cs="宋体"/>
          <w:color w:val="auto"/>
          <w:sz w:val="21"/>
          <w:szCs w:val="21"/>
          <w:highlight w:val="none"/>
          <w:lang w:val="en-US" w:eastAsia="zh-CN"/>
        </w:rPr>
      </w:pPr>
    </w:p>
    <w:p w14:paraId="5DF8AE72">
      <w:pPr>
        <w:pStyle w:val="11"/>
        <w:shd w:val="clear"/>
        <w:adjustRightInd w:val="0"/>
        <w:snapToGrid w:val="0"/>
        <w:spacing w:after="0"/>
        <w:rPr>
          <w:rFonts w:hint="eastAsia" w:ascii="宋体" w:hAnsi="宋体" w:cs="宋体"/>
          <w:color w:val="auto"/>
          <w:sz w:val="21"/>
          <w:szCs w:val="21"/>
          <w:highlight w:val="none"/>
          <w:lang w:val="en-US" w:eastAsia="zh-CN"/>
        </w:rPr>
      </w:pPr>
    </w:p>
    <w:p w14:paraId="53897853">
      <w:pPr>
        <w:pStyle w:val="11"/>
        <w:shd w:val="clear"/>
        <w:adjustRightInd w:val="0"/>
        <w:snapToGrid w:val="0"/>
        <w:spacing w:after="0"/>
        <w:rPr>
          <w:rFonts w:hint="eastAsia" w:ascii="宋体" w:hAnsi="宋体" w:cs="宋体"/>
          <w:color w:val="auto"/>
          <w:sz w:val="21"/>
          <w:szCs w:val="21"/>
          <w:highlight w:val="none"/>
          <w:lang w:val="en-US" w:eastAsia="zh-CN"/>
        </w:rPr>
      </w:pPr>
    </w:p>
    <w:p w14:paraId="4287FC0E">
      <w:pPr>
        <w:pStyle w:val="11"/>
        <w:shd w:val="clear"/>
        <w:adjustRightInd w:val="0"/>
        <w:snapToGrid w:val="0"/>
        <w:spacing w:after="0"/>
        <w:rPr>
          <w:rFonts w:hint="eastAsia" w:ascii="宋体" w:hAnsi="宋体" w:cs="宋体"/>
          <w:color w:val="auto"/>
          <w:sz w:val="21"/>
          <w:szCs w:val="21"/>
          <w:highlight w:val="none"/>
          <w:lang w:val="en-US" w:eastAsia="zh-CN"/>
        </w:rPr>
      </w:pPr>
    </w:p>
    <w:p w14:paraId="4E429EB6">
      <w:pPr>
        <w:pStyle w:val="11"/>
        <w:shd w:val="clear"/>
        <w:adjustRightInd w:val="0"/>
        <w:snapToGrid w:val="0"/>
        <w:spacing w:after="0"/>
        <w:rPr>
          <w:rFonts w:hint="eastAsia" w:ascii="宋体" w:hAnsi="宋体" w:cs="宋体"/>
          <w:color w:val="auto"/>
          <w:sz w:val="21"/>
          <w:szCs w:val="21"/>
          <w:highlight w:val="none"/>
          <w:lang w:val="en-US" w:eastAsia="zh-CN"/>
        </w:rPr>
      </w:pPr>
    </w:p>
    <w:p w14:paraId="3204D721">
      <w:pPr>
        <w:pStyle w:val="11"/>
        <w:shd w:val="clear"/>
        <w:adjustRightInd w:val="0"/>
        <w:snapToGrid w:val="0"/>
        <w:spacing w:after="0"/>
        <w:rPr>
          <w:rFonts w:hint="eastAsia" w:ascii="宋体" w:hAnsi="宋体" w:cs="宋体"/>
          <w:color w:val="auto"/>
          <w:sz w:val="21"/>
          <w:szCs w:val="21"/>
          <w:highlight w:val="none"/>
          <w:lang w:val="en-US" w:eastAsia="zh-CN"/>
        </w:rPr>
      </w:pPr>
    </w:p>
    <w:p w14:paraId="25743729">
      <w:pPr>
        <w:pStyle w:val="11"/>
        <w:shd w:val="clear"/>
        <w:adjustRightInd w:val="0"/>
        <w:snapToGrid w:val="0"/>
        <w:spacing w:after="0"/>
        <w:rPr>
          <w:rFonts w:hint="eastAsia" w:ascii="宋体" w:hAnsi="宋体" w:cs="宋体"/>
          <w:color w:val="auto"/>
          <w:sz w:val="21"/>
          <w:szCs w:val="21"/>
          <w:highlight w:val="none"/>
          <w:lang w:val="en-US" w:eastAsia="zh-CN"/>
        </w:rPr>
      </w:pPr>
    </w:p>
    <w:p w14:paraId="2452EE7C">
      <w:pPr>
        <w:pStyle w:val="11"/>
        <w:shd w:val="clear"/>
        <w:adjustRightInd w:val="0"/>
        <w:snapToGrid w:val="0"/>
        <w:spacing w:after="0"/>
        <w:rPr>
          <w:rFonts w:hint="eastAsia" w:ascii="宋体" w:hAnsi="宋体" w:cs="宋体"/>
          <w:color w:val="auto"/>
          <w:sz w:val="21"/>
          <w:szCs w:val="21"/>
          <w:highlight w:val="none"/>
          <w:lang w:val="en-US" w:eastAsia="zh-CN"/>
        </w:rPr>
      </w:pPr>
    </w:p>
    <w:p w14:paraId="2FB66551">
      <w:pPr>
        <w:pStyle w:val="11"/>
        <w:shd w:val="clear"/>
        <w:adjustRightInd w:val="0"/>
        <w:snapToGrid w:val="0"/>
        <w:spacing w:after="0"/>
        <w:rPr>
          <w:rFonts w:hint="eastAsia" w:ascii="宋体" w:hAnsi="宋体" w:cs="宋体"/>
          <w:color w:val="auto"/>
          <w:sz w:val="21"/>
          <w:szCs w:val="21"/>
          <w:highlight w:val="none"/>
          <w:lang w:val="en-US" w:eastAsia="zh-CN"/>
        </w:rPr>
      </w:pPr>
    </w:p>
    <w:p w14:paraId="2A8E1C19">
      <w:pPr>
        <w:pStyle w:val="11"/>
        <w:shd w:val="clear"/>
        <w:adjustRightInd w:val="0"/>
        <w:snapToGrid w:val="0"/>
        <w:spacing w:after="0"/>
        <w:rPr>
          <w:rFonts w:hint="eastAsia" w:ascii="宋体" w:hAnsi="宋体" w:cs="宋体"/>
          <w:color w:val="auto"/>
          <w:sz w:val="21"/>
          <w:szCs w:val="21"/>
          <w:highlight w:val="none"/>
          <w:lang w:val="en-US" w:eastAsia="zh-CN"/>
        </w:rPr>
      </w:pPr>
    </w:p>
    <w:p w14:paraId="0958F0DA">
      <w:pPr>
        <w:pStyle w:val="11"/>
        <w:shd w:val="clear"/>
        <w:adjustRightInd w:val="0"/>
        <w:snapToGrid w:val="0"/>
        <w:spacing w:after="0"/>
        <w:rPr>
          <w:rFonts w:hint="eastAsia" w:ascii="宋体" w:hAnsi="宋体" w:cs="宋体"/>
          <w:color w:val="auto"/>
          <w:sz w:val="21"/>
          <w:szCs w:val="21"/>
          <w:highlight w:val="none"/>
          <w:lang w:val="en-US" w:eastAsia="zh-CN"/>
        </w:rPr>
      </w:pPr>
    </w:p>
    <w:p w14:paraId="52F93268">
      <w:pPr>
        <w:pStyle w:val="11"/>
        <w:shd w:val="clear"/>
        <w:adjustRightInd w:val="0"/>
        <w:snapToGrid w:val="0"/>
        <w:spacing w:after="0"/>
        <w:rPr>
          <w:rFonts w:hint="eastAsia" w:ascii="宋体" w:hAnsi="宋体" w:cs="宋体"/>
          <w:color w:val="auto"/>
          <w:sz w:val="21"/>
          <w:szCs w:val="21"/>
          <w:highlight w:val="none"/>
          <w:lang w:val="en-US" w:eastAsia="zh-CN"/>
        </w:rPr>
      </w:pPr>
    </w:p>
    <w:p w14:paraId="3667D294">
      <w:pPr>
        <w:pStyle w:val="11"/>
        <w:shd w:val="clear"/>
        <w:adjustRightInd w:val="0"/>
        <w:snapToGrid w:val="0"/>
        <w:spacing w:after="0"/>
        <w:rPr>
          <w:rFonts w:hint="eastAsia" w:ascii="宋体" w:hAnsi="宋体" w:cs="宋体"/>
          <w:color w:val="auto"/>
          <w:sz w:val="21"/>
          <w:szCs w:val="21"/>
          <w:highlight w:val="none"/>
          <w:lang w:val="en-US" w:eastAsia="zh-CN"/>
        </w:rPr>
      </w:pPr>
    </w:p>
    <w:p w14:paraId="548A53D8">
      <w:pPr>
        <w:pStyle w:val="11"/>
        <w:shd w:val="clear"/>
        <w:adjustRightInd w:val="0"/>
        <w:snapToGrid w:val="0"/>
        <w:spacing w:after="0"/>
        <w:rPr>
          <w:rFonts w:hint="eastAsia" w:ascii="宋体" w:hAnsi="宋体" w:cs="宋体"/>
          <w:color w:val="auto"/>
          <w:sz w:val="21"/>
          <w:szCs w:val="21"/>
          <w:highlight w:val="none"/>
          <w:lang w:val="en-US" w:eastAsia="zh-CN"/>
        </w:rPr>
      </w:pPr>
    </w:p>
    <w:p w14:paraId="37A60965">
      <w:pPr>
        <w:pStyle w:val="11"/>
        <w:shd w:val="clear"/>
        <w:adjustRightInd w:val="0"/>
        <w:snapToGrid w:val="0"/>
        <w:spacing w:after="0"/>
        <w:rPr>
          <w:rFonts w:hint="eastAsia" w:ascii="宋体" w:hAnsi="宋体" w:cs="宋体"/>
          <w:color w:val="auto"/>
          <w:sz w:val="21"/>
          <w:szCs w:val="21"/>
          <w:highlight w:val="none"/>
          <w:lang w:val="en-US" w:eastAsia="zh-CN"/>
        </w:rPr>
      </w:pPr>
    </w:p>
    <w:p w14:paraId="719A1015">
      <w:pPr>
        <w:pStyle w:val="11"/>
        <w:shd w:val="clear"/>
        <w:adjustRightInd w:val="0"/>
        <w:snapToGrid w:val="0"/>
        <w:spacing w:after="0"/>
        <w:rPr>
          <w:rFonts w:hint="eastAsia" w:ascii="宋体" w:hAnsi="宋体" w:cs="宋体"/>
          <w:color w:val="auto"/>
          <w:sz w:val="21"/>
          <w:szCs w:val="21"/>
          <w:highlight w:val="none"/>
          <w:lang w:val="en-US" w:eastAsia="zh-CN"/>
        </w:rPr>
      </w:pPr>
    </w:p>
    <w:p w14:paraId="72AD897F">
      <w:pPr>
        <w:shd w:val="clear"/>
        <w:adjustRightInd w:val="0"/>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9、技术响应表格式</w:t>
      </w:r>
    </w:p>
    <w:p w14:paraId="473A47B7">
      <w:pPr>
        <w:shd w:val="clear"/>
        <w:adjustRightInd w:val="0"/>
        <w:snapToGrid w:val="0"/>
        <w:rPr>
          <w:rFonts w:hint="eastAsia" w:ascii="宋体" w:hAnsi="宋体" w:cs="宋体"/>
          <w:b/>
          <w:color w:val="auto"/>
          <w:sz w:val="44"/>
          <w:szCs w:val="44"/>
          <w:highlight w:val="none"/>
        </w:rPr>
      </w:pPr>
    </w:p>
    <w:p w14:paraId="71B80E9A">
      <w:pPr>
        <w:shd w:val="clear"/>
        <w:adjustRightInd w:val="0"/>
        <w:snapToGrid w:val="0"/>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响应表</w:t>
      </w:r>
    </w:p>
    <w:p w14:paraId="7D715325">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02CD67FA">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tbl>
      <w:tblPr>
        <w:tblStyle w:val="35"/>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14:paraId="260D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020" w:type="dxa"/>
            <w:noWrap w:val="0"/>
            <w:vAlign w:val="center"/>
          </w:tcPr>
          <w:p w14:paraId="0A7E1EED">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4043" w:type="dxa"/>
            <w:noWrap w:val="0"/>
            <w:vAlign w:val="center"/>
          </w:tcPr>
          <w:p w14:paraId="79FFADDA">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招标文件要求</w:t>
            </w:r>
          </w:p>
        </w:tc>
        <w:tc>
          <w:tcPr>
            <w:tcW w:w="1265" w:type="dxa"/>
            <w:noWrap w:val="0"/>
            <w:vAlign w:val="center"/>
          </w:tcPr>
          <w:p w14:paraId="722F5101">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是否响应</w:t>
            </w:r>
          </w:p>
        </w:tc>
        <w:tc>
          <w:tcPr>
            <w:tcW w:w="2204" w:type="dxa"/>
            <w:noWrap w:val="0"/>
            <w:vAlign w:val="center"/>
          </w:tcPr>
          <w:p w14:paraId="6EA45681">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投标人的承诺或说明</w:t>
            </w:r>
          </w:p>
        </w:tc>
      </w:tr>
      <w:tr w14:paraId="1403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7D1FDBAD">
            <w:pPr>
              <w:shd w:val="clear"/>
              <w:adjustRightInd w:val="0"/>
              <w:snapToGrid w:val="0"/>
              <w:rPr>
                <w:rFonts w:ascii="宋体" w:hAnsi="宋体" w:cs="宋体"/>
                <w:b/>
                <w:color w:val="auto"/>
                <w:sz w:val="18"/>
                <w:szCs w:val="18"/>
                <w:highlight w:val="none"/>
              </w:rPr>
            </w:pPr>
          </w:p>
        </w:tc>
        <w:tc>
          <w:tcPr>
            <w:tcW w:w="4043" w:type="dxa"/>
            <w:noWrap w:val="0"/>
            <w:vAlign w:val="center"/>
          </w:tcPr>
          <w:p w14:paraId="508BB2BF">
            <w:pPr>
              <w:shd w:val="clear"/>
              <w:adjustRightInd w:val="0"/>
              <w:snapToGrid w:val="0"/>
              <w:rPr>
                <w:rFonts w:hint="eastAsia" w:ascii="宋体" w:hAnsi="宋体" w:cs="宋体"/>
                <w:color w:val="auto"/>
                <w:sz w:val="18"/>
                <w:szCs w:val="18"/>
                <w:highlight w:val="none"/>
              </w:rPr>
            </w:pPr>
          </w:p>
        </w:tc>
        <w:tc>
          <w:tcPr>
            <w:tcW w:w="1265" w:type="dxa"/>
            <w:noWrap w:val="0"/>
            <w:vAlign w:val="center"/>
          </w:tcPr>
          <w:p w14:paraId="5DF2EE12">
            <w:pPr>
              <w:shd w:val="clear"/>
              <w:adjustRightInd w:val="0"/>
              <w:snapToGrid w:val="0"/>
              <w:spacing w:line="240" w:lineRule="exact"/>
              <w:jc w:val="center"/>
              <w:rPr>
                <w:rFonts w:hint="eastAsia" w:ascii="宋体" w:hAnsi="宋体" w:cs="宋体"/>
                <w:b/>
                <w:color w:val="auto"/>
                <w:sz w:val="18"/>
                <w:szCs w:val="18"/>
                <w:highlight w:val="none"/>
              </w:rPr>
            </w:pPr>
          </w:p>
        </w:tc>
        <w:tc>
          <w:tcPr>
            <w:tcW w:w="2204" w:type="dxa"/>
            <w:noWrap w:val="0"/>
            <w:vAlign w:val="center"/>
          </w:tcPr>
          <w:p w14:paraId="635637C8">
            <w:pPr>
              <w:shd w:val="clear"/>
              <w:adjustRightInd w:val="0"/>
              <w:snapToGrid w:val="0"/>
              <w:spacing w:line="240" w:lineRule="exact"/>
              <w:jc w:val="center"/>
              <w:rPr>
                <w:rFonts w:hint="eastAsia" w:ascii="宋体" w:hAnsi="宋体" w:cs="宋体"/>
                <w:b/>
                <w:color w:val="auto"/>
                <w:sz w:val="18"/>
                <w:szCs w:val="18"/>
                <w:highlight w:val="none"/>
              </w:rPr>
            </w:pPr>
          </w:p>
        </w:tc>
      </w:tr>
      <w:tr w14:paraId="5E57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54EAD9EB">
            <w:pPr>
              <w:shd w:val="clear"/>
              <w:adjustRightInd w:val="0"/>
              <w:snapToGrid w:val="0"/>
              <w:rPr>
                <w:rFonts w:ascii="宋体" w:hAnsi="宋体" w:cs="宋体"/>
                <w:b/>
                <w:color w:val="auto"/>
                <w:sz w:val="18"/>
                <w:szCs w:val="18"/>
                <w:highlight w:val="none"/>
              </w:rPr>
            </w:pPr>
          </w:p>
        </w:tc>
        <w:tc>
          <w:tcPr>
            <w:tcW w:w="4043" w:type="dxa"/>
            <w:noWrap w:val="0"/>
            <w:vAlign w:val="top"/>
          </w:tcPr>
          <w:p w14:paraId="64C31789">
            <w:pPr>
              <w:shd w:val="clear"/>
              <w:adjustRightInd w:val="0"/>
              <w:snapToGrid w:val="0"/>
              <w:ind w:firstLine="360" w:firstLineChars="200"/>
              <w:rPr>
                <w:rFonts w:hint="eastAsia" w:ascii="宋体" w:hAnsi="宋体" w:cs="宋体"/>
                <w:color w:val="auto"/>
                <w:sz w:val="18"/>
                <w:szCs w:val="18"/>
                <w:highlight w:val="none"/>
              </w:rPr>
            </w:pPr>
          </w:p>
        </w:tc>
        <w:tc>
          <w:tcPr>
            <w:tcW w:w="1265" w:type="dxa"/>
            <w:noWrap w:val="0"/>
            <w:vAlign w:val="center"/>
          </w:tcPr>
          <w:p w14:paraId="667E502C">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center"/>
          </w:tcPr>
          <w:p w14:paraId="63E706AC">
            <w:pPr>
              <w:shd w:val="clear"/>
              <w:adjustRightInd w:val="0"/>
              <w:snapToGrid w:val="0"/>
              <w:spacing w:line="240" w:lineRule="exact"/>
              <w:rPr>
                <w:rFonts w:hint="eastAsia" w:ascii="宋体" w:hAnsi="宋体" w:cs="宋体"/>
                <w:color w:val="auto"/>
                <w:sz w:val="18"/>
                <w:szCs w:val="18"/>
                <w:highlight w:val="none"/>
              </w:rPr>
            </w:pPr>
          </w:p>
        </w:tc>
      </w:tr>
      <w:tr w14:paraId="35DE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1A7869A2">
            <w:pPr>
              <w:shd w:val="clear"/>
              <w:adjustRightInd w:val="0"/>
              <w:snapToGrid w:val="0"/>
              <w:rPr>
                <w:rFonts w:hint="eastAsia" w:ascii="宋体" w:hAnsi="宋体" w:cs="宋体"/>
                <w:b/>
                <w:color w:val="auto"/>
                <w:sz w:val="18"/>
                <w:szCs w:val="18"/>
                <w:highlight w:val="none"/>
              </w:rPr>
            </w:pPr>
          </w:p>
        </w:tc>
        <w:tc>
          <w:tcPr>
            <w:tcW w:w="4043" w:type="dxa"/>
            <w:noWrap w:val="0"/>
            <w:vAlign w:val="top"/>
          </w:tcPr>
          <w:p w14:paraId="36EFAB01">
            <w:pPr>
              <w:shd w:val="clear"/>
              <w:adjustRightInd w:val="0"/>
              <w:snapToGrid w:val="0"/>
              <w:rPr>
                <w:rFonts w:hint="eastAsia" w:ascii="宋体" w:hAnsi="宋体" w:cs="宋体"/>
                <w:b/>
                <w:color w:val="auto"/>
                <w:sz w:val="18"/>
                <w:szCs w:val="18"/>
                <w:highlight w:val="none"/>
              </w:rPr>
            </w:pPr>
          </w:p>
        </w:tc>
        <w:tc>
          <w:tcPr>
            <w:tcW w:w="1265" w:type="dxa"/>
            <w:noWrap w:val="0"/>
            <w:vAlign w:val="top"/>
          </w:tcPr>
          <w:p w14:paraId="6A1B1CE5">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14:paraId="122F8F32">
            <w:pPr>
              <w:shd w:val="clear"/>
              <w:adjustRightInd w:val="0"/>
              <w:snapToGrid w:val="0"/>
              <w:spacing w:line="240" w:lineRule="exact"/>
              <w:rPr>
                <w:rFonts w:hint="eastAsia" w:ascii="宋体" w:hAnsi="宋体" w:cs="宋体"/>
                <w:color w:val="auto"/>
                <w:sz w:val="18"/>
                <w:szCs w:val="18"/>
                <w:highlight w:val="none"/>
              </w:rPr>
            </w:pPr>
          </w:p>
        </w:tc>
      </w:tr>
      <w:tr w14:paraId="69D9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00A2CAB1">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14:paraId="60470876">
            <w:pPr>
              <w:shd w:val="clear"/>
              <w:adjustRightInd w:val="0"/>
              <w:snapToGrid w:val="0"/>
              <w:rPr>
                <w:rFonts w:hint="eastAsia" w:ascii="宋体" w:hAnsi="宋体" w:cs="宋体"/>
                <w:color w:val="auto"/>
                <w:sz w:val="18"/>
                <w:szCs w:val="18"/>
                <w:highlight w:val="none"/>
              </w:rPr>
            </w:pPr>
          </w:p>
        </w:tc>
        <w:tc>
          <w:tcPr>
            <w:tcW w:w="1265" w:type="dxa"/>
            <w:noWrap w:val="0"/>
            <w:vAlign w:val="top"/>
          </w:tcPr>
          <w:p w14:paraId="151AAC7A">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14:paraId="303CA285">
            <w:pPr>
              <w:shd w:val="clear"/>
              <w:adjustRightInd w:val="0"/>
              <w:snapToGrid w:val="0"/>
              <w:spacing w:line="240" w:lineRule="exact"/>
              <w:rPr>
                <w:rFonts w:hint="eastAsia" w:ascii="宋体" w:hAnsi="宋体" w:cs="宋体"/>
                <w:color w:val="auto"/>
                <w:sz w:val="18"/>
                <w:szCs w:val="18"/>
                <w:highlight w:val="none"/>
              </w:rPr>
            </w:pPr>
          </w:p>
        </w:tc>
      </w:tr>
      <w:tr w14:paraId="7C5B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3457C751">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14:paraId="0D9806D9">
            <w:pPr>
              <w:shd w:val="clear"/>
              <w:autoSpaceDE w:val="0"/>
              <w:autoSpaceDN w:val="0"/>
              <w:adjustRightInd w:val="0"/>
              <w:ind w:right="-100"/>
              <w:jc w:val="left"/>
              <w:rPr>
                <w:rFonts w:hint="eastAsia" w:ascii="宋体" w:hAnsi="宋体" w:cs="宋体"/>
                <w:color w:val="auto"/>
                <w:kern w:val="0"/>
                <w:sz w:val="18"/>
                <w:szCs w:val="18"/>
                <w:highlight w:val="none"/>
              </w:rPr>
            </w:pPr>
          </w:p>
        </w:tc>
        <w:tc>
          <w:tcPr>
            <w:tcW w:w="1265" w:type="dxa"/>
            <w:noWrap w:val="0"/>
            <w:vAlign w:val="top"/>
          </w:tcPr>
          <w:p w14:paraId="616DE7A8">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14:paraId="5258FA83">
            <w:pPr>
              <w:shd w:val="clear"/>
              <w:adjustRightInd w:val="0"/>
              <w:snapToGrid w:val="0"/>
              <w:spacing w:line="240" w:lineRule="exact"/>
              <w:rPr>
                <w:rFonts w:hint="eastAsia" w:ascii="宋体" w:hAnsi="宋体" w:cs="宋体"/>
                <w:color w:val="auto"/>
                <w:sz w:val="18"/>
                <w:szCs w:val="18"/>
                <w:highlight w:val="none"/>
              </w:rPr>
            </w:pPr>
          </w:p>
        </w:tc>
      </w:tr>
      <w:tr w14:paraId="17D8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22F09553">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14:paraId="7B8F1172">
            <w:pPr>
              <w:shd w:val="clear"/>
              <w:adjustRightInd w:val="0"/>
              <w:snapToGrid w:val="0"/>
              <w:rPr>
                <w:rFonts w:hint="eastAsia" w:ascii="宋体" w:hAnsi="宋体" w:cs="宋体"/>
                <w:color w:val="auto"/>
                <w:sz w:val="18"/>
                <w:szCs w:val="18"/>
                <w:highlight w:val="none"/>
              </w:rPr>
            </w:pPr>
          </w:p>
        </w:tc>
        <w:tc>
          <w:tcPr>
            <w:tcW w:w="1265" w:type="dxa"/>
            <w:noWrap w:val="0"/>
            <w:vAlign w:val="top"/>
          </w:tcPr>
          <w:p w14:paraId="12A08B16">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14:paraId="62B003DE">
            <w:pPr>
              <w:shd w:val="clear"/>
              <w:adjustRightInd w:val="0"/>
              <w:snapToGrid w:val="0"/>
              <w:spacing w:line="240" w:lineRule="exact"/>
              <w:rPr>
                <w:rFonts w:hint="eastAsia" w:ascii="宋体" w:hAnsi="宋体" w:cs="宋体"/>
                <w:color w:val="auto"/>
                <w:sz w:val="18"/>
                <w:szCs w:val="18"/>
                <w:highlight w:val="none"/>
              </w:rPr>
            </w:pPr>
          </w:p>
        </w:tc>
      </w:tr>
      <w:tr w14:paraId="2610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44A97CDA">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14:paraId="5A018302">
            <w:pPr>
              <w:shd w:val="clear"/>
              <w:rPr>
                <w:rFonts w:hint="eastAsia" w:ascii="宋体" w:hAnsi="宋体" w:cs="宋体"/>
                <w:color w:val="auto"/>
                <w:sz w:val="18"/>
                <w:szCs w:val="18"/>
                <w:highlight w:val="none"/>
              </w:rPr>
            </w:pPr>
          </w:p>
        </w:tc>
        <w:tc>
          <w:tcPr>
            <w:tcW w:w="1265" w:type="dxa"/>
            <w:noWrap w:val="0"/>
            <w:vAlign w:val="top"/>
          </w:tcPr>
          <w:p w14:paraId="324C720F">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14:paraId="5AE62D21">
            <w:pPr>
              <w:shd w:val="clear"/>
              <w:adjustRightInd w:val="0"/>
              <w:snapToGrid w:val="0"/>
              <w:spacing w:line="240" w:lineRule="exact"/>
              <w:rPr>
                <w:rFonts w:hint="eastAsia" w:ascii="宋体" w:hAnsi="宋体" w:cs="宋体"/>
                <w:color w:val="auto"/>
                <w:sz w:val="18"/>
                <w:szCs w:val="18"/>
                <w:highlight w:val="none"/>
              </w:rPr>
            </w:pPr>
          </w:p>
        </w:tc>
      </w:tr>
    </w:tbl>
    <w:p w14:paraId="39FA5995">
      <w:pPr>
        <w:shd w:val="clear"/>
        <w:snapToGrid w:val="0"/>
        <w:spacing w:before="50" w:after="50"/>
        <w:rPr>
          <w:rFonts w:hint="eastAsia" w:ascii="宋体" w:hAnsi="宋体" w:cs="宋体"/>
          <w:color w:val="auto"/>
          <w:sz w:val="24"/>
          <w:highlight w:val="none"/>
        </w:rPr>
      </w:pPr>
    </w:p>
    <w:p w14:paraId="2F3F9813">
      <w:pPr>
        <w:shd w:val="clear"/>
        <w:snapToGrid w:val="0"/>
        <w:spacing w:before="50" w:after="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授权代表签名：</w:t>
      </w:r>
      <w:r>
        <w:rPr>
          <w:rFonts w:hint="eastAsia" w:ascii="宋体" w:hAnsi="宋体" w:cs="宋体"/>
          <w:color w:val="auto"/>
          <w:sz w:val="21"/>
          <w:szCs w:val="21"/>
          <w:highlight w:val="none"/>
          <w:u w:val="single"/>
        </w:rPr>
        <w:t xml:space="preserve">        </w:t>
      </w:r>
    </w:p>
    <w:p w14:paraId="418ADBE0">
      <w:pPr>
        <w:pStyle w:val="2"/>
        <w:shd w:val="clear"/>
        <w:snapToGrid w:val="0"/>
        <w:ind w:right="280"/>
        <w:rPr>
          <w:rFonts w:cs="宋体"/>
          <w:color w:val="auto"/>
          <w:sz w:val="21"/>
          <w:szCs w:val="21"/>
          <w:highlight w:val="none"/>
        </w:rPr>
      </w:pPr>
      <w:r>
        <w:rPr>
          <w:rFonts w:cs="宋体"/>
          <w:color w:val="auto"/>
          <w:sz w:val="21"/>
          <w:szCs w:val="21"/>
          <w:highlight w:val="none"/>
        </w:rPr>
        <w:t>投标人全称（盖章）：</w:t>
      </w:r>
      <w:r>
        <w:rPr>
          <w:rFonts w:cs="宋体"/>
          <w:color w:val="auto"/>
          <w:sz w:val="21"/>
          <w:szCs w:val="21"/>
          <w:highlight w:val="none"/>
          <w:u w:val="single"/>
        </w:rPr>
        <w:t xml:space="preserve">               </w:t>
      </w:r>
      <w:r>
        <w:rPr>
          <w:rFonts w:cs="宋体"/>
          <w:color w:val="auto"/>
          <w:sz w:val="21"/>
          <w:szCs w:val="21"/>
          <w:highlight w:val="none"/>
        </w:rPr>
        <w:t xml:space="preserve">              年    月　 日</w:t>
      </w:r>
    </w:p>
    <w:p w14:paraId="70489244">
      <w:pPr>
        <w:shd w:val="clear"/>
        <w:adjustRightInd w:val="0"/>
        <w:snapToGrid w:val="0"/>
        <w:jc w:val="left"/>
        <w:rPr>
          <w:rFonts w:hint="eastAsia" w:ascii="宋体" w:hAnsi="宋体" w:cs="宋体"/>
          <w:color w:val="auto"/>
          <w:sz w:val="24"/>
          <w:highlight w:val="none"/>
        </w:rPr>
      </w:pPr>
    </w:p>
    <w:p w14:paraId="52F7CCA9">
      <w:pPr>
        <w:shd w:val="clear"/>
        <w:adjustRightInd w:val="0"/>
        <w:snapToGrid w:val="0"/>
        <w:jc w:val="left"/>
        <w:rPr>
          <w:rFonts w:hint="eastAsia" w:ascii="宋体" w:hAnsi="宋体" w:cs="宋体"/>
          <w:color w:val="auto"/>
          <w:sz w:val="24"/>
          <w:highlight w:val="none"/>
        </w:rPr>
      </w:pPr>
    </w:p>
    <w:p w14:paraId="2EF534C5">
      <w:pPr>
        <w:pStyle w:val="11"/>
        <w:shd w:val="clear"/>
        <w:adjustRightInd w:val="0"/>
        <w:snapToGrid w:val="0"/>
        <w:spacing w:after="0"/>
        <w:rPr>
          <w:rFonts w:hint="default" w:ascii="宋体" w:hAnsi="宋体" w:cs="宋体"/>
          <w:color w:val="auto"/>
          <w:sz w:val="21"/>
          <w:szCs w:val="21"/>
          <w:highlight w:val="none"/>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3" w:charSpace="0"/>
        </w:sectPr>
      </w:pPr>
      <w:r>
        <w:rPr>
          <w:rFonts w:hint="eastAsia" w:ascii="宋体" w:hAnsi="宋体" w:cs="宋体"/>
          <w:color w:val="auto"/>
          <w:sz w:val="21"/>
          <w:szCs w:val="21"/>
          <w:highlight w:val="none"/>
        </w:rPr>
        <w:t>注：按招标文件要求列表，对照招标文件要求在“偏离情况”栏注明“正偏离”、“负偏离”或“无偏离”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不填写视同无偏离。</w:t>
      </w:r>
    </w:p>
    <w:p w14:paraId="6929DAC3">
      <w:pPr>
        <w:shd w:val="clear"/>
        <w:adjustRightInd w:val="0"/>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拟</w:t>
      </w:r>
      <w:r>
        <w:rPr>
          <w:rFonts w:hint="eastAsia" w:ascii="宋体" w:hAnsi="宋体" w:cs="宋体"/>
          <w:color w:val="auto"/>
          <w:sz w:val="24"/>
          <w:highlight w:val="none"/>
        </w:rPr>
        <w:t>投入</w:t>
      </w:r>
      <w:r>
        <w:rPr>
          <w:rFonts w:hint="eastAsia" w:ascii="宋体" w:hAnsi="宋体" w:cs="宋体"/>
          <w:color w:val="auto"/>
          <w:sz w:val="24"/>
          <w:highlight w:val="none"/>
          <w:lang w:val="en-US" w:eastAsia="zh-CN"/>
        </w:rPr>
        <w:t>实施的团队</w:t>
      </w:r>
      <w:r>
        <w:rPr>
          <w:rFonts w:hint="eastAsia" w:ascii="宋体" w:hAnsi="宋体" w:cs="宋体"/>
          <w:color w:val="auto"/>
          <w:sz w:val="24"/>
          <w:highlight w:val="none"/>
        </w:rPr>
        <w:t>人员</w:t>
      </w:r>
      <w:r>
        <w:rPr>
          <w:rFonts w:hint="eastAsia" w:ascii="宋体" w:hAnsi="宋体" w:cs="宋体"/>
          <w:color w:val="auto"/>
          <w:sz w:val="24"/>
          <w:highlight w:val="none"/>
          <w:lang w:val="en-US" w:eastAsia="zh-CN"/>
        </w:rPr>
        <w:t>配置</w:t>
      </w:r>
      <w:r>
        <w:rPr>
          <w:rFonts w:hint="eastAsia" w:ascii="宋体" w:hAnsi="宋体" w:cs="宋体"/>
          <w:color w:val="auto"/>
          <w:sz w:val="24"/>
          <w:highlight w:val="none"/>
        </w:rPr>
        <w:t>表</w:t>
      </w:r>
      <w:r>
        <w:rPr>
          <w:rFonts w:hint="eastAsia" w:ascii="宋体" w:hAnsi="宋体" w:cs="宋体"/>
          <w:color w:val="auto"/>
          <w:sz w:val="24"/>
          <w:highlight w:val="none"/>
          <w:lang w:val="en-US" w:eastAsia="zh-CN"/>
        </w:rPr>
        <w:t>格式</w:t>
      </w:r>
    </w:p>
    <w:p w14:paraId="6A89D802">
      <w:pPr>
        <w:shd w:val="clear"/>
        <w:adjustRightInd w:val="0"/>
        <w:snapToGrid w:val="0"/>
        <w:jc w:val="left"/>
        <w:rPr>
          <w:rFonts w:hint="eastAsia" w:ascii="宋体" w:hAnsi="宋体" w:cs="宋体"/>
          <w:color w:val="auto"/>
          <w:sz w:val="24"/>
          <w:highlight w:val="none"/>
        </w:rPr>
      </w:pPr>
    </w:p>
    <w:p w14:paraId="6D1E127A">
      <w:pPr>
        <w:shd w:val="clear"/>
        <w:adjustRightInd w:val="0"/>
        <w:snapToGrid w:val="0"/>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rPr>
        <w:t>拟投</w:t>
      </w:r>
      <w:r>
        <w:rPr>
          <w:rFonts w:hint="eastAsia" w:ascii="宋体" w:hAnsi="宋体" w:eastAsia="宋体" w:cs="宋体"/>
          <w:b/>
          <w:color w:val="auto"/>
          <w:sz w:val="28"/>
          <w:szCs w:val="28"/>
          <w:highlight w:val="none"/>
        </w:rPr>
        <w:t>入实施的团队人员配置表</w:t>
      </w:r>
    </w:p>
    <w:p w14:paraId="65C4EC32">
      <w:pPr>
        <w:shd w:val="clear"/>
        <w:adjustRightInd w:val="0"/>
        <w:snapToGrid w:val="0"/>
        <w:spacing w:line="440" w:lineRule="exact"/>
        <w:jc w:val="center"/>
        <w:rPr>
          <w:rFonts w:hint="eastAsia" w:ascii="宋体" w:hAnsi="宋体" w:cs="宋体"/>
          <w:b/>
          <w:color w:val="auto"/>
          <w:sz w:val="28"/>
          <w:szCs w:val="28"/>
          <w:highlight w:val="none"/>
        </w:rPr>
      </w:pPr>
    </w:p>
    <w:p w14:paraId="39AFC08F">
      <w:pPr>
        <w:shd w:val="clear"/>
        <w:adjustRightInd w:val="0"/>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14:paraId="1E34B22A">
      <w:pPr>
        <w:shd w:val="clear"/>
        <w:adjustRightInd w:val="0"/>
        <w:snapToGrid w:val="0"/>
        <w:spacing w:line="440" w:lineRule="exact"/>
        <w:rPr>
          <w:rFonts w:hint="eastAsia" w:ascii="宋体" w:hAnsi="宋体" w:cs="宋体"/>
          <w:b/>
          <w:color w:val="auto"/>
          <w:sz w:val="28"/>
          <w:szCs w:val="28"/>
          <w:highlight w:val="none"/>
        </w:rPr>
      </w:pPr>
      <w:r>
        <w:rPr>
          <w:rFonts w:hint="eastAsia" w:ascii="宋体" w:hAnsi="宋体" w:cs="宋体"/>
          <w:color w:val="auto"/>
          <w:sz w:val="24"/>
          <w:highlight w:val="none"/>
        </w:rPr>
        <w:t>项目编号：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13"/>
        <w:gridCol w:w="912"/>
        <w:gridCol w:w="925"/>
        <w:gridCol w:w="763"/>
        <w:gridCol w:w="1300"/>
        <w:gridCol w:w="1566"/>
        <w:gridCol w:w="1232"/>
      </w:tblGrid>
      <w:tr w14:paraId="646E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2B1D58D2">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313" w:type="dxa"/>
            <w:tcBorders>
              <w:top w:val="single" w:color="auto" w:sz="8" w:space="0"/>
              <w:left w:val="single" w:color="auto" w:sz="8" w:space="0"/>
              <w:bottom w:val="single" w:color="auto" w:sz="8" w:space="0"/>
              <w:right w:val="single" w:color="auto" w:sz="8" w:space="0"/>
            </w:tcBorders>
            <w:noWrap w:val="0"/>
            <w:vAlign w:val="center"/>
          </w:tcPr>
          <w:p w14:paraId="5B1FD66F">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本项目拟任</w:t>
            </w:r>
          </w:p>
          <w:p w14:paraId="655AC152">
            <w:pPr>
              <w:shd w:val="clear"/>
              <w:spacing w:line="480" w:lineRule="exact"/>
              <w:ind w:firstLine="210" w:firstLineChars="100"/>
              <w:jc w:val="both"/>
              <w:rPr>
                <w:rFonts w:hint="eastAsia" w:ascii="宋体" w:hAnsi="宋体" w:cs="宋体"/>
                <w:color w:val="auto"/>
                <w:szCs w:val="21"/>
                <w:highlight w:val="none"/>
              </w:rPr>
            </w:pPr>
            <w:r>
              <w:rPr>
                <w:rFonts w:hint="eastAsia" w:ascii="宋体" w:hAnsi="宋体" w:cs="宋体"/>
                <w:color w:val="auto"/>
                <w:szCs w:val="21"/>
                <w:highlight w:val="none"/>
              </w:rPr>
              <w:t>岗  位</w:t>
            </w:r>
          </w:p>
        </w:tc>
        <w:tc>
          <w:tcPr>
            <w:tcW w:w="912" w:type="dxa"/>
            <w:tcBorders>
              <w:top w:val="single" w:color="auto" w:sz="8" w:space="0"/>
              <w:left w:val="single" w:color="auto" w:sz="8" w:space="0"/>
              <w:bottom w:val="single" w:color="auto" w:sz="8" w:space="0"/>
              <w:right w:val="single" w:color="auto" w:sz="8" w:space="0"/>
            </w:tcBorders>
            <w:noWrap w:val="0"/>
            <w:vAlign w:val="center"/>
          </w:tcPr>
          <w:p w14:paraId="0E39C0FB">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925" w:type="dxa"/>
            <w:tcBorders>
              <w:top w:val="single" w:color="auto" w:sz="8" w:space="0"/>
              <w:left w:val="single" w:color="auto" w:sz="8" w:space="0"/>
              <w:bottom w:val="single" w:color="auto" w:sz="8" w:space="0"/>
              <w:right w:val="single" w:color="auto" w:sz="8" w:space="0"/>
            </w:tcBorders>
            <w:noWrap w:val="0"/>
            <w:vAlign w:val="center"/>
          </w:tcPr>
          <w:p w14:paraId="4CB26B00">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763" w:type="dxa"/>
            <w:tcBorders>
              <w:top w:val="single" w:color="auto" w:sz="8" w:space="0"/>
              <w:left w:val="single" w:color="auto" w:sz="8" w:space="0"/>
              <w:bottom w:val="single" w:color="auto" w:sz="8" w:space="0"/>
              <w:right w:val="single" w:color="auto" w:sz="8" w:space="0"/>
            </w:tcBorders>
            <w:noWrap w:val="0"/>
            <w:vAlign w:val="center"/>
          </w:tcPr>
          <w:p w14:paraId="4EE8FDB8">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300" w:type="dxa"/>
            <w:tcBorders>
              <w:top w:val="single" w:color="auto" w:sz="8" w:space="0"/>
              <w:left w:val="single" w:color="auto" w:sz="8" w:space="0"/>
              <w:bottom w:val="single" w:color="auto" w:sz="8" w:space="0"/>
              <w:right w:val="single" w:color="auto" w:sz="8" w:space="0"/>
            </w:tcBorders>
            <w:noWrap w:val="0"/>
            <w:vAlign w:val="center"/>
          </w:tcPr>
          <w:p w14:paraId="20FC9D15">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职称与证书</w:t>
            </w:r>
          </w:p>
        </w:tc>
        <w:tc>
          <w:tcPr>
            <w:tcW w:w="1566" w:type="dxa"/>
            <w:tcBorders>
              <w:top w:val="single" w:color="auto" w:sz="8" w:space="0"/>
              <w:left w:val="single" w:color="auto" w:sz="8" w:space="0"/>
              <w:bottom w:val="single" w:color="auto" w:sz="8" w:space="0"/>
              <w:right w:val="single" w:color="auto" w:sz="8" w:space="0"/>
            </w:tcBorders>
            <w:noWrap w:val="0"/>
            <w:vAlign w:val="center"/>
          </w:tcPr>
          <w:p w14:paraId="200A62E1">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安排上岗起止时间</w:t>
            </w:r>
          </w:p>
        </w:tc>
        <w:tc>
          <w:tcPr>
            <w:tcW w:w="1232" w:type="dxa"/>
            <w:tcBorders>
              <w:top w:val="single" w:color="auto" w:sz="8" w:space="0"/>
              <w:left w:val="single" w:color="auto" w:sz="8" w:space="0"/>
              <w:bottom w:val="single" w:color="auto" w:sz="8" w:space="0"/>
              <w:right w:val="single" w:color="auto" w:sz="8" w:space="0"/>
            </w:tcBorders>
            <w:noWrap w:val="0"/>
            <w:vAlign w:val="center"/>
          </w:tcPr>
          <w:p w14:paraId="006010B6">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D24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0EEC6288">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64864CDC">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76400618">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33703524">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5E824761">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7E752A83">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62DDAA26">
            <w:pPr>
              <w:pStyle w:val="17"/>
              <w:shd w:val="clear"/>
              <w:spacing w:line="360" w:lineRule="auto"/>
              <w:ind w:left="5250"/>
              <w:rPr>
                <w:rFonts w:hint="eastAsia" w:ascii="宋体" w:eastAsia="宋体" w:cs="宋体"/>
                <w:color w:val="auto"/>
                <w:sz w:val="21"/>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52883817">
            <w:pPr>
              <w:shd w:val="clear"/>
              <w:spacing w:line="360" w:lineRule="auto"/>
              <w:rPr>
                <w:rFonts w:hint="eastAsia" w:ascii="宋体" w:hAnsi="宋体" w:cs="宋体"/>
                <w:color w:val="auto"/>
                <w:szCs w:val="21"/>
                <w:highlight w:val="none"/>
              </w:rPr>
            </w:pPr>
          </w:p>
        </w:tc>
      </w:tr>
      <w:tr w14:paraId="4A28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626EB739">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19120649">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06EC92DA">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1AC3A1E1">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7E44777A">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2C9A5441">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3436DAA5">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053DBF9D">
            <w:pPr>
              <w:shd w:val="clear"/>
              <w:spacing w:line="360" w:lineRule="auto"/>
              <w:rPr>
                <w:rFonts w:hint="eastAsia" w:ascii="宋体" w:hAnsi="宋体" w:cs="宋体"/>
                <w:color w:val="auto"/>
                <w:szCs w:val="21"/>
                <w:highlight w:val="none"/>
              </w:rPr>
            </w:pPr>
          </w:p>
        </w:tc>
      </w:tr>
      <w:tr w14:paraId="1C5B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101200DE">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11EE0D4B">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1AD9BC73">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33C1FD37">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57CDEC74">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20F64060">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3974E00F">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56E6418D">
            <w:pPr>
              <w:shd w:val="clear"/>
              <w:spacing w:line="360" w:lineRule="auto"/>
              <w:rPr>
                <w:rFonts w:hint="eastAsia" w:ascii="宋体" w:hAnsi="宋体" w:cs="宋体"/>
                <w:color w:val="auto"/>
                <w:szCs w:val="21"/>
                <w:highlight w:val="none"/>
              </w:rPr>
            </w:pPr>
          </w:p>
        </w:tc>
      </w:tr>
      <w:tr w14:paraId="6CEE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4BB77727">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08ABE7FB">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59FD80D5">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4037522E">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56B8C64F">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555D5B0D">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670EB6FD">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5D63607B">
            <w:pPr>
              <w:shd w:val="clear"/>
              <w:spacing w:line="360" w:lineRule="auto"/>
              <w:rPr>
                <w:rFonts w:hint="eastAsia" w:ascii="宋体" w:hAnsi="宋体" w:cs="宋体"/>
                <w:color w:val="auto"/>
                <w:szCs w:val="21"/>
                <w:highlight w:val="none"/>
              </w:rPr>
            </w:pPr>
          </w:p>
        </w:tc>
      </w:tr>
      <w:tr w14:paraId="4536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701AF3E1">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51CB3CE4">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1F330831">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037D7700">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2BA009EA">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25326C26">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56BDFC6E">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2D4F1542">
            <w:pPr>
              <w:shd w:val="clear"/>
              <w:spacing w:line="360" w:lineRule="auto"/>
              <w:rPr>
                <w:rFonts w:hint="eastAsia" w:ascii="宋体" w:hAnsi="宋体" w:cs="宋体"/>
                <w:color w:val="auto"/>
                <w:szCs w:val="21"/>
                <w:highlight w:val="none"/>
              </w:rPr>
            </w:pPr>
          </w:p>
        </w:tc>
      </w:tr>
      <w:tr w14:paraId="6036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4924A1F2">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7CACD529">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1A3678FE">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7BEB035A">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0F18DAFE">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5E65362C">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65568462">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235D7EC0">
            <w:pPr>
              <w:shd w:val="clear"/>
              <w:spacing w:line="360" w:lineRule="auto"/>
              <w:rPr>
                <w:rFonts w:hint="eastAsia" w:ascii="宋体" w:hAnsi="宋体" w:cs="宋体"/>
                <w:color w:val="auto"/>
                <w:szCs w:val="21"/>
                <w:highlight w:val="none"/>
              </w:rPr>
            </w:pPr>
          </w:p>
        </w:tc>
      </w:tr>
      <w:tr w14:paraId="130F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41646049">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5F364EE8">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58850E41">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37A04660">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2FBC7647">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5BB7FE83">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11E3240A">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021B0C42">
            <w:pPr>
              <w:shd w:val="clear"/>
              <w:spacing w:line="360" w:lineRule="auto"/>
              <w:rPr>
                <w:rFonts w:hint="eastAsia" w:ascii="宋体" w:hAnsi="宋体" w:cs="宋体"/>
                <w:color w:val="auto"/>
                <w:szCs w:val="21"/>
                <w:highlight w:val="none"/>
              </w:rPr>
            </w:pPr>
          </w:p>
        </w:tc>
      </w:tr>
      <w:tr w14:paraId="0FDF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4DFA75CA">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4F2F9578">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00297DF7">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4D81AF35">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174D2B8A">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48D3B222">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590D8F89">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10CC7EE5">
            <w:pPr>
              <w:shd w:val="clear"/>
              <w:spacing w:line="360" w:lineRule="auto"/>
              <w:rPr>
                <w:rFonts w:hint="eastAsia" w:ascii="宋体" w:hAnsi="宋体" w:cs="宋体"/>
                <w:color w:val="auto"/>
                <w:szCs w:val="21"/>
                <w:highlight w:val="none"/>
              </w:rPr>
            </w:pPr>
          </w:p>
        </w:tc>
      </w:tr>
      <w:tr w14:paraId="2192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38A358F2">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1AD8081B">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7DF24368">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1A88C5B5">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78B27D79">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1BC8938B">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5E5BE556">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2407A88B">
            <w:pPr>
              <w:shd w:val="clear"/>
              <w:spacing w:line="360" w:lineRule="auto"/>
              <w:rPr>
                <w:rFonts w:hint="eastAsia" w:ascii="宋体" w:hAnsi="宋体" w:cs="宋体"/>
                <w:color w:val="auto"/>
                <w:szCs w:val="21"/>
                <w:highlight w:val="none"/>
              </w:rPr>
            </w:pPr>
          </w:p>
        </w:tc>
      </w:tr>
      <w:tr w14:paraId="3422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59" w:type="dxa"/>
            <w:gridSpan w:val="8"/>
            <w:tcBorders>
              <w:top w:val="single" w:color="auto" w:sz="8" w:space="0"/>
              <w:left w:val="single" w:color="auto" w:sz="8" w:space="0"/>
              <w:bottom w:val="single" w:color="auto" w:sz="8" w:space="0"/>
              <w:right w:val="single" w:color="auto" w:sz="8" w:space="0"/>
            </w:tcBorders>
            <w:noWrap w:val="0"/>
            <w:vAlign w:val="center"/>
          </w:tcPr>
          <w:p w14:paraId="64B588D9">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tc>
      </w:tr>
    </w:tbl>
    <w:p w14:paraId="3AA46F03">
      <w:pPr>
        <w:shd w:val="clea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14:paraId="21F31749">
      <w:pPr>
        <w:pStyle w:val="2"/>
        <w:shd w:val="clear"/>
        <w:adjustRightInd w:val="0"/>
        <w:snapToGrid w:val="0"/>
        <w:spacing w:after="0" w:line="440" w:lineRule="exact"/>
        <w:rPr>
          <w:rFonts w:hint="eastAsia"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C79D469">
      <w:pPr>
        <w:shd w:val="clea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56FF43D6">
      <w:pPr>
        <w:shd w:val="clear"/>
        <w:adjustRightInd w:val="0"/>
        <w:snapToGrid w:val="0"/>
        <w:spacing w:line="440" w:lineRule="exact"/>
        <w:rPr>
          <w:rFonts w:hint="eastAsia" w:ascii="宋体" w:hAnsi="宋体" w:cs="宋体"/>
          <w:bCs/>
          <w:color w:val="auto"/>
          <w:szCs w:val="21"/>
          <w:highlight w:val="none"/>
        </w:rPr>
      </w:pPr>
    </w:p>
    <w:p w14:paraId="53EE9F85">
      <w:pPr>
        <w:shd w:val="clea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注：按评分标准细则提供。</w:t>
      </w:r>
    </w:p>
    <w:p w14:paraId="49CF8D26">
      <w:pPr>
        <w:shd w:val="clear"/>
        <w:ind w:firstLine="482" w:firstLineChars="200"/>
        <w:rPr>
          <w:rFonts w:hint="eastAsia" w:ascii="宋体" w:hAnsi="宋体" w:cs="宋体"/>
          <w:b/>
          <w:color w:val="auto"/>
          <w:sz w:val="24"/>
          <w:highlight w:val="none"/>
          <w:shd w:val="clear" w:color="auto" w:fill="FFFF00"/>
        </w:rPr>
      </w:pPr>
    </w:p>
    <w:p w14:paraId="5B376034">
      <w:pPr>
        <w:shd w:val="clear"/>
        <w:ind w:firstLine="482" w:firstLineChars="200"/>
        <w:rPr>
          <w:rFonts w:hint="eastAsia" w:ascii="宋体" w:hAnsi="宋体" w:cs="宋体"/>
          <w:b/>
          <w:color w:val="auto"/>
          <w:sz w:val="24"/>
          <w:highlight w:val="none"/>
          <w:shd w:val="clear" w:color="auto" w:fill="FFFF00"/>
        </w:rPr>
      </w:pPr>
    </w:p>
    <w:p w14:paraId="35EA5072">
      <w:pPr>
        <w:shd w:val="clear"/>
        <w:ind w:firstLine="482" w:firstLineChars="200"/>
        <w:rPr>
          <w:rFonts w:hint="eastAsia" w:ascii="宋体" w:hAnsi="宋体" w:cs="宋体"/>
          <w:b/>
          <w:color w:val="auto"/>
          <w:sz w:val="24"/>
          <w:highlight w:val="none"/>
          <w:shd w:val="clear" w:color="auto" w:fill="FFFF00"/>
        </w:rPr>
      </w:pPr>
    </w:p>
    <w:p w14:paraId="470F54B9">
      <w:pPr>
        <w:shd w:val="clear"/>
        <w:ind w:firstLine="482" w:firstLineChars="200"/>
        <w:rPr>
          <w:rFonts w:hint="eastAsia" w:ascii="宋体" w:hAnsi="宋体" w:cs="宋体"/>
          <w:b/>
          <w:color w:val="auto"/>
          <w:sz w:val="24"/>
          <w:highlight w:val="none"/>
          <w:shd w:val="clear" w:color="auto" w:fill="FFFF00"/>
        </w:rPr>
      </w:pPr>
    </w:p>
    <w:p w14:paraId="388C5FB4">
      <w:pPr>
        <w:shd w:val="clear"/>
        <w:adjustRightInd w:val="0"/>
        <w:snapToGrid w:val="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、项目负责人一览表</w:t>
      </w:r>
    </w:p>
    <w:p w14:paraId="0549B2C2">
      <w:pPr>
        <w:shd w:val="clear"/>
        <w:adjustRightInd w:val="0"/>
        <w:snapToGrid w:val="0"/>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项目负责人一览表</w:t>
      </w:r>
    </w:p>
    <w:p w14:paraId="3562523B">
      <w:pPr>
        <w:shd w:val="clear"/>
        <w:spacing w:line="360" w:lineRule="auto"/>
        <w:ind w:right="658"/>
        <w:rPr>
          <w:rFonts w:hint="eastAsia" w:ascii="宋体" w:hAnsi="宋体" w:cs="宋体"/>
          <w:color w:val="auto"/>
          <w:sz w:val="24"/>
          <w:highlight w:val="none"/>
        </w:rPr>
      </w:pPr>
    </w:p>
    <w:p w14:paraId="5446B5E0">
      <w:pPr>
        <w:shd w:val="clear"/>
        <w:spacing w:line="360" w:lineRule="auto"/>
        <w:ind w:right="658"/>
        <w:rPr>
          <w:rFonts w:hint="eastAsia" w:ascii="宋体" w:hAnsi="宋体" w:cs="宋体"/>
          <w:color w:val="auto"/>
          <w:sz w:val="24"/>
          <w:highlight w:val="none"/>
          <w:u w:val="single"/>
        </w:rPr>
      </w:pPr>
      <w:r>
        <w:rPr>
          <w:rFonts w:hint="eastAsia" w:ascii="宋体" w:hAnsi="宋体" w:cs="宋体"/>
          <w:color w:val="auto"/>
          <w:sz w:val="24"/>
          <w:highlight w:val="none"/>
        </w:rPr>
        <w:t>项目名称：                项目编号：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1934"/>
        <w:gridCol w:w="15"/>
      </w:tblGrid>
      <w:tr w14:paraId="38CE6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121655BD">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0"/>
            <w:vAlign w:val="center"/>
          </w:tcPr>
          <w:p w14:paraId="16843B2E">
            <w:pPr>
              <w:shd w:val="clear"/>
              <w:jc w:val="center"/>
              <w:rPr>
                <w:rFonts w:hint="eastAsia" w:ascii="宋体" w:hAnsi="宋体" w:cs="宋体"/>
                <w:color w:val="auto"/>
                <w:sz w:val="21"/>
                <w:szCs w:val="21"/>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46B7E95B">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380CFAAD">
            <w:pPr>
              <w:shd w:val="clear"/>
              <w:jc w:val="center"/>
              <w:rPr>
                <w:rFonts w:hint="eastAsia" w:ascii="宋体" w:hAnsi="宋体" w:cs="宋体"/>
                <w:color w:val="auto"/>
                <w:sz w:val="21"/>
                <w:szCs w:val="21"/>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04B159C0">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年龄</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7E0CE788">
            <w:pPr>
              <w:shd w:val="clear"/>
              <w:jc w:val="center"/>
              <w:rPr>
                <w:rFonts w:hint="eastAsia" w:ascii="宋体" w:hAnsi="宋体" w:cs="宋体"/>
                <w:color w:val="auto"/>
                <w:sz w:val="21"/>
                <w:szCs w:val="21"/>
                <w:highlight w:val="none"/>
              </w:rPr>
            </w:pPr>
          </w:p>
        </w:tc>
      </w:tr>
      <w:tr w14:paraId="6764F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4BB35195">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0"/>
            <w:vAlign w:val="center"/>
          </w:tcPr>
          <w:p w14:paraId="0A6DA3B2">
            <w:pPr>
              <w:shd w:val="clear"/>
              <w:jc w:val="center"/>
              <w:rPr>
                <w:rFonts w:hint="eastAsia" w:ascii="宋体" w:hAnsi="宋体" w:cs="宋体"/>
                <w:color w:val="auto"/>
                <w:sz w:val="21"/>
                <w:szCs w:val="21"/>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0BC831BE">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28DF0D9A">
            <w:pPr>
              <w:shd w:val="clear"/>
              <w:jc w:val="center"/>
              <w:rPr>
                <w:rFonts w:hint="eastAsia" w:ascii="宋体" w:hAnsi="宋体" w:cs="宋体"/>
                <w:color w:val="auto"/>
                <w:sz w:val="21"/>
                <w:szCs w:val="21"/>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2F8AEC6E">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学历</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27C3F42B">
            <w:pPr>
              <w:shd w:val="clear"/>
              <w:jc w:val="center"/>
              <w:rPr>
                <w:rFonts w:hint="eastAsia" w:ascii="宋体" w:hAnsi="宋体" w:cs="宋体"/>
                <w:color w:val="auto"/>
                <w:sz w:val="21"/>
                <w:szCs w:val="21"/>
                <w:highlight w:val="none"/>
              </w:rPr>
            </w:pPr>
          </w:p>
        </w:tc>
      </w:tr>
      <w:tr w14:paraId="731F6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0"/>
            <w:vAlign w:val="center"/>
          </w:tcPr>
          <w:p w14:paraId="02A38A90">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0"/>
            <w:vAlign w:val="center"/>
          </w:tcPr>
          <w:p w14:paraId="5642A65D">
            <w:pPr>
              <w:shd w:val="clear"/>
              <w:jc w:val="center"/>
              <w:rPr>
                <w:rFonts w:hint="eastAsia" w:ascii="宋体" w:hAnsi="宋体" w:cs="宋体"/>
                <w:color w:val="auto"/>
                <w:sz w:val="21"/>
                <w:szCs w:val="21"/>
                <w:highlight w:val="none"/>
              </w:rPr>
            </w:pPr>
          </w:p>
        </w:tc>
        <w:tc>
          <w:tcPr>
            <w:tcW w:w="2370" w:type="dxa"/>
            <w:gridSpan w:val="3"/>
            <w:tcBorders>
              <w:top w:val="single" w:color="auto" w:sz="4" w:space="0"/>
              <w:left w:val="single" w:color="auto" w:sz="4" w:space="0"/>
              <w:bottom w:val="single" w:color="auto" w:sz="4" w:space="0"/>
              <w:right w:val="single" w:color="auto" w:sz="4" w:space="0"/>
            </w:tcBorders>
            <w:noWrap w:val="0"/>
            <w:vAlign w:val="center"/>
          </w:tcPr>
          <w:p w14:paraId="2A8CD578">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担任项目负责人年限</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291F0E85">
            <w:pPr>
              <w:shd w:val="clear"/>
              <w:jc w:val="center"/>
              <w:rPr>
                <w:rFonts w:hint="eastAsia" w:ascii="宋体" w:hAnsi="宋体" w:cs="宋体"/>
                <w:color w:val="auto"/>
                <w:sz w:val="21"/>
                <w:szCs w:val="21"/>
                <w:highlight w:val="none"/>
              </w:rPr>
            </w:pPr>
          </w:p>
        </w:tc>
      </w:tr>
      <w:tr w14:paraId="05F8A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0"/>
            <w:vAlign w:val="center"/>
          </w:tcPr>
          <w:p w14:paraId="22905D16">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资格证书名称、编号</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14:paraId="03D9DBC6">
            <w:pPr>
              <w:shd w:val="clear"/>
              <w:jc w:val="center"/>
              <w:rPr>
                <w:rFonts w:hint="eastAsia" w:ascii="宋体" w:hAnsi="宋体" w:cs="宋体"/>
                <w:color w:val="auto"/>
                <w:sz w:val="21"/>
                <w:szCs w:val="21"/>
                <w:highlight w:val="none"/>
              </w:rPr>
            </w:pPr>
          </w:p>
        </w:tc>
      </w:tr>
      <w:tr w14:paraId="09B33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1"/>
            <w:tcBorders>
              <w:top w:val="single" w:color="auto" w:sz="4" w:space="0"/>
              <w:left w:val="single" w:color="auto" w:sz="4" w:space="0"/>
              <w:bottom w:val="single" w:color="auto" w:sz="4" w:space="0"/>
              <w:right w:val="single" w:color="auto" w:sz="4" w:space="0"/>
            </w:tcBorders>
            <w:noWrap w:val="0"/>
            <w:vAlign w:val="center"/>
          </w:tcPr>
          <w:p w14:paraId="7C0915B0">
            <w:pPr>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同类项目业绩情况</w:t>
            </w:r>
          </w:p>
        </w:tc>
      </w:tr>
      <w:tr w14:paraId="25AB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24D4BCD8">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业主</w:t>
            </w:r>
            <w:r>
              <w:rPr>
                <w:rFonts w:hint="eastAsia" w:ascii="宋体" w:hAnsi="宋体" w:cs="宋体"/>
                <w:color w:val="auto"/>
                <w:sz w:val="21"/>
                <w:szCs w:val="21"/>
                <w:highlight w:val="none"/>
              </w:rPr>
              <w:t>单位</w:t>
            </w: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12593285">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0EFB2435">
            <w:pPr>
              <w:shd w:val="clea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0EFF51E9">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4E14A297">
            <w:pPr>
              <w:shd w:val="clea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备注</w:t>
            </w:r>
          </w:p>
        </w:tc>
      </w:tr>
      <w:tr w14:paraId="241D2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4B38DBBB">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7FAAEE5D">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6CA6223D">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01A21825">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51C5D798">
            <w:pPr>
              <w:shd w:val="clear"/>
              <w:jc w:val="center"/>
              <w:rPr>
                <w:rFonts w:hint="eastAsia" w:ascii="宋体" w:hAnsi="宋体" w:cs="宋体"/>
                <w:color w:val="auto"/>
                <w:sz w:val="21"/>
                <w:szCs w:val="21"/>
                <w:highlight w:val="none"/>
              </w:rPr>
            </w:pPr>
          </w:p>
        </w:tc>
      </w:tr>
      <w:tr w14:paraId="47BC6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30F40318">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4497C369">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0406A4AF">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675535C4">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2CB3697E">
            <w:pPr>
              <w:shd w:val="clear"/>
              <w:jc w:val="center"/>
              <w:rPr>
                <w:rFonts w:hint="eastAsia" w:ascii="宋体" w:hAnsi="宋体" w:cs="宋体"/>
                <w:color w:val="auto"/>
                <w:sz w:val="21"/>
                <w:szCs w:val="21"/>
                <w:highlight w:val="none"/>
              </w:rPr>
            </w:pPr>
          </w:p>
        </w:tc>
      </w:tr>
      <w:tr w14:paraId="4B961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040AA83D">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4DA9F5DC">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3B85493B">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66255127">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0DA899B4">
            <w:pPr>
              <w:shd w:val="clear"/>
              <w:jc w:val="center"/>
              <w:rPr>
                <w:rFonts w:hint="eastAsia" w:ascii="宋体" w:hAnsi="宋体" w:cs="宋体"/>
                <w:color w:val="auto"/>
                <w:sz w:val="21"/>
                <w:szCs w:val="21"/>
                <w:highlight w:val="none"/>
              </w:rPr>
            </w:pPr>
          </w:p>
        </w:tc>
      </w:tr>
      <w:tr w14:paraId="1B301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6A79447B">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3382C6E5">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5BD17532">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6BE09B65">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1BE7D3A3">
            <w:pPr>
              <w:shd w:val="clear"/>
              <w:jc w:val="center"/>
              <w:rPr>
                <w:rFonts w:hint="eastAsia" w:ascii="宋体" w:hAnsi="宋体" w:cs="宋体"/>
                <w:color w:val="auto"/>
                <w:sz w:val="21"/>
                <w:szCs w:val="21"/>
                <w:highlight w:val="none"/>
              </w:rPr>
            </w:pPr>
          </w:p>
        </w:tc>
      </w:tr>
      <w:tr w14:paraId="62325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78B6B64F">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6948A7CD">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5BA1E9AC">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3374CC4D">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088E9BD9">
            <w:pPr>
              <w:shd w:val="clear"/>
              <w:jc w:val="center"/>
              <w:rPr>
                <w:rFonts w:hint="eastAsia" w:ascii="宋体" w:hAnsi="宋体" w:cs="宋体"/>
                <w:color w:val="auto"/>
                <w:sz w:val="21"/>
                <w:szCs w:val="21"/>
                <w:highlight w:val="none"/>
              </w:rPr>
            </w:pPr>
          </w:p>
        </w:tc>
      </w:tr>
      <w:tr w14:paraId="36D60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2EB3708C">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4A11C23F">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0323A144">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0534BE4A">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32FA654C">
            <w:pPr>
              <w:shd w:val="clear"/>
              <w:jc w:val="center"/>
              <w:rPr>
                <w:rFonts w:hint="eastAsia" w:ascii="宋体" w:hAnsi="宋体" w:cs="宋体"/>
                <w:color w:val="auto"/>
                <w:sz w:val="21"/>
                <w:szCs w:val="21"/>
                <w:highlight w:val="none"/>
              </w:rPr>
            </w:pPr>
          </w:p>
        </w:tc>
      </w:tr>
    </w:tbl>
    <w:p w14:paraId="59EC1259">
      <w:pPr>
        <w:shd w:val="clear"/>
        <w:snapToGrid w:val="0"/>
        <w:spacing w:line="440" w:lineRule="exact"/>
        <w:rPr>
          <w:rFonts w:hint="eastAsia" w:ascii="宋体" w:hAnsi="宋体" w:cs="宋体"/>
          <w:color w:val="auto"/>
          <w:szCs w:val="21"/>
          <w:highlight w:val="none"/>
        </w:rPr>
      </w:pPr>
    </w:p>
    <w:p w14:paraId="14F94BD2">
      <w:pPr>
        <w:shd w:val="clea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14:paraId="3BD9520A">
      <w:pPr>
        <w:pStyle w:val="2"/>
        <w:shd w:val="clear"/>
        <w:adjustRightInd w:val="0"/>
        <w:snapToGrid w:val="0"/>
        <w:spacing w:after="0" w:line="440" w:lineRule="exact"/>
        <w:rPr>
          <w:rFonts w:hint="eastAsia"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FC0F8BA">
      <w:pPr>
        <w:shd w:val="clea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78625B76">
      <w:pPr>
        <w:shd w:val="clear"/>
        <w:adjustRightInd w:val="0"/>
        <w:snapToGrid w:val="0"/>
        <w:spacing w:line="440" w:lineRule="exact"/>
        <w:rPr>
          <w:rFonts w:hint="eastAsia" w:ascii="宋体" w:hAnsi="宋体" w:cs="宋体"/>
          <w:bCs/>
          <w:color w:val="auto"/>
          <w:szCs w:val="21"/>
          <w:highlight w:val="none"/>
        </w:rPr>
      </w:pPr>
    </w:p>
    <w:p w14:paraId="4C776AD0">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注：按评分要求提供。</w:t>
      </w:r>
    </w:p>
    <w:p w14:paraId="2DEF6C82">
      <w:pPr>
        <w:pStyle w:val="63"/>
        <w:shd w:val="clear"/>
        <w:rPr>
          <w:rFonts w:hint="eastAsia" w:ascii="宋体" w:hAnsi="宋体" w:cs="宋体"/>
          <w:color w:val="auto"/>
          <w:sz w:val="24"/>
          <w:highlight w:val="none"/>
        </w:rPr>
      </w:pPr>
    </w:p>
    <w:p w14:paraId="46B1EFAE">
      <w:pPr>
        <w:pStyle w:val="63"/>
        <w:shd w:val="clear"/>
        <w:rPr>
          <w:rFonts w:hint="eastAsia" w:ascii="宋体" w:hAnsi="宋体" w:cs="宋体"/>
          <w:color w:val="auto"/>
          <w:sz w:val="24"/>
          <w:highlight w:val="none"/>
        </w:rPr>
      </w:pPr>
    </w:p>
    <w:p w14:paraId="1315AC5C">
      <w:pPr>
        <w:pStyle w:val="63"/>
        <w:shd w:val="clear"/>
        <w:rPr>
          <w:rFonts w:hint="eastAsia" w:ascii="宋体" w:hAnsi="宋体" w:cs="宋体"/>
          <w:color w:val="auto"/>
          <w:sz w:val="24"/>
          <w:highlight w:val="none"/>
        </w:rPr>
      </w:pPr>
    </w:p>
    <w:p w14:paraId="56C328BA">
      <w:pPr>
        <w:pStyle w:val="63"/>
        <w:shd w:val="clear"/>
        <w:rPr>
          <w:rFonts w:hint="eastAsia" w:ascii="宋体" w:hAnsi="宋体" w:cs="宋体"/>
          <w:color w:val="auto"/>
          <w:sz w:val="24"/>
          <w:highlight w:val="none"/>
        </w:rPr>
      </w:pPr>
    </w:p>
    <w:p w14:paraId="28AD5E81">
      <w:pPr>
        <w:pStyle w:val="63"/>
        <w:shd w:val="clear"/>
        <w:rPr>
          <w:rFonts w:hint="eastAsia" w:ascii="宋体" w:hAnsi="宋体" w:cs="宋体"/>
          <w:color w:val="auto"/>
          <w:sz w:val="24"/>
          <w:highlight w:val="none"/>
        </w:rPr>
      </w:pPr>
    </w:p>
    <w:p w14:paraId="0129BAC4">
      <w:pPr>
        <w:shd w:val="clear"/>
        <w:adjustRightInd w:val="0"/>
        <w:snapToGrid w:val="0"/>
        <w:jc w:val="left"/>
        <w:rPr>
          <w:rFonts w:hint="eastAsia" w:ascii="宋体" w:hAnsi="宋体" w:cs="宋体"/>
          <w:color w:val="auto"/>
          <w:sz w:val="24"/>
          <w:highlight w:val="none"/>
        </w:rPr>
      </w:pPr>
    </w:p>
    <w:p w14:paraId="6CDDD8E1">
      <w:pPr>
        <w:shd w:val="clear"/>
        <w:adjustRightInd w:val="0"/>
        <w:snapToGrid w:val="0"/>
        <w:jc w:val="left"/>
        <w:rPr>
          <w:rFonts w:hint="eastAsia" w:ascii="宋体" w:hAnsi="宋体" w:cs="宋体"/>
          <w:color w:val="auto"/>
          <w:sz w:val="24"/>
          <w:highlight w:val="none"/>
        </w:rPr>
      </w:pPr>
    </w:p>
    <w:p w14:paraId="034ADBF4">
      <w:pPr>
        <w:pStyle w:val="5"/>
        <w:shd w:val="clear"/>
        <w:jc w:val="center"/>
        <w:rPr>
          <w:rFonts w:hint="eastAsia" w:ascii="宋体" w:hAnsi="宋体" w:eastAsia="宋体" w:cs="宋体"/>
          <w:color w:val="auto"/>
          <w:sz w:val="28"/>
          <w:szCs w:val="28"/>
          <w:highlight w:val="none"/>
        </w:rPr>
      </w:pPr>
      <w:bookmarkStart w:id="205" w:name="_Toc14504"/>
      <w:bookmarkStart w:id="206" w:name="_Toc30195"/>
      <w:bookmarkStart w:id="207" w:name="_Toc13626"/>
      <w:bookmarkStart w:id="208" w:name="_Toc15923"/>
      <w:bookmarkStart w:id="209" w:name="_Toc4910"/>
      <w:bookmarkStart w:id="210" w:name="_Toc5232"/>
      <w:bookmarkStart w:id="211" w:name="_Toc95211199"/>
      <w:r>
        <w:rPr>
          <w:rFonts w:hint="eastAsia" w:ascii="宋体" w:hAnsi="宋体" w:eastAsia="宋体" w:cs="宋体"/>
          <w:color w:val="auto"/>
          <w:sz w:val="28"/>
          <w:szCs w:val="28"/>
          <w:highlight w:val="none"/>
        </w:rPr>
        <w:t>三、报价文件格式</w:t>
      </w:r>
      <w:bookmarkEnd w:id="205"/>
      <w:bookmarkEnd w:id="206"/>
      <w:bookmarkEnd w:id="207"/>
      <w:bookmarkEnd w:id="208"/>
      <w:bookmarkEnd w:id="209"/>
      <w:bookmarkEnd w:id="210"/>
      <w:bookmarkEnd w:id="211"/>
    </w:p>
    <w:p w14:paraId="61A4D32F">
      <w:pPr>
        <w:shd w:val="clear"/>
        <w:adjustRightInd w:val="0"/>
        <w:snapToGrid w:val="0"/>
        <w:rPr>
          <w:rFonts w:hint="eastAsia" w:ascii="宋体" w:hAnsi="宋体" w:cs="宋体"/>
          <w:bCs/>
          <w:color w:val="auto"/>
          <w:sz w:val="24"/>
          <w:highlight w:val="none"/>
        </w:rPr>
      </w:pPr>
    </w:p>
    <w:p w14:paraId="53F38DEB">
      <w:pPr>
        <w:shd w:val="clear"/>
        <w:adjustRightInd w:val="0"/>
        <w:snapToGrid w:val="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报价文件封面格式</w:t>
      </w:r>
    </w:p>
    <w:p w14:paraId="411774E0">
      <w:pPr>
        <w:shd w:val="clear"/>
        <w:adjustRightInd w:val="0"/>
        <w:snapToGrid w:val="0"/>
        <w:rPr>
          <w:rFonts w:hint="eastAsia" w:ascii="宋体" w:hAnsi="宋体" w:cs="宋体"/>
          <w:b/>
          <w:bCs/>
          <w:color w:val="auto"/>
          <w:sz w:val="24"/>
          <w:highlight w:val="none"/>
        </w:rPr>
      </w:pPr>
      <w:r>
        <w:rPr>
          <w:rFonts w:hint="eastAsia" w:ascii="宋体" w:hAnsi="宋体" w:cs="宋体"/>
          <w:color w:val="auto"/>
          <w:sz w:val="24"/>
          <w:highlight w:val="none"/>
        </w:rPr>
        <w:t xml:space="preserve">                                                         </w:t>
      </w:r>
    </w:p>
    <w:p w14:paraId="437782A8">
      <w:pPr>
        <w:shd w:val="clea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25B7D244">
      <w:pPr>
        <w:shd w:val="clear"/>
        <w:adjustRightInd w:val="0"/>
        <w:snapToGrid w:val="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报价文件</w:t>
      </w:r>
    </w:p>
    <w:p w14:paraId="412F415A">
      <w:pPr>
        <w:shd w:val="clear"/>
        <w:adjustRightInd w:val="0"/>
        <w:snapToGrid w:val="0"/>
        <w:ind w:left="2245" w:leftChars="513" w:hanging="1168" w:hangingChars="487"/>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1DF2DAAA">
      <w:pPr>
        <w:shd w:val="clear"/>
        <w:adjustRightInd w:val="0"/>
        <w:snapToGrid w:val="0"/>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项目编号： </w:t>
      </w:r>
    </w:p>
    <w:p w14:paraId="0586F264">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8F8EE50">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投标人地址：</w:t>
      </w:r>
    </w:p>
    <w:p w14:paraId="11364A7C">
      <w:pPr>
        <w:shd w:val="clear"/>
        <w:adjustRightInd w:val="0"/>
        <w:snapToGrid w:val="0"/>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授权代表签名或盖章：</w:t>
      </w:r>
    </w:p>
    <w:p w14:paraId="543B7F01">
      <w:pPr>
        <w:shd w:val="clear"/>
        <w:adjustRightInd w:val="0"/>
        <w:snapToGrid w:val="0"/>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036F3A08">
      <w:pPr>
        <w:shd w:val="clear"/>
        <w:spacing w:line="540" w:lineRule="exact"/>
        <w:rPr>
          <w:rFonts w:hint="eastAsia" w:ascii="宋体" w:hAnsi="宋体" w:cs="宋体"/>
          <w:color w:val="auto"/>
          <w:sz w:val="32"/>
          <w:szCs w:val="32"/>
          <w:highlight w:val="none"/>
        </w:rPr>
      </w:pPr>
    </w:p>
    <w:p w14:paraId="5CEF66C4">
      <w:pPr>
        <w:shd w:val="clear"/>
        <w:adjustRightInd w:val="0"/>
        <w:snapToGrid w:val="0"/>
        <w:rPr>
          <w:rFonts w:hint="eastAsia" w:ascii="宋体" w:hAnsi="宋体" w:cs="宋体"/>
          <w:color w:val="auto"/>
          <w:sz w:val="24"/>
          <w:highlight w:val="none"/>
        </w:rPr>
      </w:pPr>
    </w:p>
    <w:p w14:paraId="188DD3A8">
      <w:pPr>
        <w:shd w:val="clear"/>
        <w:adjustRightInd w:val="0"/>
        <w:snapToGrid w:val="0"/>
        <w:rPr>
          <w:rFonts w:hint="eastAsia" w:ascii="宋体" w:hAnsi="宋体" w:cs="宋体"/>
          <w:color w:val="auto"/>
          <w:sz w:val="24"/>
          <w:highlight w:val="none"/>
        </w:rPr>
      </w:pPr>
    </w:p>
    <w:p w14:paraId="1AA9E539">
      <w:pPr>
        <w:shd w:val="clear"/>
        <w:adjustRightInd w:val="0"/>
        <w:snapToGrid w:val="0"/>
        <w:rPr>
          <w:rFonts w:hint="eastAsia" w:ascii="宋体" w:hAnsi="宋体" w:cs="宋体"/>
          <w:color w:val="auto"/>
          <w:sz w:val="24"/>
          <w:highlight w:val="none"/>
        </w:rPr>
      </w:pPr>
    </w:p>
    <w:p w14:paraId="433BE44E">
      <w:pPr>
        <w:shd w:val="clear"/>
        <w:adjustRightInd w:val="0"/>
        <w:snapToGrid w:val="0"/>
        <w:rPr>
          <w:rFonts w:hint="eastAsia" w:ascii="宋体" w:hAnsi="宋体" w:cs="宋体"/>
          <w:color w:val="auto"/>
          <w:sz w:val="24"/>
          <w:highlight w:val="none"/>
        </w:rPr>
      </w:pPr>
    </w:p>
    <w:p w14:paraId="0B19CF73">
      <w:pPr>
        <w:shd w:val="clear"/>
        <w:adjustRightInd w:val="0"/>
        <w:snapToGrid w:val="0"/>
        <w:rPr>
          <w:rFonts w:hint="eastAsia" w:ascii="宋体" w:hAnsi="宋体" w:cs="宋体"/>
          <w:color w:val="auto"/>
          <w:sz w:val="24"/>
          <w:highlight w:val="none"/>
        </w:rPr>
      </w:pPr>
    </w:p>
    <w:p w14:paraId="61310F1C">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2、目录</w:t>
      </w:r>
    </w:p>
    <w:p w14:paraId="14965473">
      <w:pPr>
        <w:shd w:val="clea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报价文件：</w:t>
      </w:r>
    </w:p>
    <w:p w14:paraId="060625C5">
      <w:pPr>
        <w:numPr>
          <w:ilvl w:val="0"/>
          <w:numId w:val="7"/>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开标一览表</w:t>
      </w:r>
      <w:r>
        <w:rPr>
          <w:rFonts w:hint="eastAsia" w:ascii="宋体" w:hAnsi="宋体" w:cs="宋体"/>
          <w:szCs w:val="21"/>
          <w:highlight w:val="none"/>
          <w:lang w:eastAsia="zh-CN"/>
        </w:rPr>
        <w:t>（</w:t>
      </w:r>
      <w:r>
        <w:rPr>
          <w:rFonts w:hint="eastAsia" w:ascii="宋体" w:hAnsi="宋体" w:cs="宋体"/>
          <w:szCs w:val="21"/>
          <w:highlight w:val="none"/>
          <w:lang w:val="en-US" w:eastAsia="zh-CN"/>
        </w:rPr>
        <w:t>格式见附件</w:t>
      </w:r>
      <w:r>
        <w:rPr>
          <w:rFonts w:hint="eastAsia" w:ascii="宋体" w:hAnsi="宋体" w:cs="宋体"/>
          <w:szCs w:val="21"/>
          <w:highlight w:val="none"/>
          <w:lang w:eastAsia="zh-CN"/>
        </w:rPr>
        <w:t>）</w:t>
      </w:r>
      <w:r>
        <w:rPr>
          <w:rFonts w:hint="eastAsia" w:ascii="宋体" w:hAnsi="宋体" w:eastAsia="宋体" w:cs="宋体"/>
          <w:szCs w:val="21"/>
          <w:highlight w:val="none"/>
        </w:rPr>
        <w:t>；</w:t>
      </w:r>
    </w:p>
    <w:p w14:paraId="3C7A914A">
      <w:pPr>
        <w:numPr>
          <w:ilvl w:val="0"/>
          <w:numId w:val="7"/>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投标人针对报价的说明或证明材料。</w:t>
      </w:r>
    </w:p>
    <w:p w14:paraId="715F83FE">
      <w:pPr>
        <w:pStyle w:val="16"/>
        <w:shd w:val="clear"/>
        <w:rPr>
          <w:rFonts w:hint="eastAsia"/>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3" w:charSpace="0"/>
        </w:sectPr>
      </w:pPr>
    </w:p>
    <w:p w14:paraId="7A77C35E">
      <w:pPr>
        <w:shd w:val="clear"/>
        <w:spacing w:line="520" w:lineRule="exact"/>
        <w:rPr>
          <w:rFonts w:hint="eastAsia" w:ascii="宋体" w:hAnsi="宋体" w:cs="宋体"/>
          <w:color w:val="auto"/>
          <w:sz w:val="24"/>
          <w:highlight w:val="none"/>
        </w:rPr>
      </w:pPr>
      <w:r>
        <w:rPr>
          <w:rFonts w:hint="eastAsia" w:ascii="宋体" w:hAnsi="宋体" w:cs="宋体"/>
          <w:color w:val="auto"/>
          <w:sz w:val="24"/>
          <w:highlight w:val="none"/>
        </w:rPr>
        <w:t>3、开标一览表格式</w:t>
      </w:r>
    </w:p>
    <w:p w14:paraId="53DF2601">
      <w:pPr>
        <w:shd w:val="clear"/>
        <w:spacing w:line="400" w:lineRule="exact"/>
        <w:jc w:val="center"/>
        <w:rPr>
          <w:rFonts w:hint="eastAsia" w:ascii="Times New Roman" w:hAnsi="宋体" w:eastAsia="宋体" w:cs="宋体"/>
          <w:color w:val="auto"/>
          <w:sz w:val="30"/>
          <w:szCs w:val="30"/>
          <w:highlight w:val="none"/>
        </w:rPr>
      </w:pPr>
      <w:r>
        <w:rPr>
          <w:rFonts w:hint="eastAsia" w:ascii="Times New Roman" w:hAnsi="宋体" w:eastAsia="宋体" w:cs="宋体"/>
          <w:color w:val="auto"/>
          <w:sz w:val="30"/>
          <w:szCs w:val="30"/>
          <w:highlight w:val="none"/>
        </w:rPr>
        <w:t>开标一览表</w:t>
      </w:r>
    </w:p>
    <w:p w14:paraId="46A36354">
      <w:pPr>
        <w:pStyle w:val="6"/>
        <w:shd w:val="clear"/>
        <w:tabs>
          <w:tab w:val="left" w:pos="4477"/>
        </w:tabs>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 xml:space="preserve">     </w:t>
      </w:r>
    </w:p>
    <w:p w14:paraId="21913F52">
      <w:pPr>
        <w:pStyle w:val="6"/>
        <w:shd w:val="clear"/>
        <w:tabs>
          <w:tab w:val="left" w:pos="4477"/>
        </w:tabs>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金额单位：元      </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342"/>
        <w:gridCol w:w="2120"/>
        <w:gridCol w:w="1713"/>
        <w:gridCol w:w="2925"/>
      </w:tblGrid>
      <w:tr w14:paraId="6F6C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81" w:type="dxa"/>
            <w:noWrap w:val="0"/>
            <w:vAlign w:val="center"/>
          </w:tcPr>
          <w:p w14:paraId="13EC4E09">
            <w:pPr>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3462" w:type="dxa"/>
            <w:gridSpan w:val="2"/>
            <w:noWrap w:val="0"/>
            <w:vAlign w:val="center"/>
          </w:tcPr>
          <w:p w14:paraId="1E3FCBA7">
            <w:pPr>
              <w:spacing w:line="360" w:lineRule="exact"/>
              <w:jc w:val="center"/>
              <w:rPr>
                <w:rFonts w:hint="eastAsia" w:ascii="宋体" w:hAnsi="宋体"/>
                <w:color w:val="auto"/>
                <w:szCs w:val="21"/>
                <w:highlight w:val="none"/>
              </w:rPr>
            </w:pPr>
            <w:r>
              <w:rPr>
                <w:rFonts w:hint="eastAsia" w:ascii="宋体" w:hAnsi="宋体"/>
                <w:color w:val="auto"/>
                <w:szCs w:val="21"/>
                <w:highlight w:val="none"/>
              </w:rPr>
              <w:t>服务名称</w:t>
            </w:r>
          </w:p>
        </w:tc>
        <w:tc>
          <w:tcPr>
            <w:tcW w:w="1713" w:type="dxa"/>
            <w:noWrap w:val="0"/>
            <w:vAlign w:val="center"/>
          </w:tcPr>
          <w:p w14:paraId="09C4454B">
            <w:pPr>
              <w:snapToGrid w:val="0"/>
              <w:spacing w:line="34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2925" w:type="dxa"/>
            <w:noWrap w:val="0"/>
            <w:vAlign w:val="center"/>
          </w:tcPr>
          <w:p w14:paraId="5807FEF1">
            <w:pPr>
              <w:spacing w:line="360" w:lineRule="exact"/>
              <w:jc w:val="center"/>
              <w:rPr>
                <w:rFonts w:hint="eastAsia" w:ascii="宋体" w:hAnsi="宋体"/>
                <w:color w:val="auto"/>
                <w:szCs w:val="21"/>
                <w:highlight w:val="none"/>
              </w:rPr>
            </w:pPr>
            <w:r>
              <w:rPr>
                <w:rFonts w:hint="eastAsia" w:ascii="宋体" w:hAnsi="宋体"/>
                <w:color w:val="auto"/>
                <w:szCs w:val="21"/>
                <w:highlight w:val="none"/>
              </w:rPr>
              <w:t>项目负责人</w:t>
            </w:r>
          </w:p>
        </w:tc>
      </w:tr>
      <w:tr w14:paraId="49D2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81" w:type="dxa"/>
            <w:noWrap w:val="0"/>
            <w:vAlign w:val="center"/>
          </w:tcPr>
          <w:p w14:paraId="239CF2D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3462" w:type="dxa"/>
            <w:gridSpan w:val="2"/>
            <w:noWrap w:val="0"/>
            <w:vAlign w:val="center"/>
          </w:tcPr>
          <w:p w14:paraId="126B2E6D">
            <w:pPr>
              <w:spacing w:line="36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2025年安吉县农药包装废弃物回收和集中处置服务采购项目</w:t>
            </w:r>
          </w:p>
        </w:tc>
        <w:tc>
          <w:tcPr>
            <w:tcW w:w="1713" w:type="dxa"/>
            <w:noWrap w:val="0"/>
            <w:vAlign w:val="center"/>
          </w:tcPr>
          <w:p w14:paraId="7E95D45E">
            <w:pPr>
              <w:spacing w:line="3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1项</w:t>
            </w:r>
          </w:p>
        </w:tc>
        <w:tc>
          <w:tcPr>
            <w:tcW w:w="2925" w:type="dxa"/>
            <w:noWrap w:val="0"/>
            <w:vAlign w:val="center"/>
          </w:tcPr>
          <w:p w14:paraId="31E83D54">
            <w:pPr>
              <w:spacing w:line="360" w:lineRule="exact"/>
              <w:jc w:val="center"/>
              <w:rPr>
                <w:rFonts w:hint="eastAsia" w:ascii="宋体" w:hAnsi="宋体"/>
                <w:color w:val="auto"/>
                <w:szCs w:val="21"/>
                <w:highlight w:val="none"/>
              </w:rPr>
            </w:pPr>
          </w:p>
        </w:tc>
      </w:tr>
      <w:tr w14:paraId="4707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323" w:type="dxa"/>
            <w:gridSpan w:val="2"/>
            <w:noWrap w:val="0"/>
            <w:vAlign w:val="center"/>
          </w:tcPr>
          <w:p w14:paraId="0AE182AE">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单价</w:t>
            </w:r>
            <w:r>
              <w:rPr>
                <w:rFonts w:hint="eastAsia" w:ascii="宋体" w:hAnsi="宋体"/>
                <w:color w:val="auto"/>
                <w:szCs w:val="21"/>
                <w:highlight w:val="none"/>
                <w:lang w:eastAsia="zh-CN"/>
              </w:rPr>
              <w:t>）</w:t>
            </w:r>
          </w:p>
        </w:tc>
        <w:tc>
          <w:tcPr>
            <w:tcW w:w="6758" w:type="dxa"/>
            <w:gridSpan w:val="3"/>
            <w:noWrap w:val="0"/>
            <w:vAlign w:val="center"/>
          </w:tcPr>
          <w:p w14:paraId="3F12D5FF">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大写：</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元每吨</w:t>
            </w:r>
          </w:p>
          <w:p w14:paraId="7F6318CC">
            <w:pPr>
              <w:spacing w:line="360" w:lineRule="exact"/>
              <w:rPr>
                <w:rFonts w:hint="eastAsia"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lang w:val="en-US" w:eastAsia="zh-CN"/>
              </w:rPr>
              <w:t>元/吨</w:t>
            </w:r>
            <w:r>
              <w:rPr>
                <w:rFonts w:hint="eastAsia" w:ascii="宋体" w:hAnsi="宋体"/>
                <w:color w:val="auto"/>
                <w:szCs w:val="21"/>
                <w:highlight w:val="none"/>
              </w:rPr>
              <w:t xml:space="preserve">                      </w:t>
            </w:r>
          </w:p>
        </w:tc>
      </w:tr>
    </w:tbl>
    <w:p w14:paraId="46E96C30">
      <w:pPr>
        <w:pStyle w:val="6"/>
        <w:shd w:val="clear"/>
        <w:tabs>
          <w:tab w:val="left" w:pos="4477"/>
        </w:tabs>
        <w:spacing w:line="400" w:lineRule="exact"/>
        <w:ind w:firstLine="0"/>
        <w:rPr>
          <w:rFonts w:hint="eastAsia" w:ascii="宋体" w:hAnsi="宋体" w:cs="宋体"/>
          <w:color w:val="auto"/>
          <w:szCs w:val="21"/>
          <w:highlight w:val="none"/>
        </w:rPr>
      </w:pPr>
    </w:p>
    <w:p w14:paraId="35DAE132">
      <w:pPr>
        <w:pStyle w:val="16"/>
        <w:keepNext w:val="0"/>
        <w:keepLines w:val="0"/>
        <w:pageBreakBefore w:val="0"/>
        <w:widowControl/>
        <w:numPr>
          <w:ilvl w:val="0"/>
          <w:numId w:val="8"/>
        </w:numPr>
        <w:shd w:val="clear"/>
        <w:kinsoku/>
        <w:wordWrap/>
        <w:overflowPunct/>
        <w:topLinePunct w:val="0"/>
        <w:autoSpaceDE/>
        <w:autoSpaceDN/>
        <w:bidi w:val="0"/>
        <w:adjustRightInd/>
        <w:snapToGrid/>
        <w:spacing w:before="0" w:beforeLines="0" w:after="0" w:afterLines="0" w:line="400" w:lineRule="exact"/>
        <w:ind w:left="0" w:firstLine="422" w:firstLineChars="200"/>
        <w:jc w:val="left"/>
        <w:textAlignment w:val="auto"/>
        <w:rPr>
          <w:rFonts w:hint="eastAsia" w:hAnsi="宋体" w:cs="宋体"/>
          <w:b/>
          <w:color w:val="auto"/>
          <w:sz w:val="21"/>
          <w:szCs w:val="21"/>
          <w:highlight w:val="none"/>
        </w:rPr>
      </w:pPr>
      <w:r>
        <w:rPr>
          <w:rFonts w:hint="eastAsia" w:hAnsi="宋体" w:cs="宋体"/>
          <w:b/>
          <w:color w:val="auto"/>
          <w:sz w:val="21"/>
          <w:szCs w:val="21"/>
          <w:highlight w:val="none"/>
        </w:rPr>
        <w:t>说明：</w:t>
      </w:r>
    </w:p>
    <w:p w14:paraId="34F99FDE">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投标时</w:t>
      </w:r>
      <w:r>
        <w:rPr>
          <w:rFonts w:hint="eastAsia" w:ascii="宋体" w:hAnsi="宋体" w:eastAsia="宋体" w:cs="宋体"/>
          <w:lang w:eastAsia="zh-CN"/>
        </w:rPr>
        <w:t>以回收处置每吨的单价进行报价，</w:t>
      </w:r>
      <w:r>
        <w:rPr>
          <w:rFonts w:hint="eastAsia" w:ascii="宋体" w:hAnsi="宋体" w:eastAsia="宋体" w:cs="宋体"/>
          <w:lang w:val="en-US" w:eastAsia="zh-CN"/>
        </w:rPr>
        <w:t>单价上限价为</w:t>
      </w:r>
      <w:r>
        <w:rPr>
          <w:rFonts w:hint="eastAsia" w:ascii="宋体" w:hAnsi="宋体" w:cs="宋体"/>
          <w:lang w:val="en-US" w:eastAsia="zh-CN"/>
        </w:rPr>
        <w:t>20000元</w:t>
      </w:r>
      <w:r>
        <w:rPr>
          <w:rFonts w:hint="eastAsia" w:ascii="宋体" w:hAnsi="宋体" w:eastAsia="宋体" w:cs="宋体"/>
          <w:lang w:val="en-US" w:eastAsia="zh-CN"/>
        </w:rPr>
        <w:t>/吨。</w:t>
      </w:r>
      <w:r>
        <w:rPr>
          <w:rFonts w:hint="eastAsia" w:ascii="宋体" w:hAnsi="宋体" w:eastAsia="宋体" w:cs="宋体"/>
          <w:lang w:eastAsia="zh-CN"/>
        </w:rPr>
        <w:t>中标单位每年回收量不少于60吨，做到全年回收处置率100%。每年回收处置费低于150万时，按照实际回收量乘以中标单价根据财务审计报告据实结算，如超过150万则按照150万进行结算。</w:t>
      </w:r>
    </w:p>
    <w:p w14:paraId="20A64507">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报价总价是履行合同的最终价格。</w:t>
      </w:r>
    </w:p>
    <w:p w14:paraId="0F1673F6">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、投标文件只允许有一个报价，有选择的报价将不予接受。</w:t>
      </w:r>
    </w:p>
    <w:p w14:paraId="4ABC6013">
      <w:pPr>
        <w:pStyle w:val="16"/>
        <w:shd w:val="clear"/>
        <w:spacing w:before="120" w:after="120" w:line="240" w:lineRule="exact"/>
        <w:rPr>
          <w:rFonts w:hint="eastAsia" w:hAnsi="宋体" w:cs="宋体"/>
          <w:b/>
          <w:color w:val="auto"/>
          <w:sz w:val="21"/>
          <w:szCs w:val="21"/>
          <w:highlight w:val="none"/>
        </w:rPr>
      </w:pPr>
    </w:p>
    <w:p w14:paraId="006C3269">
      <w:pPr>
        <w:pStyle w:val="16"/>
        <w:shd w:val="clear"/>
        <w:spacing w:before="120" w:after="120" w:line="240" w:lineRule="exact"/>
        <w:rPr>
          <w:rFonts w:hint="eastAsia" w:hAnsi="宋体" w:cs="宋体"/>
          <w:b/>
          <w:color w:val="auto"/>
          <w:sz w:val="21"/>
          <w:szCs w:val="21"/>
          <w:highlight w:val="none"/>
        </w:rPr>
      </w:pPr>
    </w:p>
    <w:p w14:paraId="4BE406B5">
      <w:pPr>
        <w:widowControl/>
        <w:shd w:val="clear"/>
        <w:spacing w:line="460" w:lineRule="atLeast"/>
        <w:ind w:right="660" w:firstLine="5880" w:firstLineChars="2800"/>
        <w:rPr>
          <w:rFonts w:hint="eastAsia" w:ascii="宋体" w:hAnsi="宋体" w:cs="宋体"/>
          <w:color w:val="auto"/>
          <w:szCs w:val="21"/>
          <w:highlight w:val="none"/>
        </w:rPr>
      </w:pPr>
      <w:r>
        <w:rPr>
          <w:rFonts w:hint="eastAsia" w:ascii="宋体" w:hAnsi="宋体" w:cs="宋体"/>
          <w:color w:val="auto"/>
          <w:szCs w:val="21"/>
          <w:highlight w:val="none"/>
        </w:rPr>
        <w:t>投标人全称：（盖章）</w:t>
      </w:r>
    </w:p>
    <w:p w14:paraId="4B0CBB81">
      <w:pPr>
        <w:widowControl/>
        <w:shd w:val="clear"/>
        <w:spacing w:line="460" w:lineRule="atLeast"/>
        <w:ind w:right="440"/>
        <w:jc w:val="center"/>
        <w:rPr>
          <w:rFonts w:hint="eastAsia" w:ascii="宋体" w:hAnsi="宋体" w:cs="宋体"/>
          <w:color w:val="auto"/>
          <w:szCs w:val="21"/>
          <w:highlight w:val="none"/>
        </w:rPr>
      </w:pPr>
      <w:r>
        <w:rPr>
          <w:rFonts w:hint="eastAsia" w:ascii="宋体" w:hAnsi="宋体" w:cs="宋体"/>
          <w:color w:val="auto"/>
          <w:szCs w:val="21"/>
          <w:highlight w:val="none"/>
        </w:rPr>
        <w:t xml:space="preserve">                                              授权代表：（签字）</w:t>
      </w:r>
    </w:p>
    <w:p w14:paraId="5EB1B764">
      <w:pPr>
        <w:shd w:val="clea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bookmarkEnd w:id="184"/>
    <w:bookmarkEnd w:id="185"/>
    <w:p w14:paraId="2998656F">
      <w:pPr>
        <w:shd w:val="clear"/>
        <w:spacing w:line="520" w:lineRule="exact"/>
        <w:rPr>
          <w:rFonts w:hint="eastAsia" w:ascii="宋体" w:hAnsi="宋体" w:cs="宋体"/>
          <w:color w:val="auto"/>
          <w:szCs w:val="21"/>
          <w:highlight w:val="none"/>
        </w:rPr>
      </w:pPr>
      <w:bookmarkStart w:id="212" w:name="_Toc17729"/>
      <w:bookmarkStart w:id="213" w:name="_Toc2464"/>
    </w:p>
    <w:p w14:paraId="25FB717E">
      <w:pPr>
        <w:pStyle w:val="63"/>
        <w:shd w:val="clear"/>
        <w:rPr>
          <w:rFonts w:hint="eastAsia" w:ascii="宋体" w:hAnsi="宋体" w:cs="宋体"/>
          <w:color w:val="auto"/>
          <w:szCs w:val="21"/>
          <w:highlight w:val="none"/>
        </w:rPr>
      </w:pPr>
    </w:p>
    <w:p w14:paraId="3E9AA788">
      <w:pPr>
        <w:shd w:val="clear"/>
        <w:spacing w:line="520" w:lineRule="exact"/>
        <w:rPr>
          <w:rFonts w:hint="eastAsia" w:ascii="宋体" w:hAnsi="宋体" w:cs="宋体"/>
          <w:color w:val="auto"/>
          <w:sz w:val="24"/>
          <w:highlight w:val="none"/>
        </w:rPr>
      </w:pPr>
      <w:bookmarkStart w:id="214" w:name="_Toc8807242"/>
      <w:bookmarkStart w:id="215" w:name="_Toc27716"/>
      <w:bookmarkStart w:id="216" w:name="_Toc31956"/>
      <w:bookmarkStart w:id="217" w:name="_Toc530041770"/>
      <w:bookmarkStart w:id="218" w:name="_Toc526960898"/>
    </w:p>
    <w:p w14:paraId="773E9585">
      <w:pPr>
        <w:shd w:val="clear"/>
        <w:spacing w:line="520" w:lineRule="exact"/>
        <w:rPr>
          <w:rFonts w:hint="eastAsia" w:ascii="宋体" w:hAnsi="宋体" w:cs="宋体"/>
          <w:color w:val="auto"/>
          <w:sz w:val="24"/>
          <w:highlight w:val="none"/>
        </w:rPr>
      </w:pPr>
    </w:p>
    <w:p w14:paraId="3E8A4D85">
      <w:pPr>
        <w:shd w:val="clear"/>
        <w:spacing w:line="520" w:lineRule="exact"/>
        <w:rPr>
          <w:rFonts w:hint="eastAsia" w:ascii="宋体" w:hAnsi="宋体" w:cs="宋体"/>
          <w:color w:val="auto"/>
          <w:sz w:val="24"/>
          <w:highlight w:val="none"/>
        </w:rPr>
      </w:pPr>
    </w:p>
    <w:p w14:paraId="12AAFCE5">
      <w:pPr>
        <w:shd w:val="clear"/>
        <w:spacing w:line="520" w:lineRule="exact"/>
        <w:rPr>
          <w:rFonts w:hint="eastAsia" w:ascii="宋体" w:hAnsi="宋体" w:cs="宋体"/>
          <w:color w:val="auto"/>
          <w:sz w:val="24"/>
          <w:highlight w:val="none"/>
        </w:rPr>
      </w:pPr>
    </w:p>
    <w:p w14:paraId="73D49755">
      <w:pPr>
        <w:shd w:val="clear"/>
        <w:spacing w:line="520" w:lineRule="exact"/>
        <w:rPr>
          <w:rFonts w:hint="eastAsia" w:ascii="宋体" w:hAnsi="宋体" w:cs="宋体"/>
          <w:color w:val="auto"/>
          <w:sz w:val="24"/>
          <w:highlight w:val="none"/>
        </w:rPr>
      </w:pPr>
    </w:p>
    <w:p w14:paraId="6A0B3EA4">
      <w:pPr>
        <w:shd w:val="clear"/>
        <w:spacing w:line="520" w:lineRule="exact"/>
        <w:rPr>
          <w:rFonts w:hint="eastAsia" w:ascii="宋体" w:hAnsi="宋体" w:cs="宋体"/>
          <w:color w:val="auto"/>
          <w:sz w:val="24"/>
          <w:highlight w:val="none"/>
        </w:rPr>
      </w:pPr>
    </w:p>
    <w:bookmarkEnd w:id="214"/>
    <w:bookmarkEnd w:id="215"/>
    <w:bookmarkEnd w:id="216"/>
    <w:bookmarkEnd w:id="217"/>
    <w:bookmarkEnd w:id="218"/>
    <w:p w14:paraId="74CC281B">
      <w:pPr>
        <w:shd w:val="clear"/>
        <w:spacing w:line="400" w:lineRule="exact"/>
        <w:rPr>
          <w:rFonts w:hint="eastAsia" w:hAnsi="宋体" w:cs="宋体"/>
          <w:color w:val="auto"/>
          <w:sz w:val="30"/>
          <w:szCs w:val="30"/>
          <w:highlight w:val="none"/>
        </w:rPr>
      </w:pPr>
      <w:bookmarkStart w:id="219" w:name="_Toc6565"/>
      <w:bookmarkStart w:id="220" w:name="_Toc95211200"/>
      <w:bookmarkStart w:id="221" w:name="_Toc73085486"/>
      <w:bookmarkStart w:id="222" w:name="_Toc74166648"/>
      <w:bookmarkStart w:id="223" w:name="_Toc2949"/>
      <w:bookmarkStart w:id="224" w:name="_Toc18526"/>
      <w:bookmarkStart w:id="225" w:name="_Toc21964"/>
    </w:p>
    <w:bookmarkEnd w:id="219"/>
    <w:bookmarkEnd w:id="220"/>
    <w:bookmarkEnd w:id="221"/>
    <w:bookmarkEnd w:id="222"/>
    <w:bookmarkEnd w:id="223"/>
    <w:bookmarkEnd w:id="224"/>
    <w:bookmarkEnd w:id="225"/>
    <w:p w14:paraId="03DDD6BA">
      <w:pPr>
        <w:shd w:val="clear"/>
        <w:adjustRightInd w:val="0"/>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五、其他文书、文件格式</w:t>
      </w:r>
    </w:p>
    <w:p w14:paraId="41FB73D9">
      <w:pPr>
        <w:shd w:val="clear"/>
        <w:rPr>
          <w:rFonts w:hint="eastAsia" w:ascii="宋体" w:hAnsi="宋体" w:cs="宋体"/>
          <w:color w:val="auto"/>
          <w:szCs w:val="21"/>
          <w:highlight w:val="none"/>
        </w:rPr>
      </w:pPr>
    </w:p>
    <w:p w14:paraId="6C27BE81">
      <w:pPr>
        <w:shd w:val="clear"/>
        <w:rPr>
          <w:rFonts w:hint="eastAsia" w:ascii="宋体" w:hAnsi="宋体" w:cs="宋体"/>
          <w:color w:val="auto"/>
          <w:szCs w:val="21"/>
          <w:highlight w:val="none"/>
        </w:rPr>
      </w:pPr>
      <w:r>
        <w:rPr>
          <w:rFonts w:hint="eastAsia" w:ascii="宋体" w:hAnsi="宋体" w:cs="宋体"/>
          <w:color w:val="auto"/>
          <w:szCs w:val="21"/>
          <w:highlight w:val="none"/>
        </w:rPr>
        <w:t>评分表格式（评分内容参见第四章）</w:t>
      </w:r>
    </w:p>
    <w:p w14:paraId="6119D57D">
      <w:pPr>
        <w:shd w:val="clea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采购项目评分表</w:t>
      </w:r>
    </w:p>
    <w:p w14:paraId="49DD4C10">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投标人名称： </w:t>
      </w:r>
    </w:p>
    <w:p w14:paraId="03FD289B">
      <w:pPr>
        <w:shd w:val="clear"/>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tbl>
      <w:tblPr>
        <w:tblStyle w:val="3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14:paraId="76A8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388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D565647">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评标内容及分值</w:t>
            </w:r>
          </w:p>
        </w:tc>
        <w:tc>
          <w:tcPr>
            <w:tcW w:w="2616" w:type="dxa"/>
            <w:gridSpan w:val="3"/>
            <w:tcBorders>
              <w:top w:val="single" w:color="auto" w:sz="4" w:space="0"/>
              <w:left w:val="single" w:color="auto" w:sz="4" w:space="0"/>
              <w:bottom w:val="single" w:color="auto" w:sz="4" w:space="0"/>
              <w:right w:val="single" w:color="auto" w:sz="4" w:space="0"/>
            </w:tcBorders>
            <w:noWrap w:val="0"/>
            <w:vAlign w:val="center"/>
          </w:tcPr>
          <w:p w14:paraId="29D709BA">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投标人自评栏</w:t>
            </w:r>
          </w:p>
        </w:tc>
        <w:tc>
          <w:tcPr>
            <w:tcW w:w="2709" w:type="dxa"/>
            <w:gridSpan w:val="3"/>
            <w:tcBorders>
              <w:top w:val="single" w:color="auto" w:sz="4" w:space="0"/>
              <w:left w:val="single" w:color="auto" w:sz="4" w:space="0"/>
              <w:bottom w:val="single" w:color="auto" w:sz="4" w:space="0"/>
              <w:right w:val="single" w:color="auto" w:sz="4" w:space="0"/>
            </w:tcBorders>
            <w:noWrap w:val="0"/>
            <w:vAlign w:val="center"/>
          </w:tcPr>
          <w:p w14:paraId="60B24760">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专家评定栏</w:t>
            </w:r>
          </w:p>
        </w:tc>
      </w:tr>
      <w:tr w14:paraId="3933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8EDF2D">
            <w:pPr>
              <w:shd w:val="clear"/>
              <w:ind w:firstLine="420" w:firstLineChars="200"/>
              <w:rPr>
                <w:rFonts w:hint="eastAsia" w:ascii="宋体" w:hAnsi="宋体" w:cs="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7976524">
            <w:pPr>
              <w:shd w:val="clear"/>
              <w:rPr>
                <w:rFonts w:hint="eastAsia" w:ascii="宋体" w:hAnsi="宋体" w:cs="宋体"/>
                <w:color w:val="auto"/>
                <w:szCs w:val="21"/>
                <w:highlight w:val="none"/>
              </w:rPr>
            </w:pPr>
            <w:r>
              <w:rPr>
                <w:rFonts w:hint="eastAsia" w:ascii="宋体" w:hAnsi="宋体" w:cs="宋体"/>
                <w:color w:val="auto"/>
                <w:szCs w:val="21"/>
                <w:highlight w:val="none"/>
              </w:rPr>
              <w:t>响应</w:t>
            </w:r>
          </w:p>
          <w:p w14:paraId="3620D353">
            <w:pPr>
              <w:shd w:val="clear"/>
              <w:rPr>
                <w:rFonts w:hint="eastAsia" w:ascii="宋体" w:hAnsi="宋体" w:cs="宋体"/>
                <w:color w:val="auto"/>
                <w:szCs w:val="21"/>
                <w:highlight w:val="none"/>
              </w:rPr>
            </w:pPr>
            <w:r>
              <w:rPr>
                <w:rFonts w:hint="eastAsia" w:ascii="宋体" w:hAnsi="宋体" w:cs="宋体"/>
                <w:color w:val="auto"/>
                <w:szCs w:val="21"/>
                <w:highlight w:val="none"/>
              </w:rPr>
              <w:t>程度</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21EA52F2">
            <w:pPr>
              <w:shd w:val="clear"/>
              <w:rPr>
                <w:rFonts w:hint="eastAsia" w:ascii="宋体" w:hAnsi="宋体" w:cs="宋体"/>
                <w:color w:val="auto"/>
                <w:szCs w:val="21"/>
                <w:highlight w:val="none"/>
              </w:rPr>
            </w:pPr>
            <w:r>
              <w:rPr>
                <w:rFonts w:hint="eastAsia" w:ascii="宋体" w:hAnsi="宋体" w:cs="宋体"/>
                <w:color w:val="auto"/>
                <w:szCs w:val="21"/>
                <w:highlight w:val="none"/>
              </w:rPr>
              <w:t>响应文件页码</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B5AA7C4">
            <w:pPr>
              <w:shd w:val="clear"/>
              <w:rPr>
                <w:rFonts w:hint="eastAsia" w:ascii="宋体" w:hAnsi="宋体" w:cs="宋体"/>
                <w:color w:val="auto"/>
                <w:szCs w:val="21"/>
                <w:highlight w:val="none"/>
              </w:rPr>
            </w:pPr>
            <w:r>
              <w:rPr>
                <w:rFonts w:hint="eastAsia" w:ascii="宋体" w:hAnsi="宋体" w:cs="宋体"/>
                <w:color w:val="auto"/>
                <w:szCs w:val="21"/>
                <w:highlight w:val="none"/>
              </w:rPr>
              <w:t>自评分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71B4F88">
            <w:pPr>
              <w:shd w:val="clear"/>
              <w:rPr>
                <w:rFonts w:hint="eastAsia" w:ascii="宋体" w:hAnsi="宋体" w:cs="宋体"/>
                <w:color w:val="auto"/>
                <w:szCs w:val="21"/>
                <w:highlight w:val="none"/>
              </w:rPr>
            </w:pPr>
            <w:r>
              <w:rPr>
                <w:rFonts w:hint="eastAsia" w:ascii="宋体" w:hAnsi="宋体" w:cs="宋体"/>
                <w:color w:val="auto"/>
                <w:szCs w:val="21"/>
                <w:highlight w:val="none"/>
              </w:rPr>
              <w:t>专家</w:t>
            </w:r>
          </w:p>
          <w:p w14:paraId="5E1DE68F">
            <w:pPr>
              <w:shd w:val="clear"/>
              <w:rPr>
                <w:rFonts w:hint="eastAsia" w:ascii="宋体" w:hAnsi="宋体" w:cs="宋体"/>
                <w:color w:val="auto"/>
                <w:szCs w:val="21"/>
                <w:highlight w:val="none"/>
              </w:rPr>
            </w:pPr>
            <w:r>
              <w:rPr>
                <w:rFonts w:hint="eastAsia" w:ascii="宋体" w:hAnsi="宋体" w:cs="宋体"/>
                <w:color w:val="auto"/>
                <w:szCs w:val="21"/>
                <w:highlight w:val="none"/>
              </w:rPr>
              <w:t>评定分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15D31EA">
            <w:pPr>
              <w:shd w:val="clear"/>
              <w:rPr>
                <w:rFonts w:hint="eastAsia" w:ascii="宋体" w:hAnsi="宋体" w:cs="宋体"/>
                <w:color w:val="auto"/>
                <w:szCs w:val="21"/>
                <w:highlight w:val="none"/>
              </w:rPr>
            </w:pPr>
            <w:r>
              <w:rPr>
                <w:rFonts w:hint="eastAsia" w:ascii="宋体" w:hAnsi="宋体" w:cs="宋体"/>
                <w:color w:val="auto"/>
                <w:szCs w:val="21"/>
                <w:highlight w:val="none"/>
              </w:rPr>
              <w:t>偏离</w:t>
            </w:r>
          </w:p>
          <w:p w14:paraId="2AD4B5B2">
            <w:pPr>
              <w:shd w:val="clear"/>
              <w:rPr>
                <w:rFonts w:hint="eastAsia" w:ascii="宋体" w:hAnsi="宋体" w:cs="宋体"/>
                <w:color w:val="auto"/>
                <w:szCs w:val="21"/>
                <w:highlight w:val="none"/>
              </w:rPr>
            </w:pPr>
            <w:r>
              <w:rPr>
                <w:rFonts w:hint="eastAsia" w:ascii="宋体" w:hAnsi="宋体" w:cs="宋体"/>
                <w:color w:val="auto"/>
                <w:szCs w:val="21"/>
                <w:highlight w:val="none"/>
              </w:rPr>
              <w:t>情况</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428A679">
            <w:pPr>
              <w:shd w:val="clear"/>
              <w:rPr>
                <w:rFonts w:hint="eastAsia" w:ascii="宋体" w:hAnsi="宋体" w:cs="宋体"/>
                <w:color w:val="auto"/>
                <w:szCs w:val="21"/>
                <w:highlight w:val="none"/>
              </w:rPr>
            </w:pPr>
            <w:r>
              <w:rPr>
                <w:rFonts w:hint="eastAsia" w:ascii="宋体" w:hAnsi="宋体" w:cs="宋体"/>
                <w:color w:val="auto"/>
                <w:szCs w:val="21"/>
                <w:highlight w:val="none"/>
              </w:rPr>
              <w:t>扣分</w:t>
            </w:r>
          </w:p>
          <w:p w14:paraId="3B43B60D">
            <w:pPr>
              <w:shd w:val="clear"/>
              <w:rPr>
                <w:rFonts w:hint="eastAsia" w:ascii="宋体" w:hAnsi="宋体" w:cs="宋体"/>
                <w:color w:val="auto"/>
                <w:szCs w:val="21"/>
                <w:highlight w:val="none"/>
              </w:rPr>
            </w:pPr>
            <w:r>
              <w:rPr>
                <w:rFonts w:hint="eastAsia" w:ascii="宋体" w:hAnsi="宋体" w:cs="宋体"/>
                <w:color w:val="auto"/>
                <w:szCs w:val="21"/>
                <w:highlight w:val="none"/>
              </w:rPr>
              <w:t>理由</w:t>
            </w:r>
          </w:p>
        </w:tc>
      </w:tr>
      <w:tr w14:paraId="38F7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208B81A8">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38089C9D">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345FF445">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29110359">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E52C433">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0EAF993">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8D7676D">
            <w:pPr>
              <w:shd w:val="clear"/>
              <w:ind w:firstLine="420" w:firstLineChars="200"/>
              <w:rPr>
                <w:rFonts w:hint="eastAsia" w:ascii="宋体" w:hAnsi="宋体" w:cs="宋体"/>
                <w:color w:val="auto"/>
                <w:szCs w:val="21"/>
                <w:highlight w:val="none"/>
              </w:rPr>
            </w:pPr>
          </w:p>
        </w:tc>
      </w:tr>
      <w:tr w14:paraId="7144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noWrap w:val="0"/>
            <w:vAlign w:val="center"/>
          </w:tcPr>
          <w:p w14:paraId="38FD892D">
            <w:pPr>
              <w:shd w:val="clear"/>
              <w:jc w:val="center"/>
              <w:rPr>
                <w:rFonts w:hint="eastAsia" w:ascii="宋体" w:hAnsi="宋体" w:cs="宋体"/>
                <w:color w:val="auto"/>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B5E5B5A">
            <w:pPr>
              <w:shd w:val="clear"/>
              <w:ind w:left="16" w:hanging="16"/>
              <w:rPr>
                <w:rFonts w:hint="eastAsia" w:ascii="宋体" w:hAnsi="宋体" w:cs="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4D3E8BC">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333E352D">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65E25D3">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6CA819A5">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C498D82">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32DD303">
            <w:pPr>
              <w:shd w:val="clear"/>
              <w:ind w:firstLine="420" w:firstLineChars="200"/>
              <w:rPr>
                <w:rFonts w:hint="eastAsia" w:ascii="宋体" w:hAnsi="宋体" w:cs="宋体"/>
                <w:color w:val="auto"/>
                <w:szCs w:val="21"/>
                <w:highlight w:val="none"/>
              </w:rPr>
            </w:pPr>
          </w:p>
        </w:tc>
      </w:tr>
      <w:tr w14:paraId="4F15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28" w:type="dxa"/>
            <w:vMerge w:val="continue"/>
            <w:tcBorders>
              <w:left w:val="single" w:color="auto" w:sz="4" w:space="0"/>
              <w:right w:val="single" w:color="auto" w:sz="4" w:space="0"/>
            </w:tcBorders>
            <w:noWrap w:val="0"/>
            <w:vAlign w:val="center"/>
          </w:tcPr>
          <w:p w14:paraId="17BC58F3">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BEDCE6C">
            <w:pPr>
              <w:shd w:val="clear"/>
              <w:adjustRightInd w:val="0"/>
              <w:spacing w:before="120" w:beforeLines="50" w:after="120" w:afterLines="50"/>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3902B17">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74056E32">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6C5B9F1D">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640832B0">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40A8494">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340D4AE">
            <w:pPr>
              <w:shd w:val="clear"/>
              <w:ind w:firstLine="420" w:firstLineChars="200"/>
              <w:rPr>
                <w:rFonts w:hint="eastAsia" w:ascii="宋体" w:hAnsi="宋体" w:cs="宋体"/>
                <w:color w:val="auto"/>
                <w:szCs w:val="21"/>
                <w:highlight w:val="none"/>
              </w:rPr>
            </w:pPr>
          </w:p>
        </w:tc>
      </w:tr>
      <w:tr w14:paraId="0195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noWrap w:val="0"/>
            <w:vAlign w:val="center"/>
          </w:tcPr>
          <w:p w14:paraId="666845BD">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3EA07541">
            <w:pPr>
              <w:shd w:val="clear"/>
              <w:adjustRightInd w:val="0"/>
              <w:spacing w:before="120" w:beforeLines="50" w:after="120" w:afterLines="50"/>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6DE1D0C3">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62C3DC28">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027A34CC">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2BDDD3FF">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72530E95">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4C381C1D">
            <w:pPr>
              <w:shd w:val="clear"/>
              <w:ind w:firstLine="420" w:firstLineChars="200"/>
              <w:rPr>
                <w:rFonts w:hint="eastAsia" w:ascii="宋体" w:hAnsi="宋体" w:cs="宋体"/>
                <w:color w:val="auto"/>
                <w:szCs w:val="21"/>
                <w:highlight w:val="none"/>
              </w:rPr>
            </w:pPr>
          </w:p>
        </w:tc>
      </w:tr>
      <w:tr w14:paraId="175C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828" w:type="dxa"/>
            <w:vMerge w:val="restart"/>
            <w:tcBorders>
              <w:left w:val="single" w:color="auto" w:sz="4" w:space="0"/>
              <w:right w:val="single" w:color="auto" w:sz="4" w:space="0"/>
            </w:tcBorders>
            <w:noWrap w:val="0"/>
            <w:vAlign w:val="center"/>
          </w:tcPr>
          <w:p w14:paraId="73381942">
            <w:pPr>
              <w:shd w:val="clear"/>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46BB7129">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1D87B905">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11C05015">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42940935">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6704359F">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3901CB8D">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7C9114C7">
            <w:pPr>
              <w:shd w:val="clear"/>
              <w:ind w:firstLine="420" w:firstLineChars="200"/>
              <w:rPr>
                <w:rFonts w:hint="eastAsia" w:ascii="宋体" w:hAnsi="宋体" w:cs="宋体"/>
                <w:color w:val="auto"/>
                <w:szCs w:val="21"/>
                <w:highlight w:val="none"/>
              </w:rPr>
            </w:pPr>
          </w:p>
        </w:tc>
      </w:tr>
      <w:tr w14:paraId="05CF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noWrap w:val="0"/>
            <w:vAlign w:val="center"/>
          </w:tcPr>
          <w:p w14:paraId="72D2E912">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394195FB">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74A31FD2">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2431B77C">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1582A965">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40EE5656">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511FA595">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6151FB38">
            <w:pPr>
              <w:shd w:val="clear"/>
              <w:ind w:firstLine="420" w:firstLineChars="200"/>
              <w:rPr>
                <w:rFonts w:hint="eastAsia" w:ascii="宋体" w:hAnsi="宋体" w:cs="宋体"/>
                <w:color w:val="auto"/>
                <w:szCs w:val="21"/>
                <w:highlight w:val="none"/>
              </w:rPr>
            </w:pPr>
          </w:p>
        </w:tc>
      </w:tr>
      <w:tr w14:paraId="7D47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0"/>
            <w:vAlign w:val="center"/>
          </w:tcPr>
          <w:p w14:paraId="7E365E7B">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55F51ED9">
            <w:pPr>
              <w:shd w:val="clear"/>
              <w:adjustRightInd w:val="0"/>
              <w:spacing w:before="120" w:beforeLines="50" w:after="120" w:afterLines="50"/>
              <w:jc w:val="center"/>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6926872A">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0D0F94F1">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53977525">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2D1CBEBD">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02DC0306">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51AF0B73">
            <w:pPr>
              <w:shd w:val="clear"/>
              <w:ind w:firstLine="420" w:firstLineChars="200"/>
              <w:rPr>
                <w:rFonts w:hint="eastAsia" w:ascii="宋体" w:hAnsi="宋体" w:cs="宋体"/>
                <w:color w:val="auto"/>
                <w:szCs w:val="21"/>
                <w:highlight w:val="none"/>
              </w:rPr>
            </w:pPr>
          </w:p>
        </w:tc>
      </w:tr>
      <w:tr w14:paraId="7E2B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0"/>
            <w:vAlign w:val="center"/>
          </w:tcPr>
          <w:p w14:paraId="42374ED2">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64C121BF">
            <w:pPr>
              <w:shd w:val="clear"/>
              <w:adjustRightInd w:val="0"/>
              <w:spacing w:before="120" w:beforeLines="50" w:after="120" w:afterLines="50"/>
              <w:jc w:val="center"/>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7BAD3098">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13363B70">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31851CFF">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77713662">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140B1266">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66FDCF8C">
            <w:pPr>
              <w:shd w:val="clear"/>
              <w:ind w:firstLine="420" w:firstLineChars="200"/>
              <w:rPr>
                <w:rFonts w:hint="eastAsia" w:ascii="宋体" w:hAnsi="宋体" w:cs="宋体"/>
                <w:color w:val="auto"/>
                <w:szCs w:val="21"/>
                <w:highlight w:val="none"/>
              </w:rPr>
            </w:pPr>
          </w:p>
        </w:tc>
      </w:tr>
      <w:tr w14:paraId="37AF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noWrap w:val="0"/>
            <w:vAlign w:val="center"/>
          </w:tcPr>
          <w:p w14:paraId="47DE2CA9">
            <w:pPr>
              <w:shd w:val="clear"/>
              <w:jc w:val="center"/>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29462BC4">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16C70B35">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2C66D2FC">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2FB66318">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01D93AEC">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59DC6133">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46B62B38">
            <w:pPr>
              <w:shd w:val="clear"/>
              <w:ind w:firstLine="420" w:firstLineChars="200"/>
              <w:rPr>
                <w:rFonts w:hint="eastAsia" w:ascii="宋体" w:hAnsi="宋体" w:cs="宋体"/>
                <w:color w:val="auto"/>
                <w:szCs w:val="21"/>
                <w:highlight w:val="none"/>
              </w:rPr>
            </w:pPr>
          </w:p>
        </w:tc>
      </w:tr>
      <w:tr w14:paraId="4108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noWrap w:val="0"/>
            <w:vAlign w:val="center"/>
          </w:tcPr>
          <w:p w14:paraId="04C51C2B">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14:paraId="2F37B06C">
            <w:pPr>
              <w:shd w:val="clear"/>
              <w:adjustRightInd w:val="0"/>
              <w:spacing w:before="120" w:beforeLines="50" w:after="120" w:afterLines="50"/>
              <w:jc w:val="center"/>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6EB007B9">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098922E7">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3ACF0165">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0C1DC9B3">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2F5E6597">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27D7E5CE">
            <w:pPr>
              <w:shd w:val="clear"/>
              <w:ind w:firstLine="420" w:firstLineChars="200"/>
              <w:rPr>
                <w:rFonts w:hint="eastAsia" w:ascii="宋体" w:hAnsi="宋体" w:cs="宋体"/>
                <w:color w:val="auto"/>
                <w:szCs w:val="21"/>
                <w:highlight w:val="none"/>
              </w:rPr>
            </w:pPr>
          </w:p>
        </w:tc>
      </w:tr>
      <w:tr w14:paraId="5138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8" w:type="dxa"/>
            <w:vMerge w:val="continue"/>
            <w:tcBorders>
              <w:left w:val="single" w:color="auto" w:sz="4" w:space="0"/>
              <w:right w:val="single" w:color="auto" w:sz="4" w:space="0"/>
            </w:tcBorders>
            <w:noWrap w:val="0"/>
            <w:vAlign w:val="center"/>
          </w:tcPr>
          <w:p w14:paraId="59E841D8">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14:paraId="2ED4FE94">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3EC18AE2">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61A76A87">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0B069913">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4C59CEDC">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3DEFE260">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0D1B0BB6">
            <w:pPr>
              <w:shd w:val="clear"/>
              <w:ind w:firstLine="420" w:firstLineChars="200"/>
              <w:rPr>
                <w:rFonts w:hint="eastAsia" w:ascii="宋体" w:hAnsi="宋体" w:cs="宋体"/>
                <w:color w:val="auto"/>
                <w:szCs w:val="21"/>
                <w:highlight w:val="none"/>
              </w:rPr>
            </w:pPr>
          </w:p>
        </w:tc>
      </w:tr>
      <w:tr w14:paraId="76D4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8" w:type="dxa"/>
            <w:vMerge w:val="restart"/>
            <w:tcBorders>
              <w:left w:val="single" w:color="auto" w:sz="4" w:space="0"/>
              <w:right w:val="single" w:color="auto" w:sz="4" w:space="0"/>
            </w:tcBorders>
            <w:noWrap w:val="0"/>
            <w:vAlign w:val="center"/>
          </w:tcPr>
          <w:p w14:paraId="710A3857">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14:paraId="7CCAD595">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47F19795">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7D23CEC9">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1822CB5F">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5A37501B">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722E520D">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084AB7AA">
            <w:pPr>
              <w:shd w:val="clear"/>
              <w:ind w:firstLine="420" w:firstLineChars="200"/>
              <w:rPr>
                <w:rFonts w:hint="eastAsia" w:ascii="宋体" w:hAnsi="宋体" w:cs="宋体"/>
                <w:color w:val="auto"/>
                <w:szCs w:val="21"/>
                <w:highlight w:val="none"/>
              </w:rPr>
            </w:pPr>
          </w:p>
        </w:tc>
      </w:tr>
      <w:tr w14:paraId="6241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noWrap w:val="0"/>
            <w:vAlign w:val="center"/>
          </w:tcPr>
          <w:p w14:paraId="2D500B98">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14:paraId="0A6F96BB">
            <w:pPr>
              <w:shd w:val="clea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5B509A4D">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341801BF">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4E2C2F39">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57E96F69">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512661ED">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691D9EAC">
            <w:pPr>
              <w:shd w:val="clear"/>
              <w:ind w:firstLine="420" w:firstLineChars="200"/>
              <w:rPr>
                <w:rFonts w:hint="eastAsia" w:ascii="宋体" w:hAnsi="宋体" w:cs="宋体"/>
                <w:color w:val="auto"/>
                <w:szCs w:val="21"/>
                <w:highlight w:val="none"/>
              </w:rPr>
            </w:pPr>
          </w:p>
        </w:tc>
      </w:tr>
      <w:tr w14:paraId="626E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noWrap w:val="0"/>
            <w:vAlign w:val="center"/>
          </w:tcPr>
          <w:p w14:paraId="7E97641F">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14:paraId="79F518D2">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334BDAA7">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75EE1B36">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389707FB">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453DA2A2">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101B8208">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6BC93DE7">
            <w:pPr>
              <w:shd w:val="clear"/>
              <w:ind w:firstLine="420" w:firstLineChars="200"/>
              <w:rPr>
                <w:rFonts w:hint="eastAsia" w:ascii="宋体" w:hAnsi="宋体" w:cs="宋体"/>
                <w:color w:val="auto"/>
                <w:szCs w:val="21"/>
                <w:highlight w:val="none"/>
              </w:rPr>
            </w:pPr>
          </w:p>
        </w:tc>
      </w:tr>
      <w:tr w14:paraId="1971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756106CC">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249EC1E8">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12C87AAB">
            <w:pPr>
              <w:shd w:val="clear"/>
              <w:ind w:firstLine="420" w:firstLineChars="200"/>
              <w:rPr>
                <w:rFonts w:hint="eastAsia" w:ascii="宋体" w:hAnsi="宋体" w:cs="宋体"/>
                <w:color w:val="auto"/>
                <w:szCs w:val="21"/>
                <w:highlight w:val="none"/>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26D34BD3">
            <w:pPr>
              <w:shd w:val="clear"/>
              <w:ind w:firstLine="420" w:firstLineChars="200"/>
              <w:rPr>
                <w:rFonts w:hint="eastAsia" w:ascii="宋体" w:hAnsi="宋体" w:cs="宋体"/>
                <w:color w:val="auto"/>
                <w:szCs w:val="21"/>
                <w:highlight w:val="none"/>
              </w:rPr>
            </w:pPr>
          </w:p>
        </w:tc>
      </w:tr>
      <w:bookmarkEnd w:id="212"/>
      <w:bookmarkEnd w:id="213"/>
    </w:tbl>
    <w:p w14:paraId="3BE0D6B9">
      <w:pPr>
        <w:shd w:val="clear"/>
        <w:snapToGrid w:val="0"/>
        <w:spacing w:before="50" w:after="50"/>
        <w:ind w:right="-817" w:rightChars="-389"/>
        <w:rPr>
          <w:rFonts w:hint="eastAsia" w:ascii="宋体" w:hAnsi="宋体" w:cs="宋体"/>
          <w:color w:val="auto"/>
          <w:highlight w:val="none"/>
        </w:rPr>
      </w:pPr>
    </w:p>
    <w:p w14:paraId="5BB9E61E">
      <w:pPr>
        <w:shd w:val="clear"/>
        <w:adjustRightInd w:val="0"/>
        <w:snapToGrid w:val="0"/>
        <w:spacing w:line="360" w:lineRule="auto"/>
        <w:ind w:firstLine="482" w:firstLineChars="200"/>
        <w:jc w:val="left"/>
        <w:rPr>
          <w:rFonts w:hint="eastAsia" w:eastAsia="宋体"/>
          <w:highlight w:val="none"/>
          <w:lang w:val="en-US" w:eastAsia="zh-CN"/>
        </w:rPr>
      </w:pPr>
      <w:r>
        <w:rPr>
          <w:rFonts w:hint="eastAsia" w:ascii="宋体" w:hAnsi="宋体" w:cs="宋体"/>
          <w:b/>
          <w:bCs/>
          <w:i/>
          <w:iCs/>
          <w:color w:val="auto"/>
          <w:sz w:val="24"/>
          <w:highlight w:val="none"/>
        </w:rPr>
        <w:t>招标文件无格式但需要提供的资料或者影响投标人得分以及资格认定的资料请投标人另行自拟添加</w:t>
      </w:r>
      <w:r>
        <w:rPr>
          <w:rFonts w:hint="eastAsia" w:ascii="宋体" w:hAnsi="宋体" w:cs="宋体"/>
          <w:b/>
          <w:bCs/>
          <w:i/>
          <w:iCs/>
          <w:color w:val="auto"/>
          <w:sz w:val="24"/>
          <w:highlight w:val="none"/>
          <w:lang w:eastAsia="zh-CN"/>
        </w:rPr>
        <w:t>。</w:t>
      </w:r>
    </w:p>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B676D">
    <w:pPr>
      <w:pStyle w:val="20"/>
      <w:pBdr>
        <w:top w:val="single" w:color="auto" w:sz="4" w:space="1"/>
      </w:pBdr>
      <w:ind w:right="360"/>
      <w:jc w:val="both"/>
      <w:rPr>
        <w:rFonts w:hint="eastAsia" w:eastAsia="宋体"/>
        <w:i/>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F2A34A">
                          <w:pPr>
                            <w:pStyle w:val="20"/>
                            <w:rPr>
                              <w:rStyle w:val="39"/>
                            </w:rPr>
                          </w:pPr>
                          <w:r>
                            <w:fldChar w:fldCharType="begin"/>
                          </w:r>
                          <w:r>
                            <w:rPr>
                              <w:rStyle w:val="39"/>
                            </w:rPr>
                            <w:instrText xml:space="preserve">PAGE  </w:instrText>
                          </w:r>
                          <w:r>
                            <w:fldChar w:fldCharType="separate"/>
                          </w:r>
                          <w:r>
                            <w:rPr>
                              <w:rStyle w:val="39"/>
                            </w:rPr>
                            <w:t>54</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14:paraId="6AF2A34A">
                    <w:pPr>
                      <w:pStyle w:val="20"/>
                      <w:rPr>
                        <w:rStyle w:val="39"/>
                      </w:rPr>
                    </w:pPr>
                    <w:r>
                      <w:fldChar w:fldCharType="begin"/>
                    </w:r>
                    <w:r>
                      <w:rPr>
                        <w:rStyle w:val="39"/>
                      </w:rPr>
                      <w:instrText xml:space="preserve">PAGE  </w:instrText>
                    </w:r>
                    <w:r>
                      <w:fldChar w:fldCharType="separate"/>
                    </w:r>
                    <w:r>
                      <w:rPr>
                        <w:rStyle w:val="39"/>
                      </w:rPr>
                      <w:t>54</w:t>
                    </w:r>
                    <w:r>
                      <w:fldChar w:fldCharType="end"/>
                    </w:r>
                  </w:p>
                </w:txbxContent>
              </v:textbox>
            </v:shape>
          </w:pict>
        </mc:Fallback>
      </mc:AlternateContent>
    </w:r>
    <w:r>
      <w:rPr>
        <w:rFonts w:hint="eastAsia"/>
        <w:i/>
        <w:lang w:eastAsia="zh-CN"/>
      </w:rPr>
      <w:t>湖州盛远招标代理有限公司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6F9FC">
    <w:pPr>
      <w:pStyle w:val="20"/>
      <w:framePr w:wrap="around" w:vAnchor="text" w:hAnchor="margin" w:xAlign="right" w:y="1"/>
      <w:rPr>
        <w:rStyle w:val="39"/>
      </w:rPr>
    </w:pPr>
    <w:r>
      <w:fldChar w:fldCharType="begin"/>
    </w:r>
    <w:r>
      <w:rPr>
        <w:rStyle w:val="39"/>
      </w:rPr>
      <w:instrText xml:space="preserve">PAGE  </w:instrText>
    </w:r>
    <w:r>
      <w:fldChar w:fldCharType="separate"/>
    </w:r>
    <w:r>
      <w:fldChar w:fldCharType="end"/>
    </w:r>
  </w:p>
  <w:p w14:paraId="5568B753">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5A17">
    <w:pPr>
      <w:pStyle w:val="22"/>
      <w:pBdr>
        <w:bottom w:val="none" w:color="auto" w:sz="0" w:space="1"/>
      </w:pBdr>
      <w:jc w:val="right"/>
      <w:rPr>
        <w:rFonts w:hint="default" w:eastAsia="宋体"/>
        <w:i/>
        <w:iCs/>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37306">
    <w:pPr>
      <w:pStyle w:val="22"/>
      <w:jc w:val="right"/>
      <w:rPr>
        <w:rFonts w:hint="eastAsia"/>
      </w:rPr>
    </w:pPr>
    <w:r>
      <w:rPr>
        <w:rFonts w:hint="eastAsia"/>
        <w:lang w:val="en-US" w:eastAsia="zh-CN"/>
      </w:rPr>
      <w:t xml:space="preserve">                        </w:t>
    </w:r>
    <w:r>
      <w:rPr>
        <w:rFonts w:hint="eastAsia"/>
        <w:i/>
        <w:iCs/>
        <w:lang w:eastAsia="zh-CN"/>
      </w:rPr>
      <w:t>2025年安吉县农药包装废弃物回收和集中处置服务采购项目</w:t>
    </w:r>
    <w:r>
      <w:rPr>
        <w:rFonts w:hint="eastAsia"/>
        <w:i/>
        <w:iCs/>
        <w:lang w:val="en-US" w:eastAsia="zh-CN"/>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AB17A"/>
    <w:multiLevelType w:val="singleLevel"/>
    <w:tmpl w:val="E4FAB17A"/>
    <w:lvl w:ilvl="0" w:tentative="0">
      <w:start w:val="1"/>
      <w:numFmt w:val="decimal"/>
      <w:suff w:val="nothing"/>
      <w:lvlText w:val="%1、"/>
      <w:lvlJc w:val="left"/>
    </w:lvl>
  </w:abstractNum>
  <w:abstractNum w:abstractNumId="1">
    <w:nsid w:val="E95B2C21"/>
    <w:multiLevelType w:val="singleLevel"/>
    <w:tmpl w:val="E95B2C21"/>
    <w:lvl w:ilvl="0" w:tentative="0">
      <w:start w:val="1"/>
      <w:numFmt w:val="decimal"/>
      <w:suff w:val="nothing"/>
      <w:lvlText w:val="%1、"/>
      <w:lvlJc w:val="left"/>
    </w:lvl>
  </w:abstractNum>
  <w:abstractNum w:abstractNumId="2">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1744E57"/>
    <w:multiLevelType w:val="multilevel"/>
    <w:tmpl w:val="11744E57"/>
    <w:lvl w:ilvl="0" w:tentative="0">
      <w:start w:val="1"/>
      <w:numFmt w:val="decimal"/>
      <w:lvlText w:val="%1"/>
      <w:lvlJc w:val="left"/>
      <w:pPr>
        <w:tabs>
          <w:tab w:val="left" w:pos="432"/>
        </w:tabs>
        <w:ind w:left="432" w:hanging="432"/>
      </w:pPr>
      <w:rPr>
        <w:rFonts w:ascii="宋体" w:hAnsi="宋体" w:eastAsia="宋体"/>
      </w:r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5A44B75"/>
    <w:multiLevelType w:val="singleLevel"/>
    <w:tmpl w:val="15A44B75"/>
    <w:lvl w:ilvl="0" w:tentative="0">
      <w:start w:val="2"/>
      <w:numFmt w:val="chineseCounting"/>
      <w:suff w:val="nothing"/>
      <w:lvlText w:val="（%1）"/>
      <w:lvlJc w:val="left"/>
      <w:rPr>
        <w:rFonts w:hint="eastAsia"/>
      </w:rPr>
    </w:lvl>
  </w:abstractNum>
  <w:abstractNum w:abstractNumId="5">
    <w:nsid w:val="39D9AAFC"/>
    <w:multiLevelType w:val="multilevel"/>
    <w:tmpl w:val="39D9AAF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9D7508F"/>
    <w:multiLevelType w:val="singleLevel"/>
    <w:tmpl w:val="59D7508F"/>
    <w:lvl w:ilvl="0" w:tentative="0">
      <w:start w:val="1"/>
      <w:numFmt w:val="chineseCounting"/>
      <w:suff w:val="nothing"/>
      <w:lvlText w:val="（%1）"/>
      <w:lvlJc w:val="left"/>
    </w:lvl>
  </w:abstractNum>
  <w:abstractNum w:abstractNumId="7">
    <w:nsid w:val="59D83E1D"/>
    <w:multiLevelType w:val="singleLevel"/>
    <w:tmpl w:val="59D83E1D"/>
    <w:lvl w:ilvl="0" w:tentative="0">
      <w:start w:val="1"/>
      <w:numFmt w:val="decimal"/>
      <w:suff w:val="nothing"/>
      <w:lvlText w:val="%1、"/>
      <w:lvlJc w:val="left"/>
    </w:lvl>
  </w:abstractNum>
  <w:num w:numId="1">
    <w:abstractNumId w:val="3"/>
  </w:num>
  <w:num w:numId="2">
    <w:abstractNumId w:val="6"/>
  </w:num>
  <w:num w:numId="3">
    <w:abstractNumId w:val="1"/>
  </w:num>
  <w:num w:numId="4">
    <w:abstractNumId w:val="0"/>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YWE0MDE5ZWI0MzZmNmJmNWU3OGFiMWQ4NmQ3ZGEifQ=="/>
  </w:docVars>
  <w:rsids>
    <w:rsidRoot w:val="00454DFB"/>
    <w:rsid w:val="00003F5D"/>
    <w:rsid w:val="000112D2"/>
    <w:rsid w:val="00011DA8"/>
    <w:rsid w:val="000122A5"/>
    <w:rsid w:val="00012D74"/>
    <w:rsid w:val="0001398D"/>
    <w:rsid w:val="000167D7"/>
    <w:rsid w:val="00016A12"/>
    <w:rsid w:val="00016AB6"/>
    <w:rsid w:val="0001789A"/>
    <w:rsid w:val="00022722"/>
    <w:rsid w:val="00022CF5"/>
    <w:rsid w:val="0002548B"/>
    <w:rsid w:val="000277F4"/>
    <w:rsid w:val="00031520"/>
    <w:rsid w:val="0003263C"/>
    <w:rsid w:val="000337E4"/>
    <w:rsid w:val="000340DE"/>
    <w:rsid w:val="0003428E"/>
    <w:rsid w:val="00034EBB"/>
    <w:rsid w:val="0004164E"/>
    <w:rsid w:val="00042FA1"/>
    <w:rsid w:val="000433DF"/>
    <w:rsid w:val="000434FF"/>
    <w:rsid w:val="00043718"/>
    <w:rsid w:val="0004403E"/>
    <w:rsid w:val="0004540F"/>
    <w:rsid w:val="0005069A"/>
    <w:rsid w:val="00056385"/>
    <w:rsid w:val="00057520"/>
    <w:rsid w:val="000603B0"/>
    <w:rsid w:val="00061878"/>
    <w:rsid w:val="000619C7"/>
    <w:rsid w:val="000735B4"/>
    <w:rsid w:val="000807FB"/>
    <w:rsid w:val="0008082E"/>
    <w:rsid w:val="00081789"/>
    <w:rsid w:val="00081F3C"/>
    <w:rsid w:val="00082FAE"/>
    <w:rsid w:val="00084809"/>
    <w:rsid w:val="00084E5F"/>
    <w:rsid w:val="00085CE0"/>
    <w:rsid w:val="0009024E"/>
    <w:rsid w:val="000906B0"/>
    <w:rsid w:val="00091812"/>
    <w:rsid w:val="00091973"/>
    <w:rsid w:val="00093DA8"/>
    <w:rsid w:val="00095D37"/>
    <w:rsid w:val="00096140"/>
    <w:rsid w:val="00096AC3"/>
    <w:rsid w:val="00097AD6"/>
    <w:rsid w:val="000A2126"/>
    <w:rsid w:val="000A34F0"/>
    <w:rsid w:val="000A5237"/>
    <w:rsid w:val="000A66CD"/>
    <w:rsid w:val="000A7C44"/>
    <w:rsid w:val="000B2082"/>
    <w:rsid w:val="000B692C"/>
    <w:rsid w:val="000C048A"/>
    <w:rsid w:val="000C23B6"/>
    <w:rsid w:val="000C24BD"/>
    <w:rsid w:val="000C50FB"/>
    <w:rsid w:val="000C72A6"/>
    <w:rsid w:val="000C753D"/>
    <w:rsid w:val="000D01A0"/>
    <w:rsid w:val="000D46E3"/>
    <w:rsid w:val="000D4700"/>
    <w:rsid w:val="000D6BC0"/>
    <w:rsid w:val="000E1160"/>
    <w:rsid w:val="000E43B3"/>
    <w:rsid w:val="000E72EE"/>
    <w:rsid w:val="000F375B"/>
    <w:rsid w:val="000F70A3"/>
    <w:rsid w:val="00104108"/>
    <w:rsid w:val="00106596"/>
    <w:rsid w:val="0011072F"/>
    <w:rsid w:val="00110EED"/>
    <w:rsid w:val="00111090"/>
    <w:rsid w:val="00112DA4"/>
    <w:rsid w:val="0012246A"/>
    <w:rsid w:val="00126C7B"/>
    <w:rsid w:val="00132B89"/>
    <w:rsid w:val="00137D1D"/>
    <w:rsid w:val="001409D0"/>
    <w:rsid w:val="00141ABE"/>
    <w:rsid w:val="00142522"/>
    <w:rsid w:val="00143E7C"/>
    <w:rsid w:val="001443F1"/>
    <w:rsid w:val="00144DD6"/>
    <w:rsid w:val="00146A04"/>
    <w:rsid w:val="001471FA"/>
    <w:rsid w:val="00151137"/>
    <w:rsid w:val="00152A68"/>
    <w:rsid w:val="001539B0"/>
    <w:rsid w:val="00154F97"/>
    <w:rsid w:val="001573BA"/>
    <w:rsid w:val="00157932"/>
    <w:rsid w:val="00157B02"/>
    <w:rsid w:val="00160830"/>
    <w:rsid w:val="00162CFC"/>
    <w:rsid w:val="00164839"/>
    <w:rsid w:val="00165921"/>
    <w:rsid w:val="00165FB2"/>
    <w:rsid w:val="001667FF"/>
    <w:rsid w:val="00174D1A"/>
    <w:rsid w:val="001756C5"/>
    <w:rsid w:val="00175A7B"/>
    <w:rsid w:val="00175BBF"/>
    <w:rsid w:val="001764EA"/>
    <w:rsid w:val="0017767B"/>
    <w:rsid w:val="00180631"/>
    <w:rsid w:val="001816BE"/>
    <w:rsid w:val="00182D9F"/>
    <w:rsid w:val="00185F28"/>
    <w:rsid w:val="001879E2"/>
    <w:rsid w:val="00190614"/>
    <w:rsid w:val="00191532"/>
    <w:rsid w:val="001915B1"/>
    <w:rsid w:val="001917F9"/>
    <w:rsid w:val="00192CF8"/>
    <w:rsid w:val="001A2711"/>
    <w:rsid w:val="001A5670"/>
    <w:rsid w:val="001B0455"/>
    <w:rsid w:val="001B10B8"/>
    <w:rsid w:val="001B1C63"/>
    <w:rsid w:val="001B3011"/>
    <w:rsid w:val="001B5328"/>
    <w:rsid w:val="001C1C6A"/>
    <w:rsid w:val="001C1E55"/>
    <w:rsid w:val="001C2B93"/>
    <w:rsid w:val="001C39EC"/>
    <w:rsid w:val="001C5413"/>
    <w:rsid w:val="001D271D"/>
    <w:rsid w:val="001D3418"/>
    <w:rsid w:val="001D353D"/>
    <w:rsid w:val="001D5E26"/>
    <w:rsid w:val="001D79FC"/>
    <w:rsid w:val="001E02EA"/>
    <w:rsid w:val="001E26C8"/>
    <w:rsid w:val="001E4D6B"/>
    <w:rsid w:val="001E4F91"/>
    <w:rsid w:val="001E514C"/>
    <w:rsid w:val="001E64AC"/>
    <w:rsid w:val="001E6B19"/>
    <w:rsid w:val="001F1137"/>
    <w:rsid w:val="001F3B19"/>
    <w:rsid w:val="001F50DA"/>
    <w:rsid w:val="001F52F0"/>
    <w:rsid w:val="00201690"/>
    <w:rsid w:val="00201F22"/>
    <w:rsid w:val="00206B2E"/>
    <w:rsid w:val="00207516"/>
    <w:rsid w:val="00207A62"/>
    <w:rsid w:val="0021133F"/>
    <w:rsid w:val="00211568"/>
    <w:rsid w:val="002160A9"/>
    <w:rsid w:val="00216BC4"/>
    <w:rsid w:val="00216CE6"/>
    <w:rsid w:val="00220A12"/>
    <w:rsid w:val="00222200"/>
    <w:rsid w:val="002228D1"/>
    <w:rsid w:val="00224D9F"/>
    <w:rsid w:val="00226D94"/>
    <w:rsid w:val="00230148"/>
    <w:rsid w:val="00230173"/>
    <w:rsid w:val="002327AD"/>
    <w:rsid w:val="002357E5"/>
    <w:rsid w:val="002375D2"/>
    <w:rsid w:val="0024607E"/>
    <w:rsid w:val="00247B69"/>
    <w:rsid w:val="00250EC8"/>
    <w:rsid w:val="00251C0B"/>
    <w:rsid w:val="00253D71"/>
    <w:rsid w:val="002566A5"/>
    <w:rsid w:val="00261275"/>
    <w:rsid w:val="00264938"/>
    <w:rsid w:val="002657AD"/>
    <w:rsid w:val="00267348"/>
    <w:rsid w:val="002673DA"/>
    <w:rsid w:val="00267D39"/>
    <w:rsid w:val="00267EB2"/>
    <w:rsid w:val="00272A90"/>
    <w:rsid w:val="00273A61"/>
    <w:rsid w:val="00275F1D"/>
    <w:rsid w:val="00281A80"/>
    <w:rsid w:val="0028494C"/>
    <w:rsid w:val="00284C4D"/>
    <w:rsid w:val="00284F58"/>
    <w:rsid w:val="00285F02"/>
    <w:rsid w:val="002862C8"/>
    <w:rsid w:val="00287FBF"/>
    <w:rsid w:val="002918B7"/>
    <w:rsid w:val="002A28DD"/>
    <w:rsid w:val="002A5D2E"/>
    <w:rsid w:val="002A67A5"/>
    <w:rsid w:val="002A6857"/>
    <w:rsid w:val="002A7FFE"/>
    <w:rsid w:val="002B1A8F"/>
    <w:rsid w:val="002B5F1C"/>
    <w:rsid w:val="002B6CE5"/>
    <w:rsid w:val="002C3FDC"/>
    <w:rsid w:val="002C4E51"/>
    <w:rsid w:val="002C5B07"/>
    <w:rsid w:val="002C7A0D"/>
    <w:rsid w:val="002D1D25"/>
    <w:rsid w:val="002D2228"/>
    <w:rsid w:val="002D2712"/>
    <w:rsid w:val="002D3A62"/>
    <w:rsid w:val="002D6360"/>
    <w:rsid w:val="002D669D"/>
    <w:rsid w:val="002D6DE4"/>
    <w:rsid w:val="002E1CD4"/>
    <w:rsid w:val="002E7C84"/>
    <w:rsid w:val="002F1355"/>
    <w:rsid w:val="002F19C5"/>
    <w:rsid w:val="002F460E"/>
    <w:rsid w:val="002F63B5"/>
    <w:rsid w:val="00301217"/>
    <w:rsid w:val="0030400E"/>
    <w:rsid w:val="00310DA4"/>
    <w:rsid w:val="003150AA"/>
    <w:rsid w:val="0031622F"/>
    <w:rsid w:val="0031690E"/>
    <w:rsid w:val="003177CB"/>
    <w:rsid w:val="00317DD6"/>
    <w:rsid w:val="0032120B"/>
    <w:rsid w:val="00322338"/>
    <w:rsid w:val="0032288B"/>
    <w:rsid w:val="00323AE1"/>
    <w:rsid w:val="00324EF4"/>
    <w:rsid w:val="0032608A"/>
    <w:rsid w:val="00327347"/>
    <w:rsid w:val="00330422"/>
    <w:rsid w:val="00333478"/>
    <w:rsid w:val="00333D81"/>
    <w:rsid w:val="00337344"/>
    <w:rsid w:val="003426B7"/>
    <w:rsid w:val="0034583C"/>
    <w:rsid w:val="0035231A"/>
    <w:rsid w:val="003541CE"/>
    <w:rsid w:val="0035467E"/>
    <w:rsid w:val="003549D1"/>
    <w:rsid w:val="003556F9"/>
    <w:rsid w:val="00355E24"/>
    <w:rsid w:val="00356321"/>
    <w:rsid w:val="0035782B"/>
    <w:rsid w:val="003622F7"/>
    <w:rsid w:val="00363229"/>
    <w:rsid w:val="00370C8F"/>
    <w:rsid w:val="00371DAF"/>
    <w:rsid w:val="0037576B"/>
    <w:rsid w:val="00376841"/>
    <w:rsid w:val="00380347"/>
    <w:rsid w:val="00383EA9"/>
    <w:rsid w:val="00383FB7"/>
    <w:rsid w:val="0038571F"/>
    <w:rsid w:val="00390468"/>
    <w:rsid w:val="00396070"/>
    <w:rsid w:val="003A0198"/>
    <w:rsid w:val="003A092F"/>
    <w:rsid w:val="003A0FE8"/>
    <w:rsid w:val="003A1D86"/>
    <w:rsid w:val="003A33CD"/>
    <w:rsid w:val="003A5799"/>
    <w:rsid w:val="003A643C"/>
    <w:rsid w:val="003A74B5"/>
    <w:rsid w:val="003B050A"/>
    <w:rsid w:val="003B15D9"/>
    <w:rsid w:val="003B1FD8"/>
    <w:rsid w:val="003B2FFE"/>
    <w:rsid w:val="003B3D50"/>
    <w:rsid w:val="003C011D"/>
    <w:rsid w:val="003C532D"/>
    <w:rsid w:val="003C71AD"/>
    <w:rsid w:val="003C75EC"/>
    <w:rsid w:val="003D075B"/>
    <w:rsid w:val="003D17BD"/>
    <w:rsid w:val="003D21E3"/>
    <w:rsid w:val="003E1BD1"/>
    <w:rsid w:val="003E261D"/>
    <w:rsid w:val="003E46AD"/>
    <w:rsid w:val="003F097E"/>
    <w:rsid w:val="003F1DAE"/>
    <w:rsid w:val="00403AAD"/>
    <w:rsid w:val="00403FE4"/>
    <w:rsid w:val="00404499"/>
    <w:rsid w:val="00407135"/>
    <w:rsid w:val="004077E7"/>
    <w:rsid w:val="00407992"/>
    <w:rsid w:val="00412EC6"/>
    <w:rsid w:val="00420D7A"/>
    <w:rsid w:val="00430600"/>
    <w:rsid w:val="004323B4"/>
    <w:rsid w:val="00432F3C"/>
    <w:rsid w:val="00434B15"/>
    <w:rsid w:val="004372FD"/>
    <w:rsid w:val="00440BC5"/>
    <w:rsid w:val="0044381E"/>
    <w:rsid w:val="004443CC"/>
    <w:rsid w:val="00445DC0"/>
    <w:rsid w:val="00446877"/>
    <w:rsid w:val="00446C4B"/>
    <w:rsid w:val="00450F8E"/>
    <w:rsid w:val="0045130C"/>
    <w:rsid w:val="00451A86"/>
    <w:rsid w:val="00452E22"/>
    <w:rsid w:val="0045480B"/>
    <w:rsid w:val="00454DFB"/>
    <w:rsid w:val="004579AE"/>
    <w:rsid w:val="00460AC0"/>
    <w:rsid w:val="00464B00"/>
    <w:rsid w:val="00466734"/>
    <w:rsid w:val="004715FF"/>
    <w:rsid w:val="00472C46"/>
    <w:rsid w:val="004760C1"/>
    <w:rsid w:val="00476EF8"/>
    <w:rsid w:val="00477094"/>
    <w:rsid w:val="00477F59"/>
    <w:rsid w:val="00481184"/>
    <w:rsid w:val="0048187A"/>
    <w:rsid w:val="00482CC2"/>
    <w:rsid w:val="0048376B"/>
    <w:rsid w:val="00483EF6"/>
    <w:rsid w:val="00484CAC"/>
    <w:rsid w:val="004864C4"/>
    <w:rsid w:val="00486D0B"/>
    <w:rsid w:val="004873EF"/>
    <w:rsid w:val="00490281"/>
    <w:rsid w:val="00492DE3"/>
    <w:rsid w:val="00494A7E"/>
    <w:rsid w:val="00495E54"/>
    <w:rsid w:val="004972F8"/>
    <w:rsid w:val="00497A5A"/>
    <w:rsid w:val="004A04DE"/>
    <w:rsid w:val="004A0F59"/>
    <w:rsid w:val="004A29DF"/>
    <w:rsid w:val="004A5811"/>
    <w:rsid w:val="004B4DFB"/>
    <w:rsid w:val="004B79B4"/>
    <w:rsid w:val="004C365A"/>
    <w:rsid w:val="004C449C"/>
    <w:rsid w:val="004C4EF1"/>
    <w:rsid w:val="004C5D50"/>
    <w:rsid w:val="004C6022"/>
    <w:rsid w:val="004D42A5"/>
    <w:rsid w:val="004D6190"/>
    <w:rsid w:val="004E01B1"/>
    <w:rsid w:val="004E2567"/>
    <w:rsid w:val="004E3477"/>
    <w:rsid w:val="004E415B"/>
    <w:rsid w:val="004E540D"/>
    <w:rsid w:val="004E57AC"/>
    <w:rsid w:val="004E5D33"/>
    <w:rsid w:val="004F0C8F"/>
    <w:rsid w:val="004F2BCE"/>
    <w:rsid w:val="004F4EE5"/>
    <w:rsid w:val="004F7133"/>
    <w:rsid w:val="005028E0"/>
    <w:rsid w:val="00504E66"/>
    <w:rsid w:val="00506EEE"/>
    <w:rsid w:val="005101FA"/>
    <w:rsid w:val="00510B1A"/>
    <w:rsid w:val="00512D74"/>
    <w:rsid w:val="00513D27"/>
    <w:rsid w:val="005150D4"/>
    <w:rsid w:val="005173F9"/>
    <w:rsid w:val="00520106"/>
    <w:rsid w:val="00522148"/>
    <w:rsid w:val="005227D4"/>
    <w:rsid w:val="00524E7A"/>
    <w:rsid w:val="00524FAF"/>
    <w:rsid w:val="00526603"/>
    <w:rsid w:val="00530ECC"/>
    <w:rsid w:val="005328D7"/>
    <w:rsid w:val="005338D7"/>
    <w:rsid w:val="005340BD"/>
    <w:rsid w:val="005353BD"/>
    <w:rsid w:val="0054453B"/>
    <w:rsid w:val="00544543"/>
    <w:rsid w:val="00544848"/>
    <w:rsid w:val="005451BB"/>
    <w:rsid w:val="00546DA2"/>
    <w:rsid w:val="00550891"/>
    <w:rsid w:val="00554299"/>
    <w:rsid w:val="005545A7"/>
    <w:rsid w:val="005569C2"/>
    <w:rsid w:val="00557164"/>
    <w:rsid w:val="00557D62"/>
    <w:rsid w:val="00557F5E"/>
    <w:rsid w:val="00560A96"/>
    <w:rsid w:val="00560E7C"/>
    <w:rsid w:val="00562A16"/>
    <w:rsid w:val="00563EA6"/>
    <w:rsid w:val="005658D9"/>
    <w:rsid w:val="0056647E"/>
    <w:rsid w:val="005669A5"/>
    <w:rsid w:val="00566FAE"/>
    <w:rsid w:val="00567924"/>
    <w:rsid w:val="00570343"/>
    <w:rsid w:val="00570EC1"/>
    <w:rsid w:val="00572C48"/>
    <w:rsid w:val="0057386D"/>
    <w:rsid w:val="00576BFD"/>
    <w:rsid w:val="00577455"/>
    <w:rsid w:val="00581646"/>
    <w:rsid w:val="00581CD3"/>
    <w:rsid w:val="0058318E"/>
    <w:rsid w:val="00586433"/>
    <w:rsid w:val="005865CF"/>
    <w:rsid w:val="0058777B"/>
    <w:rsid w:val="00587B50"/>
    <w:rsid w:val="005916FF"/>
    <w:rsid w:val="005933B2"/>
    <w:rsid w:val="00595A84"/>
    <w:rsid w:val="005963AA"/>
    <w:rsid w:val="005A1AFB"/>
    <w:rsid w:val="005A1F30"/>
    <w:rsid w:val="005A2246"/>
    <w:rsid w:val="005A34B2"/>
    <w:rsid w:val="005A3BC6"/>
    <w:rsid w:val="005A54EA"/>
    <w:rsid w:val="005B1C3A"/>
    <w:rsid w:val="005B377C"/>
    <w:rsid w:val="005B79DD"/>
    <w:rsid w:val="005C040E"/>
    <w:rsid w:val="005C4E0F"/>
    <w:rsid w:val="005C5115"/>
    <w:rsid w:val="005C54E2"/>
    <w:rsid w:val="005D1CE9"/>
    <w:rsid w:val="005D27A2"/>
    <w:rsid w:val="005D6417"/>
    <w:rsid w:val="005D73FA"/>
    <w:rsid w:val="005E05E1"/>
    <w:rsid w:val="005E18BA"/>
    <w:rsid w:val="005E2F2C"/>
    <w:rsid w:val="005E47D1"/>
    <w:rsid w:val="005E4BE7"/>
    <w:rsid w:val="005E5A3B"/>
    <w:rsid w:val="005E5AE4"/>
    <w:rsid w:val="005E7106"/>
    <w:rsid w:val="005F2E23"/>
    <w:rsid w:val="005F3CE7"/>
    <w:rsid w:val="005F6149"/>
    <w:rsid w:val="005F6988"/>
    <w:rsid w:val="006003C1"/>
    <w:rsid w:val="00600BEC"/>
    <w:rsid w:val="00600FA1"/>
    <w:rsid w:val="00602C5B"/>
    <w:rsid w:val="00602D7E"/>
    <w:rsid w:val="00603DBA"/>
    <w:rsid w:val="00606454"/>
    <w:rsid w:val="00607C18"/>
    <w:rsid w:val="00610049"/>
    <w:rsid w:val="00613040"/>
    <w:rsid w:val="00613A75"/>
    <w:rsid w:val="00620F0B"/>
    <w:rsid w:val="00621064"/>
    <w:rsid w:val="006238B2"/>
    <w:rsid w:val="00630363"/>
    <w:rsid w:val="006315BC"/>
    <w:rsid w:val="006322DF"/>
    <w:rsid w:val="00633974"/>
    <w:rsid w:val="00636E61"/>
    <w:rsid w:val="00636FF6"/>
    <w:rsid w:val="00644358"/>
    <w:rsid w:val="00644A43"/>
    <w:rsid w:val="0064500E"/>
    <w:rsid w:val="0064642D"/>
    <w:rsid w:val="00647973"/>
    <w:rsid w:val="00651B4F"/>
    <w:rsid w:val="00652B1C"/>
    <w:rsid w:val="0065572A"/>
    <w:rsid w:val="00660567"/>
    <w:rsid w:val="006629D7"/>
    <w:rsid w:val="00663E29"/>
    <w:rsid w:val="00663FF4"/>
    <w:rsid w:val="006653ED"/>
    <w:rsid w:val="00673126"/>
    <w:rsid w:val="00674C5C"/>
    <w:rsid w:val="006764DC"/>
    <w:rsid w:val="006816F2"/>
    <w:rsid w:val="00682453"/>
    <w:rsid w:val="006826FB"/>
    <w:rsid w:val="006839C2"/>
    <w:rsid w:val="00684238"/>
    <w:rsid w:val="00684423"/>
    <w:rsid w:val="00684D0F"/>
    <w:rsid w:val="00685808"/>
    <w:rsid w:val="006878CC"/>
    <w:rsid w:val="00691840"/>
    <w:rsid w:val="0069274C"/>
    <w:rsid w:val="00692C47"/>
    <w:rsid w:val="00692F34"/>
    <w:rsid w:val="00693039"/>
    <w:rsid w:val="006939C2"/>
    <w:rsid w:val="006965D0"/>
    <w:rsid w:val="0069771C"/>
    <w:rsid w:val="006A0BEB"/>
    <w:rsid w:val="006A256E"/>
    <w:rsid w:val="006A4699"/>
    <w:rsid w:val="006A69AC"/>
    <w:rsid w:val="006A754B"/>
    <w:rsid w:val="006B2D86"/>
    <w:rsid w:val="006B3135"/>
    <w:rsid w:val="006B3FA6"/>
    <w:rsid w:val="006B41CD"/>
    <w:rsid w:val="006B41F5"/>
    <w:rsid w:val="006B4D75"/>
    <w:rsid w:val="006B74BC"/>
    <w:rsid w:val="006C0D94"/>
    <w:rsid w:val="006C0E42"/>
    <w:rsid w:val="006C375D"/>
    <w:rsid w:val="006C3D79"/>
    <w:rsid w:val="006C3E3B"/>
    <w:rsid w:val="006D0A29"/>
    <w:rsid w:val="006D3BD3"/>
    <w:rsid w:val="006D6A64"/>
    <w:rsid w:val="006E014A"/>
    <w:rsid w:val="006E2DC5"/>
    <w:rsid w:val="006E474B"/>
    <w:rsid w:val="006E50F9"/>
    <w:rsid w:val="006E617C"/>
    <w:rsid w:val="006F2735"/>
    <w:rsid w:val="006F3F43"/>
    <w:rsid w:val="006F4F07"/>
    <w:rsid w:val="006F5065"/>
    <w:rsid w:val="006F6CC8"/>
    <w:rsid w:val="006F709F"/>
    <w:rsid w:val="007005C6"/>
    <w:rsid w:val="00701244"/>
    <w:rsid w:val="00701E3D"/>
    <w:rsid w:val="0070312B"/>
    <w:rsid w:val="0070420D"/>
    <w:rsid w:val="00706B77"/>
    <w:rsid w:val="007072B9"/>
    <w:rsid w:val="00707ACB"/>
    <w:rsid w:val="00707BFA"/>
    <w:rsid w:val="007116C5"/>
    <w:rsid w:val="00712389"/>
    <w:rsid w:val="00713177"/>
    <w:rsid w:val="007137B0"/>
    <w:rsid w:val="00714735"/>
    <w:rsid w:val="007147AF"/>
    <w:rsid w:val="00715873"/>
    <w:rsid w:val="00716040"/>
    <w:rsid w:val="00716664"/>
    <w:rsid w:val="007169F0"/>
    <w:rsid w:val="0071727A"/>
    <w:rsid w:val="00717432"/>
    <w:rsid w:val="00717DC9"/>
    <w:rsid w:val="00726797"/>
    <w:rsid w:val="007306F9"/>
    <w:rsid w:val="00730E9B"/>
    <w:rsid w:val="007314FD"/>
    <w:rsid w:val="00731823"/>
    <w:rsid w:val="0073438D"/>
    <w:rsid w:val="0073444E"/>
    <w:rsid w:val="00735D54"/>
    <w:rsid w:val="007405DC"/>
    <w:rsid w:val="00744FC7"/>
    <w:rsid w:val="007454A7"/>
    <w:rsid w:val="00745CBC"/>
    <w:rsid w:val="00747877"/>
    <w:rsid w:val="00751C31"/>
    <w:rsid w:val="00752A07"/>
    <w:rsid w:val="007531C5"/>
    <w:rsid w:val="00753A89"/>
    <w:rsid w:val="00754178"/>
    <w:rsid w:val="00754597"/>
    <w:rsid w:val="007548CE"/>
    <w:rsid w:val="007548F6"/>
    <w:rsid w:val="00756700"/>
    <w:rsid w:val="00757A9C"/>
    <w:rsid w:val="00761995"/>
    <w:rsid w:val="0076242F"/>
    <w:rsid w:val="0076265D"/>
    <w:rsid w:val="007701D6"/>
    <w:rsid w:val="00771D50"/>
    <w:rsid w:val="00772195"/>
    <w:rsid w:val="00773CB7"/>
    <w:rsid w:val="0077580A"/>
    <w:rsid w:val="00776D4F"/>
    <w:rsid w:val="007771EC"/>
    <w:rsid w:val="00777692"/>
    <w:rsid w:val="00780817"/>
    <w:rsid w:val="007809A3"/>
    <w:rsid w:val="00781027"/>
    <w:rsid w:val="007836E9"/>
    <w:rsid w:val="00785659"/>
    <w:rsid w:val="00786FB9"/>
    <w:rsid w:val="00793D8E"/>
    <w:rsid w:val="00794219"/>
    <w:rsid w:val="00794E50"/>
    <w:rsid w:val="00797965"/>
    <w:rsid w:val="007A19AD"/>
    <w:rsid w:val="007A3D6F"/>
    <w:rsid w:val="007A4980"/>
    <w:rsid w:val="007A6163"/>
    <w:rsid w:val="007A62D7"/>
    <w:rsid w:val="007A6832"/>
    <w:rsid w:val="007B29CE"/>
    <w:rsid w:val="007B4D68"/>
    <w:rsid w:val="007B52D9"/>
    <w:rsid w:val="007B60E6"/>
    <w:rsid w:val="007B7603"/>
    <w:rsid w:val="007D1326"/>
    <w:rsid w:val="007D2C9F"/>
    <w:rsid w:val="007D3FA2"/>
    <w:rsid w:val="007D5403"/>
    <w:rsid w:val="007D6834"/>
    <w:rsid w:val="007E11E9"/>
    <w:rsid w:val="007E120C"/>
    <w:rsid w:val="007E160A"/>
    <w:rsid w:val="007E5964"/>
    <w:rsid w:val="007E689C"/>
    <w:rsid w:val="007F01CA"/>
    <w:rsid w:val="007F1D3B"/>
    <w:rsid w:val="007F3B1B"/>
    <w:rsid w:val="007F4574"/>
    <w:rsid w:val="007F75D2"/>
    <w:rsid w:val="00804BDC"/>
    <w:rsid w:val="00813929"/>
    <w:rsid w:val="00814952"/>
    <w:rsid w:val="0081625A"/>
    <w:rsid w:val="00824652"/>
    <w:rsid w:val="00824BA6"/>
    <w:rsid w:val="0082625C"/>
    <w:rsid w:val="00827168"/>
    <w:rsid w:val="008273B1"/>
    <w:rsid w:val="00830963"/>
    <w:rsid w:val="00830BCA"/>
    <w:rsid w:val="00830CB9"/>
    <w:rsid w:val="0083360D"/>
    <w:rsid w:val="00833DAD"/>
    <w:rsid w:val="00834425"/>
    <w:rsid w:val="00836C63"/>
    <w:rsid w:val="008405F5"/>
    <w:rsid w:val="00850B23"/>
    <w:rsid w:val="00853D6B"/>
    <w:rsid w:val="00854E6F"/>
    <w:rsid w:val="00854F0C"/>
    <w:rsid w:val="00855DF5"/>
    <w:rsid w:val="0085676C"/>
    <w:rsid w:val="00861CC9"/>
    <w:rsid w:val="00861E69"/>
    <w:rsid w:val="008620D1"/>
    <w:rsid w:val="00862F06"/>
    <w:rsid w:val="00866944"/>
    <w:rsid w:val="008700CE"/>
    <w:rsid w:val="00870E73"/>
    <w:rsid w:val="008713F9"/>
    <w:rsid w:val="00871940"/>
    <w:rsid w:val="00871F32"/>
    <w:rsid w:val="00872982"/>
    <w:rsid w:val="00877696"/>
    <w:rsid w:val="00877B83"/>
    <w:rsid w:val="00877DCF"/>
    <w:rsid w:val="00877FE8"/>
    <w:rsid w:val="00880D4F"/>
    <w:rsid w:val="008840E4"/>
    <w:rsid w:val="008848CB"/>
    <w:rsid w:val="0088652F"/>
    <w:rsid w:val="008877E3"/>
    <w:rsid w:val="008905B6"/>
    <w:rsid w:val="0089410A"/>
    <w:rsid w:val="008957E7"/>
    <w:rsid w:val="008974A8"/>
    <w:rsid w:val="008976E6"/>
    <w:rsid w:val="008A0818"/>
    <w:rsid w:val="008A0B18"/>
    <w:rsid w:val="008A3EE0"/>
    <w:rsid w:val="008A529C"/>
    <w:rsid w:val="008A74FF"/>
    <w:rsid w:val="008B37EE"/>
    <w:rsid w:val="008B5631"/>
    <w:rsid w:val="008B7EA9"/>
    <w:rsid w:val="008B7FD2"/>
    <w:rsid w:val="008C084A"/>
    <w:rsid w:val="008C0B0D"/>
    <w:rsid w:val="008C0FC9"/>
    <w:rsid w:val="008C11F5"/>
    <w:rsid w:val="008C61DF"/>
    <w:rsid w:val="008C639B"/>
    <w:rsid w:val="008C74C4"/>
    <w:rsid w:val="008D142F"/>
    <w:rsid w:val="008D3D03"/>
    <w:rsid w:val="008D528B"/>
    <w:rsid w:val="008E3214"/>
    <w:rsid w:val="008E4328"/>
    <w:rsid w:val="008F4D0C"/>
    <w:rsid w:val="008F63EA"/>
    <w:rsid w:val="008F6C6D"/>
    <w:rsid w:val="00902870"/>
    <w:rsid w:val="009039E2"/>
    <w:rsid w:val="0091071C"/>
    <w:rsid w:val="00910BE4"/>
    <w:rsid w:val="009145E4"/>
    <w:rsid w:val="0092227D"/>
    <w:rsid w:val="009228AE"/>
    <w:rsid w:val="00927E16"/>
    <w:rsid w:val="00930851"/>
    <w:rsid w:val="009332B6"/>
    <w:rsid w:val="009335D1"/>
    <w:rsid w:val="00933771"/>
    <w:rsid w:val="009363A8"/>
    <w:rsid w:val="00936C83"/>
    <w:rsid w:val="00937DD8"/>
    <w:rsid w:val="00940B0B"/>
    <w:rsid w:val="0094347D"/>
    <w:rsid w:val="009454CA"/>
    <w:rsid w:val="00952D00"/>
    <w:rsid w:val="009536FB"/>
    <w:rsid w:val="00954245"/>
    <w:rsid w:val="009552B6"/>
    <w:rsid w:val="00955462"/>
    <w:rsid w:val="009564A2"/>
    <w:rsid w:val="00956F91"/>
    <w:rsid w:val="00964AFC"/>
    <w:rsid w:val="00972044"/>
    <w:rsid w:val="00976B2E"/>
    <w:rsid w:val="00981742"/>
    <w:rsid w:val="00981E2C"/>
    <w:rsid w:val="00986459"/>
    <w:rsid w:val="0099022A"/>
    <w:rsid w:val="0099056F"/>
    <w:rsid w:val="00990736"/>
    <w:rsid w:val="00990B48"/>
    <w:rsid w:val="00991279"/>
    <w:rsid w:val="00994072"/>
    <w:rsid w:val="00994812"/>
    <w:rsid w:val="00995E97"/>
    <w:rsid w:val="00996F69"/>
    <w:rsid w:val="009979B0"/>
    <w:rsid w:val="00997E7E"/>
    <w:rsid w:val="009A163F"/>
    <w:rsid w:val="009A612E"/>
    <w:rsid w:val="009A621A"/>
    <w:rsid w:val="009A72B4"/>
    <w:rsid w:val="009A7768"/>
    <w:rsid w:val="009A7858"/>
    <w:rsid w:val="009B0C14"/>
    <w:rsid w:val="009B2851"/>
    <w:rsid w:val="009B35CE"/>
    <w:rsid w:val="009B379B"/>
    <w:rsid w:val="009B3F23"/>
    <w:rsid w:val="009B5319"/>
    <w:rsid w:val="009B6BDA"/>
    <w:rsid w:val="009B759A"/>
    <w:rsid w:val="009B7971"/>
    <w:rsid w:val="009B7983"/>
    <w:rsid w:val="009C19B8"/>
    <w:rsid w:val="009C38FB"/>
    <w:rsid w:val="009C3BF3"/>
    <w:rsid w:val="009C7980"/>
    <w:rsid w:val="009D03FA"/>
    <w:rsid w:val="009D0AAB"/>
    <w:rsid w:val="009D2D8A"/>
    <w:rsid w:val="009D387A"/>
    <w:rsid w:val="009E4582"/>
    <w:rsid w:val="009E578B"/>
    <w:rsid w:val="009F037D"/>
    <w:rsid w:val="009F05F5"/>
    <w:rsid w:val="009F0972"/>
    <w:rsid w:val="009F42D9"/>
    <w:rsid w:val="009F46BA"/>
    <w:rsid w:val="009F522E"/>
    <w:rsid w:val="00A0199C"/>
    <w:rsid w:val="00A020BC"/>
    <w:rsid w:val="00A02FF9"/>
    <w:rsid w:val="00A0309F"/>
    <w:rsid w:val="00A155DB"/>
    <w:rsid w:val="00A17649"/>
    <w:rsid w:val="00A20550"/>
    <w:rsid w:val="00A20EDE"/>
    <w:rsid w:val="00A218E3"/>
    <w:rsid w:val="00A23FB6"/>
    <w:rsid w:val="00A23FDD"/>
    <w:rsid w:val="00A2454A"/>
    <w:rsid w:val="00A24616"/>
    <w:rsid w:val="00A26134"/>
    <w:rsid w:val="00A27D83"/>
    <w:rsid w:val="00A27E6A"/>
    <w:rsid w:val="00A307E2"/>
    <w:rsid w:val="00A332AE"/>
    <w:rsid w:val="00A3369F"/>
    <w:rsid w:val="00A33AD0"/>
    <w:rsid w:val="00A33E9B"/>
    <w:rsid w:val="00A36B29"/>
    <w:rsid w:val="00A376A2"/>
    <w:rsid w:val="00A4004E"/>
    <w:rsid w:val="00A40963"/>
    <w:rsid w:val="00A41F4D"/>
    <w:rsid w:val="00A43276"/>
    <w:rsid w:val="00A4425F"/>
    <w:rsid w:val="00A44E99"/>
    <w:rsid w:val="00A4728F"/>
    <w:rsid w:val="00A53CD8"/>
    <w:rsid w:val="00A56C4B"/>
    <w:rsid w:val="00A576CA"/>
    <w:rsid w:val="00A61FDA"/>
    <w:rsid w:val="00A63E77"/>
    <w:rsid w:val="00A641DF"/>
    <w:rsid w:val="00A64C19"/>
    <w:rsid w:val="00A65683"/>
    <w:rsid w:val="00A739BD"/>
    <w:rsid w:val="00A74977"/>
    <w:rsid w:val="00A751FF"/>
    <w:rsid w:val="00A76C57"/>
    <w:rsid w:val="00A82A0C"/>
    <w:rsid w:val="00A84A97"/>
    <w:rsid w:val="00A860D9"/>
    <w:rsid w:val="00A9026A"/>
    <w:rsid w:val="00A90D60"/>
    <w:rsid w:val="00A90E96"/>
    <w:rsid w:val="00A93595"/>
    <w:rsid w:val="00A95FE4"/>
    <w:rsid w:val="00A9746B"/>
    <w:rsid w:val="00AA03D8"/>
    <w:rsid w:val="00AA2C6E"/>
    <w:rsid w:val="00AA4C83"/>
    <w:rsid w:val="00AB4083"/>
    <w:rsid w:val="00AB41A4"/>
    <w:rsid w:val="00AB5700"/>
    <w:rsid w:val="00AC0FA7"/>
    <w:rsid w:val="00AC4A30"/>
    <w:rsid w:val="00AD05D5"/>
    <w:rsid w:val="00AD548B"/>
    <w:rsid w:val="00AD7D30"/>
    <w:rsid w:val="00AE0636"/>
    <w:rsid w:val="00AE278D"/>
    <w:rsid w:val="00AE4937"/>
    <w:rsid w:val="00AE4C98"/>
    <w:rsid w:val="00AE55F4"/>
    <w:rsid w:val="00AE5CEA"/>
    <w:rsid w:val="00AF08A5"/>
    <w:rsid w:val="00AF2E2D"/>
    <w:rsid w:val="00AF52B0"/>
    <w:rsid w:val="00AF6EF2"/>
    <w:rsid w:val="00AF7DD6"/>
    <w:rsid w:val="00B000A9"/>
    <w:rsid w:val="00B002F2"/>
    <w:rsid w:val="00B01961"/>
    <w:rsid w:val="00B067B6"/>
    <w:rsid w:val="00B1194A"/>
    <w:rsid w:val="00B13406"/>
    <w:rsid w:val="00B14D81"/>
    <w:rsid w:val="00B14F61"/>
    <w:rsid w:val="00B150D8"/>
    <w:rsid w:val="00B16DEA"/>
    <w:rsid w:val="00B17451"/>
    <w:rsid w:val="00B238E9"/>
    <w:rsid w:val="00B25315"/>
    <w:rsid w:val="00B275AC"/>
    <w:rsid w:val="00B32A4B"/>
    <w:rsid w:val="00B32EF1"/>
    <w:rsid w:val="00B34ACC"/>
    <w:rsid w:val="00B34BC9"/>
    <w:rsid w:val="00B35807"/>
    <w:rsid w:val="00B35DC1"/>
    <w:rsid w:val="00B37CE8"/>
    <w:rsid w:val="00B37ECC"/>
    <w:rsid w:val="00B37F37"/>
    <w:rsid w:val="00B406CE"/>
    <w:rsid w:val="00B434CA"/>
    <w:rsid w:val="00B43BD6"/>
    <w:rsid w:val="00B44513"/>
    <w:rsid w:val="00B45415"/>
    <w:rsid w:val="00B46357"/>
    <w:rsid w:val="00B523E2"/>
    <w:rsid w:val="00B5530A"/>
    <w:rsid w:val="00B5573B"/>
    <w:rsid w:val="00B56471"/>
    <w:rsid w:val="00B64963"/>
    <w:rsid w:val="00B7025D"/>
    <w:rsid w:val="00B710DF"/>
    <w:rsid w:val="00B71FD5"/>
    <w:rsid w:val="00B82978"/>
    <w:rsid w:val="00B8683E"/>
    <w:rsid w:val="00B87174"/>
    <w:rsid w:val="00B9466E"/>
    <w:rsid w:val="00B96A9E"/>
    <w:rsid w:val="00B9764E"/>
    <w:rsid w:val="00BA2A3D"/>
    <w:rsid w:val="00BA395F"/>
    <w:rsid w:val="00BA39AC"/>
    <w:rsid w:val="00BA3FCD"/>
    <w:rsid w:val="00BA427A"/>
    <w:rsid w:val="00BA51D5"/>
    <w:rsid w:val="00BA5F14"/>
    <w:rsid w:val="00BA7AA0"/>
    <w:rsid w:val="00BB07C9"/>
    <w:rsid w:val="00BC1B45"/>
    <w:rsid w:val="00BC3328"/>
    <w:rsid w:val="00BC7858"/>
    <w:rsid w:val="00BD3E00"/>
    <w:rsid w:val="00BD41F4"/>
    <w:rsid w:val="00BE1A9B"/>
    <w:rsid w:val="00BE1F13"/>
    <w:rsid w:val="00BE2FCB"/>
    <w:rsid w:val="00BE3EA0"/>
    <w:rsid w:val="00BE65D2"/>
    <w:rsid w:val="00BE7E42"/>
    <w:rsid w:val="00BF0598"/>
    <w:rsid w:val="00BF0D54"/>
    <w:rsid w:val="00BF0E5C"/>
    <w:rsid w:val="00BF11D6"/>
    <w:rsid w:val="00BF149F"/>
    <w:rsid w:val="00BF179D"/>
    <w:rsid w:val="00BF23A9"/>
    <w:rsid w:val="00BF3C5E"/>
    <w:rsid w:val="00BF60FA"/>
    <w:rsid w:val="00BF68CB"/>
    <w:rsid w:val="00BF6A2F"/>
    <w:rsid w:val="00BF77F2"/>
    <w:rsid w:val="00C02FF1"/>
    <w:rsid w:val="00C03BB3"/>
    <w:rsid w:val="00C0489F"/>
    <w:rsid w:val="00C0608E"/>
    <w:rsid w:val="00C130D2"/>
    <w:rsid w:val="00C13B32"/>
    <w:rsid w:val="00C13F44"/>
    <w:rsid w:val="00C1419D"/>
    <w:rsid w:val="00C14BC0"/>
    <w:rsid w:val="00C151F5"/>
    <w:rsid w:val="00C15A45"/>
    <w:rsid w:val="00C1675D"/>
    <w:rsid w:val="00C201EA"/>
    <w:rsid w:val="00C213EB"/>
    <w:rsid w:val="00C21520"/>
    <w:rsid w:val="00C2586B"/>
    <w:rsid w:val="00C25AD5"/>
    <w:rsid w:val="00C261F7"/>
    <w:rsid w:val="00C26A96"/>
    <w:rsid w:val="00C26E8B"/>
    <w:rsid w:val="00C335DF"/>
    <w:rsid w:val="00C33AFB"/>
    <w:rsid w:val="00C372C2"/>
    <w:rsid w:val="00C375BE"/>
    <w:rsid w:val="00C45469"/>
    <w:rsid w:val="00C4556F"/>
    <w:rsid w:val="00C52357"/>
    <w:rsid w:val="00C526B5"/>
    <w:rsid w:val="00C52CEC"/>
    <w:rsid w:val="00C607FC"/>
    <w:rsid w:val="00C623F9"/>
    <w:rsid w:val="00C628FC"/>
    <w:rsid w:val="00C64071"/>
    <w:rsid w:val="00C65037"/>
    <w:rsid w:val="00C6568A"/>
    <w:rsid w:val="00C65C10"/>
    <w:rsid w:val="00C66AD2"/>
    <w:rsid w:val="00C71634"/>
    <w:rsid w:val="00C729CF"/>
    <w:rsid w:val="00C730BA"/>
    <w:rsid w:val="00C73CEE"/>
    <w:rsid w:val="00C73DB6"/>
    <w:rsid w:val="00C770F9"/>
    <w:rsid w:val="00C811D3"/>
    <w:rsid w:val="00C82461"/>
    <w:rsid w:val="00C84518"/>
    <w:rsid w:val="00C84607"/>
    <w:rsid w:val="00C84984"/>
    <w:rsid w:val="00C85030"/>
    <w:rsid w:val="00C8682B"/>
    <w:rsid w:val="00C86E30"/>
    <w:rsid w:val="00C87404"/>
    <w:rsid w:val="00C93DBF"/>
    <w:rsid w:val="00C93E11"/>
    <w:rsid w:val="00C9427D"/>
    <w:rsid w:val="00C9490E"/>
    <w:rsid w:val="00C94D88"/>
    <w:rsid w:val="00C97FF6"/>
    <w:rsid w:val="00CA0E52"/>
    <w:rsid w:val="00CA6BB2"/>
    <w:rsid w:val="00CA7D53"/>
    <w:rsid w:val="00CB3D42"/>
    <w:rsid w:val="00CB4788"/>
    <w:rsid w:val="00CB5D09"/>
    <w:rsid w:val="00CB64E4"/>
    <w:rsid w:val="00CB6CA0"/>
    <w:rsid w:val="00CB7C40"/>
    <w:rsid w:val="00CC19F7"/>
    <w:rsid w:val="00CC4701"/>
    <w:rsid w:val="00CC4797"/>
    <w:rsid w:val="00CC6134"/>
    <w:rsid w:val="00CC699F"/>
    <w:rsid w:val="00CC71AB"/>
    <w:rsid w:val="00CD1349"/>
    <w:rsid w:val="00CD2758"/>
    <w:rsid w:val="00CD4516"/>
    <w:rsid w:val="00CD6666"/>
    <w:rsid w:val="00CE5BF0"/>
    <w:rsid w:val="00CE61EA"/>
    <w:rsid w:val="00CE6B1A"/>
    <w:rsid w:val="00CE7448"/>
    <w:rsid w:val="00CE7887"/>
    <w:rsid w:val="00CF3D94"/>
    <w:rsid w:val="00CF59A9"/>
    <w:rsid w:val="00D01F38"/>
    <w:rsid w:val="00D03C6A"/>
    <w:rsid w:val="00D0468D"/>
    <w:rsid w:val="00D04D3B"/>
    <w:rsid w:val="00D055DD"/>
    <w:rsid w:val="00D07F2D"/>
    <w:rsid w:val="00D10748"/>
    <w:rsid w:val="00D12576"/>
    <w:rsid w:val="00D223C7"/>
    <w:rsid w:val="00D22B3B"/>
    <w:rsid w:val="00D267C3"/>
    <w:rsid w:val="00D30267"/>
    <w:rsid w:val="00D31094"/>
    <w:rsid w:val="00D31C69"/>
    <w:rsid w:val="00D36771"/>
    <w:rsid w:val="00D367F9"/>
    <w:rsid w:val="00D4086C"/>
    <w:rsid w:val="00D411C6"/>
    <w:rsid w:val="00D413F5"/>
    <w:rsid w:val="00D42050"/>
    <w:rsid w:val="00D4414F"/>
    <w:rsid w:val="00D50EDE"/>
    <w:rsid w:val="00D52210"/>
    <w:rsid w:val="00D52DBD"/>
    <w:rsid w:val="00D57515"/>
    <w:rsid w:val="00D62014"/>
    <w:rsid w:val="00D63B03"/>
    <w:rsid w:val="00D6674B"/>
    <w:rsid w:val="00D70E8E"/>
    <w:rsid w:val="00D733AD"/>
    <w:rsid w:val="00D74586"/>
    <w:rsid w:val="00D80331"/>
    <w:rsid w:val="00D81DDC"/>
    <w:rsid w:val="00D821C5"/>
    <w:rsid w:val="00D83812"/>
    <w:rsid w:val="00D83C01"/>
    <w:rsid w:val="00D857C2"/>
    <w:rsid w:val="00D859C3"/>
    <w:rsid w:val="00D86AE9"/>
    <w:rsid w:val="00D930D8"/>
    <w:rsid w:val="00D9363C"/>
    <w:rsid w:val="00D95B0B"/>
    <w:rsid w:val="00DA26D3"/>
    <w:rsid w:val="00DA5B5D"/>
    <w:rsid w:val="00DA7048"/>
    <w:rsid w:val="00DB2CBF"/>
    <w:rsid w:val="00DB3045"/>
    <w:rsid w:val="00DB3433"/>
    <w:rsid w:val="00DB4D6B"/>
    <w:rsid w:val="00DB4F8E"/>
    <w:rsid w:val="00DB5882"/>
    <w:rsid w:val="00DB6ACF"/>
    <w:rsid w:val="00DB77DA"/>
    <w:rsid w:val="00DC1270"/>
    <w:rsid w:val="00DC5018"/>
    <w:rsid w:val="00DD0057"/>
    <w:rsid w:val="00DD25AB"/>
    <w:rsid w:val="00DD39B7"/>
    <w:rsid w:val="00DD45F8"/>
    <w:rsid w:val="00DD583E"/>
    <w:rsid w:val="00DD76D7"/>
    <w:rsid w:val="00DE0346"/>
    <w:rsid w:val="00DE1DAD"/>
    <w:rsid w:val="00DE5FBC"/>
    <w:rsid w:val="00DF4469"/>
    <w:rsid w:val="00DF4A54"/>
    <w:rsid w:val="00DF4E7F"/>
    <w:rsid w:val="00DF5186"/>
    <w:rsid w:val="00DF6EA1"/>
    <w:rsid w:val="00E014F6"/>
    <w:rsid w:val="00E04566"/>
    <w:rsid w:val="00E04AB2"/>
    <w:rsid w:val="00E06FF9"/>
    <w:rsid w:val="00E0785E"/>
    <w:rsid w:val="00E125C8"/>
    <w:rsid w:val="00E125E3"/>
    <w:rsid w:val="00E148D8"/>
    <w:rsid w:val="00E15EE5"/>
    <w:rsid w:val="00E17875"/>
    <w:rsid w:val="00E20531"/>
    <w:rsid w:val="00E21543"/>
    <w:rsid w:val="00E2348E"/>
    <w:rsid w:val="00E23A2E"/>
    <w:rsid w:val="00E24F74"/>
    <w:rsid w:val="00E263AC"/>
    <w:rsid w:val="00E265B8"/>
    <w:rsid w:val="00E30B65"/>
    <w:rsid w:val="00E32A25"/>
    <w:rsid w:val="00E339C0"/>
    <w:rsid w:val="00E354D1"/>
    <w:rsid w:val="00E43178"/>
    <w:rsid w:val="00E43B59"/>
    <w:rsid w:val="00E444A3"/>
    <w:rsid w:val="00E4568C"/>
    <w:rsid w:val="00E47E89"/>
    <w:rsid w:val="00E509E8"/>
    <w:rsid w:val="00E5492F"/>
    <w:rsid w:val="00E56BBE"/>
    <w:rsid w:val="00E57630"/>
    <w:rsid w:val="00E62686"/>
    <w:rsid w:val="00E64E3A"/>
    <w:rsid w:val="00E66A70"/>
    <w:rsid w:val="00E67612"/>
    <w:rsid w:val="00E714F5"/>
    <w:rsid w:val="00E82154"/>
    <w:rsid w:val="00E85454"/>
    <w:rsid w:val="00E87D02"/>
    <w:rsid w:val="00E900D8"/>
    <w:rsid w:val="00E93B45"/>
    <w:rsid w:val="00E94FCF"/>
    <w:rsid w:val="00E95C5F"/>
    <w:rsid w:val="00EA154B"/>
    <w:rsid w:val="00EA2976"/>
    <w:rsid w:val="00EA40B8"/>
    <w:rsid w:val="00EA46BB"/>
    <w:rsid w:val="00EA5619"/>
    <w:rsid w:val="00EB0044"/>
    <w:rsid w:val="00EB2DE2"/>
    <w:rsid w:val="00EB3186"/>
    <w:rsid w:val="00EB5E96"/>
    <w:rsid w:val="00EC15B5"/>
    <w:rsid w:val="00EC4B5D"/>
    <w:rsid w:val="00EC5805"/>
    <w:rsid w:val="00EC6E15"/>
    <w:rsid w:val="00ED06DA"/>
    <w:rsid w:val="00ED1D08"/>
    <w:rsid w:val="00ED4617"/>
    <w:rsid w:val="00EE0A0F"/>
    <w:rsid w:val="00EE2D63"/>
    <w:rsid w:val="00EE4E3C"/>
    <w:rsid w:val="00EE5429"/>
    <w:rsid w:val="00EE5ADB"/>
    <w:rsid w:val="00EF044D"/>
    <w:rsid w:val="00EF059C"/>
    <w:rsid w:val="00EF3962"/>
    <w:rsid w:val="00EF5A8F"/>
    <w:rsid w:val="00EF73BE"/>
    <w:rsid w:val="00F00F74"/>
    <w:rsid w:val="00F01887"/>
    <w:rsid w:val="00F02500"/>
    <w:rsid w:val="00F068DF"/>
    <w:rsid w:val="00F107FF"/>
    <w:rsid w:val="00F1176D"/>
    <w:rsid w:val="00F12069"/>
    <w:rsid w:val="00F12D2A"/>
    <w:rsid w:val="00F17B9F"/>
    <w:rsid w:val="00F204E0"/>
    <w:rsid w:val="00F215DF"/>
    <w:rsid w:val="00F2202D"/>
    <w:rsid w:val="00F22C99"/>
    <w:rsid w:val="00F230A5"/>
    <w:rsid w:val="00F274DD"/>
    <w:rsid w:val="00F27FBF"/>
    <w:rsid w:val="00F30CC4"/>
    <w:rsid w:val="00F31196"/>
    <w:rsid w:val="00F33B48"/>
    <w:rsid w:val="00F34006"/>
    <w:rsid w:val="00F34B0A"/>
    <w:rsid w:val="00F4526C"/>
    <w:rsid w:val="00F50DDD"/>
    <w:rsid w:val="00F52C01"/>
    <w:rsid w:val="00F53089"/>
    <w:rsid w:val="00F540F8"/>
    <w:rsid w:val="00F56B98"/>
    <w:rsid w:val="00F61692"/>
    <w:rsid w:val="00F654C5"/>
    <w:rsid w:val="00F66E7E"/>
    <w:rsid w:val="00F67206"/>
    <w:rsid w:val="00F70B95"/>
    <w:rsid w:val="00F715DE"/>
    <w:rsid w:val="00F72B23"/>
    <w:rsid w:val="00F73CBB"/>
    <w:rsid w:val="00F761DA"/>
    <w:rsid w:val="00F82521"/>
    <w:rsid w:val="00F84125"/>
    <w:rsid w:val="00F85039"/>
    <w:rsid w:val="00F85F70"/>
    <w:rsid w:val="00F8763D"/>
    <w:rsid w:val="00F87B91"/>
    <w:rsid w:val="00F9169A"/>
    <w:rsid w:val="00F9424E"/>
    <w:rsid w:val="00F94EC5"/>
    <w:rsid w:val="00F9670F"/>
    <w:rsid w:val="00FA03D6"/>
    <w:rsid w:val="00FA06AF"/>
    <w:rsid w:val="00FA09B5"/>
    <w:rsid w:val="00FA1B6C"/>
    <w:rsid w:val="00FA1D3A"/>
    <w:rsid w:val="00FA6653"/>
    <w:rsid w:val="00FA68DB"/>
    <w:rsid w:val="00FA6A62"/>
    <w:rsid w:val="00FA7430"/>
    <w:rsid w:val="00FB0518"/>
    <w:rsid w:val="00FB1D7D"/>
    <w:rsid w:val="00FB210F"/>
    <w:rsid w:val="00FB4E9F"/>
    <w:rsid w:val="00FB60A1"/>
    <w:rsid w:val="00FC4ACF"/>
    <w:rsid w:val="00FC6387"/>
    <w:rsid w:val="00FC63E0"/>
    <w:rsid w:val="00FD3F4A"/>
    <w:rsid w:val="00FE0707"/>
    <w:rsid w:val="00FE173E"/>
    <w:rsid w:val="00FE37E5"/>
    <w:rsid w:val="00FE4F38"/>
    <w:rsid w:val="00FE6077"/>
    <w:rsid w:val="00FE7CDA"/>
    <w:rsid w:val="00FF2342"/>
    <w:rsid w:val="00FF314A"/>
    <w:rsid w:val="00FF3702"/>
    <w:rsid w:val="00FF42D4"/>
    <w:rsid w:val="00FF5E4D"/>
    <w:rsid w:val="01095331"/>
    <w:rsid w:val="01581382"/>
    <w:rsid w:val="01BF37C7"/>
    <w:rsid w:val="01D40725"/>
    <w:rsid w:val="02095E20"/>
    <w:rsid w:val="02380465"/>
    <w:rsid w:val="024E1C49"/>
    <w:rsid w:val="027E771E"/>
    <w:rsid w:val="028405DB"/>
    <w:rsid w:val="02941E14"/>
    <w:rsid w:val="02B040FC"/>
    <w:rsid w:val="02D51B92"/>
    <w:rsid w:val="03104DE5"/>
    <w:rsid w:val="03295D70"/>
    <w:rsid w:val="032B03AA"/>
    <w:rsid w:val="032F3FB0"/>
    <w:rsid w:val="033D69F6"/>
    <w:rsid w:val="037E2B67"/>
    <w:rsid w:val="03B56F7B"/>
    <w:rsid w:val="03ED3296"/>
    <w:rsid w:val="04243DB5"/>
    <w:rsid w:val="047665CE"/>
    <w:rsid w:val="047678D3"/>
    <w:rsid w:val="04891E6A"/>
    <w:rsid w:val="04E836BF"/>
    <w:rsid w:val="0500243F"/>
    <w:rsid w:val="05123C0E"/>
    <w:rsid w:val="05964C1A"/>
    <w:rsid w:val="05AC22B4"/>
    <w:rsid w:val="05B1203A"/>
    <w:rsid w:val="05B44CC5"/>
    <w:rsid w:val="06033DBD"/>
    <w:rsid w:val="06224621"/>
    <w:rsid w:val="0624301F"/>
    <w:rsid w:val="06940C00"/>
    <w:rsid w:val="06B07C43"/>
    <w:rsid w:val="06B43D3B"/>
    <w:rsid w:val="06DF5D71"/>
    <w:rsid w:val="073E101F"/>
    <w:rsid w:val="0768187A"/>
    <w:rsid w:val="07750162"/>
    <w:rsid w:val="07983E97"/>
    <w:rsid w:val="07992EBD"/>
    <w:rsid w:val="07C24B61"/>
    <w:rsid w:val="07E15B19"/>
    <w:rsid w:val="080261BB"/>
    <w:rsid w:val="08391A75"/>
    <w:rsid w:val="08971324"/>
    <w:rsid w:val="08EA46D7"/>
    <w:rsid w:val="091E280E"/>
    <w:rsid w:val="092A2235"/>
    <w:rsid w:val="09684744"/>
    <w:rsid w:val="09737190"/>
    <w:rsid w:val="098B0432"/>
    <w:rsid w:val="0A184F25"/>
    <w:rsid w:val="0A260878"/>
    <w:rsid w:val="0A346E2E"/>
    <w:rsid w:val="0A3E0FFB"/>
    <w:rsid w:val="0A4B5D00"/>
    <w:rsid w:val="0A5344BA"/>
    <w:rsid w:val="0A6766AF"/>
    <w:rsid w:val="0A852BD8"/>
    <w:rsid w:val="0A9617D5"/>
    <w:rsid w:val="0A9D178C"/>
    <w:rsid w:val="0AAC468F"/>
    <w:rsid w:val="0AB55B02"/>
    <w:rsid w:val="0AE207F3"/>
    <w:rsid w:val="0B033099"/>
    <w:rsid w:val="0B1A4C9E"/>
    <w:rsid w:val="0B3041F8"/>
    <w:rsid w:val="0B4E35E4"/>
    <w:rsid w:val="0B607895"/>
    <w:rsid w:val="0B67306F"/>
    <w:rsid w:val="0B8F5F21"/>
    <w:rsid w:val="0BAA07F8"/>
    <w:rsid w:val="0BE46D1C"/>
    <w:rsid w:val="0BFA2E04"/>
    <w:rsid w:val="0C0777A4"/>
    <w:rsid w:val="0C2A689B"/>
    <w:rsid w:val="0C3A7B8A"/>
    <w:rsid w:val="0C45039E"/>
    <w:rsid w:val="0C762CD4"/>
    <w:rsid w:val="0CB24DFF"/>
    <w:rsid w:val="0CC3182D"/>
    <w:rsid w:val="0CEC12E3"/>
    <w:rsid w:val="0D024C2F"/>
    <w:rsid w:val="0D12204A"/>
    <w:rsid w:val="0D28248F"/>
    <w:rsid w:val="0D345D6D"/>
    <w:rsid w:val="0D56313D"/>
    <w:rsid w:val="0DAF0F48"/>
    <w:rsid w:val="0DB326EE"/>
    <w:rsid w:val="0DCC5911"/>
    <w:rsid w:val="0DDA46B8"/>
    <w:rsid w:val="0E1D392E"/>
    <w:rsid w:val="0E3328EC"/>
    <w:rsid w:val="0E56100F"/>
    <w:rsid w:val="0E58556F"/>
    <w:rsid w:val="0E5D5C97"/>
    <w:rsid w:val="0E71704F"/>
    <w:rsid w:val="0EB36461"/>
    <w:rsid w:val="0EB82814"/>
    <w:rsid w:val="0EBE12D0"/>
    <w:rsid w:val="0EDE2272"/>
    <w:rsid w:val="0EE271CE"/>
    <w:rsid w:val="0EE718F2"/>
    <w:rsid w:val="0EE85525"/>
    <w:rsid w:val="0F3454AB"/>
    <w:rsid w:val="0F3C590C"/>
    <w:rsid w:val="0F3F73F8"/>
    <w:rsid w:val="0F6459AD"/>
    <w:rsid w:val="0FC539CE"/>
    <w:rsid w:val="0FD91EF8"/>
    <w:rsid w:val="0FF0196A"/>
    <w:rsid w:val="102B64CB"/>
    <w:rsid w:val="1076786C"/>
    <w:rsid w:val="109776BD"/>
    <w:rsid w:val="10C66B57"/>
    <w:rsid w:val="10D170B5"/>
    <w:rsid w:val="10FB5145"/>
    <w:rsid w:val="110209FE"/>
    <w:rsid w:val="11365752"/>
    <w:rsid w:val="113C1628"/>
    <w:rsid w:val="11781C6F"/>
    <w:rsid w:val="11967E55"/>
    <w:rsid w:val="11A402E3"/>
    <w:rsid w:val="11CC7BA9"/>
    <w:rsid w:val="120A2D88"/>
    <w:rsid w:val="12274CAA"/>
    <w:rsid w:val="125260A5"/>
    <w:rsid w:val="12E02245"/>
    <w:rsid w:val="12F75ED3"/>
    <w:rsid w:val="135C6647"/>
    <w:rsid w:val="13646829"/>
    <w:rsid w:val="13975173"/>
    <w:rsid w:val="13D73B59"/>
    <w:rsid w:val="13EC3F5B"/>
    <w:rsid w:val="14033E0B"/>
    <w:rsid w:val="143A33DE"/>
    <w:rsid w:val="14432DC0"/>
    <w:rsid w:val="14667CCC"/>
    <w:rsid w:val="14A723DA"/>
    <w:rsid w:val="14AB122D"/>
    <w:rsid w:val="14BB0146"/>
    <w:rsid w:val="14CF5677"/>
    <w:rsid w:val="14F27922"/>
    <w:rsid w:val="150051B7"/>
    <w:rsid w:val="15267261"/>
    <w:rsid w:val="15281012"/>
    <w:rsid w:val="155679FC"/>
    <w:rsid w:val="15957341"/>
    <w:rsid w:val="15D45280"/>
    <w:rsid w:val="15DA2C2F"/>
    <w:rsid w:val="15E763F1"/>
    <w:rsid w:val="160B51EB"/>
    <w:rsid w:val="163216E5"/>
    <w:rsid w:val="16322A61"/>
    <w:rsid w:val="1634549E"/>
    <w:rsid w:val="164241DC"/>
    <w:rsid w:val="166074CF"/>
    <w:rsid w:val="16724385"/>
    <w:rsid w:val="169F1963"/>
    <w:rsid w:val="16D059F9"/>
    <w:rsid w:val="16FE37FF"/>
    <w:rsid w:val="17093E3E"/>
    <w:rsid w:val="171F4E51"/>
    <w:rsid w:val="17201E62"/>
    <w:rsid w:val="1730359D"/>
    <w:rsid w:val="179010B4"/>
    <w:rsid w:val="179E1DFC"/>
    <w:rsid w:val="17B03722"/>
    <w:rsid w:val="18080F1C"/>
    <w:rsid w:val="180D1D92"/>
    <w:rsid w:val="1822695F"/>
    <w:rsid w:val="1825592A"/>
    <w:rsid w:val="186A0B1C"/>
    <w:rsid w:val="18735801"/>
    <w:rsid w:val="18771F0A"/>
    <w:rsid w:val="187D0551"/>
    <w:rsid w:val="189D2F93"/>
    <w:rsid w:val="18B6361D"/>
    <w:rsid w:val="18D92132"/>
    <w:rsid w:val="18F77D70"/>
    <w:rsid w:val="191C6979"/>
    <w:rsid w:val="192B66E0"/>
    <w:rsid w:val="1940466F"/>
    <w:rsid w:val="19444E7F"/>
    <w:rsid w:val="19543A50"/>
    <w:rsid w:val="19882298"/>
    <w:rsid w:val="1992367A"/>
    <w:rsid w:val="19B25CF0"/>
    <w:rsid w:val="1A19513A"/>
    <w:rsid w:val="1A2A0944"/>
    <w:rsid w:val="1A9E62E4"/>
    <w:rsid w:val="1AB2048F"/>
    <w:rsid w:val="1AB4284F"/>
    <w:rsid w:val="1ABD5BF3"/>
    <w:rsid w:val="1AC2469F"/>
    <w:rsid w:val="1AD94183"/>
    <w:rsid w:val="1AE74CC7"/>
    <w:rsid w:val="1AFC4046"/>
    <w:rsid w:val="1B010DD9"/>
    <w:rsid w:val="1B0B77EF"/>
    <w:rsid w:val="1B191A0B"/>
    <w:rsid w:val="1B423185"/>
    <w:rsid w:val="1B4B6052"/>
    <w:rsid w:val="1B525516"/>
    <w:rsid w:val="1B5E2EB1"/>
    <w:rsid w:val="1B73519C"/>
    <w:rsid w:val="1B825F57"/>
    <w:rsid w:val="1BF4231A"/>
    <w:rsid w:val="1C1D15B8"/>
    <w:rsid w:val="1C2F1CC9"/>
    <w:rsid w:val="1C317102"/>
    <w:rsid w:val="1C836361"/>
    <w:rsid w:val="1CD56456"/>
    <w:rsid w:val="1D0A0E86"/>
    <w:rsid w:val="1D0B31A8"/>
    <w:rsid w:val="1D2D7843"/>
    <w:rsid w:val="1D3B5FC4"/>
    <w:rsid w:val="1D792862"/>
    <w:rsid w:val="1D924BBF"/>
    <w:rsid w:val="1DA17927"/>
    <w:rsid w:val="1DD92D2D"/>
    <w:rsid w:val="1E1046B9"/>
    <w:rsid w:val="1E176B13"/>
    <w:rsid w:val="1E502A69"/>
    <w:rsid w:val="1E79436E"/>
    <w:rsid w:val="1E7A4DD3"/>
    <w:rsid w:val="1E8A0861"/>
    <w:rsid w:val="1ECE699F"/>
    <w:rsid w:val="1ED330D2"/>
    <w:rsid w:val="1EEF63C6"/>
    <w:rsid w:val="1F471356"/>
    <w:rsid w:val="1F4F15DD"/>
    <w:rsid w:val="1F5573F2"/>
    <w:rsid w:val="1F79664A"/>
    <w:rsid w:val="1F933359"/>
    <w:rsid w:val="1FAB3DD0"/>
    <w:rsid w:val="1FCD6933"/>
    <w:rsid w:val="200B7434"/>
    <w:rsid w:val="201C32D6"/>
    <w:rsid w:val="2028357B"/>
    <w:rsid w:val="202E0A8E"/>
    <w:rsid w:val="205067D8"/>
    <w:rsid w:val="20621A95"/>
    <w:rsid w:val="2066788B"/>
    <w:rsid w:val="206770AC"/>
    <w:rsid w:val="208C5578"/>
    <w:rsid w:val="208F56BE"/>
    <w:rsid w:val="20906700"/>
    <w:rsid w:val="20944476"/>
    <w:rsid w:val="20A12D3B"/>
    <w:rsid w:val="20D0351D"/>
    <w:rsid w:val="20F737F8"/>
    <w:rsid w:val="21066A5F"/>
    <w:rsid w:val="21181965"/>
    <w:rsid w:val="21273848"/>
    <w:rsid w:val="213265D5"/>
    <w:rsid w:val="214166E3"/>
    <w:rsid w:val="215D400B"/>
    <w:rsid w:val="21625A6F"/>
    <w:rsid w:val="21855FAA"/>
    <w:rsid w:val="21BA1B37"/>
    <w:rsid w:val="21BE40CD"/>
    <w:rsid w:val="21C0176E"/>
    <w:rsid w:val="21CC3D6A"/>
    <w:rsid w:val="21DF189B"/>
    <w:rsid w:val="22547E7D"/>
    <w:rsid w:val="22D54A6B"/>
    <w:rsid w:val="231554EA"/>
    <w:rsid w:val="23234FAA"/>
    <w:rsid w:val="232B2B18"/>
    <w:rsid w:val="238268AD"/>
    <w:rsid w:val="23914D68"/>
    <w:rsid w:val="23993E44"/>
    <w:rsid w:val="23BE0CF5"/>
    <w:rsid w:val="24265CA2"/>
    <w:rsid w:val="243700D6"/>
    <w:rsid w:val="24486A01"/>
    <w:rsid w:val="24551B60"/>
    <w:rsid w:val="246C2373"/>
    <w:rsid w:val="24701DEC"/>
    <w:rsid w:val="24940E97"/>
    <w:rsid w:val="249A3483"/>
    <w:rsid w:val="249C1ECC"/>
    <w:rsid w:val="24AC2CED"/>
    <w:rsid w:val="24B569F7"/>
    <w:rsid w:val="24F66C29"/>
    <w:rsid w:val="24FB50A0"/>
    <w:rsid w:val="25075C04"/>
    <w:rsid w:val="252E63EA"/>
    <w:rsid w:val="2564491D"/>
    <w:rsid w:val="25A55F80"/>
    <w:rsid w:val="25E113EC"/>
    <w:rsid w:val="25F32882"/>
    <w:rsid w:val="25F541FF"/>
    <w:rsid w:val="26307F8F"/>
    <w:rsid w:val="263140CA"/>
    <w:rsid w:val="26955EA5"/>
    <w:rsid w:val="269C60F7"/>
    <w:rsid w:val="26B94FF3"/>
    <w:rsid w:val="26EA03F9"/>
    <w:rsid w:val="26FC1914"/>
    <w:rsid w:val="27050C9F"/>
    <w:rsid w:val="27166E63"/>
    <w:rsid w:val="273121C1"/>
    <w:rsid w:val="27544917"/>
    <w:rsid w:val="27644C4D"/>
    <w:rsid w:val="27A843BF"/>
    <w:rsid w:val="27D265D2"/>
    <w:rsid w:val="27E464C3"/>
    <w:rsid w:val="27E910AC"/>
    <w:rsid w:val="28101DD7"/>
    <w:rsid w:val="281C4C20"/>
    <w:rsid w:val="28293FE4"/>
    <w:rsid w:val="282F2A46"/>
    <w:rsid w:val="2833632A"/>
    <w:rsid w:val="286200A6"/>
    <w:rsid w:val="28A0483A"/>
    <w:rsid w:val="28C05AEF"/>
    <w:rsid w:val="290F369C"/>
    <w:rsid w:val="295121A9"/>
    <w:rsid w:val="295835B7"/>
    <w:rsid w:val="296C3109"/>
    <w:rsid w:val="29B53680"/>
    <w:rsid w:val="29CC6825"/>
    <w:rsid w:val="29EC1600"/>
    <w:rsid w:val="2A281D7C"/>
    <w:rsid w:val="2A5957DE"/>
    <w:rsid w:val="2A6D05AD"/>
    <w:rsid w:val="2AB40D52"/>
    <w:rsid w:val="2AC34F8C"/>
    <w:rsid w:val="2ACB35CE"/>
    <w:rsid w:val="2AFE23B7"/>
    <w:rsid w:val="2B253984"/>
    <w:rsid w:val="2B727682"/>
    <w:rsid w:val="2B9E3452"/>
    <w:rsid w:val="2BB63891"/>
    <w:rsid w:val="2BBE6DB4"/>
    <w:rsid w:val="2BCC070B"/>
    <w:rsid w:val="2C026E71"/>
    <w:rsid w:val="2C30136E"/>
    <w:rsid w:val="2C5E18F7"/>
    <w:rsid w:val="2C6B2637"/>
    <w:rsid w:val="2C812F9A"/>
    <w:rsid w:val="2C8404E8"/>
    <w:rsid w:val="2CEA730C"/>
    <w:rsid w:val="2CF746D8"/>
    <w:rsid w:val="2D2623AD"/>
    <w:rsid w:val="2D3D1CAD"/>
    <w:rsid w:val="2D467E5C"/>
    <w:rsid w:val="2D795461"/>
    <w:rsid w:val="2D88240F"/>
    <w:rsid w:val="2D9751F3"/>
    <w:rsid w:val="2DB36189"/>
    <w:rsid w:val="2DDA1BF0"/>
    <w:rsid w:val="2E0E4E35"/>
    <w:rsid w:val="2E1E7787"/>
    <w:rsid w:val="2E297AA0"/>
    <w:rsid w:val="2E3A5DFF"/>
    <w:rsid w:val="2E901143"/>
    <w:rsid w:val="2EA4496D"/>
    <w:rsid w:val="2ECA747A"/>
    <w:rsid w:val="2EF51D26"/>
    <w:rsid w:val="2F0B779C"/>
    <w:rsid w:val="2F2525D7"/>
    <w:rsid w:val="2F344F3F"/>
    <w:rsid w:val="2F4C4F8C"/>
    <w:rsid w:val="2F506315"/>
    <w:rsid w:val="2F740752"/>
    <w:rsid w:val="2FA92457"/>
    <w:rsid w:val="2FD4628A"/>
    <w:rsid w:val="2FD858D0"/>
    <w:rsid w:val="2FE46E29"/>
    <w:rsid w:val="2FEB14C9"/>
    <w:rsid w:val="301306B6"/>
    <w:rsid w:val="30170D3F"/>
    <w:rsid w:val="302C0736"/>
    <w:rsid w:val="303E59B5"/>
    <w:rsid w:val="304116E3"/>
    <w:rsid w:val="30422C9D"/>
    <w:rsid w:val="30532C89"/>
    <w:rsid w:val="308070A0"/>
    <w:rsid w:val="308E1571"/>
    <w:rsid w:val="308E2E9C"/>
    <w:rsid w:val="30B55C11"/>
    <w:rsid w:val="310E1ED0"/>
    <w:rsid w:val="31132910"/>
    <w:rsid w:val="312824B9"/>
    <w:rsid w:val="313145EE"/>
    <w:rsid w:val="3132639B"/>
    <w:rsid w:val="31436989"/>
    <w:rsid w:val="31841037"/>
    <w:rsid w:val="31BF5D2C"/>
    <w:rsid w:val="31CE7AC2"/>
    <w:rsid w:val="31F1336E"/>
    <w:rsid w:val="31F83313"/>
    <w:rsid w:val="31F8762B"/>
    <w:rsid w:val="326136CC"/>
    <w:rsid w:val="326340B4"/>
    <w:rsid w:val="32897912"/>
    <w:rsid w:val="32BA118F"/>
    <w:rsid w:val="32D63C1D"/>
    <w:rsid w:val="330E785B"/>
    <w:rsid w:val="33377124"/>
    <w:rsid w:val="33476306"/>
    <w:rsid w:val="334A0B80"/>
    <w:rsid w:val="336D4FD3"/>
    <w:rsid w:val="33756463"/>
    <w:rsid w:val="33AB0D7B"/>
    <w:rsid w:val="33B864AF"/>
    <w:rsid w:val="33BE1416"/>
    <w:rsid w:val="34324D15"/>
    <w:rsid w:val="34634F0C"/>
    <w:rsid w:val="34897C8A"/>
    <w:rsid w:val="349473BB"/>
    <w:rsid w:val="34AE1AED"/>
    <w:rsid w:val="34BA1658"/>
    <w:rsid w:val="34C77CC1"/>
    <w:rsid w:val="34CA00E8"/>
    <w:rsid w:val="34D74C5C"/>
    <w:rsid w:val="34E051FE"/>
    <w:rsid w:val="3514040E"/>
    <w:rsid w:val="351A75D6"/>
    <w:rsid w:val="352875CB"/>
    <w:rsid w:val="353C140A"/>
    <w:rsid w:val="354521A5"/>
    <w:rsid w:val="358A7975"/>
    <w:rsid w:val="35943A4E"/>
    <w:rsid w:val="35B018F6"/>
    <w:rsid w:val="35C7294F"/>
    <w:rsid w:val="35CD752C"/>
    <w:rsid w:val="363A05FC"/>
    <w:rsid w:val="364957D6"/>
    <w:rsid w:val="366014A2"/>
    <w:rsid w:val="366062BE"/>
    <w:rsid w:val="366318CF"/>
    <w:rsid w:val="369C240F"/>
    <w:rsid w:val="36B427C0"/>
    <w:rsid w:val="36CF5BB1"/>
    <w:rsid w:val="36E310FD"/>
    <w:rsid w:val="371C4BFF"/>
    <w:rsid w:val="37D35CA7"/>
    <w:rsid w:val="37EA25B2"/>
    <w:rsid w:val="38026E33"/>
    <w:rsid w:val="381074A3"/>
    <w:rsid w:val="382A33BD"/>
    <w:rsid w:val="382A633D"/>
    <w:rsid w:val="386447B5"/>
    <w:rsid w:val="38731D6E"/>
    <w:rsid w:val="38756853"/>
    <w:rsid w:val="38990910"/>
    <w:rsid w:val="389F0D87"/>
    <w:rsid w:val="38B35E5F"/>
    <w:rsid w:val="38C61663"/>
    <w:rsid w:val="38D41721"/>
    <w:rsid w:val="38D87A7A"/>
    <w:rsid w:val="38F126CB"/>
    <w:rsid w:val="390E689F"/>
    <w:rsid w:val="39111DB4"/>
    <w:rsid w:val="39AC33C5"/>
    <w:rsid w:val="39B30B81"/>
    <w:rsid w:val="39BB580B"/>
    <w:rsid w:val="3A4B17A5"/>
    <w:rsid w:val="3A5E2E76"/>
    <w:rsid w:val="3A960061"/>
    <w:rsid w:val="3AB35415"/>
    <w:rsid w:val="3ACA58E5"/>
    <w:rsid w:val="3B021405"/>
    <w:rsid w:val="3B0767A9"/>
    <w:rsid w:val="3B0B1E52"/>
    <w:rsid w:val="3B106D64"/>
    <w:rsid w:val="3B563116"/>
    <w:rsid w:val="3B7C5965"/>
    <w:rsid w:val="3BC36384"/>
    <w:rsid w:val="3BF1098B"/>
    <w:rsid w:val="3BFC1957"/>
    <w:rsid w:val="3C0015B6"/>
    <w:rsid w:val="3C4B11D8"/>
    <w:rsid w:val="3C4F122C"/>
    <w:rsid w:val="3C7B1161"/>
    <w:rsid w:val="3C7E28AD"/>
    <w:rsid w:val="3C9C5ED7"/>
    <w:rsid w:val="3CB1693F"/>
    <w:rsid w:val="3CB567B0"/>
    <w:rsid w:val="3CCF022F"/>
    <w:rsid w:val="3CF35416"/>
    <w:rsid w:val="3CFF77CB"/>
    <w:rsid w:val="3D5C53E6"/>
    <w:rsid w:val="3D840E45"/>
    <w:rsid w:val="3D8E349F"/>
    <w:rsid w:val="3E4D64A9"/>
    <w:rsid w:val="3E522CF1"/>
    <w:rsid w:val="3E536041"/>
    <w:rsid w:val="3E764C79"/>
    <w:rsid w:val="3EA42AF4"/>
    <w:rsid w:val="3EA712B7"/>
    <w:rsid w:val="3F004CA8"/>
    <w:rsid w:val="3F022049"/>
    <w:rsid w:val="3F0B1507"/>
    <w:rsid w:val="3F212D1C"/>
    <w:rsid w:val="3F5335B0"/>
    <w:rsid w:val="3F84587D"/>
    <w:rsid w:val="3F8459E8"/>
    <w:rsid w:val="3FA93B90"/>
    <w:rsid w:val="3FAD774D"/>
    <w:rsid w:val="3FCA2EBD"/>
    <w:rsid w:val="3FD31D82"/>
    <w:rsid w:val="40180EB2"/>
    <w:rsid w:val="401D28BB"/>
    <w:rsid w:val="402913AD"/>
    <w:rsid w:val="402E2B3B"/>
    <w:rsid w:val="4044340A"/>
    <w:rsid w:val="40495DFF"/>
    <w:rsid w:val="40687B3F"/>
    <w:rsid w:val="406958C9"/>
    <w:rsid w:val="40AC2B09"/>
    <w:rsid w:val="40AF7D31"/>
    <w:rsid w:val="40B01FE0"/>
    <w:rsid w:val="40EA07A3"/>
    <w:rsid w:val="40EA7508"/>
    <w:rsid w:val="410F6713"/>
    <w:rsid w:val="41150A6D"/>
    <w:rsid w:val="412D7108"/>
    <w:rsid w:val="41375C29"/>
    <w:rsid w:val="413A30A7"/>
    <w:rsid w:val="416A4A30"/>
    <w:rsid w:val="419F292A"/>
    <w:rsid w:val="41B0093E"/>
    <w:rsid w:val="41B11ADD"/>
    <w:rsid w:val="41C04416"/>
    <w:rsid w:val="426C699A"/>
    <w:rsid w:val="42EA4097"/>
    <w:rsid w:val="42EB7271"/>
    <w:rsid w:val="433371AF"/>
    <w:rsid w:val="43395BF2"/>
    <w:rsid w:val="43523DC4"/>
    <w:rsid w:val="43D555FF"/>
    <w:rsid w:val="43D73A2F"/>
    <w:rsid w:val="440062D4"/>
    <w:rsid w:val="441D2528"/>
    <w:rsid w:val="444035EC"/>
    <w:rsid w:val="44693B5C"/>
    <w:rsid w:val="44AC7321"/>
    <w:rsid w:val="44BB2CD2"/>
    <w:rsid w:val="44D70D31"/>
    <w:rsid w:val="45331A53"/>
    <w:rsid w:val="45390C72"/>
    <w:rsid w:val="453B2488"/>
    <w:rsid w:val="454C5B47"/>
    <w:rsid w:val="454E7F1F"/>
    <w:rsid w:val="457559B9"/>
    <w:rsid w:val="457C79AC"/>
    <w:rsid w:val="45B0448E"/>
    <w:rsid w:val="45B1654F"/>
    <w:rsid w:val="45B66F29"/>
    <w:rsid w:val="45DD6B66"/>
    <w:rsid w:val="46166234"/>
    <w:rsid w:val="461838FB"/>
    <w:rsid w:val="462F1BFA"/>
    <w:rsid w:val="46386C71"/>
    <w:rsid w:val="46906A76"/>
    <w:rsid w:val="46A47E62"/>
    <w:rsid w:val="46A8181B"/>
    <w:rsid w:val="46E53A1A"/>
    <w:rsid w:val="47482EE3"/>
    <w:rsid w:val="47611E4F"/>
    <w:rsid w:val="477300A6"/>
    <w:rsid w:val="47BC7378"/>
    <w:rsid w:val="47DC26E0"/>
    <w:rsid w:val="47DD6325"/>
    <w:rsid w:val="482A4397"/>
    <w:rsid w:val="4857239F"/>
    <w:rsid w:val="486D66B2"/>
    <w:rsid w:val="487716D6"/>
    <w:rsid w:val="48B00D40"/>
    <w:rsid w:val="48B36F8C"/>
    <w:rsid w:val="48C540C0"/>
    <w:rsid w:val="48E924A4"/>
    <w:rsid w:val="49045F3B"/>
    <w:rsid w:val="49226A06"/>
    <w:rsid w:val="49383D0D"/>
    <w:rsid w:val="4940230C"/>
    <w:rsid w:val="498C4204"/>
    <w:rsid w:val="49A402E9"/>
    <w:rsid w:val="49A62EBB"/>
    <w:rsid w:val="49DA3B9B"/>
    <w:rsid w:val="49F556AA"/>
    <w:rsid w:val="49F63603"/>
    <w:rsid w:val="4A2067EE"/>
    <w:rsid w:val="4A850B95"/>
    <w:rsid w:val="4A970F3D"/>
    <w:rsid w:val="4AC45B10"/>
    <w:rsid w:val="4B113BF2"/>
    <w:rsid w:val="4B255AB1"/>
    <w:rsid w:val="4B2B3929"/>
    <w:rsid w:val="4B3774F7"/>
    <w:rsid w:val="4B511371"/>
    <w:rsid w:val="4B652F13"/>
    <w:rsid w:val="4B9C55AC"/>
    <w:rsid w:val="4BA9280D"/>
    <w:rsid w:val="4BA9394F"/>
    <w:rsid w:val="4BB275BF"/>
    <w:rsid w:val="4BC33909"/>
    <w:rsid w:val="4BC72FCF"/>
    <w:rsid w:val="4BEA6D44"/>
    <w:rsid w:val="4BF86C6F"/>
    <w:rsid w:val="4C07336D"/>
    <w:rsid w:val="4C0741DA"/>
    <w:rsid w:val="4C0F3FD0"/>
    <w:rsid w:val="4C172E84"/>
    <w:rsid w:val="4C4A3527"/>
    <w:rsid w:val="4C5D11DF"/>
    <w:rsid w:val="4C7E73A7"/>
    <w:rsid w:val="4C83437C"/>
    <w:rsid w:val="4D4B73D8"/>
    <w:rsid w:val="4D502AF2"/>
    <w:rsid w:val="4D5213E4"/>
    <w:rsid w:val="4D741B0F"/>
    <w:rsid w:val="4DA32533"/>
    <w:rsid w:val="4E8B1E12"/>
    <w:rsid w:val="4EFD6647"/>
    <w:rsid w:val="4F053468"/>
    <w:rsid w:val="4F127306"/>
    <w:rsid w:val="4F142F0B"/>
    <w:rsid w:val="4F15796C"/>
    <w:rsid w:val="4F244AC7"/>
    <w:rsid w:val="4F3605B7"/>
    <w:rsid w:val="4F553EFF"/>
    <w:rsid w:val="4F9671EF"/>
    <w:rsid w:val="4FB629B4"/>
    <w:rsid w:val="4FC5352D"/>
    <w:rsid w:val="4FD878A0"/>
    <w:rsid w:val="4FE90329"/>
    <w:rsid w:val="4FF210FB"/>
    <w:rsid w:val="50235261"/>
    <w:rsid w:val="502913D8"/>
    <w:rsid w:val="503111D0"/>
    <w:rsid w:val="50367EF2"/>
    <w:rsid w:val="50431DDF"/>
    <w:rsid w:val="50504BB7"/>
    <w:rsid w:val="50A33261"/>
    <w:rsid w:val="50C02F04"/>
    <w:rsid w:val="50C86E43"/>
    <w:rsid w:val="50EE4E6D"/>
    <w:rsid w:val="510258D9"/>
    <w:rsid w:val="51081D45"/>
    <w:rsid w:val="512C0F74"/>
    <w:rsid w:val="514F4A5B"/>
    <w:rsid w:val="5173722C"/>
    <w:rsid w:val="51964F16"/>
    <w:rsid w:val="51CB36BA"/>
    <w:rsid w:val="52352C15"/>
    <w:rsid w:val="529251C4"/>
    <w:rsid w:val="529831E5"/>
    <w:rsid w:val="52A36FA3"/>
    <w:rsid w:val="52C01722"/>
    <w:rsid w:val="52CF05DB"/>
    <w:rsid w:val="52FE4006"/>
    <w:rsid w:val="52FF0427"/>
    <w:rsid w:val="53194663"/>
    <w:rsid w:val="533C5323"/>
    <w:rsid w:val="534554F2"/>
    <w:rsid w:val="534678A8"/>
    <w:rsid w:val="534B47C5"/>
    <w:rsid w:val="53A44F5A"/>
    <w:rsid w:val="53BB6724"/>
    <w:rsid w:val="53F73946"/>
    <w:rsid w:val="5422307A"/>
    <w:rsid w:val="543028D1"/>
    <w:rsid w:val="5439457B"/>
    <w:rsid w:val="545B590E"/>
    <w:rsid w:val="546F0026"/>
    <w:rsid w:val="547C44B5"/>
    <w:rsid w:val="54815C8D"/>
    <w:rsid w:val="549078B3"/>
    <w:rsid w:val="54AA1E56"/>
    <w:rsid w:val="54B86B27"/>
    <w:rsid w:val="54C33BA9"/>
    <w:rsid w:val="54C77C41"/>
    <w:rsid w:val="54D222B5"/>
    <w:rsid w:val="54D57048"/>
    <w:rsid w:val="54E45B41"/>
    <w:rsid w:val="55271749"/>
    <w:rsid w:val="556A1333"/>
    <w:rsid w:val="55894DF3"/>
    <w:rsid w:val="55A21A11"/>
    <w:rsid w:val="55AB2E37"/>
    <w:rsid w:val="55F43034"/>
    <w:rsid w:val="56187267"/>
    <w:rsid w:val="563A60ED"/>
    <w:rsid w:val="564F5B2A"/>
    <w:rsid w:val="566B176B"/>
    <w:rsid w:val="56B00F0F"/>
    <w:rsid w:val="56CA56C3"/>
    <w:rsid w:val="56DB6758"/>
    <w:rsid w:val="56DE116E"/>
    <w:rsid w:val="56F13A1F"/>
    <w:rsid w:val="570A2411"/>
    <w:rsid w:val="57336E13"/>
    <w:rsid w:val="57362D58"/>
    <w:rsid w:val="574D3BFE"/>
    <w:rsid w:val="577C037B"/>
    <w:rsid w:val="57830F51"/>
    <w:rsid w:val="579876DC"/>
    <w:rsid w:val="57B70730"/>
    <w:rsid w:val="57CA6432"/>
    <w:rsid w:val="57D912C4"/>
    <w:rsid w:val="57EA1C17"/>
    <w:rsid w:val="57FF756F"/>
    <w:rsid w:val="582A4940"/>
    <w:rsid w:val="582B14B5"/>
    <w:rsid w:val="583938B0"/>
    <w:rsid w:val="58501654"/>
    <w:rsid w:val="587B3C3F"/>
    <w:rsid w:val="5892714A"/>
    <w:rsid w:val="589E610E"/>
    <w:rsid w:val="58C70972"/>
    <w:rsid w:val="58E1406B"/>
    <w:rsid w:val="58E37BA2"/>
    <w:rsid w:val="58EA5F3F"/>
    <w:rsid w:val="59145347"/>
    <w:rsid w:val="591A3FB4"/>
    <w:rsid w:val="591B41E6"/>
    <w:rsid w:val="59441031"/>
    <w:rsid w:val="597B1175"/>
    <w:rsid w:val="597C16EE"/>
    <w:rsid w:val="59D10BED"/>
    <w:rsid w:val="59D36626"/>
    <w:rsid w:val="59DD570D"/>
    <w:rsid w:val="59E303F0"/>
    <w:rsid w:val="59EA1B83"/>
    <w:rsid w:val="5A2B3678"/>
    <w:rsid w:val="5A4E2167"/>
    <w:rsid w:val="5A5C4C66"/>
    <w:rsid w:val="5A804B5B"/>
    <w:rsid w:val="5AC129EF"/>
    <w:rsid w:val="5AC36D8D"/>
    <w:rsid w:val="5AD7118D"/>
    <w:rsid w:val="5ADE1B0D"/>
    <w:rsid w:val="5AFA24ED"/>
    <w:rsid w:val="5B0E7850"/>
    <w:rsid w:val="5B304098"/>
    <w:rsid w:val="5B351ABB"/>
    <w:rsid w:val="5B761A84"/>
    <w:rsid w:val="5B8B515E"/>
    <w:rsid w:val="5B917B28"/>
    <w:rsid w:val="5BBF3119"/>
    <w:rsid w:val="5BEF4F47"/>
    <w:rsid w:val="5BF01C38"/>
    <w:rsid w:val="5C143DAB"/>
    <w:rsid w:val="5C172FBA"/>
    <w:rsid w:val="5C1812C0"/>
    <w:rsid w:val="5C1C69F3"/>
    <w:rsid w:val="5C1D436E"/>
    <w:rsid w:val="5C38391D"/>
    <w:rsid w:val="5C426374"/>
    <w:rsid w:val="5CA42280"/>
    <w:rsid w:val="5D4D56DA"/>
    <w:rsid w:val="5D787895"/>
    <w:rsid w:val="5DE5477B"/>
    <w:rsid w:val="5DF72805"/>
    <w:rsid w:val="5E295146"/>
    <w:rsid w:val="5E3124BD"/>
    <w:rsid w:val="5E3B66CA"/>
    <w:rsid w:val="5E5C15ED"/>
    <w:rsid w:val="5E5C45B3"/>
    <w:rsid w:val="5E68756F"/>
    <w:rsid w:val="5E807729"/>
    <w:rsid w:val="5EAA4A39"/>
    <w:rsid w:val="5EB46155"/>
    <w:rsid w:val="5EF01A3F"/>
    <w:rsid w:val="5EF23EE8"/>
    <w:rsid w:val="5EFA55C1"/>
    <w:rsid w:val="5F1B2CDF"/>
    <w:rsid w:val="5F2D4F70"/>
    <w:rsid w:val="5F3B74A2"/>
    <w:rsid w:val="5F637D2F"/>
    <w:rsid w:val="5F7628F6"/>
    <w:rsid w:val="5FCC5B31"/>
    <w:rsid w:val="604008D3"/>
    <w:rsid w:val="604F12F6"/>
    <w:rsid w:val="60624BBE"/>
    <w:rsid w:val="606C77EB"/>
    <w:rsid w:val="608C4842"/>
    <w:rsid w:val="60C364C4"/>
    <w:rsid w:val="60CB090D"/>
    <w:rsid w:val="60D55871"/>
    <w:rsid w:val="60E71377"/>
    <w:rsid w:val="614038BA"/>
    <w:rsid w:val="61573ED9"/>
    <w:rsid w:val="6158030E"/>
    <w:rsid w:val="618B1AD4"/>
    <w:rsid w:val="61EC2A01"/>
    <w:rsid w:val="61F2446A"/>
    <w:rsid w:val="622D15EE"/>
    <w:rsid w:val="62587B5C"/>
    <w:rsid w:val="626223DA"/>
    <w:rsid w:val="62642845"/>
    <w:rsid w:val="62976520"/>
    <w:rsid w:val="62F43E72"/>
    <w:rsid w:val="62F907EA"/>
    <w:rsid w:val="634828BA"/>
    <w:rsid w:val="634C21F2"/>
    <w:rsid w:val="63530C1E"/>
    <w:rsid w:val="63536A40"/>
    <w:rsid w:val="63D26477"/>
    <w:rsid w:val="63D370A6"/>
    <w:rsid w:val="640D4647"/>
    <w:rsid w:val="64477400"/>
    <w:rsid w:val="644D60AC"/>
    <w:rsid w:val="645A6E63"/>
    <w:rsid w:val="647257B0"/>
    <w:rsid w:val="6477459F"/>
    <w:rsid w:val="6481764F"/>
    <w:rsid w:val="649467B0"/>
    <w:rsid w:val="64954921"/>
    <w:rsid w:val="64D56159"/>
    <w:rsid w:val="64D854B8"/>
    <w:rsid w:val="64E16774"/>
    <w:rsid w:val="64ED1273"/>
    <w:rsid w:val="650C48DD"/>
    <w:rsid w:val="651E708C"/>
    <w:rsid w:val="653B7602"/>
    <w:rsid w:val="654076EC"/>
    <w:rsid w:val="6566441C"/>
    <w:rsid w:val="656D5A1D"/>
    <w:rsid w:val="65B72FB4"/>
    <w:rsid w:val="65CC6636"/>
    <w:rsid w:val="65D874ED"/>
    <w:rsid w:val="65DD1ED5"/>
    <w:rsid w:val="65E46075"/>
    <w:rsid w:val="66195025"/>
    <w:rsid w:val="6624206B"/>
    <w:rsid w:val="6642143C"/>
    <w:rsid w:val="665B13C5"/>
    <w:rsid w:val="668325F8"/>
    <w:rsid w:val="66B77A46"/>
    <w:rsid w:val="66EB755C"/>
    <w:rsid w:val="66ED4352"/>
    <w:rsid w:val="66F84133"/>
    <w:rsid w:val="671B1104"/>
    <w:rsid w:val="672238D8"/>
    <w:rsid w:val="676E2090"/>
    <w:rsid w:val="67951345"/>
    <w:rsid w:val="67E70585"/>
    <w:rsid w:val="67EB1F53"/>
    <w:rsid w:val="6819065B"/>
    <w:rsid w:val="68314D7E"/>
    <w:rsid w:val="68853EFE"/>
    <w:rsid w:val="689067FA"/>
    <w:rsid w:val="68C263ED"/>
    <w:rsid w:val="68E32614"/>
    <w:rsid w:val="68EC617C"/>
    <w:rsid w:val="698379D1"/>
    <w:rsid w:val="69E14DA6"/>
    <w:rsid w:val="6A0F4F53"/>
    <w:rsid w:val="6A392864"/>
    <w:rsid w:val="6A3E6605"/>
    <w:rsid w:val="6A5357C2"/>
    <w:rsid w:val="6A5400BE"/>
    <w:rsid w:val="6A670C5E"/>
    <w:rsid w:val="6A6B1E68"/>
    <w:rsid w:val="6A873B01"/>
    <w:rsid w:val="6AB409F6"/>
    <w:rsid w:val="6ACA3980"/>
    <w:rsid w:val="6AEF43E2"/>
    <w:rsid w:val="6B1F3D3B"/>
    <w:rsid w:val="6B311331"/>
    <w:rsid w:val="6B347157"/>
    <w:rsid w:val="6B47519F"/>
    <w:rsid w:val="6B58619F"/>
    <w:rsid w:val="6B6B117E"/>
    <w:rsid w:val="6B815641"/>
    <w:rsid w:val="6BAA566B"/>
    <w:rsid w:val="6BAC0DAC"/>
    <w:rsid w:val="6BAC47D7"/>
    <w:rsid w:val="6BF8364A"/>
    <w:rsid w:val="6C0512FC"/>
    <w:rsid w:val="6C1D0840"/>
    <w:rsid w:val="6C430A2F"/>
    <w:rsid w:val="6C8960A3"/>
    <w:rsid w:val="6C901E89"/>
    <w:rsid w:val="6C953733"/>
    <w:rsid w:val="6CBE332D"/>
    <w:rsid w:val="6CD940F9"/>
    <w:rsid w:val="6CDD5127"/>
    <w:rsid w:val="6CDF61DC"/>
    <w:rsid w:val="6CEC2FC6"/>
    <w:rsid w:val="6D282CEC"/>
    <w:rsid w:val="6D703CD5"/>
    <w:rsid w:val="6D866588"/>
    <w:rsid w:val="6DB25791"/>
    <w:rsid w:val="6DC02D4B"/>
    <w:rsid w:val="6DC56975"/>
    <w:rsid w:val="6DF469D6"/>
    <w:rsid w:val="6E0D7A82"/>
    <w:rsid w:val="6E590D98"/>
    <w:rsid w:val="6ED73C06"/>
    <w:rsid w:val="6EE04D35"/>
    <w:rsid w:val="6EE07455"/>
    <w:rsid w:val="6F282B2F"/>
    <w:rsid w:val="6F3B7F09"/>
    <w:rsid w:val="6F3C288E"/>
    <w:rsid w:val="6F3E2352"/>
    <w:rsid w:val="6F6618A9"/>
    <w:rsid w:val="6F7536BF"/>
    <w:rsid w:val="6F812B02"/>
    <w:rsid w:val="6FD91A8A"/>
    <w:rsid w:val="6FE02EE2"/>
    <w:rsid w:val="70556126"/>
    <w:rsid w:val="70661D48"/>
    <w:rsid w:val="70BD4A19"/>
    <w:rsid w:val="70C86C1F"/>
    <w:rsid w:val="70D638A5"/>
    <w:rsid w:val="70FD3989"/>
    <w:rsid w:val="710B2708"/>
    <w:rsid w:val="71325EE7"/>
    <w:rsid w:val="713D310E"/>
    <w:rsid w:val="713F6856"/>
    <w:rsid w:val="71511E10"/>
    <w:rsid w:val="727C1001"/>
    <w:rsid w:val="72964253"/>
    <w:rsid w:val="729E195F"/>
    <w:rsid w:val="730065DA"/>
    <w:rsid w:val="73244934"/>
    <w:rsid w:val="7343262D"/>
    <w:rsid w:val="738E59B0"/>
    <w:rsid w:val="73905147"/>
    <w:rsid w:val="73EA2BB4"/>
    <w:rsid w:val="73EA2D3E"/>
    <w:rsid w:val="73F66817"/>
    <w:rsid w:val="741246D7"/>
    <w:rsid w:val="744B7032"/>
    <w:rsid w:val="74640D85"/>
    <w:rsid w:val="746E5488"/>
    <w:rsid w:val="74A868DA"/>
    <w:rsid w:val="74F27E04"/>
    <w:rsid w:val="75045B10"/>
    <w:rsid w:val="752957D6"/>
    <w:rsid w:val="753349CF"/>
    <w:rsid w:val="7573643C"/>
    <w:rsid w:val="758518F0"/>
    <w:rsid w:val="75A571F4"/>
    <w:rsid w:val="75E61424"/>
    <w:rsid w:val="761D45F9"/>
    <w:rsid w:val="762B48DE"/>
    <w:rsid w:val="763D775A"/>
    <w:rsid w:val="76484B73"/>
    <w:rsid w:val="764D1ECA"/>
    <w:rsid w:val="76664D73"/>
    <w:rsid w:val="76E96C0C"/>
    <w:rsid w:val="76EF6EBD"/>
    <w:rsid w:val="7706418A"/>
    <w:rsid w:val="771114D8"/>
    <w:rsid w:val="780026F1"/>
    <w:rsid w:val="78537E3E"/>
    <w:rsid w:val="785A0829"/>
    <w:rsid w:val="7879089F"/>
    <w:rsid w:val="78A0407E"/>
    <w:rsid w:val="78C8198A"/>
    <w:rsid w:val="78D678A0"/>
    <w:rsid w:val="78F366A1"/>
    <w:rsid w:val="78FD327E"/>
    <w:rsid w:val="78FF6981"/>
    <w:rsid w:val="79275EA1"/>
    <w:rsid w:val="79973769"/>
    <w:rsid w:val="79C17A1C"/>
    <w:rsid w:val="7A5B64AE"/>
    <w:rsid w:val="7A6A4943"/>
    <w:rsid w:val="7AB901A0"/>
    <w:rsid w:val="7ABB200E"/>
    <w:rsid w:val="7AF661D7"/>
    <w:rsid w:val="7AF66FEE"/>
    <w:rsid w:val="7AF75AAB"/>
    <w:rsid w:val="7B0C0CDF"/>
    <w:rsid w:val="7B1328AB"/>
    <w:rsid w:val="7B4038F6"/>
    <w:rsid w:val="7B623910"/>
    <w:rsid w:val="7B937ECA"/>
    <w:rsid w:val="7BA31B33"/>
    <w:rsid w:val="7BB3322A"/>
    <w:rsid w:val="7BCE579E"/>
    <w:rsid w:val="7C11714A"/>
    <w:rsid w:val="7C4A52B3"/>
    <w:rsid w:val="7C647170"/>
    <w:rsid w:val="7C700E7C"/>
    <w:rsid w:val="7C741FFA"/>
    <w:rsid w:val="7CB650A7"/>
    <w:rsid w:val="7CBB01A1"/>
    <w:rsid w:val="7CC7751F"/>
    <w:rsid w:val="7CCB5D73"/>
    <w:rsid w:val="7CEC69AD"/>
    <w:rsid w:val="7D0160A8"/>
    <w:rsid w:val="7D0C4C05"/>
    <w:rsid w:val="7D0D09C9"/>
    <w:rsid w:val="7D0F35BE"/>
    <w:rsid w:val="7D341239"/>
    <w:rsid w:val="7D6273C4"/>
    <w:rsid w:val="7D6B2CF5"/>
    <w:rsid w:val="7D8D5C57"/>
    <w:rsid w:val="7DB45956"/>
    <w:rsid w:val="7DDB1B00"/>
    <w:rsid w:val="7DFD162B"/>
    <w:rsid w:val="7E241953"/>
    <w:rsid w:val="7E3A7951"/>
    <w:rsid w:val="7E8F5479"/>
    <w:rsid w:val="7EB11EEF"/>
    <w:rsid w:val="7EB629DA"/>
    <w:rsid w:val="7EB82636"/>
    <w:rsid w:val="7EDA4F01"/>
    <w:rsid w:val="7EE6724D"/>
    <w:rsid w:val="7F0F39F3"/>
    <w:rsid w:val="7F2168FD"/>
    <w:rsid w:val="7F2F03F6"/>
    <w:rsid w:val="7F875650"/>
    <w:rsid w:val="7F9107F1"/>
    <w:rsid w:val="7FAA46E9"/>
    <w:rsid w:val="7FC81373"/>
    <w:rsid w:val="7FFF07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autoRedefine/>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6"/>
    <w:link w:val="46"/>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76" w:lineRule="auto"/>
      <w:outlineLvl w:val="3"/>
    </w:pPr>
    <w:rPr>
      <w:rFonts w:ascii="Arial" w:hAnsi="Arial" w:eastAsia="黑体"/>
      <w:b/>
      <w:bCs/>
      <w:sz w:val="28"/>
      <w:szCs w:val="28"/>
    </w:rPr>
  </w:style>
  <w:style w:type="character" w:default="1" w:styleId="37">
    <w:name w:val="Default Paragraph Font"/>
    <w:autoRedefine/>
    <w:semiHidden/>
    <w:qFormat/>
    <w:uiPriority w:val="0"/>
  </w:style>
  <w:style w:type="table" w:default="1" w:styleId="3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autoRedefine/>
    <w:qFormat/>
    <w:uiPriority w:val="0"/>
    <w:pPr>
      <w:autoSpaceDE/>
      <w:autoSpaceDN/>
      <w:adjustRightInd/>
      <w:spacing w:after="120" w:line="240" w:lineRule="auto"/>
      <w:ind w:firstLine="420" w:firstLineChars="100"/>
      <w:jc w:val="both"/>
    </w:pPr>
    <w:rPr>
      <w:kern w:val="2"/>
      <w:sz w:val="21"/>
    </w:rPr>
  </w:style>
  <w:style w:type="paragraph" w:styleId="6">
    <w:name w:val="Normal Indent"/>
    <w:basedOn w:val="1"/>
    <w:link w:val="47"/>
    <w:autoRedefine/>
    <w:qFormat/>
    <w:uiPriority w:val="0"/>
    <w:pPr>
      <w:ind w:firstLine="420"/>
    </w:pPr>
    <w:rPr>
      <w:rFonts w:eastAsia="宋体"/>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annotation text"/>
    <w:basedOn w:val="1"/>
    <w:autoRedefine/>
    <w:semiHidden/>
    <w:qFormat/>
    <w:uiPriority w:val="0"/>
    <w:pPr>
      <w:jc w:val="left"/>
    </w:pPr>
  </w:style>
  <w:style w:type="paragraph" w:styleId="11">
    <w:name w:val="Body Text 3"/>
    <w:basedOn w:val="1"/>
    <w:autoRedefine/>
    <w:qFormat/>
    <w:uiPriority w:val="0"/>
    <w:pPr>
      <w:spacing w:after="120" w:afterLines="0"/>
    </w:pPr>
    <w:rPr>
      <w:sz w:val="16"/>
      <w:szCs w:val="16"/>
    </w:rPr>
  </w:style>
  <w:style w:type="paragraph" w:styleId="12">
    <w:name w:val="Body Text Indent"/>
    <w:basedOn w:val="1"/>
    <w:link w:val="48"/>
    <w:autoRedefine/>
    <w:qFormat/>
    <w:uiPriority w:val="0"/>
    <w:pPr>
      <w:spacing w:line="360" w:lineRule="auto"/>
      <w:ind w:firstLine="600" w:firstLineChars="200"/>
    </w:pPr>
    <w:rPr>
      <w:rFonts w:ascii="仿宋_GB2312" w:hAnsi="宋体" w:eastAsia="仿宋_GB2312"/>
      <w:sz w:val="30"/>
    </w:rPr>
  </w:style>
  <w:style w:type="paragraph" w:styleId="13">
    <w:name w:val="List 2"/>
    <w:basedOn w:val="1"/>
    <w:autoRedefine/>
    <w:qFormat/>
    <w:uiPriority w:val="0"/>
    <w:pPr>
      <w:ind w:left="100" w:leftChars="200" w:hanging="200" w:hangingChars="200"/>
    </w:pPr>
    <w:rPr>
      <w:rFonts w:ascii="Times New Roman" w:hAnsi="Times New Roman"/>
    </w:rPr>
  </w:style>
  <w:style w:type="paragraph" w:styleId="14">
    <w:name w:val="Block Text"/>
    <w:basedOn w:val="1"/>
    <w:autoRedefine/>
    <w:unhideWhenUsed/>
    <w:qFormat/>
    <w:uiPriority w:val="99"/>
    <w:pPr>
      <w:ind w:left="-718" w:leftChars="-342" w:right="-512" w:rightChars="-244" w:firstLine="560" w:firstLineChars="200"/>
    </w:pPr>
    <w:rPr>
      <w:sz w:val="28"/>
    </w:rPr>
  </w:style>
  <w:style w:type="paragraph" w:styleId="15">
    <w:name w:val="toc 3"/>
    <w:basedOn w:val="1"/>
    <w:next w:val="1"/>
    <w:qFormat/>
    <w:uiPriority w:val="39"/>
    <w:pPr>
      <w:ind w:left="840" w:leftChars="400"/>
    </w:pPr>
  </w:style>
  <w:style w:type="paragraph" w:styleId="16">
    <w:name w:val="Plain Text"/>
    <w:basedOn w:val="1"/>
    <w:next w:val="17"/>
    <w:link w:val="49"/>
    <w:autoRedefine/>
    <w:qFormat/>
    <w:uiPriority w:val="0"/>
    <w:pPr>
      <w:spacing w:before="156" w:beforeLines="50" w:after="156" w:afterLines="50" w:line="400" w:lineRule="exact"/>
    </w:pPr>
    <w:rPr>
      <w:rFonts w:ascii="宋体" w:hAnsi="Courier New" w:eastAsia="宋体"/>
      <w:sz w:val="24"/>
    </w:rPr>
  </w:style>
  <w:style w:type="paragraph" w:styleId="17">
    <w:name w:val="Date"/>
    <w:basedOn w:val="1"/>
    <w:next w:val="1"/>
    <w:link w:val="50"/>
    <w:autoRedefine/>
    <w:qFormat/>
    <w:uiPriority w:val="0"/>
    <w:pPr>
      <w:ind w:left="100" w:leftChars="2500"/>
    </w:pPr>
    <w:rPr>
      <w:rFonts w:ascii="仿宋_GB2312" w:hAnsi="宋体" w:eastAsia="仿宋_GB2312"/>
      <w:sz w:val="30"/>
    </w:rPr>
  </w:style>
  <w:style w:type="paragraph" w:styleId="18">
    <w:name w:val="Body Text Indent 2"/>
    <w:basedOn w:val="1"/>
    <w:autoRedefine/>
    <w:qFormat/>
    <w:uiPriority w:val="0"/>
    <w:pPr>
      <w:spacing w:after="120" w:line="480" w:lineRule="auto"/>
      <w:ind w:left="420" w:leftChars="200"/>
    </w:pPr>
  </w:style>
  <w:style w:type="paragraph" w:styleId="19">
    <w:name w:val="Balloon Text"/>
    <w:basedOn w:val="1"/>
    <w:autoRedefine/>
    <w:semiHidden/>
    <w:qFormat/>
    <w:uiPriority w:val="0"/>
    <w:rPr>
      <w:sz w:val="18"/>
      <w:szCs w:val="18"/>
    </w:rPr>
  </w:style>
  <w:style w:type="paragraph" w:styleId="20">
    <w:name w:val="footer"/>
    <w:basedOn w:val="1"/>
    <w:link w:val="51"/>
    <w:autoRedefine/>
    <w:qFormat/>
    <w:uiPriority w:val="99"/>
    <w:pPr>
      <w:tabs>
        <w:tab w:val="center" w:pos="4153"/>
        <w:tab w:val="right" w:pos="8306"/>
      </w:tabs>
      <w:snapToGrid w:val="0"/>
      <w:jc w:val="left"/>
    </w:pPr>
    <w:rPr>
      <w:sz w:val="18"/>
      <w:szCs w:val="18"/>
    </w:rPr>
  </w:style>
  <w:style w:type="paragraph" w:styleId="21">
    <w:name w:val="envelope return"/>
    <w:basedOn w:val="1"/>
    <w:autoRedefine/>
    <w:unhideWhenUsed/>
    <w:qFormat/>
    <w:uiPriority w:val="99"/>
    <w:pPr>
      <w:snapToGrid w:val="0"/>
    </w:pPr>
    <w:rPr>
      <w:rFonts w:ascii="Arial" w:hAnsi="Arial"/>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style>
  <w:style w:type="paragraph" w:styleId="24">
    <w:name w:val="toc 4"/>
    <w:basedOn w:val="1"/>
    <w:next w:val="1"/>
    <w:autoRedefine/>
    <w:qFormat/>
    <w:uiPriority w:val="39"/>
    <w:pPr>
      <w:widowControl w:val="0"/>
      <w:ind w:left="420"/>
    </w:pPr>
    <w:rPr>
      <w:rFonts w:ascii="Calibri" w:hAnsi="Calibri" w:cs="Calibri"/>
      <w:kern w:val="2"/>
      <w:sz w:val="20"/>
      <w:szCs w:val="20"/>
    </w:rPr>
  </w:style>
  <w:style w:type="paragraph" w:styleId="25">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6">
    <w:name w:val="Body Text Indent 3"/>
    <w:basedOn w:val="1"/>
    <w:link w:val="52"/>
    <w:autoRedefine/>
    <w:qFormat/>
    <w:uiPriority w:val="0"/>
    <w:pPr>
      <w:spacing w:after="120"/>
      <w:ind w:left="420" w:leftChars="200"/>
    </w:pPr>
    <w:rPr>
      <w:sz w:val="16"/>
      <w:szCs w:val="16"/>
    </w:rPr>
  </w:style>
  <w:style w:type="paragraph" w:styleId="27">
    <w:name w:val="toc 2"/>
    <w:basedOn w:val="1"/>
    <w:next w:val="1"/>
    <w:autoRedefine/>
    <w:qFormat/>
    <w:uiPriority w:val="39"/>
    <w:pPr>
      <w:ind w:left="420" w:leftChars="200"/>
    </w:pPr>
  </w:style>
  <w:style w:type="paragraph" w:styleId="28">
    <w:name w:val="Body Text 2"/>
    <w:basedOn w:val="1"/>
    <w:qFormat/>
    <w:uiPriority w:val="0"/>
    <w:pPr>
      <w:spacing w:after="120" w:line="480" w:lineRule="auto"/>
    </w:pPr>
  </w:style>
  <w:style w:type="paragraph" w:styleId="29">
    <w:name w:val="List 4"/>
    <w:basedOn w:val="1"/>
    <w:autoRedefine/>
    <w:qFormat/>
    <w:uiPriority w:val="0"/>
    <w:pPr>
      <w:ind w:left="100" w:leftChars="600" w:hanging="200" w:hangingChars="200"/>
    </w:p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32">
    <w:name w:val="Title"/>
    <w:basedOn w:val="1"/>
    <w:next w:val="1"/>
    <w:link w:val="53"/>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33">
    <w:name w:val="annotation subject"/>
    <w:basedOn w:val="10"/>
    <w:next w:val="10"/>
    <w:autoRedefine/>
    <w:semiHidden/>
    <w:qFormat/>
    <w:uiPriority w:val="0"/>
    <w:rPr>
      <w:b/>
      <w:bCs/>
    </w:rPr>
  </w:style>
  <w:style w:type="paragraph" w:styleId="34">
    <w:name w:val="Body Text First Indent 2"/>
    <w:basedOn w:val="12"/>
    <w:next w:val="1"/>
    <w:link w:val="54"/>
    <w:autoRedefine/>
    <w:qFormat/>
    <w:uiPriority w:val="0"/>
    <w:pPr>
      <w:spacing w:after="120" w:line="240" w:lineRule="auto"/>
      <w:ind w:left="420" w:leftChars="200" w:firstLine="420"/>
    </w:pPr>
    <w:rPr>
      <w:rFonts w:ascii="Times New Roman" w:hAnsi="Times New Roman" w:eastAsia="宋体"/>
      <w:sz w:val="21"/>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rPr>
  </w:style>
  <w:style w:type="character" w:styleId="39">
    <w:name w:val="page number"/>
    <w:basedOn w:val="37"/>
    <w:autoRedefine/>
    <w:qFormat/>
    <w:uiPriority w:val="0"/>
  </w:style>
  <w:style w:type="character" w:styleId="40">
    <w:name w:val="Emphasis"/>
    <w:basedOn w:val="37"/>
    <w:autoRedefine/>
    <w:qFormat/>
    <w:uiPriority w:val="0"/>
    <w:rPr>
      <w:i/>
    </w:rPr>
  </w:style>
  <w:style w:type="character" w:styleId="41">
    <w:name w:val="Hyperlink"/>
    <w:autoRedefine/>
    <w:qFormat/>
    <w:uiPriority w:val="0"/>
    <w:rPr>
      <w:color w:val="0000FF"/>
      <w:u w:val="single"/>
    </w:rPr>
  </w:style>
  <w:style w:type="character" w:styleId="42">
    <w:name w:val="annotation reference"/>
    <w:autoRedefine/>
    <w:semiHidden/>
    <w:qFormat/>
    <w:uiPriority w:val="0"/>
    <w:rPr>
      <w:sz w:val="21"/>
      <w:szCs w:val="21"/>
    </w:rPr>
  </w:style>
  <w:style w:type="paragraph" w:customStyle="1" w:styleId="43">
    <w:name w:val="正文1"/>
    <w:basedOn w:val="15"/>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44">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character" w:customStyle="1" w:styleId="45">
    <w:name w:val="标题 1 Char"/>
    <w:link w:val="4"/>
    <w:autoRedefine/>
    <w:qFormat/>
    <w:uiPriority w:val="0"/>
    <w:rPr>
      <w:b/>
      <w:bCs/>
      <w:kern w:val="44"/>
      <w:sz w:val="44"/>
      <w:szCs w:val="44"/>
    </w:rPr>
  </w:style>
  <w:style w:type="character" w:customStyle="1" w:styleId="46">
    <w:name w:val="标题 2 Char"/>
    <w:link w:val="5"/>
    <w:autoRedefine/>
    <w:qFormat/>
    <w:uiPriority w:val="0"/>
    <w:rPr>
      <w:rFonts w:ascii="Arial" w:hAnsi="Arial" w:eastAsia="黑体"/>
      <w:b/>
      <w:bCs/>
      <w:kern w:val="2"/>
      <w:sz w:val="32"/>
      <w:szCs w:val="32"/>
    </w:rPr>
  </w:style>
  <w:style w:type="character" w:customStyle="1" w:styleId="47">
    <w:name w:val="正文缩进 Char"/>
    <w:link w:val="6"/>
    <w:autoRedefine/>
    <w:qFormat/>
    <w:uiPriority w:val="0"/>
    <w:rPr>
      <w:rFonts w:eastAsia="宋体"/>
      <w:kern w:val="2"/>
      <w:sz w:val="21"/>
      <w:lang w:val="en-US" w:eastAsia="zh-CN" w:bidi="ar-SA"/>
    </w:rPr>
  </w:style>
  <w:style w:type="character" w:customStyle="1" w:styleId="48">
    <w:name w:val="正文文本缩进 Char"/>
    <w:link w:val="12"/>
    <w:autoRedefine/>
    <w:qFormat/>
    <w:uiPriority w:val="0"/>
    <w:rPr>
      <w:rFonts w:ascii="仿宋_GB2312" w:hAnsi="宋体" w:eastAsia="仿宋_GB2312"/>
      <w:kern w:val="2"/>
      <w:sz w:val="30"/>
      <w:szCs w:val="24"/>
    </w:rPr>
  </w:style>
  <w:style w:type="character" w:customStyle="1" w:styleId="49">
    <w:name w:val="纯文本 Char"/>
    <w:link w:val="16"/>
    <w:autoRedefine/>
    <w:qFormat/>
    <w:uiPriority w:val="0"/>
    <w:rPr>
      <w:rFonts w:ascii="宋体" w:hAnsi="Courier New" w:eastAsia="宋体"/>
      <w:kern w:val="2"/>
      <w:sz w:val="24"/>
      <w:szCs w:val="24"/>
      <w:lang w:val="en-US" w:eastAsia="zh-CN" w:bidi="ar-SA"/>
    </w:rPr>
  </w:style>
  <w:style w:type="character" w:customStyle="1" w:styleId="50">
    <w:name w:val="日期 Char"/>
    <w:link w:val="17"/>
    <w:autoRedefine/>
    <w:qFormat/>
    <w:uiPriority w:val="0"/>
    <w:rPr>
      <w:rFonts w:ascii="仿宋_GB2312" w:hAnsi="宋体" w:eastAsia="仿宋_GB2312"/>
      <w:kern w:val="2"/>
      <w:sz w:val="30"/>
      <w:szCs w:val="24"/>
    </w:rPr>
  </w:style>
  <w:style w:type="character" w:customStyle="1" w:styleId="51">
    <w:name w:val="页脚 Char"/>
    <w:link w:val="20"/>
    <w:autoRedefine/>
    <w:qFormat/>
    <w:uiPriority w:val="99"/>
    <w:rPr>
      <w:kern w:val="2"/>
      <w:sz w:val="18"/>
      <w:szCs w:val="18"/>
    </w:rPr>
  </w:style>
  <w:style w:type="character" w:customStyle="1" w:styleId="52">
    <w:name w:val="正文文本缩进 3 Char"/>
    <w:link w:val="26"/>
    <w:autoRedefine/>
    <w:qFormat/>
    <w:uiPriority w:val="0"/>
    <w:rPr>
      <w:kern w:val="2"/>
      <w:sz w:val="16"/>
      <w:szCs w:val="16"/>
    </w:rPr>
  </w:style>
  <w:style w:type="character" w:customStyle="1" w:styleId="53">
    <w:name w:val="标题 Char"/>
    <w:link w:val="32"/>
    <w:autoRedefine/>
    <w:qFormat/>
    <w:uiPriority w:val="0"/>
    <w:rPr>
      <w:b/>
      <w:sz w:val="24"/>
      <w:lang w:val="en-GB"/>
    </w:rPr>
  </w:style>
  <w:style w:type="character" w:customStyle="1" w:styleId="54">
    <w:name w:val="正文首行缩进 2 Char"/>
    <w:link w:val="34"/>
    <w:autoRedefine/>
    <w:qFormat/>
    <w:uiPriority w:val="0"/>
    <w:rPr>
      <w:rFonts w:ascii="仿宋_GB2312" w:hAnsi="宋体" w:eastAsia="仿宋_GB2312"/>
      <w:kern w:val="2"/>
      <w:sz w:val="21"/>
      <w:szCs w:val="24"/>
    </w:rPr>
  </w:style>
  <w:style w:type="paragraph" w:customStyle="1" w:styleId="55">
    <w:name w:val="表格文字"/>
    <w:basedOn w:val="16"/>
    <w:next w:val="2"/>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56">
    <w:name w:val="15"/>
    <w:autoRedefine/>
    <w:qFormat/>
    <w:uiPriority w:val="0"/>
    <w:rPr>
      <w:rFonts w:hint="default" w:ascii="Times New Roman" w:hAnsi="Times New Roman" w:cs="Times New Roman"/>
    </w:rPr>
  </w:style>
  <w:style w:type="character" w:customStyle="1" w:styleId="57">
    <w:name w:val="纯文本 Char1"/>
    <w:autoRedefine/>
    <w:qFormat/>
    <w:uiPriority w:val="0"/>
    <w:rPr>
      <w:rFonts w:ascii="宋体" w:hAnsi="Courier New" w:eastAsia="宋体"/>
      <w:kern w:val="2"/>
      <w:sz w:val="24"/>
      <w:szCs w:val="24"/>
      <w:lang w:val="en-US" w:eastAsia="zh-CN" w:bidi="ar-SA"/>
    </w:rPr>
  </w:style>
  <w:style w:type="character" w:customStyle="1" w:styleId="58">
    <w:name w:val="font11"/>
    <w:basedOn w:val="37"/>
    <w:autoRedefine/>
    <w:qFormat/>
    <w:uiPriority w:val="0"/>
    <w:rPr>
      <w:rFonts w:hint="eastAsia" w:ascii="宋体" w:hAnsi="宋体" w:eastAsia="宋体" w:cs="宋体"/>
      <w:color w:val="000000"/>
      <w:sz w:val="20"/>
      <w:szCs w:val="20"/>
      <w:u w:val="none"/>
    </w:rPr>
  </w:style>
  <w:style w:type="character" w:customStyle="1" w:styleId="59">
    <w:name w:val="ca-4"/>
    <w:autoRedefine/>
    <w:qFormat/>
    <w:uiPriority w:val="0"/>
  </w:style>
  <w:style w:type="character" w:customStyle="1" w:styleId="60">
    <w:name w:val="newsitemtext1"/>
    <w:autoRedefine/>
    <w:qFormat/>
    <w:uiPriority w:val="0"/>
    <w:rPr>
      <w:color w:val="000000"/>
      <w:spacing w:val="320"/>
      <w:sz w:val="21"/>
      <w:szCs w:val="21"/>
    </w:rPr>
  </w:style>
  <w:style w:type="character" w:customStyle="1" w:styleId="61">
    <w:name w:val="font31"/>
    <w:basedOn w:val="37"/>
    <w:autoRedefine/>
    <w:qFormat/>
    <w:uiPriority w:val="0"/>
    <w:rPr>
      <w:rFonts w:hint="eastAsia" w:ascii="宋体" w:hAnsi="宋体" w:eastAsia="宋体" w:cs="宋体"/>
      <w:b/>
      <w:bCs/>
      <w:color w:val="000000"/>
      <w:sz w:val="20"/>
      <w:szCs w:val="20"/>
      <w:u w:val="none"/>
    </w:rPr>
  </w:style>
  <w:style w:type="paragraph" w:styleId="62">
    <w:name w:val="Intense Quote"/>
    <w:basedOn w:val="1"/>
    <w:next w:val="1"/>
    <w:autoRedefine/>
    <w:qFormat/>
    <w:uiPriority w:val="0"/>
    <w:pPr>
      <w:wordWrap w:val="0"/>
      <w:spacing w:before="360" w:after="360" w:line="240" w:lineRule="auto"/>
      <w:ind w:left="950" w:right="950"/>
      <w:jc w:val="center"/>
    </w:pPr>
    <w:rPr>
      <w:rFonts w:ascii="Times New Roman" w:hAnsi="Times New Roman" w:eastAsia="宋体" w:cs="Times New Roman"/>
      <w:i/>
      <w:sz w:val="21"/>
    </w:rPr>
  </w:style>
  <w:style w:type="paragraph" w:customStyle="1" w:styleId="63">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64">
    <w:name w:val="List Paragraph"/>
    <w:basedOn w:val="1"/>
    <w:autoRedefine/>
    <w:qFormat/>
    <w:uiPriority w:val="34"/>
    <w:pPr>
      <w:ind w:firstLine="420" w:firstLineChars="200"/>
    </w:pPr>
  </w:style>
  <w:style w:type="paragraph" w:customStyle="1" w:styleId="65">
    <w:name w:val="Default"/>
    <w:next w:val="62"/>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6">
    <w:name w:val="正文2"/>
    <w:basedOn w:val="1"/>
    <w:autoRedefine/>
    <w:qFormat/>
    <w:uiPriority w:val="0"/>
    <w:pPr>
      <w:spacing w:before="156" w:line="360" w:lineRule="auto"/>
      <w:ind w:firstLine="510" w:firstLineChars="200"/>
    </w:pPr>
    <w:rPr>
      <w:color w:val="auto"/>
      <w:szCs w:val="20"/>
    </w:rPr>
  </w:style>
  <w:style w:type="paragraph" w:customStyle="1" w:styleId="67">
    <w:name w:val="列出段落1"/>
    <w:basedOn w:val="1"/>
    <w:autoRedefine/>
    <w:qFormat/>
    <w:uiPriority w:val="34"/>
    <w:pPr>
      <w:ind w:firstLine="420" w:firstLineChars="200"/>
    </w:pPr>
    <w:rPr>
      <w:rFonts w:ascii="Times New Roman" w:hAnsi="Times New Roman" w:eastAsia="宋体" w:cs="Times New Roman"/>
      <w:sz w:val="28"/>
      <w:szCs w:val="20"/>
    </w:rPr>
  </w:style>
  <w:style w:type="paragraph" w:customStyle="1" w:styleId="68">
    <w:name w:val="正文 A"/>
    <w:basedOn w:val="1"/>
    <w:autoRedefine/>
    <w:qFormat/>
    <w:uiPriority w:val="0"/>
    <w:rPr>
      <w:rFonts w:eastAsia="Arial Unicode MS" w:cs="Arial Unicode MS"/>
      <w:color w:val="000000"/>
      <w:szCs w:val="21"/>
    </w:rPr>
  </w:style>
  <w:style w:type="paragraph" w:customStyle="1" w:styleId="69">
    <w:name w:val="章正文"/>
    <w:basedOn w:val="1"/>
    <w:autoRedefine/>
    <w:qFormat/>
    <w:uiPriority w:val="0"/>
    <w:pPr>
      <w:spacing w:before="156" w:beforeLines="50" w:after="120" w:afterLines="0" w:line="300" w:lineRule="auto"/>
      <w:ind w:firstLine="480"/>
    </w:pPr>
    <w:rPr>
      <w:rFonts w:ascii="Helvetica" w:hAnsi="Helvetica"/>
      <w:kern w:val="0"/>
      <w:sz w:val="24"/>
    </w:rPr>
  </w:style>
  <w:style w:type="paragraph" w:customStyle="1" w:styleId="70">
    <w:name w:val="正文段"/>
    <w:basedOn w:val="1"/>
    <w:autoRedefine/>
    <w:qFormat/>
    <w:uiPriority w:val="99"/>
    <w:pPr>
      <w:widowControl/>
      <w:snapToGrid w:val="0"/>
      <w:spacing w:after="156" w:afterLines="50"/>
      <w:ind w:firstLine="200" w:firstLineChars="200"/>
    </w:pPr>
    <w:rPr>
      <w:kern w:val="0"/>
      <w:sz w:val="24"/>
      <w:szCs w:val="20"/>
    </w:rPr>
  </w:style>
  <w:style w:type="paragraph" w:customStyle="1" w:styleId="71">
    <w:name w:val="_Style 1"/>
    <w:basedOn w:val="1"/>
    <w:autoRedefine/>
    <w:qFormat/>
    <w:uiPriority w:val="0"/>
    <w:pPr>
      <w:ind w:firstLine="420" w:firstLineChars="200"/>
    </w:pPr>
    <w:rPr>
      <w:rFonts w:ascii="Calibri" w:hAnsi="Calibri"/>
      <w:szCs w:val="22"/>
    </w:rPr>
  </w:style>
  <w:style w:type="paragraph" w:customStyle="1" w:styleId="7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3">
    <w:name w:val="pa-122"/>
    <w:basedOn w:val="1"/>
    <w:autoRedefine/>
    <w:qFormat/>
    <w:uiPriority w:val="0"/>
    <w:pPr>
      <w:widowControl/>
      <w:spacing w:before="150" w:after="150"/>
      <w:jc w:val="left"/>
    </w:pPr>
    <w:rPr>
      <w:rFonts w:ascii="宋体" w:hAnsi="宋体" w:cs="宋体"/>
      <w:kern w:val="0"/>
      <w:sz w:val="24"/>
    </w:rPr>
  </w:style>
  <w:style w:type="paragraph" w:customStyle="1" w:styleId="74">
    <w:name w:val="_Style 6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0~投标正文"/>
    <w:basedOn w:val="1"/>
    <w:autoRedefine/>
    <w:qFormat/>
    <w:uiPriority w:val="0"/>
    <w:pPr>
      <w:widowControl/>
      <w:ind w:firstLine="200" w:firstLineChars="200"/>
      <w:jc w:val="left"/>
    </w:pPr>
    <w:rPr>
      <w:rFonts w:ascii="宋体" w:hAnsi="宋体" w:cs="宋体"/>
      <w:kern w:val="0"/>
      <w:szCs w:val="24"/>
    </w:rPr>
  </w:style>
  <w:style w:type="paragraph" w:customStyle="1" w:styleId="76">
    <w:name w:val="初设正文"/>
    <w:basedOn w:val="1"/>
    <w:autoRedefine/>
    <w:qFormat/>
    <w:uiPriority w:val="0"/>
    <w:pPr>
      <w:spacing w:line="360" w:lineRule="auto"/>
      <w:ind w:firstLine="200" w:firstLineChars="200"/>
    </w:pPr>
  </w:style>
  <w:style w:type="character" w:customStyle="1" w:styleId="77">
    <w:name w:val="font171"/>
    <w:basedOn w:val="37"/>
    <w:autoRedefine/>
    <w:qFormat/>
    <w:uiPriority w:val="0"/>
    <w:rPr>
      <w:rFonts w:ascii="Symbol" w:hAnsi="Symbol" w:cs="Symbol"/>
      <w:color w:val="000000"/>
      <w:sz w:val="22"/>
      <w:szCs w:val="22"/>
      <w:u w:val="none"/>
    </w:rPr>
  </w:style>
  <w:style w:type="paragraph" w:customStyle="1" w:styleId="78">
    <w:name w:val="Normal"/>
    <w:basedOn w:val="1"/>
    <w:autoRedefine/>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customStyle="1" w:styleId="79">
    <w:name w:val="font21"/>
    <w:basedOn w:val="37"/>
    <w:autoRedefine/>
    <w:qFormat/>
    <w:uiPriority w:val="0"/>
    <w:rPr>
      <w:rFonts w:hint="eastAsia" w:ascii="微软雅黑" w:hAnsi="微软雅黑" w:eastAsia="微软雅黑" w:cs="微软雅黑"/>
      <w:color w:val="000000"/>
      <w:sz w:val="16"/>
      <w:szCs w:val="16"/>
      <w:u w:val="none"/>
    </w:rPr>
  </w:style>
  <w:style w:type="paragraph" w:customStyle="1" w:styleId="80">
    <w:name w:val="LS-表格正文"/>
    <w:basedOn w:val="1"/>
    <w:autoRedefine/>
    <w:qFormat/>
    <w:uiPriority w:val="0"/>
    <w:pPr>
      <w:tabs>
        <w:tab w:val="left" w:pos="560"/>
      </w:tabs>
      <w:spacing w:before="100" w:beforeAutospacing="1" w:after="100" w:afterAutospacing="1"/>
      <w:jc w:val="center"/>
    </w:pPr>
    <w:rPr>
      <w:rFonts w:hint="eastAsia" w:ascii="Calibri" w:hAnsi="Calibri"/>
      <w:szCs w:val="22"/>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character" w:customStyle="1" w:styleId="83">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4233</Words>
  <Characters>4744</Characters>
  <Lines>285</Lines>
  <Paragraphs>80</Paragraphs>
  <TotalTime>8</TotalTime>
  <ScaleCrop>false</ScaleCrop>
  <LinksUpToDate>false</LinksUpToDate>
  <CharactersWithSpaces>4864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2021-04-12T12:22:00Z</dcterms:created>
  <dc:creator>鹧鸪天</dc:creator>
  <cp:lastModifiedBy>Forest</cp:lastModifiedBy>
  <cp:lastPrinted>2021-09-23T07:47:00Z</cp:lastPrinted>
  <dcterms:modified xsi:type="dcterms:W3CDTF">2025-02-18T08:41:18Z</dcterms:modified>
  <dc:title>2018-2019年度安吉县县级以上公路日常养护服务政府采购项目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85375C6EADFB4435A14A8F4CCBA2E541_13</vt:lpwstr>
  </property>
  <property fmtid="{D5CDD505-2E9C-101B-9397-08002B2CF9AE}" pid="4" name="KSOTemplateDocerSaveRecord">
    <vt:lpwstr>eyJoZGlkIjoiYzQ1OTc4NzZiZGUwOTc0Y2Q0M2IzZjk2YmYwMTI3MjUiLCJ1c2VySWQiOiI2MjE0OTc1OTMifQ==</vt:lpwstr>
  </property>
</Properties>
</file>