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33F8E">
      <w:pPr>
        <w:keepNext w:val="0"/>
        <w:keepLines w:val="0"/>
        <w:pageBreakBefore w:val="0"/>
        <w:widowControl w:val="0"/>
        <w:shd w:val="clear"/>
        <w:kinsoku/>
        <w:wordWrap/>
        <w:overflowPunct/>
        <w:topLinePunct w:val="0"/>
        <w:autoSpaceDE/>
        <w:autoSpaceDN/>
        <w:bidi w:val="0"/>
        <w:adjustRightInd/>
        <w:snapToGrid/>
        <w:spacing w:before="156" w:beforeLines="50" w:line="920" w:lineRule="exact"/>
        <w:jc w:val="center"/>
        <w:textAlignment w:val="auto"/>
        <w:rPr>
          <w:rFonts w:hint="eastAsia"/>
          <w:color w:val="auto"/>
          <w:spacing w:val="6"/>
          <w:sz w:val="56"/>
          <w:szCs w:val="56"/>
          <w:highlight w:val="none"/>
          <w:lang w:eastAsia="zh-CN"/>
        </w:rPr>
      </w:pPr>
      <w:r>
        <w:rPr>
          <w:rStyle w:val="60"/>
          <w:rFonts w:hint="eastAsia" w:ascii="宋体" w:hAnsi="宋体" w:cs="宋体"/>
          <w:color w:val="auto"/>
          <w:spacing w:val="6"/>
          <w:sz w:val="56"/>
          <w:szCs w:val="56"/>
          <w:highlight w:val="none"/>
          <w:lang w:eastAsia="zh-CN"/>
        </w:rPr>
        <w:t>2024年度第二批未来社区创建实施方案编制服务采购项目</w:t>
      </w:r>
    </w:p>
    <w:p w14:paraId="7D360FF4">
      <w:pPr>
        <w:shd w:val="clear"/>
        <w:spacing w:before="0" w:beforeLines="0" w:line="240" w:lineRule="auto"/>
        <w:jc w:val="left"/>
        <w:rPr>
          <w:rFonts w:hint="eastAsia"/>
          <w:highlight w:val="none"/>
        </w:rPr>
      </w:pPr>
    </w:p>
    <w:p w14:paraId="0C554DEC">
      <w:pPr>
        <w:shd w:val="clear"/>
        <w:tabs>
          <w:tab w:val="left" w:pos="7692"/>
        </w:tabs>
        <w:spacing w:before="0" w:beforeLines="0" w:line="480" w:lineRule="auto"/>
        <w:jc w:val="left"/>
        <w:rPr>
          <w:rFonts w:hint="eastAsia" w:eastAsia="宋体"/>
          <w:highlight w:val="none"/>
          <w:lang w:eastAsia="zh-CN"/>
        </w:rPr>
      </w:pPr>
      <w:r>
        <w:rPr>
          <w:rFonts w:hint="eastAsia"/>
          <w:highlight w:val="none"/>
          <w:lang w:eastAsia="zh-CN"/>
        </w:rPr>
        <w:tab/>
      </w:r>
    </w:p>
    <w:p w14:paraId="48376527">
      <w:pPr>
        <w:shd w:val="clear"/>
        <w:spacing w:before="156" w:beforeLines="50" w:line="700" w:lineRule="exact"/>
        <w:jc w:val="center"/>
        <w:outlineLvl w:val="0"/>
        <w:rPr>
          <w:rStyle w:val="60"/>
          <w:rFonts w:hint="eastAsia" w:ascii="宋体" w:hAnsi="宋体" w:cs="宋体"/>
          <w:color w:val="auto"/>
          <w:spacing w:val="0"/>
          <w:sz w:val="72"/>
          <w:szCs w:val="44"/>
          <w:highlight w:val="none"/>
        </w:rPr>
      </w:pPr>
      <w:bookmarkStart w:id="0" w:name="_Toc13549"/>
      <w:r>
        <w:rPr>
          <w:rStyle w:val="60"/>
          <w:rFonts w:hint="eastAsia" w:ascii="宋体" w:hAnsi="宋体" w:cs="宋体"/>
          <w:color w:val="auto"/>
          <w:spacing w:val="0"/>
          <w:sz w:val="72"/>
          <w:szCs w:val="44"/>
          <w:highlight w:val="none"/>
        </w:rPr>
        <w:t>公</w:t>
      </w:r>
      <w:bookmarkEnd w:id="0"/>
    </w:p>
    <w:p w14:paraId="41ED7849">
      <w:pPr>
        <w:shd w:val="clear"/>
        <w:spacing w:before="156" w:beforeLines="50" w:line="800" w:lineRule="exact"/>
        <w:jc w:val="center"/>
        <w:outlineLvl w:val="0"/>
        <w:rPr>
          <w:rStyle w:val="60"/>
          <w:rFonts w:hint="eastAsia" w:ascii="宋体" w:hAnsi="宋体" w:cs="宋体"/>
          <w:color w:val="auto"/>
          <w:spacing w:val="0"/>
          <w:sz w:val="72"/>
          <w:szCs w:val="44"/>
          <w:highlight w:val="none"/>
        </w:rPr>
      </w:pPr>
      <w:bookmarkStart w:id="1" w:name="_Toc15128"/>
      <w:r>
        <w:rPr>
          <w:rStyle w:val="60"/>
          <w:rFonts w:hint="eastAsia" w:ascii="宋体" w:hAnsi="宋体" w:cs="宋体"/>
          <w:color w:val="auto"/>
          <w:spacing w:val="0"/>
          <w:sz w:val="72"/>
          <w:szCs w:val="44"/>
          <w:highlight w:val="none"/>
        </w:rPr>
        <w:t>开</w:t>
      </w:r>
      <w:bookmarkEnd w:id="1"/>
    </w:p>
    <w:p w14:paraId="55BC8418">
      <w:pPr>
        <w:shd w:val="clear"/>
        <w:spacing w:before="156" w:beforeLines="50" w:line="800" w:lineRule="exact"/>
        <w:jc w:val="center"/>
        <w:outlineLvl w:val="0"/>
        <w:rPr>
          <w:rStyle w:val="60"/>
          <w:rFonts w:hint="eastAsia" w:ascii="宋体" w:hAnsi="宋体" w:cs="宋体"/>
          <w:color w:val="auto"/>
          <w:spacing w:val="0"/>
          <w:sz w:val="72"/>
          <w:szCs w:val="44"/>
          <w:highlight w:val="none"/>
        </w:rPr>
      </w:pPr>
      <w:bookmarkStart w:id="2" w:name="_Toc1748"/>
      <w:r>
        <w:rPr>
          <w:rStyle w:val="60"/>
          <w:rFonts w:hint="eastAsia" w:ascii="宋体" w:hAnsi="宋体" w:cs="宋体"/>
          <w:color w:val="auto"/>
          <w:spacing w:val="0"/>
          <w:sz w:val="72"/>
          <w:szCs w:val="44"/>
          <w:highlight w:val="none"/>
        </w:rPr>
        <w:t>招</w:t>
      </w:r>
      <w:bookmarkEnd w:id="2"/>
    </w:p>
    <w:p w14:paraId="2AAD355A">
      <w:pPr>
        <w:shd w:val="clear"/>
        <w:spacing w:before="156" w:beforeLines="50" w:line="800" w:lineRule="exact"/>
        <w:jc w:val="center"/>
        <w:outlineLvl w:val="0"/>
        <w:rPr>
          <w:rStyle w:val="60"/>
          <w:rFonts w:hint="eastAsia" w:ascii="宋体" w:hAnsi="宋体" w:cs="宋体"/>
          <w:color w:val="auto"/>
          <w:spacing w:val="0"/>
          <w:sz w:val="72"/>
          <w:szCs w:val="44"/>
          <w:highlight w:val="none"/>
        </w:rPr>
      </w:pPr>
      <w:bookmarkStart w:id="3" w:name="_Toc6231"/>
      <w:r>
        <w:rPr>
          <w:rStyle w:val="60"/>
          <w:rFonts w:hint="eastAsia" w:ascii="宋体" w:hAnsi="宋体" w:cs="宋体"/>
          <w:color w:val="auto"/>
          <w:spacing w:val="0"/>
          <w:sz w:val="72"/>
          <w:szCs w:val="44"/>
          <w:highlight w:val="none"/>
        </w:rPr>
        <w:t>标</w:t>
      </w:r>
      <w:bookmarkEnd w:id="3"/>
    </w:p>
    <w:p w14:paraId="57A13F71">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4" w:name="_Toc5973"/>
      <w:r>
        <w:rPr>
          <w:rStyle w:val="60"/>
          <w:rFonts w:hint="eastAsia" w:ascii="宋体" w:hAnsi="宋体" w:cs="宋体"/>
          <w:color w:val="auto"/>
          <w:spacing w:val="0"/>
          <w:sz w:val="72"/>
          <w:szCs w:val="72"/>
          <w:highlight w:val="none"/>
        </w:rPr>
        <w:t>采</w:t>
      </w:r>
      <w:bookmarkEnd w:id="4"/>
    </w:p>
    <w:p w14:paraId="40B25872">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5" w:name="_Toc2746"/>
      <w:r>
        <w:rPr>
          <w:rStyle w:val="60"/>
          <w:rFonts w:hint="eastAsia" w:ascii="宋体" w:hAnsi="宋体" w:cs="宋体"/>
          <w:color w:val="auto"/>
          <w:spacing w:val="0"/>
          <w:sz w:val="72"/>
          <w:szCs w:val="72"/>
          <w:highlight w:val="none"/>
        </w:rPr>
        <w:t>购</w:t>
      </w:r>
      <w:bookmarkEnd w:id="5"/>
    </w:p>
    <w:p w14:paraId="5274A96F">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6" w:name="_Toc32416"/>
      <w:r>
        <w:rPr>
          <w:rStyle w:val="60"/>
          <w:rFonts w:hint="eastAsia" w:ascii="宋体" w:hAnsi="宋体" w:cs="宋体"/>
          <w:color w:val="auto"/>
          <w:spacing w:val="0"/>
          <w:sz w:val="72"/>
          <w:szCs w:val="72"/>
          <w:highlight w:val="none"/>
        </w:rPr>
        <w:t>文</w:t>
      </w:r>
      <w:bookmarkEnd w:id="6"/>
    </w:p>
    <w:p w14:paraId="2A65DC5D">
      <w:pPr>
        <w:shd w:val="clear"/>
        <w:spacing w:before="156" w:beforeLines="50" w:line="800" w:lineRule="exact"/>
        <w:jc w:val="center"/>
        <w:outlineLvl w:val="0"/>
        <w:rPr>
          <w:rStyle w:val="60"/>
          <w:rFonts w:hint="eastAsia" w:ascii="宋体" w:hAnsi="宋体" w:cs="宋体"/>
          <w:color w:val="auto"/>
          <w:spacing w:val="0"/>
          <w:sz w:val="72"/>
          <w:szCs w:val="72"/>
          <w:highlight w:val="none"/>
        </w:rPr>
      </w:pPr>
      <w:bookmarkStart w:id="7" w:name="_Toc6942"/>
      <w:r>
        <w:rPr>
          <w:rStyle w:val="60"/>
          <w:rFonts w:hint="eastAsia" w:ascii="宋体" w:hAnsi="宋体" w:cs="宋体"/>
          <w:color w:val="auto"/>
          <w:spacing w:val="0"/>
          <w:sz w:val="72"/>
          <w:szCs w:val="72"/>
          <w:highlight w:val="none"/>
        </w:rPr>
        <w:t>件</w:t>
      </w:r>
      <w:bookmarkEnd w:id="7"/>
    </w:p>
    <w:p w14:paraId="4C2DC543">
      <w:pPr>
        <w:pStyle w:val="17"/>
        <w:shd w:val="clear"/>
        <w:snapToGrid w:val="0"/>
        <w:spacing w:beforeLines="0" w:afterLines="0" w:line="300" w:lineRule="exact"/>
        <w:rPr>
          <w:rFonts w:hint="eastAsia" w:hAnsi="宋体" w:cs="宋体"/>
          <w:color w:val="auto"/>
          <w:highlight w:val="none"/>
        </w:rPr>
      </w:pPr>
    </w:p>
    <w:p w14:paraId="539622C6">
      <w:pPr>
        <w:pStyle w:val="17"/>
        <w:shd w:val="clear"/>
        <w:snapToGrid w:val="0"/>
        <w:spacing w:beforeLines="0" w:afterLines="0" w:line="300" w:lineRule="exact"/>
        <w:outlineLvl w:val="0"/>
        <w:rPr>
          <w:rFonts w:hint="eastAsia" w:hAnsi="宋体" w:eastAsia="宋体" w:cs="宋体"/>
          <w:color w:val="auto"/>
          <w:highlight w:val="none"/>
          <w:lang w:eastAsia="zh-CN"/>
        </w:rPr>
      </w:pPr>
      <w:bookmarkStart w:id="8" w:name="_Toc30153"/>
      <w:r>
        <w:rPr>
          <w:rFonts w:hint="eastAsia" w:hAnsi="宋体" w:cs="宋体"/>
          <w:color w:val="auto"/>
          <w:highlight w:val="none"/>
        </w:rPr>
        <w:t>项目编号：</w:t>
      </w:r>
      <w:bookmarkEnd w:id="8"/>
      <w:r>
        <w:rPr>
          <w:rFonts w:hint="eastAsia" w:hAnsi="宋体" w:cs="宋体"/>
          <w:color w:val="auto"/>
          <w:highlight w:val="none"/>
          <w:lang w:eastAsia="zh-CN"/>
        </w:rPr>
        <w:t>HZSY20240930</w:t>
      </w:r>
    </w:p>
    <w:p w14:paraId="715BFCDA">
      <w:pPr>
        <w:pStyle w:val="17"/>
        <w:shd w:val="clear"/>
        <w:snapToGrid w:val="0"/>
        <w:spacing w:beforeLines="0" w:afterLines="0" w:line="300" w:lineRule="exact"/>
        <w:rPr>
          <w:rFonts w:hint="eastAsia" w:hAnsi="宋体" w:cs="宋体"/>
          <w:color w:val="auto"/>
          <w:highlight w:val="none"/>
          <w:lang w:val="en-US" w:eastAsia="zh-CN"/>
        </w:rPr>
      </w:pPr>
      <w:r>
        <w:rPr>
          <w:rFonts w:hint="eastAsia" w:hAnsi="宋体" w:cs="宋体"/>
          <w:color w:val="auto"/>
          <w:highlight w:val="none"/>
        </w:rPr>
        <w:t>项目名称：</w:t>
      </w:r>
      <w:r>
        <w:rPr>
          <w:rFonts w:hint="eastAsia" w:hAnsi="宋体" w:cs="宋体"/>
          <w:color w:val="auto"/>
          <w:highlight w:val="none"/>
          <w:lang w:val="en-US" w:eastAsia="zh-CN"/>
        </w:rPr>
        <w:tab/>
      </w:r>
      <w:r>
        <w:rPr>
          <w:rFonts w:hint="eastAsia" w:hAnsi="宋体" w:cs="宋体"/>
          <w:color w:val="auto"/>
          <w:highlight w:val="none"/>
          <w:lang w:val="en-US" w:eastAsia="zh-CN"/>
        </w:rPr>
        <w:t>2024年度第二批未来社区创建实施方案编制服务采购项目</w:t>
      </w:r>
    </w:p>
    <w:p w14:paraId="61B79B39">
      <w:pPr>
        <w:pStyle w:val="17"/>
        <w:shd w:val="clear"/>
        <w:snapToGrid w:val="0"/>
        <w:spacing w:beforeLines="0" w:afterLines="0" w:line="300" w:lineRule="exact"/>
        <w:rPr>
          <w:rFonts w:hint="eastAsia" w:hAnsi="宋体" w:eastAsia="宋体" w:cs="宋体"/>
          <w:color w:val="auto"/>
          <w:highlight w:val="none"/>
          <w:lang w:eastAsia="zh-CN"/>
        </w:rPr>
      </w:pPr>
      <w:r>
        <w:rPr>
          <w:rFonts w:hint="eastAsia" w:hAnsi="宋体" w:cs="宋体"/>
          <w:color w:val="auto"/>
          <w:highlight w:val="none"/>
        </w:rPr>
        <w:t>采购单位：</w:t>
      </w:r>
      <w:r>
        <w:rPr>
          <w:rFonts w:hint="eastAsia" w:hAnsi="宋体" w:cs="宋体"/>
          <w:color w:val="auto"/>
          <w:highlight w:val="none"/>
          <w:lang w:eastAsia="zh-CN"/>
        </w:rPr>
        <w:t>安吉县住房和城乡建设局</w:t>
      </w:r>
    </w:p>
    <w:p w14:paraId="13005037">
      <w:pPr>
        <w:pStyle w:val="17"/>
        <w:shd w:val="clear"/>
        <w:snapToGrid w:val="0"/>
        <w:spacing w:beforeLines="0" w:afterLines="0" w:line="300" w:lineRule="exact"/>
        <w:rPr>
          <w:rFonts w:hint="eastAsia" w:hAnsi="宋体" w:eastAsia="宋体" w:cs="宋体"/>
          <w:color w:val="auto"/>
          <w:highlight w:val="none"/>
          <w:lang w:eastAsia="zh-CN"/>
        </w:rPr>
      </w:pPr>
      <w:r>
        <w:rPr>
          <w:rFonts w:hint="eastAsia" w:hAnsi="宋体" w:cs="宋体"/>
          <w:color w:val="auto"/>
          <w:highlight w:val="none"/>
        </w:rPr>
        <w:t>采购代理机构：</w:t>
      </w:r>
      <w:r>
        <w:rPr>
          <w:rFonts w:hint="eastAsia" w:hAnsi="宋体" w:cs="宋体"/>
          <w:color w:val="auto"/>
          <w:highlight w:val="none"/>
          <w:lang w:eastAsia="zh-CN"/>
        </w:rPr>
        <w:t>湖州盛远招标代理有限公司</w:t>
      </w:r>
    </w:p>
    <w:p w14:paraId="0BD10B36">
      <w:pPr>
        <w:pStyle w:val="17"/>
        <w:shd w:val="clear"/>
        <w:snapToGrid w:val="0"/>
        <w:spacing w:beforeLines="0" w:afterLines="0" w:line="300" w:lineRule="exact"/>
        <w:rPr>
          <w:rFonts w:hint="eastAsia" w:hAnsi="宋体" w:cs="宋体"/>
          <w:color w:val="auto"/>
          <w:highlight w:val="none"/>
        </w:rPr>
      </w:pPr>
      <w:r>
        <w:rPr>
          <w:rFonts w:hint="eastAsia" w:hAnsi="宋体" w:cs="宋体"/>
          <w:color w:val="auto"/>
          <w:highlight w:val="none"/>
        </w:rPr>
        <w:t>采购类型：分散采购委托代理</w:t>
      </w:r>
    </w:p>
    <w:p w14:paraId="01C79396">
      <w:pPr>
        <w:pStyle w:val="17"/>
        <w:shd w:val="clear"/>
        <w:snapToGrid w:val="0"/>
        <w:spacing w:beforeLines="0" w:afterLines="0" w:line="300" w:lineRule="exact"/>
        <w:jc w:val="right"/>
        <w:rPr>
          <w:rFonts w:hint="eastAsia" w:hAnsi="宋体" w:cs="宋体"/>
          <w:color w:val="auto"/>
          <w:highlight w:val="none"/>
        </w:rPr>
      </w:pPr>
    </w:p>
    <w:p w14:paraId="5B35ED6E">
      <w:pPr>
        <w:pStyle w:val="17"/>
        <w:shd w:val="clear"/>
        <w:snapToGrid w:val="0"/>
        <w:spacing w:beforeLines="0" w:afterLines="0" w:line="300" w:lineRule="exact"/>
        <w:jc w:val="right"/>
        <w:rPr>
          <w:rFonts w:hint="eastAsia" w:hAnsi="宋体" w:cs="宋体"/>
          <w:b/>
          <w:color w:val="auto"/>
          <w:sz w:val="44"/>
          <w:szCs w:val="44"/>
          <w:highlight w:val="none"/>
        </w:rPr>
      </w:pPr>
      <w:r>
        <w:rPr>
          <w:rFonts w:hint="eastAsia" w:hAnsi="宋体" w:cs="宋体"/>
          <w:color w:val="auto"/>
          <w:highlight w:val="none"/>
        </w:rPr>
        <w:t>202</w:t>
      </w:r>
      <w:r>
        <w:rPr>
          <w:rFonts w:hint="eastAsia" w:hAnsi="宋体" w:cs="宋体"/>
          <w:color w:val="auto"/>
          <w:highlight w:val="none"/>
          <w:lang w:val="en-US" w:eastAsia="zh-CN"/>
        </w:rPr>
        <w:t>4</w:t>
      </w:r>
      <w:r>
        <w:rPr>
          <w:rFonts w:hint="eastAsia" w:hAnsi="宋体" w:cs="宋体"/>
          <w:color w:val="auto"/>
          <w:highlight w:val="none"/>
        </w:rPr>
        <w:t>年</w:t>
      </w:r>
      <w:r>
        <w:rPr>
          <w:rFonts w:hint="eastAsia" w:hAnsi="宋体" w:cs="宋体"/>
          <w:color w:val="auto"/>
          <w:highlight w:val="none"/>
          <w:lang w:val="en-US" w:eastAsia="zh-CN"/>
        </w:rPr>
        <w:t>9</w:t>
      </w:r>
      <w:r>
        <w:rPr>
          <w:rFonts w:hint="eastAsia" w:hAnsi="宋体" w:cs="宋体"/>
          <w:color w:val="auto"/>
          <w:highlight w:val="none"/>
        </w:rPr>
        <w:t>月</w:t>
      </w:r>
    </w:p>
    <w:p w14:paraId="4F0AC188">
      <w:pPr>
        <w:pStyle w:val="18"/>
        <w:shd w:val="clear"/>
        <w:ind w:left="0" w:leftChars="0"/>
        <w:rPr>
          <w:rFonts w:hint="eastAsia"/>
          <w:color w:val="auto"/>
          <w:highlight w:val="none"/>
        </w:rPr>
      </w:pPr>
    </w:p>
    <w:p w14:paraId="41AAAF68">
      <w:pPr>
        <w:pStyle w:val="17"/>
        <w:shd w:val="clear"/>
        <w:snapToGrid w:val="0"/>
        <w:spacing w:beforeLines="0" w:afterLines="0" w:line="480" w:lineRule="auto"/>
        <w:jc w:val="center"/>
        <w:outlineLvl w:val="0"/>
        <w:rPr>
          <w:rFonts w:hint="eastAsia" w:hAnsi="宋体" w:cs="宋体"/>
          <w:b/>
          <w:color w:val="auto"/>
          <w:sz w:val="44"/>
          <w:szCs w:val="44"/>
          <w:highlight w:val="none"/>
        </w:rPr>
      </w:pPr>
      <w:bookmarkStart w:id="9" w:name="_Toc19273"/>
      <w:r>
        <w:rPr>
          <w:rFonts w:hint="eastAsia" w:hAnsi="宋体" w:cs="宋体"/>
          <w:b/>
          <w:color w:val="auto"/>
          <w:sz w:val="44"/>
          <w:szCs w:val="44"/>
          <w:highlight w:val="none"/>
        </w:rPr>
        <w:t>目      录</w:t>
      </w:r>
      <w:bookmarkEnd w:id="9"/>
    </w:p>
    <w:sdt>
      <w:sdtPr>
        <w:rPr>
          <w:rFonts w:ascii="宋体" w:hAnsi="宋体" w:eastAsia="宋体" w:cs="Times New Roman"/>
          <w:kern w:val="2"/>
          <w:sz w:val="21"/>
          <w:szCs w:val="24"/>
          <w:lang w:val="en-US" w:eastAsia="zh-CN" w:bidi="ar-SA"/>
        </w:rPr>
        <w:id w:val="147455096"/>
        <w15:color w:val="DBDBDB"/>
        <w:docPartObj>
          <w:docPartGallery w:val="Table of Contents"/>
          <w:docPartUnique/>
        </w:docPartObj>
      </w:sdtPr>
      <w:sdtEndPr>
        <w:rPr>
          <w:rFonts w:hint="eastAsia" w:ascii="宋体" w:hAnsi="宋体" w:eastAsia="宋体" w:cs="宋体"/>
          <w:b/>
          <w:bCs w:val="0"/>
          <w:color w:val="auto"/>
          <w:kern w:val="2"/>
          <w:sz w:val="44"/>
          <w:szCs w:val="24"/>
          <w:highlight w:val="none"/>
          <w:lang w:val="en-US" w:eastAsia="zh-CN" w:bidi="ar-SA"/>
        </w:rPr>
      </w:sdtEndPr>
      <w:sdtContent>
        <w:p w14:paraId="1E63DF14">
          <w:pPr>
            <w:spacing w:before="0" w:beforeLines="0" w:after="0" w:afterLines="0" w:line="240" w:lineRule="auto"/>
            <w:ind w:left="0" w:leftChars="0" w:right="0" w:rightChars="0" w:firstLine="0" w:firstLineChars="0"/>
            <w:jc w:val="center"/>
          </w:pPr>
          <w:bookmarkStart w:id="10" w:name="_Toc317341927"/>
          <w:r>
            <w:rPr>
              <w:rFonts w:hint="eastAsia" w:ascii="宋体" w:hAnsi="宋体" w:cs="宋体"/>
              <w:b w:val="0"/>
              <w:bCs w:val="0"/>
              <w:color w:val="auto"/>
              <w:kern w:val="2"/>
              <w:sz w:val="24"/>
              <w:szCs w:val="24"/>
              <w:highlight w:val="none"/>
            </w:rPr>
            <w:fldChar w:fldCharType="begin"/>
          </w:r>
          <w:r>
            <w:rPr>
              <w:rFonts w:hint="eastAsia" w:ascii="宋体" w:hAnsi="宋体" w:cs="宋体"/>
              <w:b w:val="0"/>
              <w:bCs w:val="0"/>
              <w:color w:val="auto"/>
              <w:kern w:val="2"/>
              <w:sz w:val="24"/>
              <w:szCs w:val="24"/>
              <w:highlight w:val="none"/>
            </w:rPr>
            <w:instrText xml:space="preserve">TOC \o "1-1" \h \u </w:instrText>
          </w:r>
          <w:r>
            <w:rPr>
              <w:rFonts w:hint="eastAsia" w:ascii="宋体" w:hAnsi="宋体" w:cs="宋体"/>
              <w:b w:val="0"/>
              <w:bCs w:val="0"/>
              <w:color w:val="auto"/>
              <w:kern w:val="2"/>
              <w:sz w:val="24"/>
              <w:szCs w:val="24"/>
              <w:highlight w:val="none"/>
            </w:rPr>
            <w:fldChar w:fldCharType="separate"/>
          </w:r>
        </w:p>
        <w:p w14:paraId="372556D0">
          <w:pPr>
            <w:pStyle w:val="81"/>
            <w:tabs>
              <w:tab w:val="right" w:leader="dot" w:pos="9072"/>
            </w:tabs>
            <w:spacing w:line="480" w:lineRule="auto"/>
            <w:rPr>
              <w:sz w:val="28"/>
              <w:szCs w:val="28"/>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_Toc30834 </w:instrText>
          </w:r>
          <w:r>
            <w:rPr>
              <w:rFonts w:hint="eastAsia" w:ascii="宋体" w:hAnsi="宋体" w:cs="宋体"/>
              <w:bCs w:val="0"/>
              <w:kern w:val="2"/>
              <w:sz w:val="28"/>
              <w:szCs w:val="40"/>
              <w:highlight w:val="none"/>
            </w:rPr>
            <w:fldChar w:fldCharType="separate"/>
          </w:r>
          <w:r>
            <w:rPr>
              <w:rFonts w:hint="eastAsia" w:ascii="宋体" w:hAnsi="宋体" w:eastAsia="宋体" w:cs="宋体"/>
              <w:snapToGrid w:val="0"/>
              <w:sz w:val="28"/>
              <w:szCs w:val="52"/>
              <w:highlight w:val="none"/>
            </w:rPr>
            <w:t xml:space="preserve">第一章 </w:t>
          </w:r>
          <w:r>
            <w:rPr>
              <w:rFonts w:hint="eastAsia" w:ascii="宋体" w:hAnsi="宋体" w:eastAsia="宋体" w:cs="宋体"/>
              <w:snapToGrid w:val="0"/>
              <w:sz w:val="28"/>
              <w:szCs w:val="52"/>
              <w:highlight w:val="none"/>
              <w:lang w:val="en-US" w:eastAsia="zh-CN"/>
            </w:rPr>
            <w:t xml:space="preserve"> </w:t>
          </w:r>
          <w:r>
            <w:rPr>
              <w:rFonts w:hint="eastAsia" w:ascii="宋体" w:hAnsi="宋体" w:eastAsia="宋体" w:cs="宋体"/>
              <w:snapToGrid w:val="0"/>
              <w:sz w:val="28"/>
              <w:szCs w:val="52"/>
              <w:highlight w:val="none"/>
            </w:rPr>
            <w:t>招标公告</w:t>
          </w:r>
          <w:r>
            <w:rPr>
              <w:sz w:val="28"/>
              <w:szCs w:val="28"/>
            </w:rPr>
            <w:tab/>
          </w:r>
          <w:r>
            <w:rPr>
              <w:sz w:val="28"/>
              <w:szCs w:val="28"/>
            </w:rPr>
            <w:fldChar w:fldCharType="begin"/>
          </w:r>
          <w:r>
            <w:rPr>
              <w:sz w:val="28"/>
              <w:szCs w:val="28"/>
            </w:rPr>
            <w:instrText xml:space="preserve"> PAGEREF _Toc30834 \h </w:instrText>
          </w:r>
          <w:r>
            <w:rPr>
              <w:sz w:val="28"/>
              <w:szCs w:val="28"/>
            </w:rPr>
            <w:fldChar w:fldCharType="separate"/>
          </w:r>
          <w:r>
            <w:rPr>
              <w:sz w:val="28"/>
              <w:szCs w:val="28"/>
            </w:rPr>
            <w:t>1</w:t>
          </w:r>
          <w:r>
            <w:rPr>
              <w:sz w:val="28"/>
              <w:szCs w:val="28"/>
            </w:rPr>
            <w:fldChar w:fldCharType="end"/>
          </w:r>
          <w:r>
            <w:rPr>
              <w:rFonts w:hint="eastAsia" w:ascii="宋体" w:hAnsi="宋体" w:cs="宋体"/>
              <w:bCs w:val="0"/>
              <w:color w:val="auto"/>
              <w:kern w:val="2"/>
              <w:sz w:val="28"/>
              <w:szCs w:val="40"/>
              <w:highlight w:val="none"/>
            </w:rPr>
            <w:fldChar w:fldCharType="end"/>
          </w:r>
        </w:p>
        <w:p w14:paraId="67C7C233">
          <w:pPr>
            <w:pStyle w:val="81"/>
            <w:tabs>
              <w:tab w:val="right" w:leader="dot" w:pos="9072"/>
            </w:tabs>
            <w:spacing w:line="480" w:lineRule="auto"/>
            <w:rPr>
              <w:sz w:val="28"/>
              <w:szCs w:val="28"/>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_Toc3433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第二章  招标需求</w:t>
          </w:r>
          <w:r>
            <w:rPr>
              <w:sz w:val="28"/>
              <w:szCs w:val="28"/>
            </w:rPr>
            <w:tab/>
          </w:r>
          <w:r>
            <w:rPr>
              <w:sz w:val="28"/>
              <w:szCs w:val="28"/>
            </w:rPr>
            <w:fldChar w:fldCharType="begin"/>
          </w:r>
          <w:r>
            <w:rPr>
              <w:sz w:val="28"/>
              <w:szCs w:val="28"/>
            </w:rPr>
            <w:instrText xml:space="preserve"> PAGEREF _Toc3433 \h </w:instrText>
          </w:r>
          <w:r>
            <w:rPr>
              <w:sz w:val="28"/>
              <w:szCs w:val="28"/>
            </w:rPr>
            <w:fldChar w:fldCharType="separate"/>
          </w:r>
          <w:r>
            <w:rPr>
              <w:sz w:val="28"/>
              <w:szCs w:val="28"/>
            </w:rPr>
            <w:t>4</w:t>
          </w:r>
          <w:r>
            <w:rPr>
              <w:sz w:val="28"/>
              <w:szCs w:val="28"/>
            </w:rPr>
            <w:fldChar w:fldCharType="end"/>
          </w:r>
          <w:r>
            <w:rPr>
              <w:rFonts w:hint="eastAsia" w:ascii="宋体" w:hAnsi="宋体" w:cs="宋体"/>
              <w:bCs w:val="0"/>
              <w:color w:val="auto"/>
              <w:kern w:val="2"/>
              <w:sz w:val="28"/>
              <w:szCs w:val="40"/>
              <w:highlight w:val="none"/>
            </w:rPr>
            <w:fldChar w:fldCharType="end"/>
          </w:r>
        </w:p>
        <w:p w14:paraId="017D2987">
          <w:pPr>
            <w:pStyle w:val="81"/>
            <w:tabs>
              <w:tab w:val="right" w:leader="dot" w:pos="9072"/>
            </w:tabs>
            <w:spacing w:line="480" w:lineRule="auto"/>
            <w:rPr>
              <w:sz w:val="28"/>
              <w:szCs w:val="28"/>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_Toc18658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第三章  投标人须知</w:t>
          </w:r>
          <w:r>
            <w:rPr>
              <w:sz w:val="28"/>
              <w:szCs w:val="28"/>
            </w:rPr>
            <w:tab/>
          </w:r>
          <w:r>
            <w:rPr>
              <w:sz w:val="28"/>
              <w:szCs w:val="28"/>
            </w:rPr>
            <w:fldChar w:fldCharType="begin"/>
          </w:r>
          <w:r>
            <w:rPr>
              <w:sz w:val="28"/>
              <w:szCs w:val="28"/>
            </w:rPr>
            <w:instrText xml:space="preserve"> PAGEREF _Toc18658 \h </w:instrText>
          </w:r>
          <w:r>
            <w:rPr>
              <w:sz w:val="28"/>
              <w:szCs w:val="28"/>
            </w:rPr>
            <w:fldChar w:fldCharType="separate"/>
          </w:r>
          <w:r>
            <w:rPr>
              <w:sz w:val="28"/>
              <w:szCs w:val="28"/>
            </w:rPr>
            <w:t>8</w:t>
          </w:r>
          <w:r>
            <w:rPr>
              <w:sz w:val="28"/>
              <w:szCs w:val="28"/>
            </w:rPr>
            <w:fldChar w:fldCharType="end"/>
          </w:r>
          <w:r>
            <w:rPr>
              <w:rFonts w:hint="eastAsia" w:ascii="宋体" w:hAnsi="宋体" w:cs="宋体"/>
              <w:bCs w:val="0"/>
              <w:color w:val="auto"/>
              <w:kern w:val="2"/>
              <w:sz w:val="28"/>
              <w:szCs w:val="40"/>
              <w:highlight w:val="none"/>
            </w:rPr>
            <w:fldChar w:fldCharType="end"/>
          </w:r>
        </w:p>
        <w:p w14:paraId="3E079B8E">
          <w:pPr>
            <w:pStyle w:val="81"/>
            <w:tabs>
              <w:tab w:val="right" w:leader="dot" w:pos="9072"/>
            </w:tabs>
            <w:spacing w:line="480" w:lineRule="auto"/>
            <w:rPr>
              <w:sz w:val="28"/>
              <w:szCs w:val="28"/>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_Toc30794 </w:instrText>
          </w:r>
          <w:r>
            <w:rPr>
              <w:rFonts w:hint="eastAsia" w:ascii="宋体" w:hAnsi="宋体" w:cs="宋体"/>
              <w:bCs w:val="0"/>
              <w:kern w:val="2"/>
              <w:sz w:val="28"/>
              <w:szCs w:val="40"/>
              <w:highlight w:val="none"/>
            </w:rPr>
            <w:fldChar w:fldCharType="separate"/>
          </w:r>
          <w:r>
            <w:rPr>
              <w:rFonts w:hint="eastAsia" w:ascii="宋体" w:hAnsi="宋体" w:eastAsia="宋体" w:cs="宋体"/>
              <w:snapToGrid w:val="0"/>
              <w:sz w:val="28"/>
              <w:szCs w:val="52"/>
              <w:highlight w:val="none"/>
            </w:rPr>
            <w:t>第四章  评标办法及标准</w:t>
          </w:r>
          <w:r>
            <w:rPr>
              <w:sz w:val="28"/>
              <w:szCs w:val="28"/>
            </w:rPr>
            <w:tab/>
          </w:r>
          <w:r>
            <w:rPr>
              <w:sz w:val="28"/>
              <w:szCs w:val="28"/>
            </w:rPr>
            <w:fldChar w:fldCharType="begin"/>
          </w:r>
          <w:r>
            <w:rPr>
              <w:sz w:val="28"/>
              <w:szCs w:val="28"/>
            </w:rPr>
            <w:instrText xml:space="preserve"> PAGEREF _Toc30794 \h </w:instrText>
          </w:r>
          <w:r>
            <w:rPr>
              <w:sz w:val="28"/>
              <w:szCs w:val="28"/>
            </w:rPr>
            <w:fldChar w:fldCharType="separate"/>
          </w:r>
          <w:r>
            <w:rPr>
              <w:sz w:val="28"/>
              <w:szCs w:val="28"/>
            </w:rPr>
            <w:t>25</w:t>
          </w:r>
          <w:r>
            <w:rPr>
              <w:sz w:val="28"/>
              <w:szCs w:val="28"/>
            </w:rPr>
            <w:fldChar w:fldCharType="end"/>
          </w:r>
          <w:r>
            <w:rPr>
              <w:rFonts w:hint="eastAsia" w:ascii="宋体" w:hAnsi="宋体" w:cs="宋体"/>
              <w:bCs w:val="0"/>
              <w:color w:val="auto"/>
              <w:kern w:val="2"/>
              <w:sz w:val="28"/>
              <w:szCs w:val="40"/>
              <w:highlight w:val="none"/>
            </w:rPr>
            <w:fldChar w:fldCharType="end"/>
          </w:r>
        </w:p>
        <w:p w14:paraId="325485A7">
          <w:pPr>
            <w:pStyle w:val="81"/>
            <w:tabs>
              <w:tab w:val="right" w:leader="dot" w:pos="9072"/>
            </w:tabs>
            <w:spacing w:line="480" w:lineRule="auto"/>
            <w:rPr>
              <w:sz w:val="28"/>
              <w:szCs w:val="28"/>
            </w:rPr>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_Toc4556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 xml:space="preserve">第五章 </w:t>
          </w:r>
          <w:r>
            <w:rPr>
              <w:rFonts w:hint="eastAsia" w:ascii="宋体" w:hAnsi="宋体" w:cs="宋体"/>
              <w:snapToGrid w:val="0"/>
              <w:sz w:val="28"/>
              <w:szCs w:val="52"/>
              <w:highlight w:val="none"/>
              <w:lang w:val="en-US" w:eastAsia="zh-CN"/>
            </w:rPr>
            <w:t xml:space="preserve"> </w:t>
          </w:r>
          <w:r>
            <w:rPr>
              <w:rFonts w:hint="eastAsia" w:ascii="宋体" w:hAnsi="宋体" w:cs="宋体"/>
              <w:snapToGrid w:val="0"/>
              <w:sz w:val="28"/>
              <w:szCs w:val="52"/>
              <w:highlight w:val="none"/>
            </w:rPr>
            <w:t>合同主要条款</w:t>
          </w:r>
          <w:r>
            <w:rPr>
              <w:sz w:val="28"/>
              <w:szCs w:val="28"/>
            </w:rPr>
            <w:tab/>
          </w:r>
          <w:r>
            <w:rPr>
              <w:sz w:val="28"/>
              <w:szCs w:val="28"/>
            </w:rPr>
            <w:fldChar w:fldCharType="begin"/>
          </w:r>
          <w:r>
            <w:rPr>
              <w:sz w:val="28"/>
              <w:szCs w:val="28"/>
            </w:rPr>
            <w:instrText xml:space="preserve"> PAGEREF _Toc4556 \h </w:instrText>
          </w:r>
          <w:r>
            <w:rPr>
              <w:sz w:val="28"/>
              <w:szCs w:val="28"/>
            </w:rPr>
            <w:fldChar w:fldCharType="separate"/>
          </w:r>
          <w:r>
            <w:rPr>
              <w:sz w:val="28"/>
              <w:szCs w:val="28"/>
            </w:rPr>
            <w:t>30</w:t>
          </w:r>
          <w:r>
            <w:rPr>
              <w:sz w:val="28"/>
              <w:szCs w:val="28"/>
            </w:rPr>
            <w:fldChar w:fldCharType="end"/>
          </w:r>
          <w:r>
            <w:rPr>
              <w:rFonts w:hint="eastAsia" w:ascii="宋体" w:hAnsi="宋体" w:cs="宋体"/>
              <w:bCs w:val="0"/>
              <w:color w:val="auto"/>
              <w:kern w:val="2"/>
              <w:sz w:val="28"/>
              <w:szCs w:val="40"/>
              <w:highlight w:val="none"/>
            </w:rPr>
            <w:fldChar w:fldCharType="end"/>
          </w:r>
        </w:p>
        <w:p w14:paraId="64DD00C7">
          <w:pPr>
            <w:pStyle w:val="81"/>
            <w:tabs>
              <w:tab w:val="right" w:leader="dot" w:pos="9072"/>
            </w:tabs>
            <w:spacing w:line="480" w:lineRule="auto"/>
          </w:pPr>
          <w:r>
            <w:rPr>
              <w:rFonts w:hint="eastAsia" w:ascii="宋体" w:hAnsi="宋体" w:cs="宋体"/>
              <w:bCs w:val="0"/>
              <w:color w:val="auto"/>
              <w:kern w:val="2"/>
              <w:sz w:val="28"/>
              <w:szCs w:val="40"/>
              <w:highlight w:val="none"/>
            </w:rPr>
            <w:fldChar w:fldCharType="begin"/>
          </w:r>
          <w:r>
            <w:rPr>
              <w:rFonts w:hint="eastAsia" w:ascii="宋体" w:hAnsi="宋体" w:cs="宋体"/>
              <w:bCs w:val="0"/>
              <w:kern w:val="2"/>
              <w:sz w:val="28"/>
              <w:szCs w:val="40"/>
              <w:highlight w:val="none"/>
            </w:rPr>
            <w:instrText xml:space="preserve"> HYPERLINK \l _Toc9861 </w:instrText>
          </w:r>
          <w:r>
            <w:rPr>
              <w:rFonts w:hint="eastAsia" w:ascii="宋体" w:hAnsi="宋体" w:cs="宋体"/>
              <w:bCs w:val="0"/>
              <w:kern w:val="2"/>
              <w:sz w:val="28"/>
              <w:szCs w:val="40"/>
              <w:highlight w:val="none"/>
            </w:rPr>
            <w:fldChar w:fldCharType="separate"/>
          </w:r>
          <w:r>
            <w:rPr>
              <w:rFonts w:hint="eastAsia" w:ascii="宋体" w:hAnsi="宋体" w:cs="宋体"/>
              <w:snapToGrid w:val="0"/>
              <w:sz w:val="28"/>
              <w:szCs w:val="52"/>
              <w:highlight w:val="none"/>
            </w:rPr>
            <w:t>第六章  投标文件的格式</w:t>
          </w:r>
          <w:r>
            <w:rPr>
              <w:sz w:val="28"/>
              <w:szCs w:val="28"/>
            </w:rPr>
            <w:tab/>
          </w:r>
          <w:r>
            <w:rPr>
              <w:sz w:val="28"/>
              <w:szCs w:val="28"/>
            </w:rPr>
            <w:fldChar w:fldCharType="begin"/>
          </w:r>
          <w:r>
            <w:rPr>
              <w:sz w:val="28"/>
              <w:szCs w:val="28"/>
            </w:rPr>
            <w:instrText xml:space="preserve"> PAGEREF _Toc9861 \h </w:instrText>
          </w:r>
          <w:r>
            <w:rPr>
              <w:sz w:val="28"/>
              <w:szCs w:val="28"/>
            </w:rPr>
            <w:fldChar w:fldCharType="separate"/>
          </w:r>
          <w:r>
            <w:rPr>
              <w:sz w:val="28"/>
              <w:szCs w:val="28"/>
            </w:rPr>
            <w:t>33</w:t>
          </w:r>
          <w:r>
            <w:rPr>
              <w:sz w:val="28"/>
              <w:szCs w:val="28"/>
            </w:rPr>
            <w:fldChar w:fldCharType="end"/>
          </w:r>
          <w:r>
            <w:rPr>
              <w:rFonts w:hint="eastAsia" w:ascii="宋体" w:hAnsi="宋体" w:cs="宋体"/>
              <w:bCs w:val="0"/>
              <w:color w:val="auto"/>
              <w:kern w:val="2"/>
              <w:sz w:val="28"/>
              <w:szCs w:val="40"/>
              <w:highlight w:val="none"/>
            </w:rPr>
            <w:fldChar w:fldCharType="end"/>
          </w:r>
        </w:p>
        <w:p w14:paraId="32F9CBA0">
          <w:pPr>
            <w:pStyle w:val="4"/>
            <w:shd w:val="clear"/>
            <w:spacing w:before="0" w:after="0" w:line="480" w:lineRule="auto"/>
            <w:jc w:val="center"/>
            <w:outlineLvl w:val="9"/>
            <w:rPr>
              <w:rFonts w:hint="eastAsia" w:ascii="宋体" w:hAnsi="宋体" w:eastAsia="宋体" w:cs="宋体"/>
              <w:b/>
              <w:bCs w:val="0"/>
              <w:color w:val="auto"/>
              <w:kern w:val="2"/>
              <w:sz w:val="44"/>
              <w:szCs w:val="24"/>
              <w:highlight w:val="none"/>
              <w:lang w:val="en-US" w:eastAsia="zh-CN" w:bidi="ar-SA"/>
            </w:rPr>
          </w:pPr>
          <w:r>
            <w:rPr>
              <w:rFonts w:hint="eastAsia" w:ascii="宋体" w:hAnsi="宋体" w:cs="宋体"/>
              <w:bCs w:val="0"/>
              <w:color w:val="auto"/>
              <w:kern w:val="2"/>
              <w:szCs w:val="24"/>
              <w:highlight w:val="none"/>
            </w:rPr>
            <w:fldChar w:fldCharType="end"/>
          </w:r>
        </w:p>
      </w:sdtContent>
    </w:sdt>
    <w:p w14:paraId="4EC6FB6F">
      <w:pPr>
        <w:rPr>
          <w:rFonts w:hint="eastAsia"/>
        </w:rPr>
      </w:pPr>
    </w:p>
    <w:p w14:paraId="2695C141">
      <w:pPr>
        <w:shd w:val="clear"/>
        <w:rPr>
          <w:rFonts w:hint="eastAsia" w:ascii="宋体" w:hAnsi="宋体" w:cs="宋体"/>
          <w:color w:val="auto"/>
          <w:highlight w:val="none"/>
        </w:rPr>
      </w:pPr>
    </w:p>
    <w:p w14:paraId="03ABBA5E">
      <w:pPr>
        <w:shd w:val="clear"/>
        <w:rPr>
          <w:rFonts w:hint="eastAsia" w:ascii="宋体" w:hAnsi="宋体" w:cs="宋体"/>
          <w:color w:val="auto"/>
          <w:highlight w:val="none"/>
        </w:rPr>
      </w:pPr>
    </w:p>
    <w:p w14:paraId="555FEFB4">
      <w:pPr>
        <w:shd w:val="clear"/>
        <w:rPr>
          <w:rFonts w:hint="eastAsia" w:ascii="宋体" w:hAnsi="宋体" w:cs="宋体"/>
          <w:color w:val="auto"/>
          <w:highlight w:val="none"/>
        </w:rPr>
      </w:pPr>
    </w:p>
    <w:p w14:paraId="5ECE7206">
      <w:pPr>
        <w:pStyle w:val="4"/>
        <w:shd w:val="clear"/>
        <w:outlineLvl w:val="9"/>
        <w:rPr>
          <w:rFonts w:hint="eastAsia"/>
          <w:color w:val="auto"/>
          <w:highlight w:val="none"/>
        </w:rPr>
      </w:pPr>
    </w:p>
    <w:p w14:paraId="6AECC6F5">
      <w:pPr>
        <w:shd w:val="clear"/>
        <w:rPr>
          <w:rFonts w:hint="eastAsia"/>
          <w:color w:val="auto"/>
          <w:highlight w:val="none"/>
        </w:rPr>
      </w:pPr>
    </w:p>
    <w:p w14:paraId="5E917B4E">
      <w:pPr>
        <w:shd w:val="clear"/>
        <w:rPr>
          <w:rFonts w:hint="eastAsia" w:ascii="宋体" w:hAnsi="宋体" w:cs="宋体"/>
          <w:color w:val="auto"/>
          <w:highlight w:val="none"/>
        </w:rPr>
      </w:pPr>
    </w:p>
    <w:p w14:paraId="098611B4">
      <w:pPr>
        <w:shd w:val="clear"/>
        <w:rPr>
          <w:rFonts w:hint="eastAsia" w:ascii="宋体" w:hAnsi="宋体" w:cs="宋体"/>
          <w:color w:val="auto"/>
          <w:highlight w:val="none"/>
        </w:rPr>
      </w:pPr>
    </w:p>
    <w:p w14:paraId="37B302E7">
      <w:pPr>
        <w:pStyle w:val="13"/>
        <w:shd w:val="clear"/>
        <w:rPr>
          <w:rFonts w:hint="eastAsia" w:ascii="宋体" w:hAnsi="宋体" w:cs="宋体"/>
          <w:color w:val="auto"/>
          <w:highlight w:val="none"/>
        </w:rPr>
      </w:pPr>
    </w:p>
    <w:p w14:paraId="69FCA1E7">
      <w:pPr>
        <w:pStyle w:val="26"/>
        <w:shd w:val="clear"/>
        <w:rPr>
          <w:rFonts w:hint="eastAsia" w:ascii="宋体" w:hAnsi="宋体" w:cs="宋体"/>
          <w:color w:val="auto"/>
          <w:highlight w:val="none"/>
        </w:rPr>
      </w:pPr>
    </w:p>
    <w:p w14:paraId="1A374B11">
      <w:pPr>
        <w:shd w:val="clear"/>
        <w:rPr>
          <w:rFonts w:hint="eastAsia" w:ascii="宋体" w:hAnsi="宋体" w:cs="宋体"/>
          <w:color w:val="auto"/>
          <w:highlight w:val="none"/>
        </w:rPr>
      </w:pPr>
    </w:p>
    <w:p w14:paraId="3228876C">
      <w:pPr>
        <w:pStyle w:val="13"/>
        <w:shd w:val="clear"/>
        <w:rPr>
          <w:rFonts w:hint="eastAsia" w:ascii="宋体" w:hAnsi="宋体" w:cs="宋体"/>
          <w:color w:val="auto"/>
          <w:highlight w:val="none"/>
        </w:rPr>
      </w:pPr>
    </w:p>
    <w:p w14:paraId="221AA752">
      <w:pPr>
        <w:pStyle w:val="26"/>
        <w:shd w:val="clear"/>
        <w:rPr>
          <w:rFonts w:hint="eastAsia" w:ascii="宋体" w:hAnsi="宋体" w:cs="宋体"/>
          <w:color w:val="auto"/>
          <w:highlight w:val="none"/>
        </w:rPr>
      </w:pPr>
    </w:p>
    <w:p w14:paraId="229CFE70">
      <w:pPr>
        <w:shd w:val="clear"/>
        <w:rPr>
          <w:rFonts w:hint="eastAsia" w:ascii="宋体" w:hAnsi="宋体" w:cs="宋体"/>
          <w:color w:val="auto"/>
          <w:highlight w:val="none"/>
        </w:rPr>
      </w:pPr>
    </w:p>
    <w:p w14:paraId="349D7171">
      <w:pPr>
        <w:pStyle w:val="13"/>
        <w:shd w:val="clear"/>
        <w:rPr>
          <w:rFonts w:hint="eastAsia" w:ascii="宋体" w:hAnsi="宋体" w:cs="宋体"/>
          <w:color w:val="auto"/>
          <w:highlight w:val="none"/>
        </w:rPr>
      </w:pPr>
    </w:p>
    <w:p w14:paraId="06201665">
      <w:pPr>
        <w:pStyle w:val="26"/>
        <w:shd w:val="clear"/>
        <w:rPr>
          <w:rFonts w:hint="eastAsia" w:ascii="宋体" w:hAnsi="宋体" w:cs="宋体"/>
          <w:color w:val="auto"/>
          <w:highlight w:val="none"/>
        </w:rPr>
      </w:pPr>
    </w:p>
    <w:p w14:paraId="45CFD0D5">
      <w:pPr>
        <w:pStyle w:val="4"/>
        <w:shd w:val="clear"/>
        <w:spacing w:before="0" w:after="0" w:line="240" w:lineRule="auto"/>
        <w:jc w:val="center"/>
        <w:outlineLvl w:val="9"/>
        <w:rPr>
          <w:rFonts w:hint="eastAsia" w:ascii="宋体" w:hAnsi="宋体" w:cs="宋体"/>
          <w:snapToGrid w:val="0"/>
          <w:color w:val="auto"/>
          <w:sz w:val="36"/>
          <w:szCs w:val="36"/>
          <w:highlight w:val="none"/>
        </w:rPr>
        <w:sectPr>
          <w:head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11" w:name="_Toc16068"/>
      <w:bookmarkStart w:id="12" w:name="_Toc22016"/>
      <w:bookmarkStart w:id="13" w:name="_Toc31677"/>
      <w:bookmarkStart w:id="14" w:name="_Toc26811"/>
    </w:p>
    <w:p w14:paraId="3CD6543E">
      <w:pPr>
        <w:pStyle w:val="4"/>
        <w:shd w:val="clear"/>
        <w:spacing w:before="0" w:after="0" w:line="480" w:lineRule="exact"/>
        <w:jc w:val="center"/>
        <w:rPr>
          <w:rFonts w:hint="eastAsia" w:ascii="宋体" w:hAnsi="宋体" w:eastAsia="宋体" w:cs="宋体"/>
          <w:snapToGrid w:val="0"/>
          <w:color w:val="auto"/>
          <w:sz w:val="36"/>
          <w:szCs w:val="36"/>
          <w:highlight w:val="none"/>
        </w:rPr>
      </w:pPr>
      <w:bookmarkStart w:id="15" w:name="_Toc30834"/>
      <w:r>
        <w:rPr>
          <w:rFonts w:hint="eastAsia" w:ascii="宋体" w:hAnsi="宋体" w:eastAsia="宋体" w:cs="宋体"/>
          <w:snapToGrid w:val="0"/>
          <w:color w:val="auto"/>
          <w:sz w:val="36"/>
          <w:szCs w:val="36"/>
          <w:highlight w:val="none"/>
        </w:rPr>
        <w:t>第一章 招标公告</w:t>
      </w:r>
      <w:bookmarkEnd w:id="10"/>
      <w:bookmarkEnd w:id="11"/>
      <w:bookmarkEnd w:id="12"/>
      <w:bookmarkEnd w:id="13"/>
      <w:bookmarkEnd w:id="14"/>
      <w:bookmarkEnd w:id="15"/>
    </w:p>
    <w:tbl>
      <w:tblPr>
        <w:tblStyle w:val="36"/>
        <w:tblpPr w:leftFromText="180" w:rightFromText="180" w:vertAnchor="text" w:tblpXSpec="center" w:tblpY="2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14:paraId="3C5A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9189" w:type="dxa"/>
            <w:noWrap w:val="0"/>
            <w:vAlign w:val="top"/>
          </w:tcPr>
          <w:p w14:paraId="224449C2">
            <w:pPr>
              <w:shd w:val="clear"/>
              <w:spacing w:line="400" w:lineRule="exact"/>
              <w:ind w:firstLine="422" w:firstLineChars="200"/>
              <w:rPr>
                <w:rFonts w:hint="eastAsia" w:ascii="宋体" w:hAnsi="宋体" w:cs="宋体"/>
                <w:color w:val="auto"/>
                <w:szCs w:val="21"/>
                <w:highlight w:val="none"/>
              </w:rPr>
            </w:pPr>
            <w:bookmarkStart w:id="16" w:name="OLE_LINK3"/>
            <w:bookmarkStart w:id="17" w:name="_Toc317341935"/>
            <w:bookmarkStart w:id="18" w:name="_Toc222632752"/>
            <w:r>
              <w:rPr>
                <w:rFonts w:hint="eastAsia" w:ascii="宋体" w:hAnsi="宋体" w:cs="宋体"/>
                <w:b/>
                <w:bCs/>
                <w:color w:val="auto"/>
                <w:szCs w:val="21"/>
                <w:highlight w:val="none"/>
              </w:rPr>
              <w:t>项目概况</w:t>
            </w:r>
          </w:p>
          <w:p w14:paraId="7B728F53">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2024年度第二批未来社区创建实施方案编制服务采购项目</w:t>
            </w:r>
            <w:r>
              <w:rPr>
                <w:rFonts w:hint="eastAsia" w:ascii="宋体" w:hAnsi="宋体" w:cs="宋体"/>
                <w:color w:val="auto"/>
                <w:szCs w:val="21"/>
                <w:highlight w:val="none"/>
              </w:rPr>
              <w:t xml:space="preserve">的潜在投标人应在政府采购云平台http://www.zcygov.cn（以下简称“政采云平台”）；获取（下载）招标文件，并于 </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 xml:space="preserve">（北京时间）前递交（上传）投标文件。 </w:t>
            </w:r>
          </w:p>
        </w:tc>
      </w:tr>
    </w:tbl>
    <w:p w14:paraId="093E1E92">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一、项目基本情况  </w:t>
      </w:r>
    </w:p>
    <w:p w14:paraId="65DEDBAE">
      <w:pPr>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HZSY20240930</w:t>
      </w:r>
    </w:p>
    <w:p w14:paraId="58F8F34C">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2024年度第二批未来社区创建实施方案编制服务采购项目</w:t>
      </w:r>
    </w:p>
    <w:p w14:paraId="37F6F1E3">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1800000</w:t>
      </w:r>
    </w:p>
    <w:p w14:paraId="0842AE25">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1800000</w:t>
      </w:r>
    </w:p>
    <w:p w14:paraId="2C3BD62A">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采购需求：</w:t>
      </w:r>
    </w:p>
    <w:p w14:paraId="4C4A4D7A">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szCs w:val="21"/>
          <w:highlight w:val="none"/>
        </w:rPr>
      </w:pPr>
      <w:r>
        <w:rPr>
          <w:rFonts w:hint="eastAsia" w:ascii="宋体" w:hAnsi="宋体" w:cs="宋体"/>
          <w:szCs w:val="21"/>
          <w:highlight w:val="none"/>
        </w:rPr>
        <w:t>标项一</w:t>
      </w:r>
    </w:p>
    <w:p w14:paraId="0922A232">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szCs w:val="21"/>
          <w:highlight w:val="none"/>
        </w:rPr>
        <w:t>标项名称:</w:t>
      </w:r>
      <w:r>
        <w:rPr>
          <w:rFonts w:hint="eastAsia" w:ascii="宋体" w:hAnsi="宋体" w:cs="宋体"/>
          <w:color w:val="auto"/>
          <w:szCs w:val="21"/>
          <w:highlight w:val="none"/>
          <w:lang w:eastAsia="zh-CN"/>
        </w:rPr>
        <w:t>2024年度第二批未来社区创建实施方案编制服务</w:t>
      </w:r>
    </w:p>
    <w:p w14:paraId="48EC5512">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lang w:val="en-US" w:eastAsia="zh-CN"/>
        </w:rPr>
        <w:t>1项</w:t>
      </w:r>
      <w:r>
        <w:rPr>
          <w:rFonts w:hint="eastAsia" w:ascii="宋体" w:hAnsi="宋体" w:cs="宋体"/>
          <w:color w:val="auto"/>
          <w:szCs w:val="21"/>
          <w:highlight w:val="none"/>
        </w:rPr>
        <w:t xml:space="preserve"> </w:t>
      </w:r>
    </w:p>
    <w:p w14:paraId="60A2A7DC">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1800000</w:t>
      </w:r>
    </w:p>
    <w:p w14:paraId="68BC7415">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eastAsia="宋体" w:cs="宋体"/>
          <w:color w:val="auto"/>
          <w:lang w:val="zh-TW" w:eastAsia="zh-CN"/>
        </w:rPr>
        <w:t>主要内容为灵芝社区、桃园社区、凤亭社区等17个未来社区方案编制服务</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详见招标文件。</w:t>
      </w:r>
    </w:p>
    <w:p w14:paraId="665EF7C7">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备注：投标报价不得超预算，否则投标无效。</w:t>
      </w:r>
    </w:p>
    <w:p w14:paraId="4AB14406">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合同履约期限：标项1，</w:t>
      </w:r>
      <w:r>
        <w:rPr>
          <w:rFonts w:hint="eastAsia" w:ascii="宋体" w:hAnsi="宋体" w:cs="宋体"/>
          <w:color w:val="auto"/>
          <w:szCs w:val="21"/>
          <w:highlight w:val="none"/>
          <w:lang w:eastAsia="zh-CN"/>
        </w:rPr>
        <w:t>合同签订之日起至完成未来社区验收之日止，具体根据服务进度要求</w:t>
      </w:r>
      <w:r>
        <w:rPr>
          <w:rFonts w:hint="eastAsia" w:ascii="宋体" w:hAnsi="宋体" w:eastAsia="宋体" w:cs="宋体"/>
          <w:kern w:val="0"/>
          <w:szCs w:val="21"/>
          <w:highlight w:val="none"/>
          <w:lang w:val="en-US" w:eastAsia="zh-CN"/>
        </w:rPr>
        <w:t>。</w:t>
      </w:r>
    </w:p>
    <w:p w14:paraId="0A360E0A">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本项目（否）接受联合体投标。</w:t>
      </w:r>
    </w:p>
    <w:p w14:paraId="767CBB90">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798280D5">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1D9D37BA">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s="宋体"/>
          <w:color w:val="auto"/>
          <w:szCs w:val="21"/>
          <w:highlight w:val="none"/>
        </w:rPr>
        <w:t>2.落实政府采购政策需满足的资格要求：</w:t>
      </w:r>
      <w:r>
        <w:rPr>
          <w:rFonts w:hint="eastAsia" w:ascii="宋体" w:hAnsi="宋体" w:eastAsia="宋体" w:cs="宋体"/>
          <w:b/>
          <w:bCs/>
          <w:sz w:val="21"/>
          <w:szCs w:val="21"/>
          <w:highlight w:val="none"/>
        </w:rPr>
        <w:t>本项目为专门面向中小企业采购，提供服务的供应商非中小企业的，资格审查不通过；符合上述条件的中小微型企业应按照磋商文件附件的格式要求在资格文件中提供《中小企业声明函》</w:t>
      </w:r>
      <w:r>
        <w:rPr>
          <w:rFonts w:hint="eastAsia" w:ascii="宋体" w:hAnsi="宋体" w:cs="宋体"/>
          <w:color w:val="auto"/>
          <w:szCs w:val="21"/>
          <w:highlight w:val="none"/>
        </w:rPr>
        <w:t>；</w:t>
      </w:r>
    </w:p>
    <w:p w14:paraId="4309EE86">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kern w:val="0"/>
          <w:szCs w:val="21"/>
          <w:highlight w:val="none"/>
          <w:lang w:bidi="ar"/>
        </w:rPr>
      </w:pPr>
      <w:r>
        <w:rPr>
          <w:rFonts w:hint="eastAsia" w:ascii="宋体" w:hAnsi="宋体" w:cs="宋体"/>
          <w:color w:val="auto"/>
          <w:szCs w:val="21"/>
          <w:highlight w:val="none"/>
        </w:rPr>
        <w:t>3.本项目的特定资格要求：</w:t>
      </w:r>
      <w:r>
        <w:rPr>
          <w:rFonts w:hint="eastAsia" w:ascii="宋体" w:hAnsi="宋体" w:eastAsia="宋体" w:cs="宋体"/>
          <w:color w:val="auto"/>
          <w:kern w:val="2"/>
          <w:sz w:val="21"/>
          <w:szCs w:val="21"/>
          <w:highlight w:val="none"/>
          <w:u w:val="none" w:color="000000"/>
          <w:lang w:val="zh-TW" w:eastAsia="zh-CN" w:bidi="ar-SA"/>
        </w:rPr>
        <w:t>供应商须具有城乡规划编制丙级及以上资质</w:t>
      </w:r>
      <w:r>
        <w:rPr>
          <w:rFonts w:hint="eastAsia" w:ascii="宋体" w:hAnsi="宋体" w:cs="宋体"/>
          <w:color w:val="auto"/>
          <w:kern w:val="0"/>
          <w:szCs w:val="21"/>
          <w:highlight w:val="none"/>
          <w:lang w:bidi="ar"/>
        </w:rPr>
        <w:t>。</w:t>
      </w:r>
    </w:p>
    <w:p w14:paraId="0451E4BC">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三、获取招标文件 </w:t>
      </w:r>
    </w:p>
    <w:p w14:paraId="7C09D976">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时间：/至</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lang w:eastAsia="zh-CN"/>
        </w:rPr>
        <w:t>日</w:t>
      </w:r>
      <w:r>
        <w:rPr>
          <w:rFonts w:hint="eastAsia" w:ascii="宋体" w:hAnsi="宋体" w:cs="宋体"/>
          <w:color w:val="auto"/>
          <w:szCs w:val="21"/>
          <w:highlight w:val="none"/>
        </w:rPr>
        <w:t xml:space="preserve"> ，每天上午00:00至12:00 ，下午12:00至23:59（北京时间，线上获取法定节假日均可，线下获取文件法定节假日除外）</w:t>
      </w:r>
    </w:p>
    <w:p w14:paraId="0A5C2818">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地点（网址）：政府采购云平台http://www.zcygov.cn（以下简称“政采云平台”）； </w:t>
      </w:r>
    </w:p>
    <w:p w14:paraId="7F6614A0">
      <w:pPr>
        <w:keepNext w:val="0"/>
        <w:keepLines w:val="0"/>
        <w:pageBreakBefore w:val="0"/>
        <w:widowControl w:val="0"/>
        <w:shd w:val="clea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方式：供应商登录政采云平台https://www.zcygov.cn/在线申请获取采购文件（进入“项目采购”应用，在获取采购文件菜单中选择项目，申请获取采购文件）</w:t>
      </w:r>
    </w:p>
    <w:p w14:paraId="534425AE">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售价（元）：0 </w:t>
      </w:r>
    </w:p>
    <w:p w14:paraId="127D42B3">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四、提交投标文件截止时间、开标时间和地点</w:t>
      </w:r>
    </w:p>
    <w:p w14:paraId="4E50F219">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b/>
          <w:bCs/>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21日14：00</w:t>
      </w:r>
      <w:r>
        <w:rPr>
          <w:rFonts w:hint="eastAsia" w:ascii="宋体" w:hAnsi="宋体" w:cs="宋体"/>
          <w:color w:val="auto"/>
          <w:szCs w:val="21"/>
          <w:highlight w:val="none"/>
        </w:rPr>
        <w:t>（北京时间）</w:t>
      </w:r>
    </w:p>
    <w:p w14:paraId="49A94CDD">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投标地点（网址）：通过“政府采购云平台（www.zcygov.cn）”实行在线投标及开标。 </w:t>
      </w:r>
    </w:p>
    <w:p w14:paraId="58FC86A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21日14：00</w:t>
      </w:r>
    </w:p>
    <w:p w14:paraId="41901505">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开标地点（网址）：通过“政府采购云平台（www.zcygov.cn）”实行在线投标及开标。</w:t>
      </w:r>
    </w:p>
    <w:p w14:paraId="0AF2C7C4">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五、公告期限 </w:t>
      </w:r>
    </w:p>
    <w:p w14:paraId="469A3F61">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008BCD3E">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六、其他补充事宜</w:t>
      </w:r>
    </w:p>
    <w:p w14:paraId="0DC3861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1.《浙江省财政厅关于进一步加大政府采购支持中小企业力度助力扎实稳住经济的通知》 （浙财采监（2022）8号）、《浙江省财政厅关于进一步促进政府采购公平竞争打造最优营商环境的通知》（浙财采监（2021）22号）已分别于2022年1月29日和2022年2月1日开始实施，此前有关规定与上述文件内容不一致的，按上述文件要求执行。</w:t>
      </w:r>
    </w:p>
    <w:p w14:paraId="28339CC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CD1A79">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90429B">
      <w:pPr>
        <w:keepNext w:val="0"/>
        <w:keepLines w:val="0"/>
        <w:pageBreakBefore w:val="0"/>
        <w:widowControl w:val="0"/>
        <w:shd w:val="clear"/>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安吉县公共资源交易网 http：//www.ajztb.com 4）采购代理费用 由中标人支付。5）本采购项目中标单位与采购单位签订的政府采购合同适用于浙江省政府采购贷款政策，简称“政采贷”，具体内容可参阅《安吉财政“政采贷”办理指引》。网址：</w:t>
      </w:r>
      <w:r>
        <w:rPr>
          <w:rFonts w:hint="eastAsia" w:ascii="宋体" w:hAnsi="宋体" w:cs="宋体"/>
          <w:color w:val="auto"/>
          <w:szCs w:val="21"/>
          <w:highlight w:val="none"/>
          <w:lang w:val="en-US" w:eastAsia="zh-CN"/>
        </w:rPr>
        <w:fldChar w:fldCharType="begin"/>
      </w:r>
      <w:r>
        <w:rPr>
          <w:rFonts w:hint="eastAsia" w:ascii="宋体" w:hAnsi="宋体" w:cs="宋体"/>
          <w:color w:val="auto"/>
          <w:szCs w:val="21"/>
          <w:highlight w:val="none"/>
          <w:lang w:val="en-US" w:eastAsia="zh-CN"/>
        </w:rPr>
        <w:instrText xml:space="preserve"> HYPERLINK "http://www.anji.gov.cn/hzgov/front/s553/zwgk/gggs/20231228/i3691136.html" </w:instrText>
      </w:r>
      <w:r>
        <w:rPr>
          <w:rFonts w:hint="eastAsia" w:ascii="宋体" w:hAnsi="宋体" w:cs="宋体"/>
          <w:color w:val="auto"/>
          <w:szCs w:val="21"/>
          <w:highlight w:val="none"/>
          <w:lang w:val="en-US" w:eastAsia="zh-CN"/>
        </w:rPr>
        <w:fldChar w:fldCharType="separate"/>
      </w:r>
      <w:r>
        <w:rPr>
          <w:rFonts w:hint="eastAsia" w:ascii="宋体" w:hAnsi="宋体" w:cs="宋体"/>
          <w:color w:val="auto"/>
          <w:szCs w:val="21"/>
          <w:highlight w:val="none"/>
          <w:lang w:val="en-US" w:eastAsia="zh-CN"/>
        </w:rPr>
        <w:t>http://www.anji.gov.cn/hzgov/front/s553/zwgk/gggs/20231228/i3691136.html</w:t>
      </w:r>
      <w:r>
        <w:rPr>
          <w:rFonts w:hint="eastAsia" w:ascii="宋体" w:hAnsi="宋体" w:cs="宋体"/>
          <w:color w:val="auto"/>
          <w:szCs w:val="21"/>
          <w:highlight w:val="none"/>
          <w:lang w:val="en-US" w:eastAsia="zh-CN"/>
        </w:rPr>
        <w:fldChar w:fldCharType="end"/>
      </w:r>
      <w:r>
        <w:rPr>
          <w:rFonts w:hint="eastAsia" w:ascii="宋体" w:hAnsi="宋体" w:cs="宋体"/>
          <w:color w:val="auto"/>
          <w:szCs w:val="21"/>
          <w:highlight w:val="none"/>
        </w:rPr>
        <w:t>。</w:t>
      </w:r>
    </w:p>
    <w:p w14:paraId="305805CC">
      <w:pPr>
        <w:keepNext w:val="0"/>
        <w:keepLines w:val="0"/>
        <w:pageBreakBefore w:val="0"/>
        <w:widowControl w:val="0"/>
        <w:shd w:val="clear"/>
        <w:kinsoku/>
        <w:wordWrap/>
        <w:overflowPunct/>
        <w:topLinePunct w:val="0"/>
        <w:autoSpaceDE/>
        <w:autoSpaceDN/>
        <w:bidi w:val="0"/>
        <w:adjustRightInd/>
        <w:snapToGrid/>
        <w:spacing w:line="5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七、对本次采购提出询问、质疑、投诉，请按以下方式联系</w:t>
      </w:r>
    </w:p>
    <w:p w14:paraId="716AFA8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334B05F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安吉县住房和城乡建设局</w:t>
      </w:r>
    </w:p>
    <w:p w14:paraId="7C694176">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安吉县昌硕街道翠竹路</w:t>
      </w:r>
      <w:r>
        <w:rPr>
          <w:rFonts w:hint="eastAsia" w:ascii="宋体" w:hAnsi="宋体" w:cs="宋体"/>
          <w:color w:val="auto"/>
          <w:szCs w:val="21"/>
          <w:highlight w:val="none"/>
          <w:lang w:val="en-US" w:eastAsia="zh-CN"/>
        </w:rPr>
        <w:t xml:space="preserve">  </w:t>
      </w:r>
    </w:p>
    <w:p w14:paraId="23E38740">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传    真：/</w:t>
      </w:r>
    </w:p>
    <w:p w14:paraId="574F792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w:t>
      </w:r>
      <w:r>
        <w:rPr>
          <w:rFonts w:hint="eastAsia" w:ascii="宋体" w:hAnsi="宋体" w:eastAsia="宋体" w:cs="宋体"/>
          <w:color w:val="auto"/>
          <w:szCs w:val="21"/>
          <w:highlight w:val="none"/>
        </w:rPr>
        <w:t>问）：嵇</w:t>
      </w:r>
      <w:r>
        <w:rPr>
          <w:rFonts w:hint="eastAsia" w:ascii="宋体" w:hAnsi="宋体" w:eastAsia="宋体" w:cs="宋体"/>
          <w:color w:val="auto"/>
          <w:szCs w:val="21"/>
          <w:highlight w:val="none"/>
          <w:lang w:eastAsia="zh-CN"/>
        </w:rPr>
        <w:t>先生</w:t>
      </w:r>
      <w:r>
        <w:rPr>
          <w:rFonts w:hint="eastAsia" w:ascii="宋体" w:hAnsi="宋体" w:eastAsia="宋体" w:cs="宋体"/>
          <w:color w:val="auto"/>
          <w:szCs w:val="21"/>
          <w:highlight w:val="none"/>
          <w:lang w:val="en-US" w:eastAsia="zh-CN"/>
        </w:rPr>
        <w:t xml:space="preserve">   </w:t>
      </w:r>
    </w:p>
    <w:p w14:paraId="00A00FDD">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项目联系方式（询问）：0572-5925742</w:t>
      </w:r>
      <w:r>
        <w:rPr>
          <w:rFonts w:hint="eastAsia" w:ascii="宋体" w:hAnsi="宋体" w:eastAsia="宋体" w:cs="宋体"/>
          <w:color w:val="auto"/>
          <w:szCs w:val="21"/>
          <w:highlight w:val="none"/>
          <w:lang w:val="en-US" w:eastAsia="zh-CN"/>
        </w:rPr>
        <w:t xml:space="preserve">  </w:t>
      </w:r>
    </w:p>
    <w:p w14:paraId="1B80048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质疑联系人：嵇</w:t>
      </w:r>
      <w:r>
        <w:rPr>
          <w:rFonts w:hint="eastAsia" w:ascii="宋体" w:hAnsi="宋体" w:eastAsia="宋体" w:cs="宋体"/>
          <w:color w:val="auto"/>
          <w:szCs w:val="21"/>
          <w:highlight w:val="none"/>
          <w:lang w:eastAsia="zh-CN"/>
        </w:rPr>
        <w:t>先生</w:t>
      </w:r>
      <w:r>
        <w:rPr>
          <w:rFonts w:hint="eastAsia" w:ascii="宋体" w:hAnsi="宋体" w:eastAsia="宋体" w:cs="宋体"/>
          <w:color w:val="auto"/>
          <w:szCs w:val="21"/>
          <w:highlight w:val="none"/>
          <w:lang w:val="en-US" w:eastAsia="zh-CN"/>
        </w:rPr>
        <w:t xml:space="preserve"> </w:t>
      </w:r>
    </w:p>
    <w:p w14:paraId="63DA972B">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质疑联系方式：0572-5925742</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564C6A6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5774055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湖州盛远招标代理有限公司</w:t>
      </w:r>
    </w:p>
    <w:p w14:paraId="6ECC506C">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安吉县昌硕街道上郎新村6-9幢上郎社区文化服务楼3楼</w:t>
      </w:r>
    </w:p>
    <w:p w14:paraId="45FAC253">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传    真：</w:t>
      </w:r>
      <w:r>
        <w:rPr>
          <w:rFonts w:hint="eastAsia" w:ascii="宋体" w:hAnsi="宋体" w:cs="宋体"/>
          <w:color w:val="auto"/>
          <w:szCs w:val="21"/>
          <w:highlight w:val="none"/>
          <w:lang w:val="en-US" w:eastAsia="zh-CN"/>
        </w:rPr>
        <w:t>/</w:t>
      </w:r>
    </w:p>
    <w:p w14:paraId="4481AF66">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陈俐玮</w:t>
      </w:r>
    </w:p>
    <w:p w14:paraId="61E9D2B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eastAsia="zh-CN"/>
        </w:rPr>
        <w:t>13385728189</w:t>
      </w:r>
    </w:p>
    <w:p w14:paraId="365131D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苗睿</w:t>
      </w:r>
    </w:p>
    <w:p w14:paraId="2665F020">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15067281069</w:t>
      </w:r>
    </w:p>
    <w:p w14:paraId="13EC0E4A">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3.同级政府采购监督管理部门</w:t>
      </w:r>
    </w:p>
    <w:p w14:paraId="3EC6A9BF">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名    称：安吉县财政局</w:t>
      </w:r>
    </w:p>
    <w:p w14:paraId="5C4DD547">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址：安吉县昌硕街道凤凰路凤凰五区188号</w:t>
      </w:r>
    </w:p>
    <w:p w14:paraId="233FA82D">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传    真：/ </w:t>
      </w:r>
    </w:p>
    <w:p w14:paraId="5F9DDF52">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 ：</w:t>
      </w:r>
      <w:r>
        <w:rPr>
          <w:rFonts w:hint="eastAsia" w:ascii="宋体" w:hAnsi="宋体" w:cs="宋体"/>
          <w:color w:val="auto"/>
          <w:szCs w:val="21"/>
          <w:highlight w:val="none"/>
          <w:lang w:val="en-US" w:eastAsia="zh-CN"/>
        </w:rPr>
        <w:t>采监科王庭</w:t>
      </w:r>
    </w:p>
    <w:p w14:paraId="1611A2C4">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监督投诉电话：0572-5807951</w:t>
      </w:r>
    </w:p>
    <w:bookmarkEnd w:id="16"/>
    <w:p w14:paraId="4C3323CB">
      <w:pPr>
        <w:shd w:val="clear"/>
        <w:spacing w:line="340" w:lineRule="exact"/>
        <w:jc w:val="both"/>
        <w:rPr>
          <w:rFonts w:hint="eastAsia" w:ascii="宋体" w:hAnsi="宋体" w:cs="宋体"/>
          <w:color w:val="auto"/>
          <w:szCs w:val="21"/>
          <w:highlight w:val="none"/>
        </w:rPr>
      </w:pPr>
    </w:p>
    <w:p w14:paraId="584F9C1A">
      <w:pPr>
        <w:pStyle w:val="4"/>
        <w:shd w:val="clear"/>
        <w:spacing w:before="0" w:after="0" w:line="240" w:lineRule="auto"/>
        <w:jc w:val="center"/>
        <w:rPr>
          <w:rFonts w:hint="eastAsia" w:ascii="宋体" w:hAnsi="宋体" w:cs="宋体"/>
          <w:snapToGrid w:val="0"/>
          <w:color w:val="auto"/>
          <w:sz w:val="36"/>
          <w:szCs w:val="36"/>
          <w:highlight w:val="none"/>
        </w:rPr>
      </w:pPr>
      <w:bookmarkStart w:id="19" w:name="_Toc4523"/>
      <w:bookmarkStart w:id="20" w:name="_Toc31379"/>
      <w:bookmarkStart w:id="21" w:name="_Toc22570"/>
      <w:r>
        <w:rPr>
          <w:color w:val="auto"/>
          <w:highlight w:val="none"/>
        </w:rPr>
        <w:br w:type="page"/>
      </w:r>
      <w:bookmarkStart w:id="22" w:name="_Toc3433"/>
      <w:bookmarkStart w:id="23" w:name="_Toc24817"/>
      <w:r>
        <w:rPr>
          <w:rFonts w:hint="eastAsia" w:ascii="宋体" w:hAnsi="宋体" w:cs="宋体"/>
          <w:snapToGrid w:val="0"/>
          <w:color w:val="auto"/>
          <w:sz w:val="36"/>
          <w:szCs w:val="36"/>
          <w:highlight w:val="none"/>
        </w:rPr>
        <w:t xml:space="preserve">第二章  </w:t>
      </w:r>
      <w:bookmarkEnd w:id="17"/>
      <w:bookmarkEnd w:id="19"/>
      <w:r>
        <w:rPr>
          <w:rFonts w:hint="eastAsia" w:ascii="宋体" w:hAnsi="宋体" w:cs="宋体"/>
          <w:snapToGrid w:val="0"/>
          <w:color w:val="auto"/>
          <w:sz w:val="36"/>
          <w:szCs w:val="36"/>
          <w:highlight w:val="none"/>
        </w:rPr>
        <w:t>招标需求</w:t>
      </w:r>
      <w:bookmarkEnd w:id="20"/>
      <w:bookmarkEnd w:id="21"/>
      <w:bookmarkEnd w:id="22"/>
      <w:bookmarkEnd w:id="23"/>
      <w:bookmarkStart w:id="24" w:name="_Toc435954913"/>
      <w:bookmarkStart w:id="25" w:name="_Toc317341936"/>
    </w:p>
    <w:bookmarkEnd w:id="24"/>
    <w:p w14:paraId="57647FAB">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bCs w:val="0"/>
          <w:color w:val="auto"/>
          <w:sz w:val="24"/>
          <w:szCs w:val="24"/>
          <w:highlight w:val="none"/>
        </w:rPr>
      </w:pPr>
      <w:bookmarkStart w:id="26" w:name="_Toc18981"/>
      <w:bookmarkStart w:id="27" w:name="_Toc32753"/>
      <w:bookmarkStart w:id="28" w:name="_Toc406664504"/>
      <w:bookmarkStart w:id="29" w:name="_Toc10242"/>
      <w:r>
        <w:rPr>
          <w:rFonts w:hint="eastAsia" w:ascii="宋体" w:hAnsi="宋体" w:eastAsia="宋体" w:cs="宋体"/>
          <w:bCs w:val="0"/>
          <w:color w:val="auto"/>
          <w:sz w:val="24"/>
          <w:szCs w:val="24"/>
          <w:highlight w:val="none"/>
        </w:rPr>
        <w:t>一、项目概况</w:t>
      </w:r>
      <w:bookmarkEnd w:id="26"/>
      <w:bookmarkEnd w:id="27"/>
      <w:bookmarkEnd w:id="28"/>
      <w:bookmarkEnd w:id="29"/>
    </w:p>
    <w:p w14:paraId="1269ADAA">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HZSY20240930</w:t>
      </w:r>
    </w:p>
    <w:p w14:paraId="7394390D">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bookmarkStart w:id="30" w:name="_Toc293916181"/>
      <w:bookmarkStart w:id="31" w:name="_Toc293916283"/>
      <w:bookmarkStart w:id="32" w:name="_Toc293916801"/>
      <w:bookmarkStart w:id="33" w:name="_Toc293915932"/>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2024年度第二批未来社区创建实施方案编制服务采购项目</w:t>
      </w:r>
    </w:p>
    <w:p w14:paraId="23766E9D">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8"/>
          <w:highlight w:val="none"/>
          <w:lang w:eastAsia="zh-CN"/>
        </w:rPr>
      </w:pPr>
      <w:r>
        <w:rPr>
          <w:rFonts w:hint="eastAsia" w:ascii="宋体" w:hAnsi="宋体" w:cs="宋体"/>
          <w:color w:val="auto"/>
          <w:szCs w:val="21"/>
          <w:highlight w:val="none"/>
        </w:rPr>
        <w:t>3、采购单位名称：</w:t>
      </w:r>
      <w:bookmarkEnd w:id="30"/>
      <w:bookmarkEnd w:id="31"/>
      <w:bookmarkEnd w:id="32"/>
      <w:bookmarkEnd w:id="33"/>
      <w:r>
        <w:rPr>
          <w:rFonts w:hint="eastAsia" w:ascii="宋体" w:hAnsi="宋体" w:cs="宋体"/>
          <w:color w:val="auto"/>
          <w:szCs w:val="28"/>
          <w:highlight w:val="none"/>
          <w:lang w:eastAsia="zh-CN"/>
        </w:rPr>
        <w:t>安吉县住房和城乡建设局</w:t>
      </w:r>
    </w:p>
    <w:p w14:paraId="33E394B9">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lang w:val="en-US" w:eastAsia="zh-CN"/>
        </w:rPr>
        <w:t>4、</w:t>
      </w:r>
      <w:r>
        <w:rPr>
          <w:rFonts w:hint="eastAsia" w:ascii="宋体" w:hAnsi="宋体" w:eastAsia="宋体" w:cs="宋体"/>
          <w:b w:val="0"/>
          <w:color w:val="auto"/>
          <w:szCs w:val="21"/>
          <w:highlight w:val="none"/>
        </w:rPr>
        <w:t>采购项目一览表</w:t>
      </w:r>
    </w:p>
    <w:tbl>
      <w:tblPr>
        <w:tblStyle w:val="36"/>
        <w:tblW w:w="9009" w:type="dxa"/>
        <w:tblInd w:w="13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828"/>
        <w:gridCol w:w="2956"/>
        <w:gridCol w:w="900"/>
        <w:gridCol w:w="3012"/>
        <w:gridCol w:w="1313"/>
      </w:tblGrid>
      <w:tr w14:paraId="68C93E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81" w:hRule="exac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C8C9ACB">
            <w:pPr>
              <w:pStyle w:val="68"/>
              <w:spacing w:line="340" w:lineRule="exact"/>
              <w:jc w:val="center"/>
              <w:rPr>
                <w:rFonts w:hint="eastAsia" w:ascii="宋体" w:hAnsi="宋体" w:eastAsia="宋体" w:cs="宋体"/>
                <w:b/>
                <w:bCs/>
              </w:rPr>
            </w:pPr>
            <w:r>
              <w:rPr>
                <w:rFonts w:hint="eastAsia" w:ascii="宋体" w:hAnsi="宋体" w:eastAsia="宋体" w:cs="宋体"/>
                <w:b/>
                <w:bCs/>
                <w:lang w:val="zh-TW" w:eastAsia="zh-TW"/>
              </w:rPr>
              <w:t>序号</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E88D668">
            <w:pPr>
              <w:pStyle w:val="68"/>
              <w:spacing w:line="340" w:lineRule="exact"/>
              <w:jc w:val="center"/>
              <w:rPr>
                <w:rFonts w:hint="eastAsia" w:ascii="宋体" w:hAnsi="宋体" w:eastAsia="宋体" w:cs="宋体"/>
                <w:b/>
                <w:bCs/>
              </w:rPr>
            </w:pPr>
            <w:r>
              <w:rPr>
                <w:rFonts w:hint="eastAsia" w:ascii="宋体" w:hAnsi="宋体" w:eastAsia="宋体" w:cs="宋体"/>
                <w:b/>
                <w:bCs/>
                <w:lang w:val="zh-TW" w:eastAsia="zh-TW"/>
              </w:rPr>
              <w:t>采购内容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7DCE263">
            <w:pPr>
              <w:pStyle w:val="68"/>
              <w:spacing w:line="340" w:lineRule="exact"/>
              <w:jc w:val="center"/>
              <w:rPr>
                <w:rFonts w:hint="eastAsia" w:ascii="宋体" w:hAnsi="宋体" w:eastAsia="宋体" w:cs="宋体"/>
                <w:b/>
                <w:bCs/>
              </w:rPr>
            </w:pPr>
            <w:r>
              <w:rPr>
                <w:rFonts w:hint="eastAsia" w:ascii="宋体" w:hAnsi="宋体" w:eastAsia="宋体" w:cs="宋体"/>
                <w:b/>
                <w:bCs/>
                <w:lang w:val="zh-TW"/>
              </w:rPr>
              <w:t>数量</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3DE9331">
            <w:pPr>
              <w:pStyle w:val="68"/>
              <w:spacing w:line="340" w:lineRule="exact"/>
              <w:jc w:val="center"/>
              <w:rPr>
                <w:rFonts w:hint="eastAsia" w:ascii="宋体" w:hAnsi="宋体" w:eastAsia="宋体" w:cs="宋体"/>
                <w:b/>
                <w:bCs/>
              </w:rPr>
            </w:pPr>
            <w:r>
              <w:rPr>
                <w:rFonts w:hint="eastAsia" w:ascii="宋体" w:hAnsi="宋体" w:eastAsia="宋体" w:cs="宋体"/>
                <w:b/>
                <w:bCs/>
                <w:lang w:val="zh-TW"/>
              </w:rPr>
              <w:t>服务</w:t>
            </w:r>
            <w:r>
              <w:rPr>
                <w:rFonts w:hint="eastAsia" w:ascii="宋体" w:hAnsi="宋体" w:eastAsia="宋体" w:cs="宋体"/>
                <w:b/>
                <w:bCs/>
                <w:lang w:val="zh-TW" w:eastAsia="zh-TW"/>
              </w:rPr>
              <w:t>要求</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5CAE7E2">
            <w:pPr>
              <w:pStyle w:val="68"/>
              <w:spacing w:line="340" w:lineRule="exact"/>
              <w:jc w:val="center"/>
              <w:rPr>
                <w:rFonts w:hint="eastAsia" w:ascii="宋体" w:hAnsi="宋体" w:eastAsia="宋体" w:cs="宋体"/>
                <w:b/>
                <w:bCs/>
              </w:rPr>
            </w:pPr>
            <w:r>
              <w:rPr>
                <w:rFonts w:hint="eastAsia" w:ascii="宋体" w:hAnsi="宋体" w:eastAsia="宋体" w:cs="宋体"/>
                <w:b/>
                <w:bCs/>
                <w:lang w:val="zh-TW" w:eastAsia="zh-TW"/>
              </w:rPr>
              <w:t>预算（万元）</w:t>
            </w:r>
          </w:p>
        </w:tc>
      </w:tr>
      <w:tr w14:paraId="5682B2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525" w:hRule="exac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30DE9A4">
            <w:pPr>
              <w:pStyle w:val="6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rPr>
              <w:t>1</w:t>
            </w:r>
          </w:p>
        </w:tc>
        <w:tc>
          <w:tcPr>
            <w:tcW w:w="295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5DA47D3E">
            <w:pPr>
              <w:pStyle w:val="6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lang w:eastAsia="zh-CN"/>
              </w:rPr>
            </w:pPr>
            <w:r>
              <w:rPr>
                <w:rFonts w:hint="eastAsia" w:ascii="宋体" w:hAnsi="宋体" w:eastAsia="宋体" w:cs="宋体"/>
                <w:color w:val="auto"/>
                <w:lang w:eastAsia="zh-CN"/>
              </w:rPr>
              <w:t>2024年度第二批未来社区创建实施方案编制服务采购项目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BFA9012">
            <w:pPr>
              <w:pStyle w:val="6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eastAsia="zh-CN"/>
              </w:rPr>
              <w:t>1项</w:t>
            </w:r>
          </w:p>
        </w:tc>
        <w:tc>
          <w:tcPr>
            <w:tcW w:w="30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2D34A56">
            <w:pPr>
              <w:pStyle w:val="6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lang w:eastAsia="zh-CN"/>
              </w:rPr>
            </w:pPr>
            <w:r>
              <w:rPr>
                <w:rFonts w:hint="eastAsia" w:ascii="宋体" w:hAnsi="宋体" w:eastAsia="宋体" w:cs="宋体"/>
                <w:color w:val="auto"/>
                <w:lang w:val="zh-TW" w:eastAsia="zh-CN"/>
              </w:rPr>
              <w:t>主要内容为灵芝社区、桃园社区、凤亭社区等17个未来社区方案编制服务，</w:t>
            </w:r>
            <w:r>
              <w:rPr>
                <w:rFonts w:hint="eastAsia" w:ascii="宋体" w:hAnsi="宋体" w:eastAsia="宋体" w:cs="宋体"/>
                <w:color w:val="auto"/>
                <w:lang w:val="zh-TW" w:eastAsia="zh-TW"/>
              </w:rPr>
              <w:t>详见</w:t>
            </w:r>
            <w:r>
              <w:rPr>
                <w:rFonts w:hint="eastAsia" w:ascii="宋体" w:hAnsi="宋体" w:eastAsia="宋体" w:cs="宋体"/>
                <w:color w:val="auto"/>
                <w:lang w:val="en-US" w:eastAsia="zh-CN"/>
              </w:rPr>
              <w:t>采购</w:t>
            </w:r>
            <w:r>
              <w:rPr>
                <w:rFonts w:hint="eastAsia" w:ascii="宋体" w:hAnsi="宋体" w:eastAsia="宋体" w:cs="宋体"/>
                <w:color w:val="auto"/>
                <w:lang w:val="zh-TW" w:eastAsia="zh-TW"/>
              </w:rPr>
              <w:t>文件</w:t>
            </w:r>
            <w:r>
              <w:rPr>
                <w:rFonts w:hint="eastAsia" w:ascii="宋体" w:hAnsi="宋体" w:eastAsia="宋体" w:cs="宋体"/>
                <w:color w:val="auto"/>
                <w:lang w:val="zh-TW" w:eastAsia="zh-CN"/>
              </w:rPr>
              <w:t>。</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C1C4923">
            <w:pPr>
              <w:pStyle w:val="6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180</w:t>
            </w:r>
          </w:p>
        </w:tc>
      </w:tr>
      <w:tr w14:paraId="5750D3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81" w:hRule="exact"/>
        </w:trPr>
        <w:tc>
          <w:tcPr>
            <w:tcW w:w="9009"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8D56E72">
            <w:pPr>
              <w:pStyle w:val="68"/>
              <w:spacing w:line="340" w:lineRule="exact"/>
              <w:jc w:val="left"/>
              <w:rPr>
                <w:rFonts w:hint="eastAsia" w:ascii="宋体" w:hAnsi="宋体" w:eastAsia="宋体" w:cs="宋体"/>
                <w:lang w:val="zh-TW"/>
              </w:rPr>
            </w:pPr>
            <w:r>
              <w:rPr>
                <w:rFonts w:hint="eastAsia" w:ascii="宋体" w:hAnsi="宋体" w:eastAsia="宋体" w:cs="宋体"/>
                <w:lang w:val="zh-TW" w:eastAsia="zh-TW"/>
              </w:rPr>
              <w:t>注：</w:t>
            </w:r>
            <w:r>
              <w:rPr>
                <w:rFonts w:hint="eastAsia" w:ascii="宋体" w:hAnsi="宋体" w:eastAsia="宋体" w:cs="宋体"/>
                <w:color w:val="auto"/>
                <w:highlight w:val="none"/>
              </w:rPr>
              <w:t>本项目预算为</w:t>
            </w:r>
            <w:r>
              <w:rPr>
                <w:rFonts w:hint="eastAsia" w:ascii="宋体" w:hAnsi="宋体" w:eastAsia="宋体" w:cs="宋体"/>
                <w:color w:val="auto"/>
                <w:highlight w:val="none"/>
                <w:lang w:val="en-US" w:eastAsia="zh-CN"/>
              </w:rPr>
              <w:t>180</w:t>
            </w:r>
            <w:r>
              <w:rPr>
                <w:rFonts w:hint="eastAsia" w:ascii="宋体" w:hAnsi="宋体" w:eastAsia="宋体" w:cs="宋体"/>
                <w:color w:val="auto"/>
                <w:highlight w:val="none"/>
              </w:rPr>
              <w:t>万元，报价不得超预算，否则报价无效。</w:t>
            </w:r>
          </w:p>
        </w:tc>
      </w:tr>
    </w:tbl>
    <w:p w14:paraId="6ADB9A93">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bCs w:val="0"/>
          <w:color w:val="auto"/>
          <w:sz w:val="24"/>
          <w:szCs w:val="24"/>
          <w:highlight w:val="none"/>
          <w:lang w:val="en-US" w:eastAsia="zh-CN"/>
        </w:rPr>
      </w:pPr>
      <w:bookmarkStart w:id="34" w:name="_Toc9984"/>
      <w:bookmarkStart w:id="35" w:name="_Toc29848"/>
      <w:bookmarkStart w:id="36" w:name="_Toc25128"/>
      <w:bookmarkStart w:id="37" w:name="_Toc32212"/>
      <w:r>
        <w:rPr>
          <w:rFonts w:hint="eastAsia" w:ascii="宋体" w:hAnsi="宋体" w:eastAsia="宋体" w:cs="宋体"/>
          <w:bCs w:val="0"/>
          <w:color w:val="auto"/>
          <w:sz w:val="24"/>
          <w:szCs w:val="24"/>
          <w:highlight w:val="none"/>
          <w:lang w:val="en-US" w:eastAsia="zh-CN"/>
        </w:rPr>
        <w:t xml:space="preserve">二、项目背景 </w:t>
      </w:r>
    </w:p>
    <w:p w14:paraId="1A75288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lang w:eastAsia="zh-CN"/>
        </w:rPr>
      </w:pPr>
      <w:r>
        <w:rPr>
          <w:rFonts w:hint="eastAsia" w:ascii="宋体" w:hAnsi="宋体" w:cs="宋体"/>
          <w:bCs/>
          <w:szCs w:val="21"/>
        </w:rPr>
        <w:t>为加快推进未来社区试点创建工作，根据安吉总体情况，结合《安吉县城镇社区专项规划》，第</w:t>
      </w:r>
      <w:r>
        <w:rPr>
          <w:rFonts w:ascii="宋体" w:hAnsi="宋体" w:cs="宋体"/>
          <w:bCs/>
          <w:szCs w:val="21"/>
        </w:rPr>
        <w:t>七</w:t>
      </w:r>
      <w:r>
        <w:rPr>
          <w:rFonts w:hint="eastAsia" w:ascii="宋体" w:hAnsi="宋体" w:cs="宋体"/>
          <w:bCs/>
          <w:szCs w:val="21"/>
        </w:rPr>
        <w:t>批、第</w:t>
      </w:r>
      <w:r>
        <w:rPr>
          <w:rFonts w:ascii="宋体" w:hAnsi="宋体" w:cs="宋体"/>
          <w:bCs/>
          <w:szCs w:val="21"/>
        </w:rPr>
        <w:t>八</w:t>
      </w:r>
      <w:r>
        <w:rPr>
          <w:rFonts w:hint="eastAsia" w:ascii="宋体" w:hAnsi="宋体" w:cs="宋体"/>
          <w:bCs/>
          <w:szCs w:val="21"/>
        </w:rPr>
        <w:t>批未来社区申报及方案编制工作，选取2024年度第二批未来社区创建实施方案编制服务采购项目服务单位</w:t>
      </w:r>
      <w:r>
        <w:rPr>
          <w:rFonts w:hint="eastAsia" w:ascii="宋体" w:hAnsi="宋体" w:eastAsia="宋体" w:cs="宋体"/>
          <w:bCs/>
          <w:sz w:val="21"/>
          <w:szCs w:val="21"/>
          <w:lang w:eastAsia="zh-CN"/>
        </w:rPr>
        <w:t>。</w:t>
      </w:r>
    </w:p>
    <w:p w14:paraId="16AE3170">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宋体" w:hAnsi="宋体" w:eastAsia="宋体" w:cs="宋体"/>
          <w:bCs w:val="0"/>
          <w:color w:val="auto"/>
          <w:sz w:val="24"/>
          <w:szCs w:val="24"/>
          <w:highlight w:val="none"/>
          <w:lang w:val="en-US" w:eastAsia="zh-CN"/>
        </w:rPr>
      </w:pPr>
      <w:bookmarkStart w:id="38" w:name="_Toc810"/>
      <w:r>
        <w:rPr>
          <w:rFonts w:hint="eastAsia" w:ascii="宋体" w:hAnsi="宋体" w:eastAsia="宋体" w:cs="宋体"/>
          <w:bCs w:val="0"/>
          <w:color w:val="auto"/>
          <w:sz w:val="24"/>
          <w:szCs w:val="24"/>
          <w:highlight w:val="none"/>
          <w:lang w:val="en-US" w:eastAsia="zh-CN"/>
        </w:rPr>
        <w:t>三、服务范围</w:t>
      </w:r>
      <w:bookmarkEnd w:id="38"/>
    </w:p>
    <w:p w14:paraId="4F2BD14B">
      <w:pPr>
        <w:pStyle w:val="5"/>
        <w:keepNext/>
        <w:keepLines/>
        <w:pageBreakBefore w:val="0"/>
        <w:widowControl w:val="0"/>
        <w:kinsoku/>
        <w:wordWrap/>
        <w:overflowPunct/>
        <w:topLinePunct w:val="0"/>
        <w:autoSpaceDE/>
        <w:autoSpaceDN/>
        <w:bidi w:val="0"/>
        <w:adjustRightInd/>
        <w:snapToGrid/>
        <w:spacing w:before="0" w:after="0" w:line="440" w:lineRule="exact"/>
        <w:ind w:firstLine="420" w:firstLineChars="200"/>
        <w:textAlignment w:val="auto"/>
        <w:rPr>
          <w:rFonts w:hint="eastAsia" w:ascii="宋体" w:hAnsi="宋体" w:eastAsia="宋体" w:cs="宋体"/>
          <w:b w:val="0"/>
          <w:bCs/>
          <w:kern w:val="2"/>
          <w:sz w:val="21"/>
          <w:szCs w:val="21"/>
          <w:lang w:val="en-US" w:eastAsia="zh-CN" w:bidi="ar-SA"/>
        </w:rPr>
      </w:pPr>
      <w:bookmarkStart w:id="39" w:name="_Toc21967"/>
      <w:bookmarkStart w:id="40" w:name="_Toc27340"/>
      <w:r>
        <w:rPr>
          <w:rFonts w:hint="eastAsia" w:ascii="宋体" w:hAnsi="宋体" w:eastAsia="宋体" w:cs="宋体"/>
          <w:b w:val="0"/>
          <w:bCs/>
          <w:kern w:val="2"/>
          <w:sz w:val="21"/>
          <w:szCs w:val="21"/>
          <w:lang w:val="en-US" w:eastAsia="zh-CN" w:bidi="ar-SA"/>
        </w:rPr>
        <w:t>服务范围：浙江省湖州市安吉县，以昌硕街道灵芝社区、桃园社区、凤亭社区、绣岭社区（西区）、清滨社区、天目社区（祥溪花园）、南山社区（新建）、三里亭社区、广场社区、新街桥社区、昌硕社区、递铺街道双河社区和长乐社区、灵峰街道浒溪社区（灵峰中心幼儿园）和灵溪未来社区孝丰镇三眼井社区、梅溪镇白云社区（泗洲山小区）17个未来社区具体创建范围为准。</w:t>
      </w:r>
      <w:bookmarkEnd w:id="39"/>
    </w:p>
    <w:p w14:paraId="1A2D1F8E">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四、</w:t>
      </w:r>
      <w:bookmarkEnd w:id="40"/>
      <w:r>
        <w:rPr>
          <w:rFonts w:hint="eastAsia" w:ascii="宋体" w:hAnsi="宋体" w:eastAsia="宋体" w:cs="宋体"/>
          <w:bCs w:val="0"/>
          <w:color w:val="auto"/>
          <w:sz w:val="24"/>
          <w:szCs w:val="24"/>
          <w:highlight w:val="none"/>
          <w:lang w:val="en-US" w:eastAsia="zh-CN"/>
        </w:rPr>
        <w:t>服务内容及要求</w:t>
      </w:r>
    </w:p>
    <w:p w14:paraId="5FED7D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从人本化、生态化、数字化三维价值维度体现实施方案的系统性、完整性、落地性、创新性和相关政策贯彻落实情况。实施方案的建设工程设计文件应达到方案设计深度</w:t>
      </w:r>
      <w:r>
        <w:rPr>
          <w:rFonts w:hint="eastAsia" w:ascii="宋体" w:hAnsi="宋体" w:eastAsia="宋体" w:cs="宋体"/>
          <w:bCs/>
          <w:sz w:val="21"/>
          <w:szCs w:val="21"/>
          <w:lang w:eastAsia="zh-CN"/>
        </w:rPr>
        <w:t>。</w:t>
      </w:r>
    </w:p>
    <w:p w14:paraId="068393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实施方案应包括以下内容:</w:t>
      </w:r>
    </w:p>
    <w:p w14:paraId="38F11FB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基本情况</w:t>
      </w:r>
    </w:p>
    <w:p w14:paraId="1707A8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 xml:space="preserve"> 选址范围</w:t>
      </w:r>
    </w:p>
    <w:p w14:paraId="090921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1</w:t>
      </w:r>
      <w:r>
        <w:rPr>
          <w:rFonts w:hint="eastAsia" w:ascii="宋体" w:hAnsi="宋体" w:eastAsia="宋体" w:cs="宋体"/>
          <w:bCs/>
          <w:sz w:val="21"/>
          <w:szCs w:val="21"/>
        </w:rPr>
        <w:t>明确创建项目所在区位。</w:t>
      </w:r>
    </w:p>
    <w:p w14:paraId="6D8EB4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rPr>
        <w:t>绘制社区范围图，以卫星影像图为底图，标注社区单元四至范围与面积。</w:t>
      </w:r>
    </w:p>
    <w:p w14:paraId="75A09C9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 xml:space="preserve"> 社区情况</w:t>
      </w:r>
    </w:p>
    <w:p w14:paraId="583C00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2.1</w:t>
      </w:r>
      <w:r>
        <w:rPr>
          <w:rFonts w:hint="eastAsia" w:ascii="宋体" w:hAnsi="宋体" w:eastAsia="宋体" w:cs="宋体"/>
          <w:bCs/>
          <w:sz w:val="21"/>
          <w:szCs w:val="21"/>
        </w:rPr>
        <w:t>应说明社区单元及周边设施现状，包括且不限于公共服务设施、商业设施、交通设施等</w:t>
      </w:r>
      <w:r>
        <w:rPr>
          <w:rFonts w:hint="eastAsia" w:ascii="宋体" w:hAnsi="宋体" w:eastAsia="宋体" w:cs="宋体"/>
          <w:bCs/>
          <w:sz w:val="21"/>
          <w:szCs w:val="21"/>
          <w:lang w:eastAsia="zh-CN"/>
        </w:rPr>
        <w:t>。</w:t>
      </w:r>
    </w:p>
    <w:p w14:paraId="3C3879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2.2</w:t>
      </w:r>
      <w:r>
        <w:rPr>
          <w:rFonts w:hint="eastAsia" w:ascii="宋体" w:hAnsi="宋体" w:eastAsia="宋体" w:cs="宋体"/>
          <w:bCs/>
          <w:sz w:val="21"/>
          <w:szCs w:val="21"/>
        </w:rPr>
        <w:t>旧改类社区应说明社区内各小区建成年代、常住户数和人数</w:t>
      </w:r>
      <w:r>
        <w:rPr>
          <w:rFonts w:hint="eastAsia" w:ascii="宋体" w:hAnsi="宋体" w:eastAsia="宋体" w:cs="宋体"/>
          <w:bCs/>
          <w:sz w:val="21"/>
          <w:szCs w:val="21"/>
          <w:lang w:eastAsia="zh-CN"/>
        </w:rPr>
        <w:t>；</w:t>
      </w:r>
      <w:r>
        <w:rPr>
          <w:rFonts w:hint="eastAsia" w:ascii="宋体" w:hAnsi="宋体" w:eastAsia="宋体" w:cs="宋体"/>
          <w:bCs/>
          <w:sz w:val="21"/>
          <w:szCs w:val="21"/>
        </w:rPr>
        <w:t>梳理社区单元内可利用空间的位置、面积、现状功能和产权情况。新建类社区应说明上位规划和原控规情况; 涉及保留改造的应明确范围。</w:t>
      </w:r>
    </w:p>
    <w:p w14:paraId="2BABDB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3开展社区风貌分析</w:t>
      </w:r>
      <w:r>
        <w:rPr>
          <w:rFonts w:hint="eastAsia" w:ascii="宋体" w:hAnsi="宋体" w:eastAsia="宋体" w:cs="宋体"/>
          <w:bCs/>
          <w:sz w:val="21"/>
          <w:szCs w:val="21"/>
          <w:lang w:eastAsia="zh-CN"/>
        </w:rPr>
        <w:t>。</w:t>
      </w:r>
    </w:p>
    <w:p w14:paraId="6E1452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2.4</w:t>
      </w:r>
      <w:r>
        <w:rPr>
          <w:rFonts w:hint="eastAsia" w:ascii="宋体" w:hAnsi="宋体" w:eastAsia="宋体" w:cs="宋体"/>
          <w:bCs/>
          <w:sz w:val="21"/>
          <w:szCs w:val="21"/>
        </w:rPr>
        <w:t>已完成或已开展老旧小区改造的，应说明老旧小区改造的工作情况和效果。</w:t>
      </w:r>
    </w:p>
    <w:p w14:paraId="55B33B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2.5</w:t>
      </w:r>
      <w:r>
        <w:rPr>
          <w:rFonts w:hint="eastAsia" w:ascii="宋体" w:hAnsi="宋体" w:eastAsia="宋体" w:cs="宋体"/>
          <w:bCs/>
          <w:sz w:val="21"/>
          <w:szCs w:val="21"/>
        </w:rPr>
        <w:t>分析社区的创建优势和不利条件</w:t>
      </w:r>
      <w:r>
        <w:rPr>
          <w:rFonts w:hint="eastAsia" w:ascii="宋体" w:hAnsi="宋体" w:eastAsia="宋体" w:cs="宋体"/>
          <w:bCs/>
          <w:sz w:val="21"/>
          <w:szCs w:val="21"/>
          <w:lang w:eastAsia="zh-CN"/>
        </w:rPr>
        <w:t>。</w:t>
      </w:r>
    </w:p>
    <w:p w14:paraId="26CDF2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居民调研及分析</w:t>
      </w:r>
    </w:p>
    <w:p w14:paraId="4DEB5C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3.1</w:t>
      </w:r>
      <w:r>
        <w:rPr>
          <w:rFonts w:hint="eastAsia" w:ascii="宋体" w:hAnsi="宋体" w:eastAsia="宋体" w:cs="宋体"/>
          <w:bCs/>
          <w:sz w:val="21"/>
          <w:szCs w:val="21"/>
        </w:rPr>
        <w:t>说明调研对象和问卷调研人数。应以受益人群为主，需覆盖50%以上居住户数。涉及老旧小区改造、居民返迁安置的，居民需求调研须按相关要求，调研覆盖率建议不低于80%居住户数。社区单元内尚无居民的社区应在周边开展居民特征和需求调研。</w:t>
      </w:r>
    </w:p>
    <w:p w14:paraId="118EE9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3.2</w:t>
      </w:r>
      <w:r>
        <w:rPr>
          <w:rFonts w:hint="eastAsia" w:ascii="宋体" w:hAnsi="宋体" w:eastAsia="宋体" w:cs="宋体"/>
          <w:bCs/>
          <w:sz w:val="21"/>
          <w:szCs w:val="21"/>
        </w:rPr>
        <w:t>说明调研方式，展示调研问卷。调研问卷应以《浙江省未来社区居民需求调查问卷》为模板，可根据社区实际情况加以补充。</w:t>
      </w:r>
    </w:p>
    <w:p w14:paraId="72DE68A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3.3</w:t>
      </w:r>
      <w:r>
        <w:rPr>
          <w:rFonts w:hint="eastAsia" w:ascii="宋体" w:hAnsi="宋体" w:eastAsia="宋体" w:cs="宋体"/>
          <w:bCs/>
          <w:sz w:val="21"/>
          <w:szCs w:val="21"/>
        </w:rPr>
        <w:t>开展深度访谈。基于问卷调研结果，针对反映出的居民热点、难点、痛点问题，参考《未来社区养老与幼托需求访谈提纲》，组织深度访谈，进一步深度了解居民需求。</w:t>
      </w:r>
    </w:p>
    <w:p w14:paraId="49D4EFD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3.4</w:t>
      </w:r>
      <w:r>
        <w:rPr>
          <w:rFonts w:hint="eastAsia" w:ascii="宋体" w:hAnsi="宋体" w:eastAsia="宋体" w:cs="宋体"/>
          <w:bCs/>
          <w:sz w:val="21"/>
          <w:szCs w:val="21"/>
        </w:rPr>
        <w:t>分析社区单元的人群结构特征; 分析居民核心场景需求。</w:t>
      </w:r>
    </w:p>
    <w:p w14:paraId="5EFEA616">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创建目标</w:t>
      </w:r>
    </w:p>
    <w:p w14:paraId="02567BD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开展文化专篇研究，进行社区文化特色挖掘和文化主题凝练。</w:t>
      </w:r>
    </w:p>
    <w:p w14:paraId="107596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提出社区的创建思路、目标定位和特色主题。</w:t>
      </w:r>
    </w:p>
    <w:p w14:paraId="018DC05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eastAsia="zh-CN"/>
        </w:rPr>
        <w:t>、</w:t>
      </w:r>
      <w:r>
        <w:rPr>
          <w:rFonts w:hint="eastAsia" w:ascii="宋体" w:hAnsi="宋体" w:eastAsia="宋体" w:cs="宋体"/>
          <w:bCs/>
          <w:sz w:val="21"/>
          <w:szCs w:val="21"/>
        </w:rPr>
        <w:t>明确社区受益人数。</w:t>
      </w:r>
    </w:p>
    <w:p w14:paraId="71687085">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空间总体设计</w:t>
      </w:r>
    </w:p>
    <w:p w14:paraId="7863B9C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围绕社区创建目标，明确社区单元具体的空间方案，改造及(或)新建部分的建设内容及相应规模</w:t>
      </w:r>
      <w:r>
        <w:rPr>
          <w:rFonts w:hint="eastAsia" w:ascii="宋体" w:hAnsi="宋体" w:eastAsia="宋体" w:cs="宋体"/>
          <w:bCs/>
          <w:sz w:val="21"/>
          <w:szCs w:val="21"/>
          <w:lang w:eastAsia="zh-CN"/>
        </w:rPr>
        <w:t>。</w:t>
      </w:r>
    </w:p>
    <w:p w14:paraId="7CA2F6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旧改类社区和涉及保留改造的新建类社区应绘制保留拆除、改造、新建的社区建筑更新图，明确改造部分的具体措施</w:t>
      </w:r>
      <w:r>
        <w:rPr>
          <w:rFonts w:hint="eastAsia" w:ascii="宋体" w:hAnsi="宋体" w:eastAsia="宋体" w:cs="宋体"/>
          <w:bCs/>
          <w:sz w:val="21"/>
          <w:szCs w:val="21"/>
          <w:lang w:eastAsia="zh-CN"/>
        </w:rPr>
        <w:t>；</w:t>
      </w:r>
      <w:r>
        <w:rPr>
          <w:rFonts w:hint="eastAsia" w:ascii="宋体" w:hAnsi="宋体" w:eastAsia="宋体" w:cs="宋体"/>
          <w:bCs/>
          <w:sz w:val="21"/>
          <w:szCs w:val="21"/>
        </w:rPr>
        <w:t>明确产权变更情况</w:t>
      </w:r>
      <w:r>
        <w:rPr>
          <w:rFonts w:hint="eastAsia" w:ascii="宋体" w:hAnsi="宋体" w:eastAsia="宋体" w:cs="宋体"/>
          <w:bCs/>
          <w:sz w:val="21"/>
          <w:szCs w:val="21"/>
          <w:lang w:eastAsia="zh-CN"/>
        </w:rPr>
        <w:t>。</w:t>
      </w:r>
    </w:p>
    <w:p w14:paraId="4596E0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3</w:t>
      </w:r>
      <w:r>
        <w:rPr>
          <w:rFonts w:hint="eastAsia" w:ascii="宋体" w:hAnsi="宋体" w:eastAsia="宋体" w:cs="宋体"/>
          <w:bCs/>
          <w:sz w:val="21"/>
          <w:szCs w:val="21"/>
          <w:lang w:eastAsia="zh-CN"/>
        </w:rPr>
        <w:t>、</w:t>
      </w:r>
      <w:r>
        <w:rPr>
          <w:rFonts w:hint="eastAsia" w:ascii="宋体" w:hAnsi="宋体" w:eastAsia="宋体" w:cs="宋体"/>
          <w:bCs/>
          <w:sz w:val="21"/>
          <w:szCs w:val="21"/>
        </w:rPr>
        <w:t>新建类社区应绘制用地规划图、开发强度规划图等必要图纸，明确建设总量，提出控规调整建议，并提供必要的文字说明</w:t>
      </w:r>
      <w:r>
        <w:rPr>
          <w:rFonts w:hint="eastAsia" w:ascii="宋体" w:hAnsi="宋体" w:eastAsia="宋体" w:cs="宋体"/>
          <w:bCs/>
          <w:sz w:val="21"/>
          <w:szCs w:val="21"/>
          <w:lang w:eastAsia="zh-CN"/>
        </w:rPr>
        <w:t>。</w:t>
      </w:r>
    </w:p>
    <w:p w14:paraId="51752176">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场景设计及技术要求</w:t>
      </w:r>
    </w:p>
    <w:p w14:paraId="7538D0D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根据需求明确社区的核心场景和打造思路。</w:t>
      </w:r>
    </w:p>
    <w:p w14:paraId="2382556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分地块明确各项内容与规模，汇总形成项目场景系统方案，绘制场景空间集成图，编制配套空间配置清单、场景技术应用配置清单，并填写创建评价指标响应表。</w:t>
      </w:r>
    </w:p>
    <w:p w14:paraId="54934A0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数字化系统设计</w:t>
      </w:r>
    </w:p>
    <w:p w14:paraId="4ADB16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根据《浙江省未来社区数字化建设指引(2.0 版)》建设要求，遵循“顶层设计、问策于民、低本高效、融合运营”原则充分结合百姓需求，开展未来社区数字化建设。重点包括:</w:t>
      </w:r>
    </w:p>
    <w:p w14:paraId="5DA9A1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编制“浙里未来社区在线”重大应用落地方案，明确人房关系为核心的基础数据库建设思路和动态更新机制</w:t>
      </w:r>
      <w:r>
        <w:rPr>
          <w:rFonts w:hint="eastAsia" w:ascii="宋体" w:hAnsi="宋体" w:eastAsia="宋体" w:cs="宋体"/>
          <w:bCs/>
          <w:sz w:val="21"/>
          <w:szCs w:val="21"/>
          <w:lang w:eastAsia="zh-CN"/>
        </w:rPr>
        <w:t>。</w:t>
      </w:r>
    </w:p>
    <w:p w14:paraId="346412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摸清现有数字化资源，提出数字化需求清单，明确数字化建设的总体目标和重点任务</w:t>
      </w:r>
      <w:r>
        <w:rPr>
          <w:rFonts w:hint="eastAsia" w:ascii="宋体" w:hAnsi="宋体" w:eastAsia="宋体" w:cs="宋体"/>
          <w:bCs/>
          <w:sz w:val="21"/>
          <w:szCs w:val="21"/>
          <w:lang w:eastAsia="zh-CN"/>
        </w:rPr>
        <w:t>。</w:t>
      </w:r>
    </w:p>
    <w:p w14:paraId="2F4CEC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3</w:t>
      </w:r>
      <w:r>
        <w:rPr>
          <w:rFonts w:hint="eastAsia" w:ascii="宋体" w:hAnsi="宋体" w:eastAsia="宋体" w:cs="宋体"/>
          <w:bCs/>
          <w:sz w:val="21"/>
          <w:szCs w:val="21"/>
          <w:lang w:eastAsia="zh-CN"/>
        </w:rPr>
        <w:t>、</w:t>
      </w:r>
      <w:r>
        <w:rPr>
          <w:rFonts w:hint="eastAsia" w:ascii="宋体" w:hAnsi="宋体" w:eastAsia="宋体" w:cs="宋体"/>
          <w:bCs/>
          <w:sz w:val="21"/>
          <w:szCs w:val="21"/>
        </w:rPr>
        <w:t>结合数字社会等要求，规划重点数字化应用，包含需求问题、应用名称、应用描述、空间配套、运营思路等</w:t>
      </w:r>
      <w:r>
        <w:rPr>
          <w:rFonts w:hint="eastAsia" w:ascii="宋体" w:hAnsi="宋体" w:eastAsia="宋体" w:cs="宋体"/>
          <w:bCs/>
          <w:sz w:val="21"/>
          <w:szCs w:val="21"/>
          <w:lang w:eastAsia="zh-CN"/>
        </w:rPr>
        <w:t>。</w:t>
      </w:r>
    </w:p>
    <w:p w14:paraId="7B1B0A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4</w:t>
      </w:r>
      <w:r>
        <w:rPr>
          <w:rFonts w:hint="eastAsia" w:ascii="宋体" w:hAnsi="宋体" w:eastAsia="宋体" w:cs="宋体"/>
          <w:bCs/>
          <w:sz w:val="21"/>
          <w:szCs w:val="21"/>
          <w:lang w:eastAsia="zh-CN"/>
        </w:rPr>
        <w:t>、</w:t>
      </w:r>
      <w:r>
        <w:rPr>
          <w:rFonts w:hint="eastAsia" w:ascii="宋体" w:hAnsi="宋体" w:eastAsia="宋体" w:cs="宋体"/>
          <w:bCs/>
          <w:sz w:val="21"/>
          <w:szCs w:val="21"/>
        </w:rPr>
        <w:t>新建类社区建议编制未来社区 CIM/BIM应用建设方案</w:t>
      </w:r>
      <w:r>
        <w:rPr>
          <w:rFonts w:hint="eastAsia" w:ascii="宋体" w:hAnsi="宋体" w:eastAsia="宋体" w:cs="宋体"/>
          <w:bCs/>
          <w:sz w:val="21"/>
          <w:szCs w:val="21"/>
          <w:lang w:eastAsia="zh-CN"/>
        </w:rPr>
        <w:t>。</w:t>
      </w:r>
    </w:p>
    <w:p w14:paraId="32A01E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5</w:t>
      </w:r>
      <w:r>
        <w:rPr>
          <w:rFonts w:hint="eastAsia" w:ascii="宋体" w:hAnsi="宋体" w:eastAsia="宋体" w:cs="宋体"/>
          <w:bCs/>
          <w:sz w:val="21"/>
          <w:szCs w:val="21"/>
          <w:lang w:eastAsia="zh-CN"/>
        </w:rPr>
        <w:t>、</w:t>
      </w:r>
      <w:r>
        <w:rPr>
          <w:rFonts w:hint="eastAsia" w:ascii="宋体" w:hAnsi="宋体" w:eastAsia="宋体" w:cs="宋体"/>
          <w:bCs/>
          <w:sz w:val="21"/>
          <w:szCs w:val="21"/>
        </w:rPr>
        <w:t>编制数字化融合社区运营方案。</w:t>
      </w:r>
    </w:p>
    <w:p w14:paraId="7A20EA8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运营组织</w:t>
      </w:r>
    </w:p>
    <w:p w14:paraId="43C85C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明确</w:t>
      </w:r>
      <w:r>
        <w:rPr>
          <w:rFonts w:hint="eastAsia" w:ascii="宋体" w:hAnsi="宋体" w:eastAsia="宋体" w:cs="宋体"/>
          <w:bCs/>
          <w:spacing w:val="-6"/>
          <w:sz w:val="21"/>
          <w:szCs w:val="21"/>
        </w:rPr>
        <w:t>公益性、惠民及商业经营性业态空间布局，明确各项内容与规模。运</w:t>
      </w:r>
      <w:r>
        <w:rPr>
          <w:rFonts w:hint="eastAsia" w:ascii="宋体" w:hAnsi="宋体" w:eastAsia="宋体" w:cs="宋体"/>
          <w:bCs/>
          <w:sz w:val="21"/>
          <w:szCs w:val="21"/>
        </w:rPr>
        <w:t>营空间应具有开放性</w:t>
      </w:r>
      <w:r>
        <w:rPr>
          <w:rFonts w:hint="eastAsia" w:ascii="宋体" w:hAnsi="宋体" w:eastAsia="宋体" w:cs="宋体"/>
          <w:bCs/>
          <w:sz w:val="21"/>
          <w:szCs w:val="21"/>
          <w:lang w:eastAsia="zh-CN"/>
        </w:rPr>
        <w:t>。</w:t>
      </w:r>
    </w:p>
    <w:p w14:paraId="50E611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完成运营的落地性访谈，基于市场调研，开展业态策划</w:t>
      </w:r>
      <w:r>
        <w:rPr>
          <w:rFonts w:hint="eastAsia" w:ascii="宋体" w:hAnsi="宋体" w:eastAsia="宋体" w:cs="宋体"/>
          <w:bCs/>
          <w:sz w:val="21"/>
          <w:szCs w:val="21"/>
          <w:lang w:eastAsia="zh-CN"/>
        </w:rPr>
        <w:t>。</w:t>
      </w:r>
    </w:p>
    <w:p w14:paraId="063DBA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3</w:t>
      </w:r>
      <w:r>
        <w:rPr>
          <w:rFonts w:hint="eastAsia" w:ascii="宋体" w:hAnsi="宋体" w:eastAsia="宋体" w:cs="宋体"/>
          <w:bCs/>
          <w:sz w:val="21"/>
          <w:szCs w:val="21"/>
          <w:lang w:eastAsia="zh-CN"/>
        </w:rPr>
        <w:t>、</w:t>
      </w:r>
      <w:r>
        <w:rPr>
          <w:rFonts w:hint="eastAsia" w:ascii="宋体" w:hAnsi="宋体" w:eastAsia="宋体" w:cs="宋体"/>
          <w:bCs/>
          <w:sz w:val="21"/>
          <w:szCs w:val="21"/>
        </w:rPr>
        <w:t>明确运营主体和运营组织架构</w:t>
      </w:r>
      <w:r>
        <w:rPr>
          <w:rFonts w:hint="eastAsia" w:ascii="宋体" w:hAnsi="宋体" w:eastAsia="宋体" w:cs="宋体"/>
          <w:bCs/>
          <w:sz w:val="21"/>
          <w:szCs w:val="21"/>
          <w:lang w:eastAsia="zh-CN"/>
        </w:rPr>
        <w:t>。</w:t>
      </w:r>
    </w:p>
    <w:p w14:paraId="53A12F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4</w:t>
      </w:r>
      <w:r>
        <w:rPr>
          <w:rFonts w:hint="eastAsia" w:ascii="宋体" w:hAnsi="宋体" w:eastAsia="宋体" w:cs="宋体"/>
          <w:bCs/>
          <w:sz w:val="21"/>
          <w:szCs w:val="21"/>
          <w:lang w:eastAsia="zh-CN"/>
        </w:rPr>
        <w:t>、</w:t>
      </w:r>
      <w:r>
        <w:rPr>
          <w:rFonts w:hint="eastAsia" w:ascii="宋体" w:hAnsi="宋体" w:eastAsia="宋体" w:cs="宋体"/>
          <w:bCs/>
          <w:sz w:val="21"/>
          <w:szCs w:val="21"/>
        </w:rPr>
        <w:t>明确场景运营的初步方案，包括运营主体、运营内容和资金平衡模式，绘制运营模式图。</w:t>
      </w:r>
    </w:p>
    <w:p w14:paraId="709E250A">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实施推进计划</w:t>
      </w:r>
    </w:p>
    <w:p w14:paraId="5E8A82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根据未来社区相关时间节点的要求，细化项目实施推进计划提供项目完成建设、运营、提交验收命名的计划时间，明确各地块主要功能、供地方式及开工(改造) 计划安排。</w:t>
      </w:r>
    </w:p>
    <w:p w14:paraId="3BB998A4">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概算与资金平衡</w:t>
      </w:r>
    </w:p>
    <w:p w14:paraId="7D18B6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明确政府方投入收益和资金筹措情况、建设期土地使用方投资概算方案和资金筹措 (若有)，编制政府方投入收益情况表和土地使用方建设期资金测算表</w:t>
      </w:r>
      <w:r>
        <w:rPr>
          <w:rFonts w:hint="eastAsia" w:ascii="宋体" w:hAnsi="宋体" w:eastAsia="宋体" w:cs="宋体"/>
          <w:bCs/>
          <w:sz w:val="21"/>
          <w:szCs w:val="21"/>
          <w:lang w:eastAsia="zh-CN"/>
        </w:rPr>
        <w:t>。</w:t>
      </w:r>
    </w:p>
    <w:p w14:paraId="5D51E2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明确街道、综合运营商等不同运营主体在运营期内的财务收支方案，分主体编制运营期资金平衡测算表。</w:t>
      </w:r>
    </w:p>
    <w:p w14:paraId="2F4D17A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政策与机制保障</w:t>
      </w:r>
    </w:p>
    <w:p w14:paraId="2E4A9C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w:t>
      </w:r>
      <w:r>
        <w:rPr>
          <w:rFonts w:hint="eastAsia" w:ascii="宋体" w:hAnsi="宋体" w:eastAsia="宋体" w:cs="宋体"/>
          <w:bCs/>
          <w:sz w:val="21"/>
          <w:szCs w:val="21"/>
        </w:rPr>
        <w:t>提供创建项目建设工作专班名单以及工作专班职责分工情况</w:t>
      </w:r>
      <w:r>
        <w:rPr>
          <w:rFonts w:hint="eastAsia" w:ascii="宋体" w:hAnsi="宋体" w:eastAsia="宋体" w:cs="宋体"/>
          <w:bCs/>
          <w:sz w:val="21"/>
          <w:szCs w:val="21"/>
          <w:lang w:eastAsia="zh-CN"/>
        </w:rPr>
        <w:t>。</w:t>
      </w:r>
    </w:p>
    <w:p w14:paraId="29DAA5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eastAsia="zh-CN"/>
        </w:rPr>
        <w:t>、</w:t>
      </w:r>
      <w:r>
        <w:rPr>
          <w:rFonts w:hint="eastAsia" w:ascii="宋体" w:hAnsi="宋体" w:eastAsia="宋体" w:cs="宋体"/>
          <w:bCs/>
          <w:sz w:val="21"/>
          <w:szCs w:val="21"/>
        </w:rPr>
        <w:t>提出项目建设模式、建设进度安排等</w:t>
      </w:r>
      <w:r>
        <w:rPr>
          <w:rFonts w:hint="eastAsia" w:ascii="宋体" w:hAnsi="宋体" w:eastAsia="宋体" w:cs="宋体"/>
          <w:bCs/>
          <w:sz w:val="21"/>
          <w:szCs w:val="21"/>
          <w:lang w:eastAsia="zh-CN"/>
        </w:rPr>
        <w:t>。</w:t>
      </w:r>
    </w:p>
    <w:p w14:paraId="5BD29B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eastAsia="zh-CN"/>
        </w:rPr>
        <w:t>、</w:t>
      </w:r>
      <w:r>
        <w:rPr>
          <w:rFonts w:hint="eastAsia" w:ascii="宋体" w:hAnsi="宋体" w:eastAsia="宋体" w:cs="宋体"/>
          <w:bCs/>
          <w:sz w:val="21"/>
          <w:szCs w:val="21"/>
        </w:rPr>
        <w:t>根据工程实际情况，开展全过程工程咨询</w:t>
      </w:r>
      <w:r>
        <w:rPr>
          <w:rFonts w:hint="eastAsia" w:ascii="宋体" w:hAnsi="宋体" w:eastAsia="宋体" w:cs="宋体"/>
          <w:bCs/>
          <w:sz w:val="21"/>
          <w:szCs w:val="21"/>
          <w:lang w:eastAsia="zh-CN"/>
        </w:rPr>
        <w:t>；</w:t>
      </w:r>
      <w:r>
        <w:rPr>
          <w:rFonts w:hint="eastAsia" w:ascii="宋体" w:hAnsi="宋体" w:eastAsia="宋体" w:cs="宋体"/>
          <w:bCs/>
          <w:sz w:val="21"/>
          <w:szCs w:val="21"/>
        </w:rPr>
        <w:t>全过程工程咨询单位须提供咨询意见。</w:t>
      </w:r>
    </w:p>
    <w:p w14:paraId="50EE80E0">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专业技术图纸</w:t>
      </w:r>
    </w:p>
    <w:p w14:paraId="1559F9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建设工程建设内容的</w:t>
      </w:r>
      <w:r>
        <w:rPr>
          <w:rFonts w:hint="eastAsia" w:ascii="宋体" w:hAnsi="宋体" w:eastAsia="宋体" w:cs="宋体"/>
          <w:bCs/>
          <w:spacing w:val="-6"/>
          <w:sz w:val="21"/>
          <w:szCs w:val="21"/>
        </w:rPr>
        <w:t>设计深度应达到《建筑工程设计文件编制深度规定》中方案</w:t>
      </w:r>
      <w:r>
        <w:rPr>
          <w:rFonts w:hint="eastAsia" w:ascii="宋体" w:hAnsi="宋体" w:eastAsia="宋体" w:cs="宋体"/>
          <w:bCs/>
          <w:sz w:val="21"/>
          <w:szCs w:val="21"/>
        </w:rPr>
        <w:t>设计的编制要求。</w:t>
      </w:r>
    </w:p>
    <w:p w14:paraId="65F7006B">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Cs/>
          <w:sz w:val="21"/>
          <w:szCs w:val="21"/>
        </w:rPr>
      </w:pPr>
      <w:r>
        <w:rPr>
          <w:rFonts w:hint="eastAsia" w:ascii="宋体" w:hAnsi="宋体" w:eastAsia="宋体" w:cs="宋体"/>
          <w:bCs/>
          <w:sz w:val="21"/>
          <w:szCs w:val="21"/>
        </w:rPr>
        <w:t>附件要求</w:t>
      </w:r>
    </w:p>
    <w:p w14:paraId="05F6A1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pacing w:val="-6"/>
          <w:sz w:val="21"/>
          <w:szCs w:val="21"/>
        </w:rPr>
      </w:pPr>
      <w:r>
        <w:rPr>
          <w:rFonts w:hint="eastAsia" w:ascii="宋体" w:hAnsi="宋体" w:eastAsia="宋体" w:cs="宋体"/>
          <w:bCs/>
          <w:sz w:val="21"/>
          <w:szCs w:val="21"/>
        </w:rPr>
        <w:t>支持政策、征拆政策、人才认定、前置许可、规划指标调</w:t>
      </w:r>
      <w:r>
        <w:rPr>
          <w:rFonts w:hint="eastAsia" w:ascii="宋体" w:hAnsi="宋体" w:eastAsia="宋体" w:cs="宋体"/>
          <w:bCs/>
          <w:spacing w:val="-6"/>
          <w:sz w:val="21"/>
          <w:szCs w:val="21"/>
        </w:rPr>
        <w:t>整、专业评估等相关支撑性文件 （若有）。</w:t>
      </w:r>
    </w:p>
    <w:p w14:paraId="184F7875">
      <w:pPr>
        <w:pStyle w:val="5"/>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bCs w:val="0"/>
          <w:color w:val="auto"/>
          <w:sz w:val="24"/>
          <w:szCs w:val="24"/>
          <w:highlight w:val="none"/>
          <w:lang w:val="en-US" w:eastAsia="zh-CN"/>
        </w:rPr>
      </w:pPr>
      <w:bookmarkStart w:id="41" w:name="_Toc24571"/>
      <w:bookmarkStart w:id="42" w:name="_Toc7444"/>
      <w:r>
        <w:rPr>
          <w:rFonts w:hint="eastAsia" w:ascii="宋体" w:hAnsi="宋体" w:eastAsia="宋体" w:cs="宋体"/>
          <w:bCs w:val="0"/>
          <w:color w:val="auto"/>
          <w:sz w:val="24"/>
          <w:szCs w:val="24"/>
          <w:highlight w:val="none"/>
          <w:lang w:val="en-US" w:eastAsia="zh-CN"/>
        </w:rPr>
        <w:t>五、</w:t>
      </w:r>
      <w:bookmarkEnd w:id="41"/>
      <w:r>
        <w:rPr>
          <w:rFonts w:hint="eastAsia" w:ascii="宋体" w:hAnsi="宋体" w:eastAsia="宋体" w:cs="宋体"/>
          <w:bCs w:val="0"/>
          <w:color w:val="auto"/>
          <w:sz w:val="24"/>
          <w:szCs w:val="24"/>
          <w:highlight w:val="none"/>
          <w:lang w:val="en-US" w:eastAsia="zh-CN"/>
        </w:rPr>
        <w:t>商务要求表</w:t>
      </w:r>
      <w:bookmarkEnd w:id="42"/>
    </w:p>
    <w:tbl>
      <w:tblPr>
        <w:tblStyle w:val="36"/>
        <w:tblW w:w="4883" w:type="pct"/>
        <w:tblInd w:w="1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7"/>
        <w:gridCol w:w="7384"/>
      </w:tblGrid>
      <w:tr w14:paraId="625DF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930" w:type="pct"/>
            <w:tcBorders>
              <w:top w:val="single" w:color="auto" w:sz="4" w:space="0"/>
              <w:left w:val="single" w:color="auto" w:sz="4" w:space="0"/>
              <w:bottom w:val="single" w:color="auto" w:sz="4" w:space="0"/>
              <w:right w:val="single" w:color="auto" w:sz="4" w:space="0"/>
            </w:tcBorders>
            <w:noWrap w:val="0"/>
            <w:vAlign w:val="center"/>
          </w:tcPr>
          <w:p w14:paraId="30076E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▲项目完成时间</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0D42CD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合同签订之日起至完成未来社区验收之日止，具体</w:t>
            </w:r>
            <w:r>
              <w:rPr>
                <w:rFonts w:hint="eastAsia" w:ascii="宋体" w:hAnsi="宋体" w:eastAsia="宋体" w:cs="宋体"/>
                <w:kern w:val="0"/>
                <w:sz w:val="21"/>
                <w:szCs w:val="21"/>
                <w:lang w:val="en-US" w:eastAsia="zh-CN"/>
              </w:rPr>
              <w:t>根据</w:t>
            </w:r>
            <w:r>
              <w:rPr>
                <w:rFonts w:hint="eastAsia" w:ascii="宋体" w:hAnsi="宋体" w:eastAsia="宋体" w:cs="宋体"/>
                <w:kern w:val="0"/>
                <w:sz w:val="21"/>
                <w:szCs w:val="21"/>
              </w:rPr>
              <w:t>服务进度要求。</w:t>
            </w:r>
          </w:p>
        </w:tc>
      </w:tr>
      <w:tr w14:paraId="07264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5" w:hRule="atLeast"/>
        </w:trPr>
        <w:tc>
          <w:tcPr>
            <w:tcW w:w="930" w:type="pct"/>
            <w:tcBorders>
              <w:top w:val="single" w:color="auto" w:sz="4" w:space="0"/>
              <w:left w:val="single" w:color="auto" w:sz="4" w:space="0"/>
              <w:bottom w:val="single" w:color="auto" w:sz="4" w:space="0"/>
              <w:right w:val="single" w:color="auto" w:sz="4" w:space="0"/>
            </w:tcBorders>
            <w:noWrap w:val="0"/>
            <w:vAlign w:val="center"/>
          </w:tcPr>
          <w:p w14:paraId="28EBF0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▲付款条件</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46CE3D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kern w:val="0"/>
                <w:szCs w:val="21"/>
              </w:rPr>
            </w:pPr>
            <w:r>
              <w:rPr>
                <w:rFonts w:hint="eastAsia" w:ascii="宋体" w:hAnsi="宋体" w:cs="宋体"/>
                <w:color w:val="auto"/>
                <w:kern w:val="0"/>
                <w:szCs w:val="21"/>
              </w:rPr>
              <w:t>1、预付款：</w:t>
            </w:r>
            <w:r>
              <w:rPr>
                <w:rFonts w:hint="eastAsia" w:ascii="宋体" w:hAnsi="宋体" w:cs="宋体"/>
                <w:bCs/>
                <w:color w:val="auto"/>
                <w:szCs w:val="21"/>
              </w:rPr>
              <w:t>合同签订生效后7个工作日内，采购人向成交供应商支付合同价款的40%</w:t>
            </w:r>
            <w:r>
              <w:rPr>
                <w:rFonts w:hint="eastAsia" w:ascii="宋体" w:hAnsi="宋体" w:cs="宋体"/>
                <w:color w:val="auto"/>
                <w:kern w:val="0"/>
                <w:szCs w:val="21"/>
              </w:rPr>
              <w:t xml:space="preserve">； </w:t>
            </w:r>
          </w:p>
          <w:p w14:paraId="12D3FD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kern w:val="0"/>
                <w:szCs w:val="21"/>
              </w:rPr>
            </w:pPr>
            <w:r>
              <w:rPr>
                <w:rFonts w:hint="eastAsia" w:ascii="宋体" w:hAnsi="宋体" w:cs="宋体"/>
                <w:color w:val="auto"/>
                <w:kern w:val="0"/>
                <w:szCs w:val="21"/>
              </w:rPr>
              <w:t>2、第二笔款：方案编制完成并经过评审后的十个工作日内，支付至</w:t>
            </w:r>
            <w:r>
              <w:rPr>
                <w:rFonts w:hint="eastAsia" w:ascii="宋体" w:hAnsi="宋体" w:cs="宋体"/>
                <w:bCs/>
                <w:color w:val="auto"/>
                <w:szCs w:val="21"/>
              </w:rPr>
              <w:t>合同价款</w:t>
            </w:r>
            <w:r>
              <w:rPr>
                <w:rFonts w:hint="eastAsia" w:ascii="宋体" w:hAnsi="宋体" w:cs="宋体"/>
                <w:color w:val="auto"/>
                <w:kern w:val="0"/>
                <w:szCs w:val="21"/>
              </w:rPr>
              <w:t>的</w:t>
            </w:r>
            <w:r>
              <w:rPr>
                <w:rFonts w:ascii="宋体" w:hAnsi="宋体" w:cs="宋体"/>
                <w:color w:val="auto"/>
                <w:kern w:val="0"/>
                <w:szCs w:val="21"/>
              </w:rPr>
              <w:t>8</w:t>
            </w:r>
            <w:r>
              <w:rPr>
                <w:rFonts w:hint="eastAsia" w:ascii="宋体" w:hAnsi="宋体" w:cs="宋体"/>
                <w:color w:val="auto"/>
                <w:kern w:val="0"/>
                <w:szCs w:val="21"/>
              </w:rPr>
              <w:t>0%；</w:t>
            </w:r>
          </w:p>
          <w:p w14:paraId="17D89A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1"/>
                <w:szCs w:val="21"/>
              </w:rPr>
            </w:pPr>
            <w:r>
              <w:rPr>
                <w:rFonts w:hint="eastAsia" w:ascii="宋体" w:hAnsi="宋体" w:cs="宋体"/>
                <w:color w:val="auto"/>
                <w:kern w:val="0"/>
                <w:szCs w:val="21"/>
              </w:rPr>
              <w:t>3、第三笔款：方案提交成果稿并经采购人确认后10个工作日内，由采购人向中标人一次性付清余款。</w:t>
            </w:r>
          </w:p>
        </w:tc>
      </w:tr>
      <w:tr w14:paraId="11C80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930" w:type="pct"/>
            <w:tcBorders>
              <w:top w:val="single" w:color="auto" w:sz="4" w:space="0"/>
              <w:left w:val="single" w:color="auto" w:sz="4" w:space="0"/>
              <w:bottom w:val="single" w:color="auto" w:sz="4" w:space="0"/>
              <w:right w:val="single" w:color="auto" w:sz="4" w:space="0"/>
            </w:tcBorders>
            <w:noWrap w:val="0"/>
            <w:vAlign w:val="center"/>
          </w:tcPr>
          <w:p w14:paraId="3CC13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▲验收标准</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399D68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按照中标人提供的投标文件（包括承诺）及中标人和采购人签订的政府采购合同为标准进行验收。</w:t>
            </w:r>
          </w:p>
        </w:tc>
      </w:tr>
      <w:tr w14:paraId="35F34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930" w:type="pct"/>
            <w:tcBorders>
              <w:top w:val="single" w:color="auto" w:sz="4" w:space="0"/>
              <w:left w:val="single" w:color="auto" w:sz="4" w:space="0"/>
              <w:bottom w:val="single" w:color="auto" w:sz="4" w:space="0"/>
              <w:right w:val="single" w:color="auto" w:sz="4" w:space="0"/>
            </w:tcBorders>
            <w:noWrap w:val="0"/>
            <w:vAlign w:val="center"/>
          </w:tcPr>
          <w:p w14:paraId="76AE99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服务响应要求</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49C223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响应时间要求：中标人接到采购人电话后1小时内响应，2小时内上门服务，提供7×24小时电话支持。</w:t>
            </w:r>
          </w:p>
        </w:tc>
      </w:tr>
      <w:tr w14:paraId="468EE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930" w:type="pct"/>
            <w:tcBorders>
              <w:top w:val="single" w:color="auto" w:sz="4" w:space="0"/>
              <w:left w:val="single" w:color="auto" w:sz="4" w:space="0"/>
              <w:bottom w:val="single" w:color="auto" w:sz="4" w:space="0"/>
              <w:right w:val="single" w:color="auto" w:sz="4" w:space="0"/>
            </w:tcBorders>
            <w:noWrap w:val="0"/>
            <w:vAlign w:val="center"/>
          </w:tcPr>
          <w:p w14:paraId="63810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签订合同时间</w:t>
            </w:r>
          </w:p>
        </w:tc>
        <w:tc>
          <w:tcPr>
            <w:tcW w:w="4069" w:type="pct"/>
            <w:tcBorders>
              <w:top w:val="single" w:color="auto" w:sz="4" w:space="0"/>
              <w:left w:val="single" w:color="auto" w:sz="4" w:space="0"/>
              <w:bottom w:val="single" w:color="auto" w:sz="4" w:space="0"/>
              <w:right w:val="single" w:color="auto" w:sz="4" w:space="0"/>
            </w:tcBorders>
            <w:noWrap w:val="0"/>
            <w:vAlign w:val="center"/>
          </w:tcPr>
          <w:p w14:paraId="411329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中标通知书发出之日起30日内签订合同，具体签约时间以采购人通知为准。</w:t>
            </w:r>
          </w:p>
        </w:tc>
      </w:tr>
    </w:tbl>
    <w:p w14:paraId="0EE11D14">
      <w:pPr>
        <w:shd w:val="clear"/>
        <w:rPr>
          <w:rFonts w:hint="eastAsia" w:ascii="宋体" w:hAnsi="宋体" w:cs="宋体"/>
          <w:b/>
          <w:szCs w:val="21"/>
          <w:highlight w:val="none"/>
          <w:lang w:eastAsia="zh-CN"/>
        </w:rPr>
      </w:pPr>
    </w:p>
    <w:p w14:paraId="2612625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sz w:val="21"/>
          <w:szCs w:val="21"/>
          <w:lang w:eastAsia="zh-CN"/>
        </w:rPr>
        <w:t>注：</w:t>
      </w:r>
      <w:r>
        <w:rPr>
          <w:rFonts w:hint="eastAsia" w:ascii="宋体" w:hAnsi="宋体" w:eastAsia="宋体" w:cs="宋体"/>
          <w:b/>
          <w:bCs w:val="0"/>
          <w:sz w:val="21"/>
          <w:szCs w:val="21"/>
        </w:rPr>
        <w:t>1、本招标文件中带 “▲”的有关技术和商务条款为实质性条款，投标人必须在投标文件中作出实质性响应，否则投标无效。</w:t>
      </w:r>
    </w:p>
    <w:p w14:paraId="5FAE532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本招标文件仅对</w:t>
      </w:r>
      <w:r>
        <w:rPr>
          <w:rFonts w:hint="eastAsia" w:ascii="宋体" w:hAnsi="宋体" w:eastAsia="宋体" w:cs="宋体"/>
          <w:b/>
          <w:bCs w:val="0"/>
          <w:sz w:val="21"/>
          <w:szCs w:val="21"/>
          <w:lang w:eastAsia="zh-CN"/>
        </w:rPr>
        <w:t>本项目</w:t>
      </w:r>
      <w:r>
        <w:rPr>
          <w:rFonts w:hint="eastAsia" w:ascii="宋体" w:hAnsi="宋体" w:eastAsia="宋体" w:cs="宋体"/>
          <w:b/>
          <w:bCs w:val="0"/>
          <w:sz w:val="21"/>
          <w:szCs w:val="21"/>
        </w:rPr>
        <w:t>提出原则性要求，并不是详尽的要求，投标人有责任对技术参数符合现行的相关技术规范、标准负责。</w:t>
      </w:r>
    </w:p>
    <w:p w14:paraId="11DAD874">
      <w:pPr>
        <w:pStyle w:val="13"/>
        <w:widowControl w:val="0"/>
        <w:numPr>
          <w:ilvl w:val="0"/>
          <w:numId w:val="0"/>
        </w:numPr>
        <w:autoSpaceDE/>
        <w:autoSpaceDN/>
        <w:adjustRightInd/>
        <w:spacing w:after="120" w:line="240" w:lineRule="auto"/>
        <w:jc w:val="both"/>
        <w:rPr>
          <w:rFonts w:hint="eastAsia"/>
        </w:rPr>
      </w:pPr>
    </w:p>
    <w:p w14:paraId="77CCD617">
      <w:pPr>
        <w:pStyle w:val="26"/>
        <w:rPr>
          <w:rFonts w:hint="eastAsia"/>
        </w:rPr>
      </w:pPr>
    </w:p>
    <w:p w14:paraId="7CD1EA5F">
      <w:pPr>
        <w:rPr>
          <w:rFonts w:hint="eastAsia"/>
        </w:rPr>
      </w:pPr>
    </w:p>
    <w:p w14:paraId="601ECBAF">
      <w:pPr>
        <w:pStyle w:val="13"/>
        <w:rPr>
          <w:rFonts w:hint="eastAsia"/>
        </w:rPr>
      </w:pPr>
    </w:p>
    <w:p w14:paraId="679DAF8B">
      <w:pPr>
        <w:pStyle w:val="26"/>
        <w:rPr>
          <w:rFonts w:hint="eastAsia"/>
        </w:rPr>
      </w:pPr>
    </w:p>
    <w:p w14:paraId="773C22DB">
      <w:pPr>
        <w:rPr>
          <w:rFonts w:hint="eastAsia"/>
        </w:rPr>
      </w:pPr>
    </w:p>
    <w:p w14:paraId="0AF7912A">
      <w:pPr>
        <w:pStyle w:val="13"/>
        <w:rPr>
          <w:rFonts w:hint="eastAsia"/>
        </w:rPr>
      </w:pPr>
    </w:p>
    <w:p w14:paraId="20B71C2D">
      <w:pPr>
        <w:pStyle w:val="26"/>
        <w:rPr>
          <w:rFonts w:hint="eastAsia"/>
        </w:rPr>
      </w:pPr>
    </w:p>
    <w:p w14:paraId="561E56AD">
      <w:pPr>
        <w:rPr>
          <w:rFonts w:hint="eastAsia"/>
        </w:rPr>
      </w:pPr>
    </w:p>
    <w:p w14:paraId="13F6735E">
      <w:pPr>
        <w:pStyle w:val="13"/>
        <w:rPr>
          <w:rFonts w:hint="eastAsia"/>
        </w:rPr>
      </w:pPr>
    </w:p>
    <w:p w14:paraId="53639BF8">
      <w:pPr>
        <w:pStyle w:val="26"/>
        <w:rPr>
          <w:rFonts w:hint="eastAsia"/>
        </w:rPr>
      </w:pPr>
    </w:p>
    <w:p w14:paraId="1482ACFE">
      <w:pPr>
        <w:rPr>
          <w:rFonts w:hint="eastAsia"/>
        </w:rPr>
      </w:pPr>
    </w:p>
    <w:p w14:paraId="66119162">
      <w:pPr>
        <w:pStyle w:val="13"/>
        <w:rPr>
          <w:rFonts w:hint="eastAsia"/>
        </w:rPr>
      </w:pPr>
    </w:p>
    <w:p w14:paraId="609F2498">
      <w:pPr>
        <w:pStyle w:val="26"/>
        <w:rPr>
          <w:rFonts w:hint="eastAsia"/>
        </w:rPr>
      </w:pPr>
    </w:p>
    <w:p w14:paraId="62E4146E">
      <w:pPr>
        <w:rPr>
          <w:rFonts w:hint="eastAsia"/>
        </w:rPr>
      </w:pPr>
    </w:p>
    <w:p w14:paraId="0EADA718">
      <w:pPr>
        <w:pStyle w:val="13"/>
        <w:rPr>
          <w:rFonts w:hint="eastAsia"/>
        </w:rPr>
      </w:pPr>
    </w:p>
    <w:p w14:paraId="39E3452C">
      <w:pPr>
        <w:pStyle w:val="26"/>
        <w:rPr>
          <w:rFonts w:hint="eastAsia"/>
        </w:rPr>
      </w:pPr>
    </w:p>
    <w:p w14:paraId="1A06CB63">
      <w:pPr>
        <w:rPr>
          <w:rFonts w:hint="eastAsia"/>
        </w:rPr>
      </w:pPr>
    </w:p>
    <w:p w14:paraId="2BD86845">
      <w:pPr>
        <w:pStyle w:val="13"/>
        <w:rPr>
          <w:rFonts w:hint="eastAsia"/>
        </w:rPr>
      </w:pPr>
    </w:p>
    <w:p w14:paraId="7FF66DA1">
      <w:pPr>
        <w:pStyle w:val="4"/>
        <w:shd w:val="clear"/>
        <w:spacing w:before="0" w:after="0" w:line="480" w:lineRule="exact"/>
        <w:jc w:val="center"/>
        <w:rPr>
          <w:rFonts w:hint="eastAsia" w:ascii="宋体" w:hAnsi="宋体" w:cs="宋体"/>
          <w:snapToGrid w:val="0"/>
          <w:color w:val="auto"/>
          <w:sz w:val="36"/>
          <w:szCs w:val="36"/>
          <w:highlight w:val="none"/>
        </w:rPr>
      </w:pPr>
      <w:bookmarkStart w:id="43" w:name="_Toc18658"/>
      <w:r>
        <w:rPr>
          <w:rFonts w:hint="eastAsia" w:ascii="宋体" w:hAnsi="宋体" w:cs="宋体"/>
          <w:snapToGrid w:val="0"/>
          <w:color w:val="auto"/>
          <w:sz w:val="36"/>
          <w:szCs w:val="36"/>
          <w:highlight w:val="none"/>
        </w:rPr>
        <w:t>第三章  投标人须知</w:t>
      </w:r>
      <w:bookmarkEnd w:id="18"/>
      <w:bookmarkEnd w:id="25"/>
      <w:bookmarkEnd w:id="34"/>
      <w:bookmarkEnd w:id="35"/>
      <w:bookmarkEnd w:id="36"/>
      <w:bookmarkEnd w:id="37"/>
      <w:bookmarkEnd w:id="43"/>
    </w:p>
    <w:p w14:paraId="037935E1">
      <w:pPr>
        <w:pStyle w:val="5"/>
        <w:shd w:val="clear"/>
        <w:spacing w:before="0" w:after="0" w:line="480" w:lineRule="exact"/>
        <w:rPr>
          <w:rFonts w:hint="eastAsia" w:ascii="宋体" w:hAnsi="宋体" w:eastAsia="宋体" w:cs="宋体"/>
          <w:color w:val="auto"/>
          <w:sz w:val="24"/>
          <w:szCs w:val="24"/>
          <w:highlight w:val="none"/>
        </w:rPr>
      </w:pPr>
      <w:bookmarkStart w:id="44" w:name="_Toc222632753"/>
      <w:bookmarkStart w:id="45" w:name="_Toc317341937"/>
      <w:bookmarkStart w:id="46" w:name="_Toc31607"/>
      <w:bookmarkStart w:id="47" w:name="_Toc4375"/>
      <w:bookmarkStart w:id="48" w:name="_Toc22877"/>
      <w:bookmarkStart w:id="49" w:name="_Toc15132"/>
      <w:r>
        <w:rPr>
          <w:rFonts w:hint="eastAsia" w:ascii="宋体" w:hAnsi="宋体" w:eastAsia="宋体" w:cs="宋体"/>
          <w:color w:val="auto"/>
          <w:sz w:val="24"/>
          <w:szCs w:val="24"/>
          <w:highlight w:val="none"/>
        </w:rPr>
        <w:t>前   附  表</w:t>
      </w:r>
      <w:bookmarkEnd w:id="44"/>
      <w:bookmarkEnd w:id="45"/>
      <w:bookmarkEnd w:id="46"/>
      <w:bookmarkEnd w:id="47"/>
      <w:bookmarkEnd w:id="48"/>
      <w:bookmarkEnd w:id="49"/>
    </w:p>
    <w:tbl>
      <w:tblPr>
        <w:tblStyle w:val="36"/>
        <w:tblW w:w="9425" w:type="dxa"/>
        <w:tblInd w:w="-61" w:type="dxa"/>
        <w:tblLayout w:type="autofit"/>
        <w:tblCellMar>
          <w:top w:w="0" w:type="dxa"/>
          <w:left w:w="108" w:type="dxa"/>
          <w:bottom w:w="0" w:type="dxa"/>
          <w:right w:w="108" w:type="dxa"/>
        </w:tblCellMar>
      </w:tblPr>
      <w:tblGrid>
        <w:gridCol w:w="818"/>
        <w:gridCol w:w="8607"/>
      </w:tblGrid>
      <w:tr w14:paraId="24F5EFF4">
        <w:tblPrEx>
          <w:tblCellMar>
            <w:top w:w="0" w:type="dxa"/>
            <w:left w:w="108" w:type="dxa"/>
            <w:bottom w:w="0" w:type="dxa"/>
            <w:right w:w="108" w:type="dxa"/>
          </w:tblCellMar>
        </w:tblPrEx>
        <w:trPr>
          <w:trHeight w:val="667"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43D99502">
            <w:pPr>
              <w:jc w:val="center"/>
              <w:rPr>
                <w:rFonts w:hint="eastAsia" w:eastAsia="宋体"/>
                <w:b/>
                <w:bCs/>
                <w:lang w:val="en-US" w:eastAsia="zh-CN"/>
              </w:rPr>
            </w:pPr>
            <w:r>
              <w:rPr>
                <w:rFonts w:hint="eastAsia"/>
                <w:b/>
                <w:bCs/>
                <w:lang w:val="en-US" w:eastAsia="zh-CN"/>
              </w:rPr>
              <w:t>序号</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0156E1F">
            <w:pPr>
              <w:jc w:val="center"/>
              <w:rPr>
                <w:rFonts w:hint="eastAsia"/>
                <w:b/>
                <w:bCs/>
                <w:lang w:val="zh-CN"/>
              </w:rPr>
            </w:pPr>
            <w:r>
              <w:rPr>
                <w:rFonts w:hint="eastAsia"/>
                <w:b/>
                <w:bCs/>
                <w:lang w:val="zh-CN"/>
              </w:rPr>
              <w:t>内容及相关规定</w:t>
            </w:r>
          </w:p>
        </w:tc>
      </w:tr>
      <w:tr w14:paraId="23771840">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right w:val="single" w:color="auto" w:sz="6" w:space="0"/>
            </w:tcBorders>
            <w:noWrap w:val="0"/>
            <w:vAlign w:val="center"/>
          </w:tcPr>
          <w:p w14:paraId="15200839">
            <w:pPr>
              <w:jc w:val="center"/>
              <w:rPr>
                <w:rFonts w:hint="eastAsia" w:ascii="宋体" w:hAnsi="宋体" w:eastAsia="宋体" w:cs="宋体"/>
                <w:lang w:val="zh-CN"/>
              </w:rPr>
            </w:pPr>
            <w:r>
              <w:rPr>
                <w:rFonts w:hint="eastAsia" w:ascii="宋体" w:hAnsi="宋体" w:eastAsia="宋体" w:cs="宋体"/>
                <w:lang w:val="zh-CN"/>
              </w:rPr>
              <w:t>1</w:t>
            </w:r>
          </w:p>
        </w:tc>
        <w:tc>
          <w:tcPr>
            <w:tcW w:w="8607" w:type="dxa"/>
            <w:tcBorders>
              <w:top w:val="single" w:color="auto" w:sz="6" w:space="0"/>
              <w:left w:val="single" w:color="auto" w:sz="6" w:space="0"/>
              <w:right w:val="single" w:color="auto" w:sz="6" w:space="0"/>
            </w:tcBorders>
            <w:noWrap w:val="0"/>
            <w:vAlign w:val="center"/>
          </w:tcPr>
          <w:p w14:paraId="70B6D0BC">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2024年度第二批未来社区创建实施方案编制服务采购项目</w:t>
            </w:r>
          </w:p>
          <w:p w14:paraId="35BDDA6E">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HZSY20240930</w:t>
            </w:r>
          </w:p>
          <w:p w14:paraId="53E62288">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项目内容：详见招标文件第二章</w:t>
            </w:r>
          </w:p>
        </w:tc>
      </w:tr>
      <w:tr w14:paraId="3DA12E2A">
        <w:tblPrEx>
          <w:tblCellMar>
            <w:top w:w="0" w:type="dxa"/>
            <w:left w:w="108" w:type="dxa"/>
            <w:bottom w:w="0" w:type="dxa"/>
            <w:right w:w="108" w:type="dxa"/>
          </w:tblCellMar>
        </w:tblPrEx>
        <w:trPr>
          <w:trHeight w:val="840" w:hRule="atLeast"/>
        </w:trPr>
        <w:tc>
          <w:tcPr>
            <w:tcW w:w="818" w:type="dxa"/>
            <w:tcBorders>
              <w:top w:val="single" w:color="auto" w:sz="6" w:space="0"/>
              <w:left w:val="single" w:color="auto" w:sz="6" w:space="0"/>
              <w:right w:val="single" w:color="auto" w:sz="6" w:space="0"/>
            </w:tcBorders>
            <w:noWrap w:val="0"/>
            <w:vAlign w:val="center"/>
          </w:tcPr>
          <w:p w14:paraId="10CA46DD">
            <w:pPr>
              <w:jc w:val="center"/>
              <w:rPr>
                <w:rFonts w:hint="eastAsia" w:ascii="宋体" w:hAnsi="宋体" w:eastAsia="宋体" w:cs="宋体"/>
              </w:rPr>
            </w:pPr>
            <w:r>
              <w:rPr>
                <w:rFonts w:hint="eastAsia" w:ascii="宋体" w:hAnsi="宋体" w:eastAsia="宋体" w:cs="宋体"/>
              </w:rPr>
              <w:t>2</w:t>
            </w:r>
          </w:p>
        </w:tc>
        <w:tc>
          <w:tcPr>
            <w:tcW w:w="8607" w:type="dxa"/>
            <w:tcBorders>
              <w:top w:val="single" w:color="auto" w:sz="6" w:space="0"/>
              <w:left w:val="single" w:color="auto" w:sz="6" w:space="0"/>
              <w:right w:val="single" w:color="auto" w:sz="6" w:space="0"/>
            </w:tcBorders>
            <w:noWrap w:val="0"/>
            <w:vAlign w:val="center"/>
          </w:tcPr>
          <w:p w14:paraId="6C8BA28A">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采购资金来源：</w:t>
            </w:r>
            <w:r>
              <w:rPr>
                <w:rFonts w:hint="eastAsia" w:ascii="宋体" w:hAnsi="宋体" w:cs="宋体"/>
                <w:color w:val="auto"/>
                <w:szCs w:val="21"/>
                <w:highlight w:val="none"/>
                <w:lang w:val="en-US" w:eastAsia="zh-CN"/>
              </w:rPr>
              <w:t>预算内</w:t>
            </w:r>
            <w:r>
              <w:rPr>
                <w:rFonts w:hint="eastAsia" w:ascii="宋体" w:hAnsi="宋体" w:cs="宋体"/>
                <w:color w:val="auto"/>
                <w:szCs w:val="21"/>
                <w:highlight w:val="none"/>
              </w:rPr>
              <w:t>资金，已落实。</w:t>
            </w:r>
          </w:p>
          <w:p w14:paraId="74DBF51E">
            <w:pPr>
              <w:keepNext w:val="0"/>
              <w:keepLines w:val="0"/>
              <w:pageBreakBefore w:val="0"/>
              <w:widowControl w:val="0"/>
              <w:shd w:val="clear"/>
              <w:kinsoku/>
              <w:wordWrap/>
              <w:overflowPunct/>
              <w:topLinePunct w:val="0"/>
              <w:bidi w:val="0"/>
              <w:adjustRightInd w:val="0"/>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支付。</w:t>
            </w:r>
          </w:p>
        </w:tc>
      </w:tr>
      <w:tr w14:paraId="4A119BAE">
        <w:tblPrEx>
          <w:tblCellMar>
            <w:top w:w="0" w:type="dxa"/>
            <w:left w:w="108" w:type="dxa"/>
            <w:bottom w:w="0" w:type="dxa"/>
            <w:right w:w="108" w:type="dxa"/>
          </w:tblCellMar>
        </w:tblPrEx>
        <w:trPr>
          <w:trHeight w:val="55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76FEF7C">
            <w:pPr>
              <w:jc w:val="center"/>
              <w:rPr>
                <w:rFonts w:hint="eastAsia" w:ascii="宋体" w:hAnsi="宋体" w:eastAsia="宋体" w:cs="宋体"/>
                <w:lang w:val="zh-CN"/>
              </w:rPr>
            </w:pPr>
            <w:r>
              <w:rPr>
                <w:rFonts w:hint="eastAsia" w:ascii="宋体" w:hAnsi="宋体" w:eastAsia="宋体" w:cs="宋体"/>
              </w:rPr>
              <w:t>3</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D2104B6">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投标人资格要求：见招标公告第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val="zh-CN"/>
              </w:rPr>
              <w:t>条</w:t>
            </w:r>
          </w:p>
        </w:tc>
      </w:tr>
      <w:tr w14:paraId="354299D5">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574F9F0">
            <w:pPr>
              <w:jc w:val="center"/>
              <w:rPr>
                <w:rFonts w:hint="eastAsia" w:ascii="宋体" w:hAnsi="宋体" w:eastAsia="宋体" w:cs="宋体"/>
                <w:lang w:val="zh-CN"/>
              </w:rPr>
            </w:pPr>
            <w:r>
              <w:rPr>
                <w:rFonts w:hint="eastAsia" w:ascii="宋体" w:hAnsi="宋体" w:eastAsia="宋体" w:cs="宋体"/>
              </w:rPr>
              <w:t>4</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A25F637">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投标有效期：</w:t>
            </w:r>
          </w:p>
          <w:p w14:paraId="2D651EB8">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自投标截止日起90天。</w:t>
            </w:r>
          </w:p>
          <w:p w14:paraId="78E100C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bidi="ar"/>
              </w:rPr>
              <w:t>投标截止后，在投标有效期内，投标人不能撤销投标文件。投标人强行撤销投标文件的，应按预算金额的2%赔偿对招标代理机构造成的损失。</w:t>
            </w:r>
          </w:p>
        </w:tc>
      </w:tr>
      <w:tr w14:paraId="2169DE6A">
        <w:tblPrEx>
          <w:tblCellMar>
            <w:top w:w="0" w:type="dxa"/>
            <w:left w:w="108" w:type="dxa"/>
            <w:bottom w:w="0" w:type="dxa"/>
            <w:right w:w="108" w:type="dxa"/>
          </w:tblCellMar>
        </w:tblPrEx>
        <w:trPr>
          <w:trHeight w:val="52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AF6EBCB">
            <w:pPr>
              <w:jc w:val="center"/>
              <w:rPr>
                <w:rFonts w:hint="eastAsia" w:ascii="宋体" w:hAnsi="宋体" w:eastAsia="宋体" w:cs="宋体"/>
                <w:lang w:val="zh-CN"/>
              </w:rPr>
            </w:pPr>
            <w:r>
              <w:rPr>
                <w:rFonts w:hint="eastAsia" w:ascii="宋体" w:hAnsi="宋体" w:eastAsia="宋体" w:cs="宋体"/>
              </w:rPr>
              <w:t>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6E7B979">
            <w:pPr>
              <w:keepNext w:val="0"/>
              <w:keepLines w:val="0"/>
              <w:pageBreakBefore w:val="0"/>
              <w:widowControl w:val="0"/>
              <w:shd w:val="clear"/>
              <w:kinsoku/>
              <w:wordWrap/>
              <w:overflowPunct/>
              <w:topLinePunct w:val="0"/>
              <w:autoSpaceDE w:val="0"/>
              <w:autoSpaceDN w:val="0"/>
              <w:bidi w:val="0"/>
              <w:snapToGrid w:val="0"/>
              <w:spacing w:line="360" w:lineRule="exact"/>
              <w:ind w:left="1"/>
              <w:textAlignment w:val="bottom"/>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投标保证金：</w:t>
            </w:r>
            <w:r>
              <w:rPr>
                <w:rFonts w:hint="eastAsia" w:ascii="宋体" w:hAnsi="宋体" w:cs="宋体"/>
                <w:color w:val="auto"/>
                <w:szCs w:val="21"/>
                <w:highlight w:val="none"/>
              </w:rPr>
              <w:t>无。</w:t>
            </w:r>
          </w:p>
        </w:tc>
      </w:tr>
      <w:tr w14:paraId="4A702325">
        <w:tblPrEx>
          <w:tblCellMar>
            <w:top w:w="0" w:type="dxa"/>
            <w:left w:w="108" w:type="dxa"/>
            <w:bottom w:w="0" w:type="dxa"/>
            <w:right w:w="108" w:type="dxa"/>
          </w:tblCellMar>
        </w:tblPrEx>
        <w:trPr>
          <w:trHeight w:val="1942"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4432306">
            <w:pPr>
              <w:jc w:val="center"/>
              <w:rPr>
                <w:rFonts w:hint="eastAsia" w:ascii="宋体" w:hAnsi="宋体" w:eastAsia="宋体" w:cs="宋体"/>
              </w:rPr>
            </w:pPr>
            <w:r>
              <w:rPr>
                <w:rFonts w:hint="eastAsia" w:ascii="宋体" w:hAnsi="宋体" w:eastAsia="宋体" w:cs="宋体"/>
              </w:rPr>
              <w:t>6</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708292B5">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投标报价及费用：</w:t>
            </w:r>
          </w:p>
          <w:p w14:paraId="1D6A76C4">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1、本项目投标应以人民币报价；</w:t>
            </w:r>
          </w:p>
          <w:p w14:paraId="1F08748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2、不论投标结果如何，投标人均应自行承担所有与投标有关的全部费用；</w:t>
            </w:r>
          </w:p>
          <w:p w14:paraId="7D83B31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3、采购代理费用由成交供应商支付，</w:t>
            </w:r>
            <w:r>
              <w:rPr>
                <w:rFonts w:hint="eastAsia" w:ascii="宋体" w:hAnsi="宋体" w:eastAsia="宋体" w:cs="宋体"/>
                <w:color w:val="auto"/>
                <w:szCs w:val="21"/>
                <w:highlight w:val="none"/>
                <w:lang w:val="en-US" w:eastAsia="zh-CN" w:bidi="ar"/>
              </w:rPr>
              <w:t>代理费收费按成交价采用差额定率累进计费，100万元以下按照1.5%计取；100-500万元按照0.8%计取</w:t>
            </w:r>
            <w:r>
              <w:rPr>
                <w:rFonts w:hint="eastAsia" w:ascii="宋体" w:hAnsi="宋体" w:eastAsia="宋体" w:cs="宋体"/>
                <w:color w:val="auto"/>
                <w:szCs w:val="21"/>
                <w:highlight w:val="none"/>
                <w:lang w:bidi="ar"/>
              </w:rPr>
              <w:t xml:space="preserve">。结算方式时间为：中标供应商在领取中标通知书前，以转账、银行汇票或现金缴入代理公司账户为准 。账户信息如下： </w:t>
            </w:r>
          </w:p>
          <w:p w14:paraId="73DA977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账户名称：湖州盛远招标代理有限公司</w:t>
            </w:r>
          </w:p>
          <w:p w14:paraId="453BF35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开户银行：浙江安吉农村商业银行股份有限公司城南支行</w:t>
            </w:r>
          </w:p>
          <w:p w14:paraId="690DCDF9">
            <w:pPr>
              <w:pStyle w:val="6"/>
              <w:keepNext w:val="0"/>
              <w:keepLines w:val="0"/>
              <w:pageBreakBefore w:val="0"/>
              <w:widowControl w:val="0"/>
              <w:shd w:val="clear"/>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color w:val="auto"/>
                <w:szCs w:val="21"/>
                <w:highlight w:val="none"/>
              </w:rPr>
            </w:pPr>
            <w:r>
              <w:rPr>
                <w:rFonts w:hint="eastAsia" w:ascii="宋体" w:hAnsi="宋体" w:eastAsia="宋体" w:cs="宋体"/>
                <w:b/>
                <w:bCs/>
                <w:color w:val="000000"/>
                <w:sz w:val="21"/>
                <w:szCs w:val="21"/>
              </w:rPr>
              <w:t>银行账号：2010 0024 3676 462</w:t>
            </w:r>
          </w:p>
        </w:tc>
      </w:tr>
      <w:tr w14:paraId="2BB2F559">
        <w:tblPrEx>
          <w:tblCellMar>
            <w:top w:w="0" w:type="dxa"/>
            <w:left w:w="108" w:type="dxa"/>
            <w:bottom w:w="0" w:type="dxa"/>
            <w:right w:w="108" w:type="dxa"/>
          </w:tblCellMar>
        </w:tblPrEx>
        <w:trPr>
          <w:trHeight w:val="51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1119399">
            <w:pPr>
              <w:jc w:val="center"/>
              <w:rPr>
                <w:rFonts w:hint="eastAsia" w:ascii="宋体" w:hAnsi="宋体" w:eastAsia="宋体" w:cs="宋体"/>
              </w:rPr>
            </w:pPr>
            <w:r>
              <w:rPr>
                <w:rFonts w:hint="eastAsia" w:ascii="宋体" w:hAnsi="宋体" w:eastAsia="宋体" w:cs="宋体"/>
              </w:rPr>
              <w:t>7</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EB70F61">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zh-CN"/>
              </w:rPr>
              <w:t>本项目投标报价上限：</w:t>
            </w:r>
            <w:r>
              <w:rPr>
                <w:rFonts w:hint="eastAsia" w:ascii="宋体" w:hAnsi="宋体" w:cs="宋体"/>
                <w:color w:val="auto"/>
                <w:szCs w:val="21"/>
                <w:highlight w:val="none"/>
                <w:lang w:val="en-US" w:eastAsia="zh-CN"/>
              </w:rPr>
              <w:t>180万元</w:t>
            </w:r>
          </w:p>
          <w:p w14:paraId="72A2ACE3">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报价不得超</w:t>
            </w:r>
            <w:r>
              <w:rPr>
                <w:rFonts w:hint="eastAsia" w:ascii="宋体" w:hAnsi="宋体" w:cs="宋体"/>
                <w:color w:val="auto"/>
                <w:szCs w:val="21"/>
                <w:highlight w:val="none"/>
                <w:lang w:val="en-US" w:eastAsia="zh-CN"/>
              </w:rPr>
              <w:t>预算价</w:t>
            </w:r>
            <w:r>
              <w:rPr>
                <w:rFonts w:hint="eastAsia" w:ascii="宋体" w:hAnsi="宋体" w:cs="宋体"/>
                <w:color w:val="auto"/>
                <w:szCs w:val="21"/>
                <w:highlight w:val="none"/>
              </w:rPr>
              <w:t>，否则投标无效。</w:t>
            </w:r>
          </w:p>
        </w:tc>
      </w:tr>
      <w:tr w14:paraId="0CFB200F">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4A293A6">
            <w:pPr>
              <w:jc w:val="center"/>
              <w:rPr>
                <w:rFonts w:hint="eastAsia" w:ascii="宋体" w:hAnsi="宋体" w:eastAsia="宋体" w:cs="宋体"/>
              </w:rPr>
            </w:pPr>
            <w:r>
              <w:rPr>
                <w:rFonts w:hint="eastAsia" w:ascii="宋体" w:hAnsi="宋体" w:eastAsia="宋体" w:cs="宋体"/>
              </w:rPr>
              <w:t>8</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4D83A38">
            <w:pPr>
              <w:pStyle w:val="6"/>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现场踏勘：</w:t>
            </w:r>
          </w:p>
          <w:p w14:paraId="0776E316">
            <w:pPr>
              <w:pStyle w:val="6"/>
              <w:keepNext w:val="0"/>
              <w:keepLines w:val="0"/>
              <w:pageBreakBefore w:val="0"/>
              <w:widowControl w:val="0"/>
              <w:shd w:val="clear"/>
              <w:kinsoku/>
              <w:wordWrap/>
              <w:overflowPunct/>
              <w:topLinePunct w:val="0"/>
              <w:bidi w:val="0"/>
              <w:spacing w:line="360" w:lineRule="exact"/>
              <w:ind w:firstLine="0"/>
              <w:rPr>
                <w:rFonts w:hint="eastAsia" w:ascii="宋体" w:hAnsi="宋体" w:cs="宋体"/>
                <w:color w:val="auto"/>
                <w:szCs w:val="21"/>
                <w:highlight w:val="none"/>
              </w:rPr>
            </w:pPr>
            <w:r>
              <w:rPr>
                <w:rFonts w:hint="eastAsia" w:ascii="宋体" w:hAnsi="宋体" w:cs="宋体"/>
                <w:color w:val="auto"/>
                <w:szCs w:val="21"/>
                <w:highlight w:val="none"/>
              </w:rPr>
              <w:t>不集中组织，投标人可自行前往，踏勘现场所发生的费用由投标人自己承担。</w:t>
            </w:r>
          </w:p>
        </w:tc>
      </w:tr>
      <w:tr w14:paraId="3817005E">
        <w:tblPrEx>
          <w:tblCellMar>
            <w:top w:w="0" w:type="dxa"/>
            <w:left w:w="108" w:type="dxa"/>
            <w:bottom w:w="0" w:type="dxa"/>
            <w:right w:w="108" w:type="dxa"/>
          </w:tblCellMar>
        </w:tblPrEx>
        <w:trPr>
          <w:trHeight w:val="477"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2D3C636">
            <w:pPr>
              <w:jc w:val="center"/>
              <w:rPr>
                <w:rFonts w:hint="eastAsia" w:ascii="宋体" w:hAnsi="宋体" w:eastAsia="宋体" w:cs="宋体"/>
              </w:rPr>
            </w:pPr>
            <w:r>
              <w:rPr>
                <w:rFonts w:hint="eastAsia" w:ascii="宋体" w:hAnsi="宋体" w:eastAsia="宋体" w:cs="宋体"/>
              </w:rPr>
              <w:t>9</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6A83BD4">
            <w:pPr>
              <w:keepNext w:val="0"/>
              <w:keepLines w:val="0"/>
              <w:pageBreakBefore w:val="0"/>
              <w:widowControl w:val="0"/>
              <w:shd w:val="clear"/>
              <w:kinsoku/>
              <w:wordWrap/>
              <w:overflowPunct/>
              <w:topLinePunct w:val="0"/>
              <w:bidi w:val="0"/>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答疑与澄清：</w:t>
            </w:r>
          </w:p>
          <w:p w14:paraId="7432FFC4">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74A3720D">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50920F74">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质疑受理：投标人应将书面质疑函邮寄至</w:t>
            </w:r>
            <w:r>
              <w:rPr>
                <w:rFonts w:hint="eastAsia" w:ascii="宋体" w:hAnsi="宋体" w:cs="宋体"/>
                <w:color w:val="auto"/>
                <w:szCs w:val="21"/>
                <w:highlight w:val="none"/>
              </w:rPr>
              <w:t>浙江省</w:t>
            </w:r>
            <w:r>
              <w:rPr>
                <w:rFonts w:hint="eastAsia" w:ascii="宋体" w:hAnsi="宋体" w:cs="宋体"/>
                <w:color w:val="auto"/>
                <w:szCs w:val="21"/>
                <w:highlight w:val="none"/>
                <w:lang w:eastAsia="zh-CN"/>
              </w:rPr>
              <w:t>安吉县昌硕街道上郎新村6-9幢上郎社区文化服务楼3楼湖州盛远招标代理有限公司</w:t>
            </w:r>
            <w:r>
              <w:rPr>
                <w:rFonts w:hint="eastAsia" w:ascii="宋体" w:hAnsi="宋体" w:cs="宋体"/>
                <w:color w:val="auto"/>
                <w:szCs w:val="21"/>
                <w:highlight w:val="none"/>
              </w:rPr>
              <w:t xml:space="preserve">，联系人 </w:t>
            </w:r>
            <w:r>
              <w:rPr>
                <w:rFonts w:hint="eastAsia" w:ascii="宋体" w:hAnsi="宋体" w:cs="宋体"/>
                <w:color w:val="auto"/>
                <w:szCs w:val="21"/>
                <w:highlight w:val="none"/>
                <w:lang w:eastAsia="zh-CN"/>
              </w:rPr>
              <w:t>苗女士 15067281069</w:t>
            </w:r>
            <w:r>
              <w:rPr>
                <w:rFonts w:hint="eastAsia" w:ascii="宋体" w:hAnsi="宋体" w:cs="宋体"/>
                <w:color w:val="auto"/>
                <w:szCs w:val="21"/>
                <w:highlight w:val="none"/>
              </w:rPr>
              <w:t>，同时将质疑函扫描件以电子邮件形式发送至电子邮箱</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fldChar w:fldCharType="begin"/>
            </w:r>
            <w:r>
              <w:rPr>
                <w:rFonts w:ascii="宋体" w:hAnsi="宋体" w:cs="宋体"/>
                <w:color w:val="auto"/>
                <w:szCs w:val="21"/>
                <w:highlight w:val="none"/>
                <w:u w:val="single"/>
              </w:rPr>
              <w:instrText xml:space="preserve"> HYPERLINK "mailto:</w:instrText>
            </w:r>
            <w:r>
              <w:rPr>
                <w:rFonts w:hint="eastAsia" w:ascii="宋体" w:hAnsi="宋体" w:cs="宋体"/>
                <w:color w:val="auto"/>
                <w:szCs w:val="21"/>
                <w:highlight w:val="none"/>
                <w:u w:val="single"/>
              </w:rPr>
              <w:instrText xml:space="preserve">379797688@qq.com</w:instrText>
            </w:r>
            <w:r>
              <w:rPr>
                <w:rFonts w:ascii="宋体" w:hAnsi="宋体" w:cs="宋体"/>
                <w:color w:val="auto"/>
                <w:szCs w:val="21"/>
                <w:highlight w:val="none"/>
                <w:u w:val="single"/>
              </w:rPr>
              <w:instrText xml:space="preserve">" </w:instrText>
            </w:r>
            <w:r>
              <w:rPr>
                <w:rFonts w:ascii="宋体" w:hAnsi="宋体" w:cs="宋体"/>
                <w:color w:val="auto"/>
                <w:szCs w:val="21"/>
                <w:highlight w:val="none"/>
                <w:u w:val="single"/>
              </w:rPr>
              <w:fldChar w:fldCharType="separate"/>
            </w:r>
            <w:r>
              <w:rPr>
                <w:rFonts w:hint="eastAsia" w:ascii="宋体" w:hAnsi="宋体" w:cs="宋体"/>
                <w:color w:val="auto"/>
                <w:szCs w:val="21"/>
                <w:highlight w:val="none"/>
                <w:u w:val="single"/>
                <w:lang w:val="en-US" w:eastAsia="zh-CN"/>
              </w:rPr>
              <w:t>313944962</w:t>
            </w:r>
            <w:r>
              <w:rPr>
                <w:rStyle w:val="42"/>
                <w:rFonts w:hint="eastAsia" w:ascii="宋体" w:hAnsi="宋体" w:cs="宋体"/>
                <w:color w:val="auto"/>
                <w:szCs w:val="21"/>
                <w:highlight w:val="none"/>
              </w:rPr>
              <w:t>@qq.com</w:t>
            </w:r>
            <w:r>
              <w:rPr>
                <w:rFonts w:ascii="宋体" w:hAnsi="宋体" w:cs="宋体"/>
                <w:color w:val="auto"/>
                <w:szCs w:val="21"/>
                <w:highlight w:val="none"/>
                <w:u w:val="single"/>
              </w:rPr>
              <w:fldChar w:fldCharType="end"/>
            </w:r>
            <w:r>
              <w:rPr>
                <w:rFonts w:hint="eastAsia" w:ascii="宋体" w:hAnsi="宋体" w:cs="宋体"/>
                <w:color w:val="auto"/>
                <w:szCs w:val="21"/>
                <w:highlight w:val="none"/>
                <w:u w:val="single"/>
              </w:rPr>
              <w:t>。</w:t>
            </w:r>
          </w:p>
        </w:tc>
      </w:tr>
      <w:tr w14:paraId="3FC6E1B8">
        <w:tblPrEx>
          <w:tblCellMar>
            <w:top w:w="0" w:type="dxa"/>
            <w:left w:w="108" w:type="dxa"/>
            <w:bottom w:w="0" w:type="dxa"/>
            <w:right w:w="108" w:type="dxa"/>
          </w:tblCellMar>
        </w:tblPrEx>
        <w:trPr>
          <w:trHeight w:val="4760"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65C3F64">
            <w:pPr>
              <w:jc w:val="center"/>
              <w:rPr>
                <w:rFonts w:hint="eastAsia" w:ascii="宋体" w:hAnsi="宋体" w:eastAsia="宋体" w:cs="宋体"/>
              </w:rPr>
            </w:pPr>
            <w:r>
              <w:rPr>
                <w:rFonts w:hint="eastAsia" w:ascii="宋体" w:hAnsi="宋体" w:eastAsia="宋体" w:cs="宋体"/>
              </w:rPr>
              <w:t>10</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AA53E9A">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投标文件的制作及组成：</w:t>
            </w:r>
          </w:p>
          <w:p w14:paraId="76A3E9EC">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lang w:val="zh-CN"/>
              </w:rPr>
            </w:pPr>
            <w:r>
              <w:rPr>
                <w:rFonts w:hint="eastAsia"/>
                <w:highlight w:val="none"/>
              </w:rPr>
              <w:t>(1)</w:t>
            </w:r>
            <w:r>
              <w:rPr>
                <w:rFonts w:hint="eastAsia"/>
                <w:highlight w:val="none"/>
                <w:lang w:val="zh-CN"/>
              </w:rPr>
              <w:t>投标文件组成：</w:t>
            </w:r>
          </w:p>
          <w:p w14:paraId="58058C89">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lang w:val="zh-CN"/>
              </w:rPr>
            </w:pPr>
            <w:r>
              <w:rPr>
                <w:rFonts w:hint="eastAsia"/>
                <w:highlight w:val="none"/>
                <w:lang w:val="zh-CN"/>
              </w:rPr>
              <w:t>资格证明文件、报价文件、技术资信文件。</w:t>
            </w:r>
          </w:p>
          <w:p w14:paraId="6A8B258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(2)投标文件编制：</w:t>
            </w:r>
          </w:p>
          <w:p w14:paraId="7F25520B">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投标人应先安装“政采云电子交易客户端”，并按照本招标文件和“政采云平台”的要求，通过“政采云电子交易客户端”编制并加密投标文件。</w:t>
            </w:r>
          </w:p>
          <w:p w14:paraId="59FBE7DE">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(3)投标文件的形式：</w:t>
            </w:r>
          </w:p>
          <w:p w14:paraId="1ABEDDC4">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☑电子投标文件（包括“电子加密投标文件”和“备份投标文件”，在投标文件编制完成后同时生成）。</w:t>
            </w:r>
          </w:p>
          <w:p w14:paraId="3ED6232A">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highlight w:val="none"/>
              </w:rPr>
            </w:pPr>
            <w:r>
              <w:rPr>
                <w:rFonts w:hint="eastAsia"/>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13151546">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highlight w:val="none"/>
              </w:rPr>
            </w:pPr>
            <w:r>
              <w:rPr>
                <w:rFonts w:hint="eastAsia"/>
                <w:highlight w:val="none"/>
              </w:rPr>
              <w:t>(4</w:t>
            </w:r>
            <w:r>
              <w:rPr>
                <w:rFonts w:hint="eastAsia" w:ascii="宋体" w:hAnsi="宋体" w:eastAsia="宋体" w:cs="宋体"/>
                <w:highlight w:val="none"/>
              </w:rPr>
              <w:t>)投标文件份数：</w:t>
            </w:r>
          </w:p>
          <w:p w14:paraId="6230FDF1">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eastAsia="宋体" w:cs="宋体"/>
                <w:highlight w:val="none"/>
              </w:rPr>
            </w:pPr>
            <w:r>
              <w:rPr>
                <w:rFonts w:hint="eastAsia" w:ascii="宋体" w:hAnsi="宋体" w:eastAsia="宋体" w:cs="宋体"/>
                <w:highlight w:val="none"/>
              </w:rPr>
              <w:t>“电子加密投标文件”(必须提交）：在线上传递交一份。</w:t>
            </w:r>
          </w:p>
          <w:p w14:paraId="4DEF4EB2">
            <w:pPr>
              <w:keepNext w:val="0"/>
              <w:keepLines w:val="0"/>
              <w:pageBreakBefore w:val="0"/>
              <w:widowControl/>
              <w:shd w:val="clear"/>
              <w:kinsoku/>
              <w:wordWrap/>
              <w:overflowPunct/>
              <w:topLinePunct w:val="0"/>
              <w:autoSpaceDE w:val="0"/>
              <w:autoSpaceDN w:val="0"/>
              <w:bidi w:val="0"/>
              <w:adjustRightInd w:val="0"/>
              <w:spacing w:line="360" w:lineRule="exact"/>
              <w:jc w:val="left"/>
              <w:rPr>
                <w:highlight w:val="none"/>
              </w:rPr>
            </w:pPr>
            <w:r>
              <w:rPr>
                <w:rFonts w:hint="eastAsia" w:ascii="宋体" w:hAnsi="宋体" w:eastAsia="宋体" w:cs="宋体"/>
                <w:highlight w:val="none"/>
              </w:rPr>
              <w:t>“备份投标文件”（不强制提交）：密封包装后在投标截止时间前邮寄至</w:t>
            </w:r>
            <w:r>
              <w:rPr>
                <w:rFonts w:hint="eastAsia" w:ascii="宋体" w:hAnsi="宋体" w:eastAsia="宋体" w:cs="宋体"/>
                <w:highlight w:val="none"/>
                <w:lang w:eastAsia="zh-CN"/>
              </w:rPr>
              <w:t>安吉县昌硕街道上郎新村6-9幢上郎社区文化服务楼3楼湖州盛远招标代理有限公司</w:t>
            </w:r>
            <w:r>
              <w:rPr>
                <w:rFonts w:hint="eastAsia" w:ascii="宋体" w:hAnsi="宋体" w:eastAsia="宋体" w:cs="宋体"/>
                <w:highlight w:val="none"/>
              </w:rPr>
              <w:t>，联系人</w:t>
            </w:r>
            <w:r>
              <w:rPr>
                <w:rFonts w:hint="eastAsia" w:ascii="宋体" w:hAnsi="宋体" w:eastAsia="宋体" w:cs="宋体"/>
                <w:highlight w:val="none"/>
                <w:lang w:val="en-US" w:eastAsia="zh-CN"/>
              </w:rPr>
              <w:t>沈女士</w:t>
            </w:r>
            <w:r>
              <w:rPr>
                <w:rFonts w:hint="eastAsia" w:ascii="宋体" w:hAnsi="宋体" w:eastAsia="宋体" w:cs="宋体"/>
                <w:highlight w:val="none"/>
              </w:rPr>
              <w:t>，联系电话</w:t>
            </w:r>
            <w:r>
              <w:rPr>
                <w:rFonts w:hint="eastAsia" w:ascii="宋体" w:hAnsi="宋体" w:eastAsia="宋体" w:cs="宋体"/>
                <w:highlight w:val="none"/>
                <w:lang w:eastAsia="zh-CN"/>
              </w:rPr>
              <w:t>13385728189</w:t>
            </w:r>
            <w:r>
              <w:rPr>
                <w:rFonts w:hint="eastAsia" w:ascii="宋体" w:hAnsi="宋体" w:eastAsia="宋体" w:cs="宋体"/>
                <w:highlight w:val="none"/>
              </w:rPr>
              <w:t>，数量为U盘一份。</w:t>
            </w:r>
          </w:p>
        </w:tc>
      </w:tr>
      <w:tr w14:paraId="04616DFF">
        <w:tblPrEx>
          <w:tblCellMar>
            <w:top w:w="0" w:type="dxa"/>
            <w:left w:w="108" w:type="dxa"/>
            <w:bottom w:w="0" w:type="dxa"/>
            <w:right w:w="108" w:type="dxa"/>
          </w:tblCellMar>
        </w:tblPrEx>
        <w:trPr>
          <w:trHeight w:val="376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429B3D55">
            <w:pPr>
              <w:jc w:val="center"/>
              <w:rPr>
                <w:rFonts w:hint="eastAsia" w:ascii="宋体" w:hAnsi="宋体" w:eastAsia="宋体" w:cs="宋体"/>
              </w:rPr>
            </w:pPr>
            <w:r>
              <w:rPr>
                <w:rFonts w:hint="eastAsia" w:ascii="宋体" w:hAnsi="宋体" w:eastAsia="宋体" w:cs="宋体"/>
              </w:rPr>
              <w:t>11</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A5EF45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投标文件的上传和递交：</w:t>
            </w:r>
          </w:p>
          <w:p w14:paraId="7FABB6BE">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（1）“电子加密投标文件”的上传、递交：</w:t>
            </w:r>
          </w:p>
          <w:p w14:paraId="5BBD5C6D">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投标人应在投标截止时间前将“电子加密投标文件”成功上传递交至“政采云平台”，否则投标无效。</w:t>
            </w:r>
          </w:p>
          <w:p w14:paraId="33EFF40C">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“电子加密投标文件”成功上传递交后，投标人可自行打印投标文件接收回执。</w:t>
            </w:r>
          </w:p>
          <w:p w14:paraId="77B8BEE8">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（2）“备份投标文件”的密封包装、递交：</w:t>
            </w:r>
          </w:p>
          <w:p w14:paraId="5F003CE1">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投标人在“政采云平台”完成“电子加密投标文件”的上传递交后，还可以在投标截止时间前递交以介质（U盘）存储的 “备份投标文件”（一份）；</w:t>
            </w:r>
          </w:p>
          <w:p w14:paraId="0CD4ABE5">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“备份投标文件”应当密封包装，并在包装上标注投标项目名称、投标单位名称并加盖公章。没有密封包装或者逾期送达的“备份投标文件”无效；</w:t>
            </w:r>
          </w:p>
          <w:p w14:paraId="5B57C0E2">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rPr>
            </w:pPr>
            <w:r>
              <w:rPr>
                <w:rFonts w:hint="eastAsia"/>
                <w:color w:val="auto"/>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297CF8CF">
        <w:tblPrEx>
          <w:tblCellMar>
            <w:top w:w="0" w:type="dxa"/>
            <w:left w:w="108" w:type="dxa"/>
            <w:bottom w:w="0" w:type="dxa"/>
            <w:right w:w="108" w:type="dxa"/>
          </w:tblCellMar>
        </w:tblPrEx>
        <w:trPr>
          <w:trHeight w:val="977"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3BFCD28">
            <w:pPr>
              <w:jc w:val="center"/>
              <w:rPr>
                <w:rFonts w:hint="eastAsia" w:ascii="宋体" w:hAnsi="宋体" w:eastAsia="宋体" w:cs="宋体"/>
              </w:rPr>
            </w:pPr>
            <w:r>
              <w:rPr>
                <w:rFonts w:hint="eastAsia" w:ascii="宋体" w:hAnsi="宋体" w:eastAsia="宋体" w:cs="宋体"/>
              </w:rPr>
              <w:t>12</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2529EF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lang w:val="zh-CN"/>
              </w:rPr>
            </w:pPr>
            <w:r>
              <w:rPr>
                <w:rFonts w:hint="eastAsia"/>
                <w:color w:val="auto"/>
                <w:highlight w:val="none"/>
                <w:lang w:val="zh-CN"/>
              </w:rPr>
              <w:t>投标文件递交地点及截止时间：</w:t>
            </w:r>
          </w:p>
          <w:p w14:paraId="7E3CCC77">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color w:val="auto"/>
                <w:highlight w:val="none"/>
                <w:lang w:val="zh-CN"/>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通过“政采云平台（www.zcygov.cn）”实行在线投标响</w:t>
            </w:r>
            <w:r>
              <w:rPr>
                <w:rFonts w:hint="eastAsia"/>
                <w:color w:val="auto"/>
                <w:highlight w:val="none"/>
              </w:rPr>
              <w:t>应</w:t>
            </w:r>
          </w:p>
          <w:p w14:paraId="6D3C7E65">
            <w:pPr>
              <w:keepNext w:val="0"/>
              <w:keepLines w:val="0"/>
              <w:pageBreakBefore w:val="0"/>
              <w:widowControl w:val="0"/>
              <w:shd w:val="clear"/>
              <w:kinsoku/>
              <w:wordWrap/>
              <w:overflowPunct/>
              <w:topLinePunct w:val="0"/>
              <w:autoSpaceDE w:val="0"/>
              <w:autoSpaceDN w:val="0"/>
              <w:bidi w:val="0"/>
              <w:adjustRightInd w:val="0"/>
              <w:spacing w:line="360" w:lineRule="exact"/>
              <w:jc w:val="left"/>
              <w:rPr>
                <w:color w:val="auto"/>
                <w:highlight w:val="none"/>
              </w:rPr>
            </w:pPr>
            <w:r>
              <w:rPr>
                <w:rFonts w:hint="eastAsia"/>
                <w:color w:val="auto"/>
                <w:highlight w:val="none"/>
                <w:lang w:val="zh-CN"/>
              </w:rPr>
              <w:t>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21日14：00</w:t>
            </w:r>
            <w:r>
              <w:rPr>
                <w:rFonts w:hint="eastAsia"/>
                <w:color w:val="auto"/>
                <w:highlight w:val="none"/>
              </w:rPr>
              <w:t>时</w:t>
            </w:r>
          </w:p>
        </w:tc>
      </w:tr>
      <w:tr w14:paraId="41C99C59">
        <w:tblPrEx>
          <w:tblCellMar>
            <w:top w:w="0" w:type="dxa"/>
            <w:left w:w="108" w:type="dxa"/>
            <w:bottom w:w="0" w:type="dxa"/>
            <w:right w:w="108" w:type="dxa"/>
          </w:tblCellMar>
        </w:tblPrEx>
        <w:trPr>
          <w:trHeight w:val="269"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CAED97E">
            <w:pPr>
              <w:jc w:val="center"/>
              <w:rPr>
                <w:rFonts w:hint="eastAsia" w:ascii="宋体" w:hAnsi="宋体" w:eastAsia="宋体" w:cs="宋体"/>
              </w:rPr>
            </w:pPr>
            <w:r>
              <w:rPr>
                <w:rFonts w:hint="eastAsia" w:ascii="宋体" w:hAnsi="宋体" w:eastAsia="宋体" w:cs="宋体"/>
              </w:rPr>
              <w:t>13</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003CE48">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rPr>
            </w:pPr>
            <w:r>
              <w:rPr>
                <w:rFonts w:hint="eastAsia" w:ascii="宋体" w:hAnsi="宋体" w:cs="宋体"/>
                <w:color w:val="auto"/>
                <w:szCs w:val="21"/>
                <w:highlight w:val="none"/>
                <w:lang w:val="zh-CN"/>
              </w:rPr>
              <w:t>开标会议时间和地点</w:t>
            </w:r>
            <w:r>
              <w:rPr>
                <w:rFonts w:hint="eastAsia" w:ascii="宋体" w:hAnsi="宋体" w:cs="宋体"/>
                <w:color w:val="auto"/>
                <w:szCs w:val="21"/>
                <w:highlight w:val="none"/>
              </w:rPr>
              <w:t>：</w:t>
            </w:r>
          </w:p>
          <w:p w14:paraId="7CBA7385">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地点</w:t>
            </w:r>
            <w:r>
              <w:rPr>
                <w:rFonts w:hint="eastAsia" w:ascii="宋体" w:hAnsi="宋体" w:cs="宋体"/>
                <w:color w:val="auto"/>
                <w:szCs w:val="21"/>
                <w:highlight w:val="none"/>
              </w:rPr>
              <w:t>：通过“政采云平台（www.zcygov.cn）”实行在线开标</w:t>
            </w:r>
          </w:p>
          <w:p w14:paraId="3644DF90">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时间：</w:t>
            </w:r>
            <w:r>
              <w:rPr>
                <w:rFonts w:hint="eastAsia" w:ascii="宋体" w:hAnsi="宋体" w:cs="宋体"/>
                <w:color w:val="auto"/>
                <w:szCs w:val="21"/>
                <w:highlight w:val="none"/>
                <w:lang w:eastAsia="zh-CN"/>
              </w:rPr>
              <w:t>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21日14：00</w:t>
            </w:r>
            <w:r>
              <w:rPr>
                <w:rFonts w:hint="eastAsia" w:ascii="宋体" w:hAnsi="宋体" w:cs="宋体"/>
                <w:color w:val="auto"/>
                <w:szCs w:val="21"/>
                <w:highlight w:val="none"/>
              </w:rPr>
              <w:t>时</w:t>
            </w:r>
          </w:p>
          <w:p w14:paraId="7BCBDAFF">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投标人应准时在线参加。</w:t>
            </w:r>
          </w:p>
        </w:tc>
      </w:tr>
      <w:tr w14:paraId="751EB228">
        <w:tblPrEx>
          <w:tblCellMar>
            <w:top w:w="0" w:type="dxa"/>
            <w:left w:w="108" w:type="dxa"/>
            <w:bottom w:w="0" w:type="dxa"/>
            <w:right w:w="108" w:type="dxa"/>
          </w:tblCellMar>
        </w:tblPrEx>
        <w:trPr>
          <w:trHeight w:val="2630"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62B46140">
            <w:pPr>
              <w:jc w:val="center"/>
              <w:rPr>
                <w:rFonts w:hint="eastAsia" w:ascii="宋体" w:hAnsi="宋体" w:eastAsia="宋体" w:cs="宋体"/>
              </w:rPr>
            </w:pPr>
            <w:r>
              <w:rPr>
                <w:rFonts w:hint="eastAsia" w:ascii="宋体" w:hAnsi="宋体" w:eastAsia="宋体" w:cs="宋体"/>
              </w:rPr>
              <w:t>14</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6851F4F">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电子加密投标文件的解密和异常情况处理：</w:t>
            </w:r>
          </w:p>
          <w:p w14:paraId="51AD340A">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（1）开标后，采购组织机构将向各投标人发出“电子加密投标文件”的解密通知，各投标人代表应当在接到解密通知后30分钟内自行完成“电子加密投标文件”的在线解密。</w:t>
            </w:r>
          </w:p>
          <w:p w14:paraId="210DD421">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39A4F575">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（3）投标截止时间前，投标人仅递交了“备份投标文件”而未将电子加密投标文件上传至“政府采购云平台”的，投标无效。</w:t>
            </w:r>
          </w:p>
        </w:tc>
      </w:tr>
      <w:tr w14:paraId="0E54FD45">
        <w:tblPrEx>
          <w:tblCellMar>
            <w:top w:w="0" w:type="dxa"/>
            <w:left w:w="108" w:type="dxa"/>
            <w:bottom w:w="0" w:type="dxa"/>
            <w:right w:w="108" w:type="dxa"/>
          </w:tblCellMar>
        </w:tblPrEx>
        <w:trPr>
          <w:trHeight w:val="300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7AF6715">
            <w:pPr>
              <w:jc w:val="center"/>
              <w:rPr>
                <w:rFonts w:hint="eastAsia" w:ascii="宋体" w:hAnsi="宋体" w:eastAsia="宋体" w:cs="宋体"/>
              </w:rPr>
            </w:pPr>
            <w:r>
              <w:rPr>
                <w:rFonts w:hint="eastAsia" w:ascii="宋体" w:hAnsi="宋体" w:eastAsia="宋体" w:cs="宋体"/>
              </w:rPr>
              <w:t>15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1F09F3E">
            <w:pPr>
              <w:pStyle w:val="7"/>
              <w:keepNext w:val="0"/>
              <w:keepLines w:val="0"/>
              <w:pageBreakBefore w:val="0"/>
              <w:widowControl w:val="0"/>
              <w:numPr>
                <w:ilvl w:val="0"/>
                <w:numId w:val="0"/>
              </w:numPr>
              <w:shd w:val="clear"/>
              <w:tabs>
                <w:tab w:val="clear" w:pos="720"/>
              </w:tabs>
              <w:kinsoku/>
              <w:wordWrap/>
              <w:overflowPunct/>
              <w:topLinePunct w:val="0"/>
              <w:bidi w:val="0"/>
              <w:snapToGrid/>
              <w:spacing w:before="0" w:after="0" w:line="340" w:lineRule="exact"/>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可中止电子交易活动的情形</w:t>
            </w:r>
          </w:p>
          <w:p w14:paraId="1C3F546A">
            <w:pPr>
              <w:keepNext w:val="0"/>
              <w:keepLines w:val="0"/>
              <w:pageBreakBefore w:val="0"/>
              <w:widowControl w:val="0"/>
              <w:shd w:val="clear"/>
              <w:kinsoku/>
              <w:wordWrap/>
              <w:overflowPunct/>
              <w:topLinePunct w:val="0"/>
              <w:bidi w:val="0"/>
              <w:snapToGrid/>
              <w:spacing w:line="340" w:lineRule="exact"/>
              <w:ind w:firstLine="369" w:firstLineChars="176"/>
              <w:textAlignment w:val="auto"/>
              <w:rPr>
                <w:rFonts w:hint="eastAsia"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14:paraId="01A8CA34">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1B424374">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8FD2241">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7549C77">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w:t>
            </w:r>
          </w:p>
          <w:p w14:paraId="23E45A61">
            <w:pPr>
              <w:keepNext w:val="0"/>
              <w:keepLines w:val="0"/>
              <w:pageBreakBefore w:val="0"/>
              <w:widowControl w:val="0"/>
              <w:shd w:val="clear"/>
              <w:kinsoku/>
              <w:wordWrap/>
              <w:overflowPunct/>
              <w:topLinePunct w:val="0"/>
              <w:bidi w:val="0"/>
              <w:snapToGrid/>
              <w:spacing w:line="3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6BAF5ACC">
            <w:pPr>
              <w:keepNext w:val="0"/>
              <w:keepLines w:val="0"/>
              <w:pageBreakBefore w:val="0"/>
              <w:widowControl w:val="0"/>
              <w:shd w:val="clear"/>
              <w:kinsoku/>
              <w:wordWrap/>
              <w:overflowPunct/>
              <w:topLinePunct w:val="0"/>
              <w:autoSpaceDE w:val="0"/>
              <w:autoSpaceDN w:val="0"/>
              <w:bidi w:val="0"/>
              <w:adjustRightInd w:val="0"/>
              <w:snapToGrid/>
              <w:spacing w:line="340" w:lineRule="exact"/>
              <w:jc w:val="left"/>
              <w:textAlignment w:val="auto"/>
              <w:rPr>
                <w:rFonts w:hint="eastAsia" w:ascii="宋体" w:hAnsi="宋体" w:cs="宋体"/>
                <w:color w:val="auto"/>
                <w:szCs w:val="21"/>
                <w:highlight w:val="none"/>
                <w:lang w:bidi="ar"/>
              </w:rPr>
            </w:pPr>
            <w:r>
              <w:rPr>
                <w:rFonts w:hint="eastAsia" w:ascii="宋体" w:hAnsi="宋体" w:cs="宋体"/>
                <w:color w:val="auto"/>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52259116">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5E1BBD2F">
            <w:pPr>
              <w:jc w:val="center"/>
              <w:rPr>
                <w:rFonts w:hint="eastAsia" w:ascii="宋体" w:hAnsi="宋体" w:eastAsia="宋体" w:cs="宋体"/>
              </w:rPr>
            </w:pPr>
            <w:r>
              <w:rPr>
                <w:rFonts w:hint="eastAsia" w:ascii="宋体" w:hAnsi="宋体" w:eastAsia="宋体" w:cs="宋体"/>
              </w:rPr>
              <w:t>16</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1949A3A8">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评标办法及标准：</w:t>
            </w:r>
          </w:p>
          <w:p w14:paraId="498F4285">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综合评分法，按照招标文件第四章评标办法及标准。</w:t>
            </w:r>
          </w:p>
        </w:tc>
      </w:tr>
      <w:tr w14:paraId="7B37D0F9">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E2DD7E8">
            <w:pPr>
              <w:jc w:val="center"/>
              <w:rPr>
                <w:rFonts w:hint="eastAsia" w:ascii="宋体" w:hAnsi="宋体" w:eastAsia="宋体" w:cs="宋体"/>
              </w:rPr>
            </w:pPr>
            <w:r>
              <w:rPr>
                <w:rFonts w:hint="eastAsia" w:ascii="宋体" w:hAnsi="宋体" w:eastAsia="宋体" w:cs="宋体"/>
              </w:rPr>
              <w:t>17</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F8F0EB8">
            <w:pPr>
              <w:keepNext w:val="0"/>
              <w:keepLines w:val="0"/>
              <w:pageBreakBefore w:val="0"/>
              <w:widowControl w:val="0"/>
              <w:shd w:val="clear"/>
              <w:kinsoku/>
              <w:wordWrap/>
              <w:overflowPunct/>
              <w:topLinePunct w:val="0"/>
              <w:autoSpaceDE w:val="0"/>
              <w:autoSpaceDN w:val="0"/>
              <w:bidi w:val="0"/>
              <w:adjustRightInd w:val="0"/>
              <w:spacing w:line="360" w:lineRule="exact"/>
              <w:ind w:right="69"/>
              <w:rPr>
                <w:rFonts w:hint="eastAsia" w:ascii="宋体" w:hAnsi="宋体" w:cs="宋体"/>
                <w:color w:val="auto"/>
                <w:szCs w:val="21"/>
                <w:highlight w:val="none"/>
              </w:rPr>
            </w:pPr>
            <w:r>
              <w:rPr>
                <w:rFonts w:hint="eastAsia" w:ascii="宋体" w:hAnsi="宋体" w:cs="宋体"/>
                <w:color w:val="auto"/>
                <w:szCs w:val="21"/>
                <w:highlight w:val="none"/>
              </w:rPr>
              <w:t>中标候选人：</w:t>
            </w:r>
          </w:p>
          <w:p w14:paraId="24FFF7F0">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经评审排名第一的投标人即为第一中标候选人，排名第二的为第二中标候选人……其他投标人中标候选资格依此类推。</w:t>
            </w:r>
          </w:p>
        </w:tc>
      </w:tr>
      <w:tr w14:paraId="710AB226">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6596F924">
            <w:pPr>
              <w:jc w:val="center"/>
              <w:rPr>
                <w:rFonts w:hint="eastAsia" w:ascii="宋体" w:hAnsi="宋体" w:eastAsia="宋体" w:cs="宋体"/>
              </w:rPr>
            </w:pPr>
            <w:r>
              <w:rPr>
                <w:rFonts w:hint="eastAsia" w:ascii="宋体" w:hAnsi="宋体" w:eastAsia="宋体" w:cs="宋体"/>
              </w:rPr>
              <w:t>18</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6F0256CE">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中标公告及中标通知书：</w:t>
            </w:r>
          </w:p>
          <w:p w14:paraId="2FBBCD0C">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采购人依法确定中标人2个工作日内，发出中标通知书。</w:t>
            </w:r>
          </w:p>
          <w:p w14:paraId="5EF37FBB">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同时中标公告发布于浙江政府采购网(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w:instrText>
            </w:r>
            <w:r>
              <w:rPr>
                <w:rFonts w:hint="eastAsia" w:ascii="宋体" w:hAnsi="宋体" w:cs="宋体"/>
                <w:color w:val="auto"/>
                <w:szCs w:val="21"/>
                <w:highlight w:val="none"/>
              </w:rPr>
              <w:instrText xml:space="preserve">http://zfcg.czt.zj.gov.cn/</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42"/>
                <w:rFonts w:hint="eastAsia" w:ascii="宋体" w:hAnsi="宋体" w:cs="宋体"/>
                <w:color w:val="auto"/>
                <w:szCs w:val="21"/>
                <w:highlight w:val="none"/>
              </w:rPr>
              <w:t>http://zfcg.czt.zj.gov.cn/</w:t>
            </w:r>
            <w:r>
              <w:rPr>
                <w:rFonts w:ascii="宋体" w:hAnsi="宋体" w:cs="宋体"/>
                <w:color w:val="auto"/>
                <w:szCs w:val="21"/>
                <w:highlight w:val="none"/>
              </w:rPr>
              <w:fldChar w:fldCharType="end"/>
            </w:r>
            <w:r>
              <w:rPr>
                <w:rFonts w:hint="eastAsia" w:ascii="宋体" w:hAnsi="宋体" w:cs="宋体"/>
                <w:color w:val="auto"/>
                <w:szCs w:val="21"/>
                <w:highlight w:val="none"/>
              </w:rPr>
              <w:t>)、安吉县公共资源交易网（http://ggzy.anji.gov.cn/），中标公告期限为1个工作日。</w:t>
            </w:r>
          </w:p>
        </w:tc>
      </w:tr>
      <w:tr w14:paraId="23101796">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EF0999F">
            <w:pPr>
              <w:jc w:val="center"/>
              <w:rPr>
                <w:rFonts w:hint="eastAsia" w:ascii="宋体" w:hAnsi="宋体" w:eastAsia="宋体" w:cs="宋体"/>
              </w:rPr>
            </w:pPr>
            <w:r>
              <w:rPr>
                <w:rFonts w:hint="eastAsia" w:ascii="宋体" w:hAnsi="宋体" w:eastAsia="宋体" w:cs="宋体"/>
              </w:rPr>
              <w:t>19</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DBF44F8">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lang w:val="zh-CN"/>
              </w:rPr>
            </w:pPr>
            <w:r>
              <w:rPr>
                <w:rFonts w:hint="eastAsia" w:ascii="宋体" w:hAnsi="宋体" w:cs="宋体"/>
                <w:color w:val="auto"/>
                <w:szCs w:val="21"/>
                <w:highlight w:val="none"/>
                <w:lang w:val="zh-CN"/>
              </w:rPr>
              <w:t>履约保证金：</w:t>
            </w:r>
          </w:p>
          <w:p w14:paraId="2306ACAD">
            <w:pPr>
              <w:keepNext w:val="0"/>
              <w:keepLines w:val="0"/>
              <w:pageBreakBefore w:val="0"/>
              <w:widowControl w:val="0"/>
              <w:shd w:val="clear"/>
              <w:kinsoku/>
              <w:wordWrap/>
              <w:overflowPunct/>
              <w:topLinePunct w:val="0"/>
              <w:autoSpaceDE w:val="0"/>
              <w:autoSpaceDN w:val="0"/>
              <w:bidi w:val="0"/>
              <w:adjustRightInd w:val="0"/>
              <w:snapToGrid w:val="0"/>
              <w:spacing w:line="360" w:lineRule="exact"/>
              <w:textAlignment w:val="bottom"/>
              <w:rPr>
                <w:rFonts w:hint="eastAsia" w:ascii="宋体" w:hAnsi="宋体" w:cs="宋体"/>
                <w:color w:val="auto"/>
                <w:szCs w:val="21"/>
                <w:highlight w:val="none"/>
              </w:rPr>
            </w:pPr>
            <w:r>
              <w:rPr>
                <w:rFonts w:hint="eastAsia" w:ascii="宋体" w:hAnsi="宋体"/>
                <w:szCs w:val="21"/>
                <w:highlight w:val="none"/>
                <w:lang w:val="en-US" w:eastAsia="zh-CN"/>
              </w:rPr>
              <w:t>不收取</w:t>
            </w:r>
            <w:r>
              <w:rPr>
                <w:rFonts w:hint="eastAsia" w:ascii="宋体" w:hAnsi="宋体"/>
                <w:szCs w:val="21"/>
                <w:highlight w:val="none"/>
              </w:rPr>
              <w:t>。</w:t>
            </w:r>
          </w:p>
        </w:tc>
      </w:tr>
      <w:tr w14:paraId="760C3A28">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1ED7227">
            <w:pPr>
              <w:jc w:val="center"/>
              <w:rPr>
                <w:rFonts w:hint="eastAsia" w:ascii="宋体" w:hAnsi="宋体" w:eastAsia="宋体" w:cs="宋体"/>
              </w:rPr>
            </w:pPr>
            <w:r>
              <w:rPr>
                <w:rFonts w:hint="eastAsia" w:ascii="宋体" w:hAnsi="宋体" w:eastAsia="宋体" w:cs="宋体"/>
              </w:rPr>
              <w:t>20</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70D02DF4">
            <w:pPr>
              <w:keepNext w:val="0"/>
              <w:keepLines w:val="0"/>
              <w:pageBreakBefore w:val="0"/>
              <w:widowControl w:val="0"/>
              <w:shd w:val="clear"/>
              <w:kinsoku/>
              <w:wordWrap/>
              <w:overflowPunct/>
              <w:topLinePunct w:val="0"/>
              <w:autoSpaceDE w:val="0"/>
              <w:autoSpaceDN w:val="0"/>
              <w:bidi w:val="0"/>
              <w:adjustRightInd w:val="0"/>
              <w:snapToGrid w:val="0"/>
              <w:spacing w:line="360" w:lineRule="exact"/>
              <w:ind w:left="1050" w:hanging="1050" w:hangingChars="500"/>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w:t>
            </w:r>
          </w:p>
          <w:p w14:paraId="65457374">
            <w:pPr>
              <w:keepNext w:val="0"/>
              <w:keepLines w:val="0"/>
              <w:pageBreakBefore w:val="0"/>
              <w:widowControl w:val="0"/>
              <w:shd w:val="clear"/>
              <w:kinsoku/>
              <w:wordWrap/>
              <w:overflowPunct/>
              <w:topLinePunct w:val="0"/>
              <w:autoSpaceDE w:val="0"/>
              <w:autoSpaceDN w:val="0"/>
              <w:bidi w:val="0"/>
              <w:adjustRightInd w:val="0"/>
              <w:snapToGrid w:val="0"/>
              <w:spacing w:line="36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根据《中华人民共和国政府采购法》第四十六条规定，采购人与中标（成交）投标人应当在中标（成交）通知书发出后30天内，按照采购文件确定的事项签订政府采购合同。因本项目工期紧张</w:t>
            </w:r>
            <w:r>
              <w:rPr>
                <w:rFonts w:hint="eastAsia" w:ascii="宋体" w:hAnsi="宋体" w:cs="宋体"/>
                <w:color w:val="auto"/>
                <w:spacing w:val="-6"/>
                <w:sz w:val="21"/>
                <w:szCs w:val="21"/>
                <w:highlight w:val="none"/>
              </w:rPr>
              <w:t>，采购人要求中标（成交）投标人在中标（成交）</w:t>
            </w:r>
            <w:r>
              <w:rPr>
                <w:rFonts w:hint="eastAsia" w:ascii="宋体" w:hAnsi="宋体" w:cs="宋体"/>
                <w:color w:val="auto"/>
                <w:szCs w:val="21"/>
                <w:highlight w:val="none"/>
              </w:rPr>
              <w:t>通知书发出后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天内前来签订合同。</w:t>
            </w:r>
          </w:p>
        </w:tc>
      </w:tr>
      <w:tr w14:paraId="040A6E57">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156F454E">
            <w:pPr>
              <w:jc w:val="center"/>
              <w:rPr>
                <w:rFonts w:hint="eastAsia" w:ascii="宋体" w:hAnsi="宋体" w:eastAsia="宋体" w:cs="宋体"/>
              </w:rPr>
            </w:pPr>
            <w:r>
              <w:rPr>
                <w:rFonts w:hint="eastAsia" w:ascii="宋体" w:hAnsi="宋体" w:eastAsia="宋体" w:cs="宋体"/>
              </w:rPr>
              <w:t>21</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A8344D8">
            <w:pPr>
              <w:pStyle w:val="17"/>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信用记录查询：依据财库[2016]125号文件执行</w:t>
            </w:r>
          </w:p>
          <w:p w14:paraId="287801FA">
            <w:pPr>
              <w:pStyle w:val="17"/>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查询渠道：信用中国（www.creditchina.gov.cn）、中国政府采购网（www.ccgp.gov.cn）；</w:t>
            </w:r>
          </w:p>
          <w:p w14:paraId="61F3C72A">
            <w:pPr>
              <w:pStyle w:val="17"/>
              <w:keepNext w:val="0"/>
              <w:keepLines w:val="0"/>
              <w:pageBreakBefore w:val="0"/>
              <w:widowControl w:val="0"/>
              <w:shd w:val="clear"/>
              <w:kinsoku/>
              <w:wordWrap/>
              <w:overflowPunct/>
              <w:topLinePunct w:val="0"/>
              <w:bidi w:val="0"/>
              <w:spacing w:before="0" w:beforeLines="0" w:after="0" w:afterLines="0" w:line="360" w:lineRule="exact"/>
              <w:rPr>
                <w:rFonts w:hint="eastAsia" w:hAnsi="宋体" w:cs="宋体"/>
                <w:color w:val="auto"/>
                <w:sz w:val="21"/>
                <w:szCs w:val="21"/>
                <w:highlight w:val="none"/>
              </w:rPr>
            </w:pPr>
            <w:r>
              <w:rPr>
                <w:rFonts w:hint="eastAsia" w:hAnsi="宋体" w:cs="宋体"/>
                <w:color w:val="auto"/>
                <w:sz w:val="21"/>
                <w:szCs w:val="21"/>
                <w:highlight w:val="none"/>
              </w:rPr>
              <w:t>时间：提交首次投标文件截止时间前3年内；</w:t>
            </w:r>
          </w:p>
          <w:p w14:paraId="24B69681">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查询记录和证据的留存：网站查询，打印留存。</w:t>
            </w:r>
          </w:p>
          <w:p w14:paraId="092BA588">
            <w:pPr>
              <w:keepNext w:val="0"/>
              <w:keepLines w:val="0"/>
              <w:pageBreakBefore w:val="0"/>
              <w:widowControl w:val="0"/>
              <w:shd w:val="clear"/>
              <w:kinsoku/>
              <w:wordWrap/>
              <w:overflowPunct/>
              <w:topLinePunct w:val="0"/>
              <w:autoSpaceDE w:val="0"/>
              <w:autoSpaceDN w:val="0"/>
              <w:bidi w:val="0"/>
              <w:adjustRightInd w:val="0"/>
              <w:spacing w:line="360" w:lineRule="exact"/>
              <w:rPr>
                <w:rFonts w:hint="eastAsia" w:ascii="宋体" w:hAnsi="宋体" w:cs="宋体"/>
                <w:color w:val="auto"/>
                <w:kern w:val="0"/>
                <w:szCs w:val="21"/>
                <w:highlight w:val="none"/>
                <w:lang w:val="zh-CN"/>
              </w:rPr>
            </w:pPr>
            <w:r>
              <w:rPr>
                <w:rFonts w:hint="eastAsia" w:ascii="宋体" w:hAnsi="宋体" w:cs="宋体"/>
                <w:color w:val="auto"/>
                <w:szCs w:val="21"/>
                <w:highlight w:val="none"/>
              </w:rPr>
              <w:t>使用规则：被列入失信被执行人、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、政府采购严重违法失信行为记录名单及其它不符合《中华人民共和国政府采购法》第二十二条规定条件的，其投标将被拒绝。</w:t>
            </w:r>
          </w:p>
        </w:tc>
      </w:tr>
      <w:tr w14:paraId="58614592">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77ADFEC">
            <w:pPr>
              <w:jc w:val="center"/>
              <w:rPr>
                <w:rFonts w:hint="eastAsia" w:ascii="宋体" w:hAnsi="宋体" w:eastAsia="宋体" w:cs="宋体"/>
              </w:rPr>
            </w:pPr>
            <w:r>
              <w:rPr>
                <w:rFonts w:hint="eastAsia" w:ascii="宋体" w:hAnsi="宋体" w:eastAsia="宋体" w:cs="宋体"/>
              </w:rPr>
              <w:t>22</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2D95C7A6">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政府采购政策执行：</w:t>
            </w:r>
          </w:p>
          <w:p w14:paraId="61C4E3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Style w:val="39"/>
                <w:rFonts w:hint="eastAsia" w:ascii="宋体" w:hAnsi="宋体" w:eastAsia="宋体" w:cs="宋体"/>
                <w:color w:val="191919"/>
                <w:sz w:val="21"/>
                <w:szCs w:val="21"/>
                <w:highlight w:val="yellow"/>
                <w:u w:val="single"/>
                <w:shd w:val="clear" w:color="auto" w:fill="FFFFFF"/>
              </w:rPr>
              <w:t>其他未列明行业</w:t>
            </w:r>
            <w:r>
              <w:rPr>
                <w:rFonts w:hint="eastAsia" w:ascii="宋体" w:hAnsi="宋体" w:eastAsia="宋体" w:cs="宋体"/>
                <w:sz w:val="21"/>
                <w:szCs w:val="21"/>
                <w:highlight w:val="yellow"/>
              </w:rPr>
              <w:t>。</w:t>
            </w:r>
          </w:p>
          <w:p w14:paraId="7CCC5F7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1）本项目为专门面向中小企业采购，投标供应商非中小企业的，资格审查不通过；符合上述条件的中小微型企业应按照磋商文件附件的格式要求在资格证明文件中提供《中小企业声明函》及证明材料</w:t>
            </w:r>
            <w:r>
              <w:rPr>
                <w:rFonts w:hint="eastAsia" w:ascii="宋体" w:hAnsi="宋体" w:eastAsia="宋体" w:cs="宋体"/>
                <w:sz w:val="21"/>
                <w:szCs w:val="21"/>
                <w:highlight w:val="none"/>
                <w:lang w:eastAsia="zh-CN"/>
              </w:rPr>
              <w:t>；</w:t>
            </w:r>
          </w:p>
          <w:p w14:paraId="18DC203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符合上述条件的中小微型企业应按照招标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3BBE06">
            <w:pPr>
              <w:shd w:val="clear"/>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b/>
                <w:bCs/>
                <w:szCs w:val="24"/>
                <w:highlight w:val="none"/>
              </w:rPr>
              <w:t>特别提醒：投标人按照本办法规定提供声明函内容不实的，属于提供虚假材料谋取中标、成交，依照《中华人民共和国政府采购法》等国家有关规定追究相应责任。采购代理机构在中标结果公告中公开中标人的《中小企业声明函》。</w:t>
            </w:r>
          </w:p>
        </w:tc>
      </w:tr>
      <w:tr w14:paraId="23C56F0D">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485EA299">
            <w:pPr>
              <w:jc w:val="center"/>
              <w:rPr>
                <w:rFonts w:hint="eastAsia" w:ascii="宋体" w:hAnsi="宋体" w:eastAsia="宋体" w:cs="宋体"/>
                <w:lang w:val="en-US" w:eastAsia="zh-CN"/>
              </w:rPr>
            </w:pPr>
            <w:r>
              <w:rPr>
                <w:rFonts w:hint="eastAsia" w:ascii="宋体" w:hAnsi="宋体" w:eastAsia="宋体" w:cs="宋体"/>
                <w:lang w:val="en-US" w:eastAsia="zh-CN"/>
              </w:rPr>
              <w:t>23</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4C9243DE">
            <w:pPr>
              <w:shd w:val="clear"/>
              <w:snapToGrid w:val="0"/>
              <w:spacing w:line="360" w:lineRule="exact"/>
              <w:ind w:left="0"/>
              <w:rPr>
                <w:rFonts w:hint="eastAsia" w:ascii="Times New Roman" w:hAnsi="Times New Roman" w:eastAsia="宋体" w:cs="Times New Roman"/>
                <w:szCs w:val="24"/>
                <w:highlight w:val="none"/>
                <w:shd w:val="clear" w:color="auto" w:fill="auto"/>
              </w:rPr>
            </w:pPr>
            <w:r>
              <w:rPr>
                <w:rFonts w:hint="eastAsia" w:ascii="Times New Roman" w:hAnsi="Times New Roman" w:eastAsia="宋体" w:cs="Times New Roman"/>
                <w:szCs w:val="24"/>
                <w:highlight w:val="none"/>
                <w:shd w:val="clear" w:color="auto" w:fill="auto"/>
              </w:rPr>
              <w:t>政府采购政策执行：</w:t>
            </w:r>
          </w:p>
          <w:p w14:paraId="1E4C6919">
            <w:pPr>
              <w:shd w:val="clear"/>
              <w:snapToGrid w:val="0"/>
              <w:spacing w:line="360" w:lineRule="exact"/>
              <w:ind w:left="0"/>
              <w:rPr>
                <w:rFonts w:hint="eastAsia" w:ascii="宋体" w:hAnsi="宋体" w:eastAsia="宋体" w:cs="宋体"/>
                <w:sz w:val="21"/>
                <w:szCs w:val="24"/>
                <w:highlight w:val="none"/>
                <w:shd w:val="clear" w:color="auto" w:fill="auto"/>
              </w:rPr>
            </w:pP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lang w:val="en-US" w:eastAsia="zh-CN"/>
              </w:rPr>
              <w:t>1</w:t>
            </w: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rPr>
              <w:t>采购本国生产的货物、工程和服务</w:t>
            </w: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lang w:val="en-US" w:eastAsia="zh-CN"/>
              </w:rPr>
              <w:t>经审批允许</w:t>
            </w:r>
            <w:r>
              <w:rPr>
                <w:rFonts w:hint="eastAsia" w:ascii="宋体" w:hAnsi="宋体" w:eastAsia="宋体" w:cs="宋体"/>
                <w:sz w:val="21"/>
                <w:szCs w:val="24"/>
                <w:highlight w:val="none"/>
                <w:shd w:val="clear" w:color="auto" w:fill="auto"/>
              </w:rPr>
              <w:t>进口产品</w:t>
            </w:r>
            <w:r>
              <w:rPr>
                <w:rFonts w:hint="eastAsia" w:ascii="宋体" w:hAnsi="宋体" w:eastAsia="宋体" w:cs="宋体"/>
                <w:sz w:val="21"/>
                <w:szCs w:val="24"/>
                <w:highlight w:val="none"/>
                <w:shd w:val="clear" w:color="auto" w:fill="auto"/>
                <w:lang w:val="en-US" w:eastAsia="zh-CN"/>
              </w:rPr>
              <w:t>投标的除外）</w:t>
            </w:r>
            <w:r>
              <w:rPr>
                <w:rFonts w:hint="eastAsia" w:ascii="宋体" w:hAnsi="宋体" w:cs="宋体"/>
                <w:sz w:val="21"/>
                <w:szCs w:val="24"/>
                <w:highlight w:val="none"/>
                <w:shd w:val="clear" w:color="auto" w:fill="auto"/>
                <w:lang w:val="en-US" w:eastAsia="zh-CN"/>
              </w:rPr>
              <w:t>；</w:t>
            </w:r>
          </w:p>
          <w:p w14:paraId="49B01781">
            <w:pPr>
              <w:shd w:val="clear"/>
              <w:snapToGrid w:val="0"/>
              <w:spacing w:line="360" w:lineRule="exact"/>
              <w:ind w:left="0"/>
              <w:rPr>
                <w:rFonts w:hint="eastAsia" w:ascii="宋体" w:hAnsi="宋体" w:eastAsia="宋体" w:cs="宋体"/>
                <w:szCs w:val="24"/>
                <w:highlight w:val="none"/>
                <w:shd w:val="clear" w:color="auto" w:fill="auto"/>
              </w:rPr>
            </w:pPr>
            <w:r>
              <w:rPr>
                <w:rFonts w:hint="eastAsia" w:ascii="宋体" w:hAnsi="宋体" w:eastAsia="宋体" w:cs="宋体"/>
                <w:sz w:val="21"/>
                <w:szCs w:val="24"/>
                <w:highlight w:val="none"/>
                <w:shd w:val="clear" w:color="auto" w:fill="auto"/>
                <w:lang w:val="en-US" w:eastAsia="zh-CN"/>
              </w:rPr>
              <w:t>（2）</w:t>
            </w:r>
            <w:r>
              <w:rPr>
                <w:rFonts w:hint="eastAsia" w:ascii="宋体" w:hAnsi="宋体" w:eastAsia="宋体" w:cs="宋体"/>
                <w:sz w:val="21"/>
                <w:szCs w:val="24"/>
                <w:highlight w:val="none"/>
                <w:shd w:val="clear" w:color="auto" w:fill="auto"/>
              </w:rPr>
              <w:t>支持绿色</w:t>
            </w:r>
            <w:r>
              <w:rPr>
                <w:rFonts w:hint="eastAsia" w:ascii="宋体" w:hAnsi="宋体" w:eastAsia="宋体" w:cs="宋体"/>
                <w:sz w:val="21"/>
                <w:szCs w:val="24"/>
                <w:highlight w:val="none"/>
                <w:shd w:val="clear" w:color="auto" w:fill="auto"/>
                <w:lang w:val="en-US" w:eastAsia="zh-CN"/>
              </w:rPr>
              <w:t>采购</w:t>
            </w:r>
            <w:r>
              <w:rPr>
                <w:rFonts w:hint="eastAsia" w:ascii="宋体" w:hAnsi="宋体" w:cs="宋体"/>
                <w:sz w:val="21"/>
                <w:szCs w:val="24"/>
                <w:highlight w:val="none"/>
                <w:shd w:val="clear" w:color="auto" w:fill="auto"/>
                <w:lang w:val="en-US" w:eastAsia="zh-CN"/>
              </w:rPr>
              <w:t>；</w:t>
            </w:r>
          </w:p>
          <w:p w14:paraId="7368EA56">
            <w:pPr>
              <w:shd w:val="clear"/>
              <w:snapToGrid w:val="0"/>
              <w:spacing w:line="360" w:lineRule="exact"/>
              <w:ind w:left="0"/>
              <w:rPr>
                <w:rFonts w:hint="eastAsia" w:ascii="宋体" w:hAnsi="宋体" w:eastAsia="宋体" w:cs="宋体"/>
                <w:bCs w:val="0"/>
                <w:sz w:val="21"/>
                <w:szCs w:val="24"/>
                <w:highlight w:val="none"/>
                <w:shd w:val="clear" w:color="auto" w:fill="auto"/>
                <w:lang w:val="en-US" w:eastAsia="zh-CN"/>
              </w:rPr>
            </w:pPr>
            <w:r>
              <w:rPr>
                <w:rFonts w:hint="eastAsia" w:ascii="宋体" w:hAnsi="宋体" w:eastAsia="宋体" w:cs="宋体"/>
                <w:bCs w:val="0"/>
                <w:sz w:val="21"/>
                <w:szCs w:val="24"/>
                <w:highlight w:val="none"/>
                <w:shd w:val="clear" w:color="auto" w:fill="auto"/>
                <w:lang w:eastAsia="zh-CN"/>
              </w:rPr>
              <w:t>（</w:t>
            </w:r>
            <w:r>
              <w:rPr>
                <w:rFonts w:hint="eastAsia" w:ascii="宋体" w:hAnsi="宋体" w:eastAsia="宋体" w:cs="宋体"/>
                <w:bCs w:val="0"/>
                <w:sz w:val="21"/>
                <w:szCs w:val="24"/>
                <w:highlight w:val="none"/>
                <w:shd w:val="clear" w:color="auto" w:fill="auto"/>
                <w:lang w:val="en-US" w:eastAsia="zh-CN"/>
              </w:rPr>
              <w:t>3</w:t>
            </w:r>
            <w:r>
              <w:rPr>
                <w:rFonts w:hint="eastAsia" w:ascii="宋体" w:hAnsi="宋体" w:eastAsia="宋体" w:cs="宋体"/>
                <w:bCs w:val="0"/>
                <w:sz w:val="21"/>
                <w:szCs w:val="24"/>
                <w:highlight w:val="none"/>
                <w:shd w:val="clear" w:color="auto" w:fill="auto"/>
                <w:lang w:eastAsia="zh-CN"/>
              </w:rPr>
              <w:t>）</w:t>
            </w:r>
            <w:r>
              <w:rPr>
                <w:rFonts w:hint="eastAsia" w:ascii="宋体" w:hAnsi="宋体" w:eastAsia="宋体" w:cs="宋体"/>
                <w:bCs w:val="0"/>
                <w:sz w:val="21"/>
                <w:szCs w:val="24"/>
                <w:highlight w:val="none"/>
                <w:shd w:val="clear" w:color="auto" w:fill="auto"/>
              </w:rPr>
              <w:t>支持</w:t>
            </w:r>
            <w:r>
              <w:rPr>
                <w:rFonts w:hint="eastAsia" w:ascii="宋体" w:hAnsi="宋体" w:eastAsia="宋体" w:cs="宋体"/>
                <w:bCs w:val="0"/>
                <w:sz w:val="21"/>
                <w:szCs w:val="24"/>
                <w:highlight w:val="none"/>
                <w:shd w:val="clear" w:color="auto" w:fill="auto"/>
                <w:lang w:val="en-US" w:eastAsia="zh-CN"/>
              </w:rPr>
              <w:t>科技创新</w:t>
            </w:r>
            <w:r>
              <w:rPr>
                <w:rFonts w:hint="eastAsia" w:ascii="宋体" w:hAnsi="宋体" w:cs="宋体"/>
                <w:bCs w:val="0"/>
                <w:sz w:val="21"/>
                <w:szCs w:val="24"/>
                <w:highlight w:val="none"/>
                <w:shd w:val="clear" w:color="auto" w:fill="auto"/>
                <w:lang w:val="en-US" w:eastAsia="zh-CN"/>
              </w:rPr>
              <w:t>；</w:t>
            </w:r>
          </w:p>
          <w:p w14:paraId="618A2ED7">
            <w:pPr>
              <w:shd w:val="clear"/>
              <w:snapToGrid w:val="0"/>
              <w:spacing w:line="360" w:lineRule="exact"/>
              <w:ind w:left="0"/>
              <w:rPr>
                <w:rFonts w:hint="eastAsia" w:ascii="宋体" w:hAnsi="宋体" w:eastAsia="宋体" w:cs="宋体"/>
                <w:szCs w:val="24"/>
                <w:highlight w:val="none"/>
                <w:shd w:val="clear" w:color="auto" w:fill="auto"/>
                <w:lang w:val="en-US" w:eastAsia="zh-CN"/>
              </w:rPr>
            </w:pPr>
            <w:r>
              <w:rPr>
                <w:rFonts w:hint="eastAsia" w:ascii="宋体" w:hAnsi="宋体" w:eastAsia="宋体" w:cs="宋体"/>
                <w:szCs w:val="24"/>
                <w:highlight w:val="none"/>
                <w:shd w:val="clear" w:color="auto" w:fill="auto"/>
                <w:lang w:eastAsia="zh-CN"/>
              </w:rPr>
              <w:t>（</w:t>
            </w:r>
            <w:r>
              <w:rPr>
                <w:rFonts w:hint="eastAsia" w:ascii="宋体" w:hAnsi="宋体" w:eastAsia="宋体" w:cs="宋体"/>
                <w:szCs w:val="24"/>
                <w:highlight w:val="none"/>
                <w:shd w:val="clear" w:color="auto" w:fill="auto"/>
                <w:lang w:val="en-US" w:eastAsia="zh-CN"/>
              </w:rPr>
              <w:t>4</w:t>
            </w:r>
            <w:r>
              <w:rPr>
                <w:rFonts w:hint="eastAsia" w:ascii="宋体" w:hAnsi="宋体" w:eastAsia="宋体" w:cs="宋体"/>
                <w:szCs w:val="24"/>
                <w:highlight w:val="none"/>
                <w:shd w:val="clear" w:color="auto" w:fill="auto"/>
                <w:lang w:eastAsia="zh-CN"/>
              </w:rPr>
              <w:t>）</w:t>
            </w:r>
            <w:r>
              <w:rPr>
                <w:rFonts w:hint="eastAsia" w:ascii="宋体" w:hAnsi="宋体" w:eastAsia="宋体" w:cs="宋体"/>
                <w:color w:val="auto"/>
                <w:sz w:val="21"/>
                <w:szCs w:val="24"/>
                <w:highlight w:val="none"/>
                <w:shd w:val="clear" w:color="auto" w:fill="auto"/>
              </w:rPr>
              <w:t>中小企业信用融资</w:t>
            </w:r>
            <w:r>
              <w:rPr>
                <w:rFonts w:hint="eastAsia" w:ascii="宋体" w:hAnsi="宋体" w:cs="宋体"/>
                <w:color w:val="auto"/>
                <w:sz w:val="21"/>
                <w:szCs w:val="24"/>
                <w:highlight w:val="none"/>
                <w:shd w:val="clear" w:color="auto" w:fill="auto"/>
                <w:lang w:eastAsia="zh-CN"/>
              </w:rPr>
              <w:t>；</w:t>
            </w:r>
          </w:p>
          <w:p w14:paraId="3D6B240B">
            <w:pPr>
              <w:keepNext w:val="0"/>
              <w:keepLines w:val="0"/>
              <w:pageBreakBefore w:val="0"/>
              <w:widowControl w:val="0"/>
              <w:shd w:val="clear"/>
              <w:kinsoku/>
              <w:wordWrap/>
              <w:overflowPunct/>
              <w:topLinePunct w:val="0"/>
              <w:bidi w:val="0"/>
              <w:snapToGrid w:val="0"/>
              <w:spacing w:line="360" w:lineRule="exact"/>
              <w:rPr>
                <w:rFonts w:hint="eastAsia" w:ascii="Times New Roman" w:hAnsi="Times New Roman" w:eastAsia="宋体" w:cs="Times New Roman"/>
                <w:color w:val="auto"/>
                <w:highlight w:val="none"/>
                <w:lang w:eastAsia="zh-CN"/>
              </w:rPr>
            </w:pP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lang w:val="en-US" w:eastAsia="zh-CN"/>
              </w:rPr>
              <w:t>5</w:t>
            </w:r>
            <w:r>
              <w:rPr>
                <w:rFonts w:hint="eastAsia" w:ascii="宋体" w:hAnsi="宋体" w:eastAsia="宋体" w:cs="宋体"/>
                <w:sz w:val="21"/>
                <w:szCs w:val="24"/>
                <w:highlight w:val="none"/>
                <w:shd w:val="clear" w:color="auto" w:fill="auto"/>
                <w:lang w:eastAsia="zh-CN"/>
              </w:rPr>
              <w:t>）</w:t>
            </w:r>
            <w:r>
              <w:rPr>
                <w:rFonts w:hint="eastAsia" w:ascii="宋体" w:hAnsi="宋体" w:eastAsia="宋体" w:cs="宋体"/>
                <w:sz w:val="21"/>
                <w:szCs w:val="24"/>
                <w:highlight w:val="none"/>
                <w:shd w:val="clear" w:color="auto" w:fill="auto"/>
              </w:rPr>
              <w:t>支持中小企业发展</w:t>
            </w:r>
            <w:r>
              <w:rPr>
                <w:rFonts w:hint="eastAsia" w:ascii="宋体" w:hAnsi="宋体" w:cs="宋体"/>
                <w:sz w:val="21"/>
                <w:szCs w:val="24"/>
                <w:highlight w:val="none"/>
                <w:shd w:val="clear" w:color="auto" w:fill="auto"/>
                <w:lang w:eastAsia="zh-CN"/>
              </w:rPr>
              <w:t>。</w:t>
            </w:r>
          </w:p>
        </w:tc>
      </w:tr>
      <w:tr w14:paraId="1A999EA8">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68B320BE">
            <w:pPr>
              <w:jc w:val="center"/>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4</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08971EE3">
            <w:pPr>
              <w:keepNext w:val="0"/>
              <w:keepLines w:val="0"/>
              <w:pageBreakBefore w:val="0"/>
              <w:widowControl w:val="0"/>
              <w:shd w:val="clear"/>
              <w:kinsoku/>
              <w:wordWrap/>
              <w:overflowPunct/>
              <w:topLinePunct w:val="0"/>
              <w:bidi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节能环保要求：</w:t>
            </w:r>
          </w:p>
          <w:p w14:paraId="169CD1A6">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406491FB">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5B0F4705">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39411011">
            <w:pPr>
              <w:jc w:val="center"/>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7C8737D9">
            <w:pPr>
              <w:keepNext w:val="0"/>
              <w:keepLines w:val="0"/>
              <w:pageBreakBefore w:val="0"/>
              <w:widowControl w:val="0"/>
              <w:shd w:val="clear"/>
              <w:kinsoku/>
              <w:wordWrap/>
              <w:overflowPunct/>
              <w:topLinePunct w:val="0"/>
              <w:autoSpaceDE w:val="0"/>
              <w:autoSpaceDN w:val="0"/>
              <w:bidi w:val="0"/>
              <w:adjustRightInd w:val="0"/>
              <w:spacing w:line="3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投标注意事项：</w:t>
            </w:r>
          </w:p>
          <w:p w14:paraId="37A9528B">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140816BD">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（2）存在下列行为的，采购人将其失信行为上报政府采购主管部门，由主管部门按有关规定对其违法失信行为记录进行公开：</w:t>
            </w:r>
          </w:p>
          <w:p w14:paraId="3C64DD30">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中标或者成交后，拒绝签订政府采购合同的；</w:t>
            </w:r>
          </w:p>
          <w:p w14:paraId="180870FA">
            <w:pPr>
              <w:keepNext w:val="0"/>
              <w:keepLines w:val="0"/>
              <w:pageBreakBefore w:val="0"/>
              <w:widowControl w:val="0"/>
              <w:shd w:val="clear"/>
              <w:kinsoku/>
              <w:wordWrap/>
              <w:overflowPunct/>
              <w:topLinePunct w:val="0"/>
              <w:autoSpaceDE w:val="0"/>
              <w:autoSpaceDN w:val="0"/>
              <w:bidi w:val="0"/>
              <w:adjustRightInd w:val="0"/>
              <w:spacing w:line="360" w:lineRule="exact"/>
              <w:ind w:left="71" w:right="69"/>
              <w:jc w:val="left"/>
              <w:rPr>
                <w:rFonts w:hint="eastAsia" w:ascii="宋体" w:hAnsi="宋体" w:cs="宋体"/>
                <w:color w:val="auto"/>
                <w:kern w:val="0"/>
                <w:szCs w:val="21"/>
                <w:highlight w:val="none"/>
              </w:rPr>
            </w:pPr>
            <w:r>
              <w:rPr>
                <w:rFonts w:hint="eastAsia" w:ascii="宋体" w:hAnsi="宋体" w:cs="宋体"/>
                <w:color w:val="auto"/>
                <w:szCs w:val="21"/>
                <w:highlight w:val="none"/>
                <w:shd w:val="clear" w:color="auto" w:fill="FFFFFF"/>
              </w:rPr>
              <w:t>投标有效期内撤销投标文件的。</w:t>
            </w:r>
          </w:p>
        </w:tc>
      </w:tr>
      <w:tr w14:paraId="53705A07">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7DC66757">
            <w:pPr>
              <w:jc w:val="center"/>
              <w:rPr>
                <w:rFonts w:hint="eastAsia" w:ascii="宋体" w:hAnsi="宋体" w:eastAsia="宋体" w:cs="宋体"/>
              </w:rPr>
            </w:pPr>
            <w:r>
              <w:rPr>
                <w:rFonts w:hint="eastAsia" w:ascii="宋体" w:hAnsi="宋体" w:eastAsia="宋体" w:cs="宋体"/>
              </w:rPr>
              <w:t>25</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D473751">
            <w:pPr>
              <w:keepNext w:val="0"/>
              <w:keepLines w:val="0"/>
              <w:pageBreakBefore w:val="0"/>
              <w:widowControl w:val="0"/>
              <w:shd w:val="clear"/>
              <w:kinsoku/>
              <w:wordWrap/>
              <w:overflowPunct/>
              <w:topLinePunct w:val="0"/>
              <w:bidi w:val="0"/>
              <w:adjustRightInd w:val="0"/>
              <w:spacing w:line="360" w:lineRule="exact"/>
              <w:rPr>
                <w:rFonts w:hint="eastAsia" w:ascii="宋体" w:hAnsi="宋体" w:cs="宋体"/>
                <w:color w:val="auto"/>
                <w:szCs w:val="21"/>
                <w:highlight w:val="none"/>
              </w:rPr>
            </w:pPr>
            <w:r>
              <w:rPr>
                <w:rStyle w:val="39"/>
                <w:rFonts w:hint="eastAsia" w:ascii="宋体" w:hAnsi="宋体" w:cs="宋体"/>
                <w:b w:val="0"/>
                <w:color w:val="auto"/>
                <w:szCs w:val="21"/>
                <w:highlight w:val="none"/>
                <w:shd w:val="clear" w:color="auto" w:fill="FFFFFF"/>
              </w:rPr>
              <w:t>投标人注册</w:t>
            </w:r>
            <w:r>
              <w:rPr>
                <w:rFonts w:hint="eastAsia" w:ascii="宋体" w:hAnsi="宋体" w:cs="宋体"/>
                <w:color w:val="auto"/>
                <w:szCs w:val="21"/>
                <w:highlight w:val="none"/>
              </w:rPr>
              <w:t>：</w:t>
            </w:r>
          </w:p>
          <w:p w14:paraId="54879BD2">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kern w:val="0"/>
                <w:szCs w:val="21"/>
                <w:highlight w:val="none"/>
              </w:rPr>
            </w:pPr>
            <w:r>
              <w:rPr>
                <w:rFonts w:hint="eastAsia" w:ascii="宋体" w:hAnsi="宋体" w:cs="宋体"/>
                <w:color w:val="auto"/>
                <w:szCs w:val="21"/>
                <w:highlight w:val="none"/>
                <w:shd w:val="clear" w:color="auto" w:fill="FFFFFF"/>
              </w:rPr>
              <w:t>未注册加入“浙江省政府采购</w:t>
            </w:r>
            <w:r>
              <w:rPr>
                <w:rFonts w:hint="eastAsia" w:ascii="宋体" w:hAnsi="宋体" w:cs="宋体"/>
                <w:color w:val="auto"/>
                <w:szCs w:val="21"/>
                <w:highlight w:val="none"/>
                <w:shd w:val="clear" w:color="auto" w:fill="FFFFFF"/>
                <w:lang w:val="en-US" w:eastAsia="zh-CN"/>
              </w:rPr>
              <w:t>供应商</w:t>
            </w:r>
            <w:r>
              <w:rPr>
                <w:rFonts w:hint="eastAsia" w:ascii="宋体" w:hAnsi="宋体" w:cs="宋体"/>
                <w:color w:val="auto"/>
                <w:szCs w:val="21"/>
                <w:highlight w:val="none"/>
                <w:shd w:val="clear" w:color="auto" w:fill="FFFFFF"/>
              </w:rPr>
              <w:t>库”的投标人，应当按照《浙江省政府采购</w:t>
            </w:r>
            <w:r>
              <w:rPr>
                <w:rFonts w:hint="eastAsia" w:ascii="宋体" w:hAnsi="宋体" w:cs="宋体"/>
                <w:color w:val="auto"/>
                <w:szCs w:val="21"/>
                <w:highlight w:val="none"/>
                <w:shd w:val="clear" w:color="auto" w:fill="FFFFFF"/>
                <w:lang w:val="en-US" w:eastAsia="zh-CN"/>
              </w:rPr>
              <w:t>供应商</w:t>
            </w:r>
            <w:r>
              <w:rPr>
                <w:rFonts w:hint="eastAsia" w:ascii="宋体" w:hAnsi="宋体" w:cs="宋体"/>
                <w:color w:val="auto"/>
                <w:szCs w:val="21"/>
                <w:highlight w:val="none"/>
                <w:shd w:val="clear" w:color="auto" w:fill="FFFFFF"/>
              </w:rPr>
              <w:t>注册及诚信管理暂行办法》的规定进行注册登记（网址：</w:t>
            </w:r>
            <w:r>
              <w:rPr>
                <w:rFonts w:hint="eastAsia" w:ascii="宋体" w:hAnsi="宋体" w:cs="宋体"/>
                <w:color w:val="auto"/>
                <w:szCs w:val="21"/>
                <w:highlight w:val="none"/>
              </w:rPr>
              <w:t>http://zfcg.czt.zj.gov.cn/</w:t>
            </w:r>
            <w:r>
              <w:rPr>
                <w:rFonts w:hint="eastAsia" w:ascii="宋体" w:hAnsi="宋体" w:cs="宋体"/>
                <w:color w:val="auto"/>
                <w:szCs w:val="21"/>
                <w:highlight w:val="none"/>
                <w:shd w:val="clear" w:color="auto" w:fill="FFFFFF"/>
              </w:rPr>
              <w:t>）。一旦被确定为中标候选投标人的，应当在发出中标通知书前按规定进行注册申请，否则，采购人将拒绝向其发出中标通知书。</w:t>
            </w:r>
          </w:p>
        </w:tc>
      </w:tr>
      <w:tr w14:paraId="781755AA">
        <w:tblPrEx>
          <w:tblCellMar>
            <w:top w:w="0" w:type="dxa"/>
            <w:left w:w="108" w:type="dxa"/>
            <w:bottom w:w="0" w:type="dxa"/>
            <w:right w:w="108" w:type="dxa"/>
          </w:tblCellMar>
        </w:tblPrEx>
        <w:trPr>
          <w:trHeight w:val="23"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21738B4E">
            <w:pPr>
              <w:jc w:val="center"/>
              <w:rPr>
                <w:rFonts w:hint="eastAsia" w:ascii="宋体" w:hAnsi="宋体" w:eastAsia="宋体" w:cs="宋体"/>
              </w:rPr>
            </w:pPr>
            <w:r>
              <w:rPr>
                <w:rFonts w:hint="eastAsia" w:ascii="宋体" w:hAnsi="宋体" w:eastAsia="宋体" w:cs="宋体"/>
              </w:rPr>
              <w:t>26</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67FADD20">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rPr>
              <w:t>纸质版投标文件（响应文件）的提供：中标（成交）投标人应在中标（成交）公告发出后三天内提供与在线投标（响应）文件一致的纸质版响应文件及在线询标答复函、最终报价表(竞争性谈判或竞争性磋商需提供）等，共一</w:t>
            </w:r>
            <w:r>
              <w:rPr>
                <w:rFonts w:hint="eastAsia" w:ascii="宋体" w:hAnsi="宋体" w:cs="宋体"/>
                <w:b/>
                <w:bCs/>
                <w:color w:val="auto"/>
                <w:szCs w:val="21"/>
                <w:highlight w:val="none"/>
                <w:shd w:val="clear" w:color="auto" w:fill="FFFFFF"/>
                <w:lang w:val="en-US" w:eastAsia="zh-CN"/>
              </w:rPr>
              <w:t>正四副</w:t>
            </w:r>
            <w:r>
              <w:rPr>
                <w:rFonts w:hint="eastAsia" w:ascii="宋体" w:hAnsi="宋体" w:cs="宋体"/>
                <w:b/>
                <w:bCs/>
                <w:color w:val="auto"/>
                <w:szCs w:val="21"/>
                <w:highlight w:val="none"/>
                <w:shd w:val="clear" w:color="auto" w:fill="FFFFFF"/>
              </w:rPr>
              <w:t>。具有电子签章或单位公章，提交给采购代理机构作为各单位资料存档使用。中标（成交）投标人应确保纸质版资料与在线电子版资料的一致性，否则导致后期纠纷的责任由中标（成交）投标人自行承担。</w:t>
            </w:r>
          </w:p>
        </w:tc>
      </w:tr>
      <w:tr w14:paraId="32BD71AB">
        <w:tblPrEx>
          <w:tblCellMar>
            <w:top w:w="0" w:type="dxa"/>
            <w:left w:w="108" w:type="dxa"/>
            <w:bottom w:w="0" w:type="dxa"/>
            <w:right w:w="108" w:type="dxa"/>
          </w:tblCellMar>
        </w:tblPrEx>
        <w:trPr>
          <w:trHeight w:val="855" w:hRule="atLeast"/>
        </w:trPr>
        <w:tc>
          <w:tcPr>
            <w:tcW w:w="818" w:type="dxa"/>
            <w:tcBorders>
              <w:top w:val="single" w:color="auto" w:sz="6" w:space="0"/>
              <w:left w:val="single" w:color="auto" w:sz="6" w:space="0"/>
              <w:bottom w:val="single" w:color="auto" w:sz="6" w:space="0"/>
              <w:right w:val="single" w:color="auto" w:sz="6" w:space="0"/>
            </w:tcBorders>
            <w:noWrap w:val="0"/>
            <w:vAlign w:val="center"/>
          </w:tcPr>
          <w:p w14:paraId="039E8ADC">
            <w:pPr>
              <w:jc w:val="center"/>
              <w:rPr>
                <w:rFonts w:hint="eastAsia" w:ascii="宋体" w:hAnsi="宋体" w:eastAsia="宋体" w:cs="宋体"/>
              </w:rPr>
            </w:pPr>
            <w:r>
              <w:rPr>
                <w:rFonts w:hint="eastAsia" w:ascii="宋体" w:hAnsi="宋体" w:eastAsia="宋体" w:cs="宋体"/>
              </w:rPr>
              <w:t>27</w:t>
            </w:r>
          </w:p>
        </w:tc>
        <w:tc>
          <w:tcPr>
            <w:tcW w:w="8607" w:type="dxa"/>
            <w:tcBorders>
              <w:top w:val="single" w:color="auto" w:sz="6" w:space="0"/>
              <w:left w:val="single" w:color="auto" w:sz="6" w:space="0"/>
              <w:bottom w:val="single" w:color="auto" w:sz="6" w:space="0"/>
              <w:right w:val="single" w:color="auto" w:sz="6" w:space="0"/>
            </w:tcBorders>
            <w:noWrap w:val="0"/>
            <w:vAlign w:val="center"/>
          </w:tcPr>
          <w:p w14:paraId="56D94C07">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特别说明：</w:t>
            </w:r>
          </w:p>
          <w:p w14:paraId="6281102B">
            <w:pPr>
              <w:keepNext w:val="0"/>
              <w:keepLines w:val="0"/>
              <w:pageBreakBefore w:val="0"/>
              <w:widowControl w:val="0"/>
              <w:shd w:val="clear"/>
              <w:kinsoku/>
              <w:wordWrap/>
              <w:overflowPunct/>
              <w:topLinePunct w:val="0"/>
              <w:autoSpaceDE w:val="0"/>
              <w:autoSpaceDN w:val="0"/>
              <w:bidi w:val="0"/>
              <w:adjustRightInd w:val="0"/>
              <w:spacing w:line="360" w:lineRule="exact"/>
              <w:ind w:left="71" w:right="69"/>
              <w:rPr>
                <w:rFonts w:hint="eastAsia" w:ascii="宋体" w:hAnsi="宋体" w:cs="宋体"/>
                <w:color w:val="auto"/>
                <w:szCs w:val="21"/>
                <w:highlight w:val="none"/>
              </w:rPr>
            </w:pPr>
            <w:r>
              <w:rPr>
                <w:rFonts w:hint="eastAsia" w:ascii="宋体" w:hAnsi="宋体" w:cs="宋体"/>
                <w:color w:val="auto"/>
                <w:szCs w:val="21"/>
                <w:highlight w:val="none"/>
              </w:rPr>
              <w:t>本表与招标文件其他部分内容不一致的，以本表为准。本招标文件的解释权属于采购人和采购代理机构。</w:t>
            </w:r>
          </w:p>
        </w:tc>
      </w:tr>
    </w:tbl>
    <w:p w14:paraId="1970EBB5">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50" w:name="_Toc317341938"/>
      <w:bookmarkStart w:id="51" w:name="_Toc27142"/>
      <w:bookmarkStart w:id="52" w:name="_Toc7984"/>
      <w:bookmarkStart w:id="53" w:name="_Toc18381"/>
      <w:bookmarkStart w:id="54" w:name="_Toc1651"/>
      <w:bookmarkStart w:id="55" w:name="_Toc222632754"/>
      <w:r>
        <w:rPr>
          <w:rFonts w:hint="eastAsia" w:ascii="宋体" w:hAnsi="宋体" w:eastAsia="宋体" w:cs="宋体"/>
          <w:color w:val="auto"/>
          <w:sz w:val="24"/>
          <w:szCs w:val="24"/>
          <w:highlight w:val="none"/>
        </w:rPr>
        <w:t>一、总  则</w:t>
      </w:r>
      <w:bookmarkEnd w:id="50"/>
      <w:bookmarkEnd w:id="51"/>
      <w:bookmarkEnd w:id="52"/>
      <w:bookmarkEnd w:id="53"/>
      <w:bookmarkEnd w:id="54"/>
      <w:bookmarkEnd w:id="55"/>
    </w:p>
    <w:p w14:paraId="75EF50D5">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56" w:name="_Toc177824939"/>
      <w:bookmarkStart w:id="57" w:name="_Toc177824872"/>
      <w:bookmarkStart w:id="58" w:name="_Toc177825120"/>
      <w:bookmarkStart w:id="59" w:name="_Toc177870537"/>
      <w:r>
        <w:rPr>
          <w:rFonts w:hint="eastAsia" w:ascii="宋体" w:hAnsi="宋体" w:eastAsia="宋体" w:cs="宋体"/>
          <w:b/>
          <w:color w:val="auto"/>
          <w:szCs w:val="21"/>
          <w:highlight w:val="none"/>
        </w:rPr>
        <w:t>（一） 适用范围</w:t>
      </w:r>
      <w:bookmarkEnd w:id="56"/>
      <w:bookmarkEnd w:id="57"/>
      <w:bookmarkEnd w:id="58"/>
      <w:bookmarkEnd w:id="59"/>
    </w:p>
    <w:p w14:paraId="38F6BD67">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w:t>
      </w:r>
      <w:r>
        <w:rPr>
          <w:rFonts w:hint="eastAsia" w:ascii="宋体" w:hAnsi="宋体" w:eastAsia="宋体" w:cs="宋体"/>
          <w:color w:val="auto"/>
          <w:szCs w:val="21"/>
          <w:highlight w:val="none"/>
          <w:u w:val="single"/>
          <w:lang w:eastAsia="zh-CN"/>
        </w:rPr>
        <w:t>2024年度第二批未来社区创建实施方案编制服务采购项目</w:t>
      </w:r>
      <w:r>
        <w:rPr>
          <w:rFonts w:hint="eastAsia" w:ascii="宋体" w:hAnsi="宋体" w:eastAsia="宋体" w:cs="宋体"/>
          <w:color w:val="auto"/>
          <w:szCs w:val="21"/>
          <w:highlight w:val="none"/>
        </w:rPr>
        <w:t>的招标、评标、定标、验收、合同履约、付款等（法律、法规另有规定的，从其规定）。</w:t>
      </w:r>
    </w:p>
    <w:p w14:paraId="302A85C2">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60" w:name="_Toc177824873"/>
      <w:bookmarkStart w:id="61" w:name="_Toc177870538"/>
      <w:bookmarkStart w:id="62" w:name="_Toc177824940"/>
      <w:bookmarkStart w:id="63" w:name="_Toc177825121"/>
      <w:r>
        <w:rPr>
          <w:rFonts w:hint="eastAsia" w:ascii="宋体" w:hAnsi="宋体" w:eastAsia="宋体" w:cs="宋体"/>
          <w:b/>
          <w:color w:val="auto"/>
          <w:szCs w:val="21"/>
          <w:highlight w:val="none"/>
        </w:rPr>
        <w:t>（二）定义</w:t>
      </w:r>
      <w:bookmarkEnd w:id="60"/>
      <w:bookmarkEnd w:id="61"/>
      <w:bookmarkEnd w:id="62"/>
      <w:bookmarkEnd w:id="63"/>
    </w:p>
    <w:p w14:paraId="54C541EC">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bookmarkStart w:id="64" w:name="_Toc293916356"/>
      <w:bookmarkStart w:id="65" w:name="_Toc293916005"/>
      <w:r>
        <w:rPr>
          <w:rFonts w:hint="eastAsia" w:ascii="宋体" w:hAnsi="宋体" w:eastAsia="宋体" w:cs="宋体"/>
          <w:color w:val="auto"/>
          <w:szCs w:val="21"/>
          <w:highlight w:val="none"/>
        </w:rPr>
        <w:t>1、“采购人”系指</w:t>
      </w:r>
      <w:r>
        <w:rPr>
          <w:rFonts w:hint="eastAsia" w:ascii="宋体" w:hAnsi="宋体" w:eastAsia="宋体" w:cs="宋体"/>
          <w:color w:val="auto"/>
          <w:szCs w:val="21"/>
          <w:highlight w:val="none"/>
          <w:lang w:eastAsia="zh-CN"/>
        </w:rPr>
        <w:t>安吉县住房和城乡建设局</w:t>
      </w:r>
      <w:r>
        <w:rPr>
          <w:rFonts w:hint="eastAsia" w:ascii="宋体" w:hAnsi="宋体" w:eastAsia="宋体" w:cs="宋体"/>
          <w:color w:val="auto"/>
          <w:szCs w:val="21"/>
          <w:highlight w:val="none"/>
        </w:rPr>
        <w:t>。</w:t>
      </w:r>
    </w:p>
    <w:p w14:paraId="24D61E96">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2、“采购代理机构”系指</w:t>
      </w:r>
      <w:r>
        <w:rPr>
          <w:rFonts w:hint="eastAsia" w:ascii="宋体" w:hAnsi="宋体" w:eastAsia="宋体" w:cs="宋体"/>
          <w:color w:val="auto"/>
          <w:szCs w:val="21"/>
          <w:highlight w:val="none"/>
          <w:lang w:eastAsia="zh-CN"/>
        </w:rPr>
        <w:t>湖州盛远招标代理有限公司</w:t>
      </w:r>
      <w:r>
        <w:rPr>
          <w:rFonts w:hint="eastAsia" w:ascii="宋体" w:hAnsi="宋体" w:eastAsia="宋体" w:cs="宋体"/>
          <w:color w:val="auto"/>
          <w:szCs w:val="21"/>
          <w:highlight w:val="none"/>
        </w:rPr>
        <w:t>。</w:t>
      </w:r>
    </w:p>
    <w:p w14:paraId="70FC866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3、“投标人”系指向采购人和采购代理机构提交投标文件的单位或个人。</w:t>
      </w:r>
      <w:bookmarkEnd w:id="64"/>
      <w:bookmarkEnd w:id="65"/>
    </w:p>
    <w:p w14:paraId="17C2E26F">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4、“产品”系指供方按招标文件规定，须向采购人提供的一切有关</w:t>
      </w:r>
      <w:r>
        <w:rPr>
          <w:rFonts w:hint="eastAsia" w:ascii="宋体" w:hAnsi="宋体" w:eastAsia="宋体" w:cs="宋体"/>
          <w:color w:val="auto"/>
          <w:szCs w:val="21"/>
          <w:highlight w:val="none"/>
          <w:lang w:val="en-US" w:eastAsia="zh-CN"/>
        </w:rPr>
        <w:t>设备、软件、设施以及</w:t>
      </w:r>
      <w:r>
        <w:rPr>
          <w:rFonts w:hint="eastAsia" w:ascii="宋体" w:hAnsi="宋体" w:eastAsia="宋体" w:cs="宋体"/>
          <w:color w:val="auto"/>
          <w:szCs w:val="21"/>
          <w:highlight w:val="none"/>
        </w:rPr>
        <w:t>技术资料和材料。</w:t>
      </w:r>
    </w:p>
    <w:p w14:paraId="0FF61AA7">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5、“服务”系指招标文件规定投标人须承担的</w:t>
      </w:r>
      <w:r>
        <w:rPr>
          <w:rFonts w:hint="eastAsia" w:ascii="宋体" w:hAnsi="宋体" w:eastAsia="宋体" w:cs="宋体"/>
          <w:color w:val="auto"/>
          <w:szCs w:val="21"/>
          <w:highlight w:val="none"/>
          <w:lang w:val="en-US" w:eastAsia="zh-CN"/>
        </w:rPr>
        <w:t>需求调查、系统建设、设备运维、光纤和链路服务</w:t>
      </w:r>
      <w:r>
        <w:rPr>
          <w:rFonts w:hint="eastAsia" w:ascii="宋体" w:hAnsi="宋体" w:eastAsia="宋体" w:cs="宋体"/>
          <w:color w:val="auto"/>
          <w:szCs w:val="21"/>
          <w:highlight w:val="none"/>
        </w:rPr>
        <w:t>等义务。</w:t>
      </w:r>
    </w:p>
    <w:p w14:paraId="6FCDE24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6、“项目”系指投标人按招标文件规定向采购人提供的产品和服务。</w:t>
      </w:r>
    </w:p>
    <w:p w14:paraId="33A38119">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7、“书面形式”包括信函、传真、电子文档、电子邮件等。</w:t>
      </w:r>
    </w:p>
    <w:p w14:paraId="43691A3C">
      <w:pPr>
        <w:keepNext w:val="0"/>
        <w:keepLines w:val="0"/>
        <w:pageBreakBefore w:val="0"/>
        <w:widowControl w:val="0"/>
        <w:shd w:val="clear"/>
        <w:kinsoku/>
        <w:wordWrap/>
        <w:overflowPunct/>
        <w:topLinePunct w:val="0"/>
        <w:autoSpaceDE/>
        <w:autoSpaceDN/>
        <w:bidi w:val="0"/>
        <w:adjustRightInd w:val="0"/>
        <w:snapToGrid w:val="0"/>
        <w:spacing w:line="380" w:lineRule="exact"/>
        <w:ind w:firstLine="411" w:firstLineChars="196"/>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8、“▲”系指实质性要求条款。</w:t>
      </w:r>
    </w:p>
    <w:p w14:paraId="29EA8569">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66" w:name="_Toc177870539"/>
      <w:r>
        <w:rPr>
          <w:rFonts w:hint="eastAsia" w:ascii="宋体" w:hAnsi="宋体" w:eastAsia="宋体" w:cs="宋体"/>
          <w:b/>
          <w:color w:val="auto"/>
          <w:szCs w:val="21"/>
          <w:highlight w:val="none"/>
        </w:rPr>
        <w:t>（三）招标方式</w:t>
      </w:r>
      <w:bookmarkEnd w:id="66"/>
      <w:r>
        <w:rPr>
          <w:rFonts w:hint="eastAsia" w:ascii="宋体" w:hAnsi="宋体" w:eastAsia="宋体" w:cs="宋体"/>
          <w:b/>
          <w:color w:val="auto"/>
          <w:szCs w:val="21"/>
          <w:highlight w:val="none"/>
        </w:rPr>
        <w:t>：</w:t>
      </w:r>
    </w:p>
    <w:p w14:paraId="5A22A7E3">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1、本次招标采用公开招标方式进行。</w:t>
      </w:r>
    </w:p>
    <w:p w14:paraId="717E8147">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2、本次招标设定上限价，上限价详见前附表。</w:t>
      </w:r>
    </w:p>
    <w:p w14:paraId="16BFF8A7">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67" w:name="_Toc177825122"/>
      <w:bookmarkStart w:id="68" w:name="_Toc177824874"/>
      <w:bookmarkStart w:id="69" w:name="_Toc177824941"/>
      <w:bookmarkStart w:id="70" w:name="_Toc177870540"/>
      <w:r>
        <w:rPr>
          <w:rFonts w:hint="eastAsia" w:ascii="宋体" w:hAnsi="宋体" w:eastAsia="宋体" w:cs="宋体"/>
          <w:b/>
          <w:color w:val="auto"/>
          <w:szCs w:val="21"/>
          <w:highlight w:val="none"/>
        </w:rPr>
        <w:t>（四）投标委托</w:t>
      </w:r>
      <w:bookmarkEnd w:id="67"/>
      <w:bookmarkEnd w:id="68"/>
      <w:bookmarkEnd w:id="69"/>
      <w:bookmarkEnd w:id="70"/>
    </w:p>
    <w:p w14:paraId="56D6E7A5">
      <w:pPr>
        <w:pStyle w:val="14"/>
        <w:pageBreakBefore w:val="0"/>
        <w:widowControl w:val="0"/>
        <w:shd w:val="clear"/>
        <w:kinsoku/>
        <w:wordWrap/>
        <w:overflowPunct/>
        <w:topLinePunct w:val="0"/>
        <w:bidi w:val="0"/>
        <w:adjustRightInd w:val="0"/>
        <w:snapToGrid w:val="0"/>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投标人代表须携带居民身份证，如投标人代表不是法定代表人，须有法定代表人出具的授权委托书（格式见第六章）。</w:t>
      </w:r>
    </w:p>
    <w:p w14:paraId="29377B25">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71" w:name="_Toc177824875"/>
      <w:bookmarkStart w:id="72" w:name="_Toc177870541"/>
      <w:bookmarkStart w:id="73" w:name="_Toc177825123"/>
      <w:bookmarkStart w:id="74" w:name="_Toc177824942"/>
      <w:r>
        <w:rPr>
          <w:rFonts w:hint="eastAsia" w:ascii="宋体" w:hAnsi="宋体" w:eastAsia="宋体" w:cs="宋体"/>
          <w:b/>
          <w:color w:val="auto"/>
          <w:szCs w:val="21"/>
          <w:highlight w:val="none"/>
        </w:rPr>
        <w:t>（五）投标费用</w:t>
      </w:r>
      <w:bookmarkEnd w:id="71"/>
      <w:bookmarkEnd w:id="72"/>
      <w:bookmarkEnd w:id="73"/>
      <w:bookmarkEnd w:id="74"/>
    </w:p>
    <w:p w14:paraId="45397BFB">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14:paraId="24E8867E">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（六）合格投标人的资格要求</w:t>
      </w:r>
    </w:p>
    <w:p w14:paraId="72C1CC8F">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符合第一章第</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条的规定。</w:t>
      </w:r>
    </w:p>
    <w:p w14:paraId="2E7B8B60">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（七）转包与分包</w:t>
      </w:r>
    </w:p>
    <w:p w14:paraId="437D92B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本项目不接受联合体投标，禁止转包，未经采购人同意不允许分包。</w:t>
      </w:r>
    </w:p>
    <w:p w14:paraId="1AEC4792">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szCs w:val="21"/>
          <w:highlight w:val="none"/>
        </w:rPr>
        <w:t>八</w:t>
      </w:r>
      <w:r>
        <w:rPr>
          <w:rFonts w:hint="eastAsia" w:ascii="宋体" w:hAnsi="宋体" w:eastAsia="宋体" w:cs="宋体"/>
          <w:b/>
          <w:color w:val="auto"/>
          <w:highlight w:val="none"/>
        </w:rPr>
        <w:t>）</w:t>
      </w:r>
      <w:bookmarkStart w:id="75" w:name="_Toc177870542"/>
      <w:r>
        <w:rPr>
          <w:rFonts w:hint="eastAsia" w:ascii="宋体" w:hAnsi="宋体" w:eastAsia="宋体" w:cs="宋体"/>
          <w:b/>
          <w:color w:val="auto"/>
          <w:highlight w:val="none"/>
        </w:rPr>
        <w:t>特别说明：</w:t>
      </w:r>
      <w:bookmarkEnd w:id="75"/>
    </w:p>
    <w:p w14:paraId="4788435C">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0F2F31A6">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多家代理商或经销商参加投标，如其中两家或两家以上投标人存在分级代理或代销关系，且提供的是其所代理品牌产品的，评审时，按上述规定确定其中一家为有效投标人。</w:t>
      </w:r>
    </w:p>
    <w:p w14:paraId="678F211D">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2、除招标文件另有规定外，投标人投标所使用的资格、信誉、荣誉、业绩与企业认证必须为本法人所拥有。投标人投标所使用的采购项目实施人员必须为本法人员工或其控股公司正式员工。</w:t>
      </w:r>
    </w:p>
    <w:p w14:paraId="7F146742">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B74B896">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4、投标人应仔细阅读招标文件所有内容，对招标文件的要求作出实质性响应，按照招标文件的要求提交投标文件，并对所提供的全部资料的真实性承担法律责任。</w:t>
      </w:r>
    </w:p>
    <w:p w14:paraId="0C0C3F07">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5、投标人一旦递交了投标（响应）文件，即被视为接受了本招标文件的所有内容，如有任何异议，均应在答疑截止时间前提出。</w:t>
      </w:r>
    </w:p>
    <w:p w14:paraId="30C91762">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6、投标文件前后描述不一，评审时将按不利于投标人的一种描述进行评审（评标委员会按招标文件规定允许投标人予以澄清的除外）。</w:t>
      </w:r>
    </w:p>
    <w:p w14:paraId="3EBD152E">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bookmarkStart w:id="76" w:name="_Toc177870543"/>
      <w:r>
        <w:rPr>
          <w:rFonts w:hint="eastAsia" w:ascii="宋体" w:hAnsi="宋体" w:eastAsia="宋体" w:cs="宋体"/>
          <w:b/>
          <w:color w:val="auto"/>
          <w:highlight w:val="none"/>
        </w:rPr>
        <w:t>（九）质疑</w:t>
      </w:r>
      <w:bookmarkEnd w:id="76"/>
      <w:r>
        <w:rPr>
          <w:rFonts w:hint="eastAsia" w:ascii="宋体" w:hAnsi="宋体" w:eastAsia="宋体" w:cs="宋体"/>
          <w:b/>
          <w:color w:val="auto"/>
          <w:highlight w:val="none"/>
        </w:rPr>
        <w:t>和投诉</w:t>
      </w:r>
    </w:p>
    <w:p w14:paraId="79F22B43">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snapToGrid w:val="0"/>
          <w:color w:val="auto"/>
          <w:kern w:val="0"/>
          <w:highlight w:val="none"/>
        </w:rPr>
      </w:pPr>
      <w:bookmarkStart w:id="77" w:name="_Toc222632755"/>
      <w:bookmarkStart w:id="78" w:name="_Toc317341939"/>
      <w:r>
        <w:rPr>
          <w:rFonts w:hint="eastAsia" w:ascii="宋体" w:hAnsi="宋体" w:eastAsia="宋体" w:cs="宋体"/>
          <w:snapToGrid w:val="0"/>
          <w:color w:val="auto"/>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3338E0E9">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1、</w:t>
      </w:r>
      <w:r>
        <w:rPr>
          <w:rFonts w:hint="eastAsia" w:ascii="宋体" w:hAnsi="宋体" w:eastAsia="宋体" w:cs="宋体"/>
          <w:color w:val="auto"/>
          <w:highlight w:val="none"/>
        </w:rPr>
        <w:t>投标人认为</w:t>
      </w:r>
      <w:r>
        <w:rPr>
          <w:rFonts w:hint="eastAsia" w:ascii="宋体" w:hAnsi="宋体" w:eastAsia="宋体" w:cs="宋体"/>
          <w:color w:val="auto"/>
          <w:szCs w:val="21"/>
          <w:highlight w:val="none"/>
        </w:rPr>
        <w:t>招标</w:t>
      </w:r>
      <w:r>
        <w:rPr>
          <w:rFonts w:hint="eastAsia" w:ascii="宋体" w:hAnsi="宋体" w:eastAsia="宋体" w:cs="宋体"/>
          <w:color w:val="auto"/>
          <w:highlight w:val="none"/>
        </w:rPr>
        <w:t>文件、采购过程和中标、中标结果使自己的权益受到损害的，应当在知道或者应知其权益受到损害之日起七个工作日内，以书面形式向采购人、采购代理机构提出质疑。质疑起算日期如下：</w:t>
      </w:r>
    </w:p>
    <w:p w14:paraId="64ACC9DD">
      <w:pPr>
        <w:pageBreakBefore w:val="0"/>
        <w:widowControl w:val="0"/>
        <w:shd w:val="clear"/>
        <w:kinsoku/>
        <w:wordWrap/>
        <w:overflowPunct/>
        <w:topLinePunct w:val="0"/>
        <w:bidi w:val="0"/>
        <w:snapToGrid w:val="0"/>
        <w:spacing w:line="400" w:lineRule="exact"/>
        <w:ind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（1）对可以质疑的</w:t>
      </w:r>
      <w:r>
        <w:rPr>
          <w:rFonts w:hint="eastAsia" w:ascii="宋体" w:hAnsi="宋体" w:eastAsia="宋体" w:cs="宋体"/>
          <w:color w:val="auto"/>
          <w:szCs w:val="21"/>
          <w:highlight w:val="none"/>
        </w:rPr>
        <w:t>招标</w:t>
      </w:r>
      <w:r>
        <w:rPr>
          <w:rFonts w:hint="eastAsia" w:ascii="宋体" w:hAnsi="宋体" w:eastAsia="宋体" w:cs="宋体"/>
          <w:color w:val="auto"/>
          <w:highlight w:val="none"/>
        </w:rPr>
        <w:t>文件提出质疑的，为收到招标文件之日或者招标文件公告期限届满之日</w:t>
      </w:r>
      <w:r>
        <w:rPr>
          <w:rFonts w:hint="eastAsia" w:ascii="宋体" w:hAnsi="宋体" w:eastAsia="宋体" w:cs="宋体"/>
          <w:color w:val="auto"/>
          <w:szCs w:val="21"/>
          <w:highlight w:val="none"/>
        </w:rPr>
        <w:t>（公告期限届满后获取招标文件的，以公告期限届满之日为准）</w:t>
      </w:r>
      <w:r>
        <w:rPr>
          <w:rFonts w:hint="eastAsia" w:ascii="宋体" w:hAnsi="宋体" w:eastAsia="宋体" w:cs="宋体"/>
          <w:color w:val="auto"/>
          <w:highlight w:val="none"/>
        </w:rPr>
        <w:t>；</w:t>
      </w:r>
    </w:p>
    <w:p w14:paraId="7E66EF60">
      <w:pPr>
        <w:pageBreakBefore w:val="0"/>
        <w:widowControl w:val="0"/>
        <w:shd w:val="clear"/>
        <w:kinsoku/>
        <w:wordWrap/>
        <w:overflowPunct/>
        <w:topLinePunct w:val="0"/>
        <w:bidi w:val="0"/>
        <w:snapToGrid w:val="0"/>
        <w:spacing w:line="400" w:lineRule="exact"/>
        <w:ind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71777084">
      <w:pPr>
        <w:pageBreakBefore w:val="0"/>
        <w:widowControl w:val="0"/>
        <w:shd w:val="clear"/>
        <w:kinsoku/>
        <w:wordWrap/>
        <w:overflowPunct/>
        <w:topLinePunct w:val="0"/>
        <w:bidi w:val="0"/>
        <w:snapToGrid w:val="0"/>
        <w:spacing w:line="400" w:lineRule="exact"/>
        <w:ind w:firstLine="315" w:firstLineChars="150"/>
        <w:textAlignment w:val="auto"/>
        <w:rPr>
          <w:rFonts w:hint="eastAsia" w:ascii="宋体" w:hAnsi="宋体" w:eastAsia="宋体" w:cs="宋体"/>
          <w:color w:val="auto"/>
          <w:highlight w:val="none"/>
        </w:rPr>
      </w:pPr>
      <w:r>
        <w:rPr>
          <w:rFonts w:hint="eastAsia" w:ascii="宋体" w:hAnsi="宋体" w:eastAsia="宋体" w:cs="宋体"/>
          <w:color w:val="auto"/>
          <w:highlight w:val="none"/>
        </w:rPr>
        <w:t>（3）对中标结果提出质疑的，为中标结果公告期限届满之日。</w:t>
      </w:r>
    </w:p>
    <w:p w14:paraId="22C124F0">
      <w:pPr>
        <w:pageBreakBefore w:val="0"/>
        <w:widowControl w:val="0"/>
        <w:shd w:val="clear" w:color="auto"/>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2、</w:t>
      </w:r>
      <w:r>
        <w:rPr>
          <w:rFonts w:hint="eastAsia" w:ascii="宋体" w:hAnsi="宋体" w:eastAsia="宋体" w:cs="宋体"/>
          <w:color w:val="auto"/>
          <w:highlight w:val="none"/>
        </w:rPr>
        <w:t>质疑投标人对采购人、采购代理机构的答复不满意或者采购人、采购代理机构未在规定时间内作出答复的，可以在答复期满后十五个工作日内向同级政府采购监管部门投诉。</w:t>
      </w:r>
    </w:p>
    <w:p w14:paraId="5938E061">
      <w:pPr>
        <w:pageBreakBefore w:val="0"/>
        <w:widowControl w:val="0"/>
        <w:shd w:val="clear" w:color="auto"/>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1B89E578">
      <w:pPr>
        <w:pageBreakBefore w:val="0"/>
        <w:widowControl w:val="0"/>
        <w:shd w:val="clear" w:color="auto"/>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质疑书、投诉书均应明确阐述招标文件、招标过程和中标结果中使自己合法权益受到损害的实质性内容，提供相关事实、依据和证据及其来源或线索，便于有关单位调查、答复和处理。</w:t>
      </w:r>
    </w:p>
    <w:p w14:paraId="235B2279">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4</w:t>
      </w:r>
      <w:r>
        <w:rPr>
          <w:rFonts w:hint="eastAsia" w:ascii="宋体" w:hAnsi="宋体" w:eastAsia="宋体" w:cs="宋体"/>
          <w:snapToGrid w:val="0"/>
          <w:color w:val="auto"/>
          <w:kern w:val="0"/>
          <w:highlight w:val="none"/>
        </w:rPr>
        <w:t>、对于询问的处理：采购人或者采购代理机构应当在3个工作日内对投标人依法提出的询问作出答复。</w:t>
      </w:r>
    </w:p>
    <w:p w14:paraId="5D4844E1">
      <w:pPr>
        <w:pageBreakBefore w:val="0"/>
        <w:widowControl w:val="0"/>
        <w:shd w:val="clear"/>
        <w:kinsoku/>
        <w:wordWrap/>
        <w:overflowPunct/>
        <w:topLinePunct w:val="0"/>
        <w:bidi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投标人提出的询问或者质疑超出采购人对采购代理机构委托授权范围的，采购代理机构应当告知投标人向采购人提出。</w:t>
      </w:r>
    </w:p>
    <w:p w14:paraId="34C402F3">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79" w:name="_Toc6470"/>
      <w:bookmarkStart w:id="80" w:name="_Toc21697"/>
      <w:bookmarkStart w:id="81" w:name="_Toc18204"/>
      <w:bookmarkStart w:id="82" w:name="_Toc19577"/>
      <w:r>
        <w:rPr>
          <w:rFonts w:hint="eastAsia" w:ascii="宋体" w:hAnsi="宋体" w:eastAsia="宋体" w:cs="宋体"/>
          <w:color w:val="auto"/>
          <w:sz w:val="24"/>
          <w:szCs w:val="24"/>
          <w:highlight w:val="none"/>
        </w:rPr>
        <w:t>二、招标文件</w:t>
      </w:r>
      <w:bookmarkEnd w:id="77"/>
      <w:bookmarkEnd w:id="78"/>
      <w:bookmarkEnd w:id="79"/>
      <w:bookmarkEnd w:id="80"/>
      <w:bookmarkEnd w:id="81"/>
      <w:bookmarkEnd w:id="82"/>
    </w:p>
    <w:p w14:paraId="39BA336B">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（一）招标文件的构成。本招标文件由以下部份组成：</w:t>
      </w:r>
    </w:p>
    <w:p w14:paraId="73158704">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1、招标公告；</w:t>
      </w:r>
    </w:p>
    <w:p w14:paraId="49C7A1AB">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2、招标需求；</w:t>
      </w:r>
    </w:p>
    <w:p w14:paraId="26F87D05">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14:paraId="70DABC2B">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4、评标办法及标准；</w:t>
      </w:r>
    </w:p>
    <w:p w14:paraId="4CDE65C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5、合同主要条款；</w:t>
      </w:r>
    </w:p>
    <w:p w14:paraId="0924FB9C">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6、投标文件格式；</w:t>
      </w:r>
    </w:p>
    <w:p w14:paraId="1EE5C6BB">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7、本项目招标文件的澄清、答复、修改、补充的内容。</w:t>
      </w:r>
    </w:p>
    <w:p w14:paraId="42FFA66B">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（二）投标人的风险</w:t>
      </w:r>
    </w:p>
    <w:p w14:paraId="1C98AD6A">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投标人没有按照招标文件要求提供全部资料，或者投标人没有对招标文件在各方面作出实质性响应是投标人的风险，并可能导致其投标被拒绝。</w:t>
      </w:r>
    </w:p>
    <w:p w14:paraId="53D35AC1">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（三）招标文件的澄清与修改 </w:t>
      </w:r>
    </w:p>
    <w:p w14:paraId="61E2C6B3">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1、投标人应认真阅读本招标文件，发现其中有误或有要求不合理的，投标人必须在投标须知前附表规定的招标文件答疑与澄清截止时间前以书面形式要求采购人和采购代理机构澄清。</w:t>
      </w:r>
    </w:p>
    <w:p w14:paraId="5C097EA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3322F603">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3、采购人和采购代理机构对已发出的招标文件进行必要澄清、答复、修改或补充的，应在浙江政府采购网（</w:t>
      </w:r>
      <w:r>
        <w:rPr>
          <w:rFonts w:hint="eastAsia" w:ascii="宋体" w:hAnsi="宋体" w:eastAsia="宋体" w:cs="宋体"/>
          <w:color w:val="auto"/>
          <w:szCs w:val="21"/>
          <w:highlight w:val="none"/>
        </w:rPr>
        <w:t>http://zfcg.czt.zj.gov.cn/</w:t>
      </w:r>
      <w:r>
        <w:rPr>
          <w:rFonts w:hint="eastAsia" w:ascii="宋体" w:hAnsi="宋体" w:eastAsia="宋体" w:cs="宋体"/>
          <w:color w:val="auto"/>
          <w:highlight w:val="none"/>
        </w:rPr>
        <w:t>）上发布公告，并以书面形式通知所有招标文件收受人。</w:t>
      </w:r>
    </w:p>
    <w:p w14:paraId="58F7CE0A">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4、为保证投标人有足够的时间按修改、补充后的招标文件的要求编制和修正其投标文件，采购人和采购代理机构可依法酌情推迟投标截止时间和开标时间。</w:t>
      </w:r>
    </w:p>
    <w:p w14:paraId="32B6A971">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5、招标文件澄清、答复、修改、补充的内容为招标文件的组成部分。当招标文件与招标文件的答复、澄清、修改、补充通知就同一内容的表述不一致时，以最后发出的书面文件为准。</w:t>
      </w:r>
    </w:p>
    <w:p w14:paraId="3228FEB5">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83" w:name="_Toc222632756"/>
      <w:bookmarkStart w:id="84" w:name="_Toc317341940"/>
      <w:bookmarkStart w:id="85" w:name="_Toc18130"/>
      <w:bookmarkStart w:id="86" w:name="_Toc6078"/>
      <w:bookmarkStart w:id="87" w:name="_Toc16999"/>
      <w:bookmarkStart w:id="88" w:name="_Toc13474"/>
      <w:r>
        <w:rPr>
          <w:rFonts w:hint="eastAsia" w:ascii="宋体" w:hAnsi="宋体" w:eastAsia="宋体" w:cs="宋体"/>
          <w:color w:val="auto"/>
          <w:sz w:val="24"/>
          <w:szCs w:val="24"/>
          <w:highlight w:val="none"/>
        </w:rPr>
        <w:t>三、投标文件的编制</w:t>
      </w:r>
      <w:bookmarkEnd w:id="83"/>
      <w:bookmarkEnd w:id="84"/>
      <w:bookmarkEnd w:id="85"/>
      <w:bookmarkEnd w:id="86"/>
      <w:r>
        <w:rPr>
          <w:rFonts w:hint="eastAsia" w:ascii="宋体" w:hAnsi="宋体" w:eastAsia="宋体" w:cs="宋体"/>
          <w:color w:val="auto"/>
          <w:sz w:val="24"/>
          <w:szCs w:val="24"/>
          <w:highlight w:val="none"/>
        </w:rPr>
        <w:t>及递交</w:t>
      </w:r>
      <w:bookmarkEnd w:id="87"/>
      <w:bookmarkEnd w:id="88"/>
    </w:p>
    <w:p w14:paraId="155453D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89" w:name="_Toc177870546"/>
      <w:bookmarkStart w:id="90" w:name="_Toc177825124"/>
      <w:bookmarkStart w:id="91" w:name="_Toc177824943"/>
      <w:bookmarkStart w:id="92" w:name="_Toc177824876"/>
      <w:r>
        <w:rPr>
          <w:rFonts w:hint="eastAsia" w:ascii="宋体" w:hAnsi="宋体" w:eastAsia="宋体" w:cs="宋体"/>
          <w:b/>
          <w:color w:val="auto"/>
          <w:szCs w:val="21"/>
          <w:highlight w:val="none"/>
        </w:rPr>
        <w:t>（一）投标文件的组成</w:t>
      </w:r>
      <w:bookmarkEnd w:id="89"/>
      <w:bookmarkEnd w:id="90"/>
      <w:bookmarkEnd w:id="91"/>
      <w:bookmarkEnd w:id="92"/>
      <w:r>
        <w:rPr>
          <w:rFonts w:hint="eastAsia" w:ascii="宋体" w:hAnsi="宋体" w:eastAsia="宋体" w:cs="宋体"/>
          <w:color w:val="auto"/>
          <w:sz w:val="32"/>
          <w:highlight w:val="none"/>
        </w:rPr>
        <w:t xml:space="preserve"> </w:t>
      </w:r>
    </w:p>
    <w:p w14:paraId="263FBCF6">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投标文件由</w:t>
      </w:r>
      <w:r>
        <w:rPr>
          <w:rFonts w:hint="eastAsia" w:ascii="宋体" w:hAnsi="宋体" w:eastAsia="宋体" w:cs="宋体"/>
          <w:b/>
          <w:color w:val="auto"/>
          <w:szCs w:val="21"/>
          <w:highlight w:val="none"/>
        </w:rPr>
        <w:t>资格证明文件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技术资信文件、报价文件</w:t>
      </w:r>
      <w:r>
        <w:rPr>
          <w:rFonts w:hint="eastAsia" w:ascii="宋体" w:hAnsi="宋体" w:eastAsia="宋体" w:cs="宋体"/>
          <w:color w:val="auto"/>
          <w:szCs w:val="21"/>
          <w:highlight w:val="none"/>
        </w:rPr>
        <w:t>组成。</w:t>
      </w:r>
    </w:p>
    <w:p w14:paraId="60232B96">
      <w:pPr>
        <w:pageBreakBefore w:val="0"/>
        <w:widowControl w:val="0"/>
        <w:shd w:val="clear"/>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1、资格证明文件包括：</w:t>
      </w:r>
    </w:p>
    <w:p w14:paraId="419EE18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投标资格声明书（格式见第六章）；</w:t>
      </w:r>
    </w:p>
    <w:p w14:paraId="1595BC5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营业执照副本复印件；</w:t>
      </w:r>
    </w:p>
    <w:p w14:paraId="617E8F4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符合本项目要求的资质证书复印件；</w:t>
      </w:r>
    </w:p>
    <w:p w14:paraId="16AC5DE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）最近一个季度依法缴纳税收和社保费的证明[税费凭证复印件，或者依法缴纳税费或依法免缴税费的证明]；</w:t>
      </w:r>
    </w:p>
    <w:p w14:paraId="48F4826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中小企业声明函</w:t>
      </w:r>
      <w:r>
        <w:rPr>
          <w:rFonts w:hint="eastAsia" w:ascii="宋体" w:hAnsi="宋体" w:eastAsia="宋体" w:cs="宋体"/>
          <w:szCs w:val="21"/>
          <w:highlight w:val="none"/>
          <w:lang w:eastAsia="zh-CN"/>
        </w:rPr>
        <w:t>。（注：</w:t>
      </w:r>
      <w:r>
        <w:rPr>
          <w:rFonts w:hint="eastAsia" w:ascii="宋体" w:hAnsi="宋体" w:eastAsia="宋体" w:cs="宋体"/>
          <w:szCs w:val="21"/>
          <w:highlight w:val="none"/>
          <w:lang w:val="en-US" w:eastAsia="zh-CN"/>
        </w:rPr>
        <w:t>本项目为专门面向中小企业采购，投标供应商非中小企业的，资格审查不通过；符合上述条件的中小微型企业应按照磋商文件附件的格式要求在资格证明文件中提供《中小企业声明函》及证明材料</w:t>
      </w:r>
      <w:r>
        <w:rPr>
          <w:rFonts w:hint="eastAsia" w:ascii="宋体" w:hAnsi="宋体" w:eastAsia="宋体" w:cs="宋体"/>
          <w:szCs w:val="21"/>
          <w:highlight w:val="none"/>
          <w:lang w:eastAsia="zh-CN"/>
        </w:rPr>
        <w:t>）。</w:t>
      </w:r>
    </w:p>
    <w:p w14:paraId="666949B1">
      <w:pPr>
        <w:pageBreakBefore w:val="0"/>
        <w:widowControl w:val="0"/>
        <w:shd w:val="clear"/>
        <w:tabs>
          <w:tab w:val="left" w:pos="533"/>
        </w:tabs>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2、技术资信文件包括：</w:t>
      </w:r>
    </w:p>
    <w:p w14:paraId="6916FD0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投标函（格式见第六章）；</w:t>
      </w:r>
    </w:p>
    <w:p w14:paraId="6B181D1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营业执照复印件</w:t>
      </w:r>
      <w:r>
        <w:rPr>
          <w:rFonts w:hint="eastAsia" w:ascii="宋体" w:hAnsi="宋体" w:eastAsia="宋体" w:cs="宋体"/>
          <w:szCs w:val="21"/>
          <w:highlight w:val="none"/>
          <w:lang w:eastAsia="zh-CN"/>
        </w:rPr>
        <w:t>；</w:t>
      </w:r>
    </w:p>
    <w:p w14:paraId="5CA55D5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法定代表人身份证明书、法定代表人授权委托书（格式见第六章）</w:t>
      </w:r>
      <w:r>
        <w:rPr>
          <w:rFonts w:hint="eastAsia" w:ascii="宋体" w:hAnsi="宋体" w:eastAsia="宋体" w:cs="宋体"/>
          <w:szCs w:val="21"/>
          <w:highlight w:val="none"/>
          <w:lang w:eastAsia="zh-CN"/>
        </w:rPr>
        <w:t>；</w:t>
      </w:r>
    </w:p>
    <w:p w14:paraId="07EE908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投标单位情况表（格式见第六章）；</w:t>
      </w:r>
    </w:p>
    <w:p w14:paraId="5725912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获奖情况；</w:t>
      </w:r>
    </w:p>
    <w:p w14:paraId="50A4BB6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rPr>
        <w:t>技术响应表（格式见第六章）；</w:t>
      </w:r>
    </w:p>
    <w:p w14:paraId="36FE865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项目</w:t>
      </w:r>
      <w:r>
        <w:rPr>
          <w:rStyle w:val="42"/>
          <w:rFonts w:hint="eastAsia" w:ascii="宋体" w:hAnsi="宋体" w:eastAsia="宋体" w:cs="宋体"/>
          <w:color w:val="auto"/>
          <w:sz w:val="21"/>
          <w:szCs w:val="21"/>
          <w:highlight w:val="none"/>
          <w:u w:val="none"/>
          <w:lang w:val="en-US" w:eastAsia="zh-CN"/>
        </w:rPr>
        <w:t>基本情况分析</w:t>
      </w:r>
      <w:r>
        <w:rPr>
          <w:rStyle w:val="42"/>
          <w:rFonts w:hint="eastAsia" w:ascii="宋体" w:hAnsi="宋体" w:eastAsia="宋体" w:cs="宋体"/>
          <w:color w:val="auto"/>
          <w:sz w:val="21"/>
          <w:szCs w:val="21"/>
          <w:highlight w:val="none"/>
          <w:u w:val="none"/>
          <w:lang w:eastAsia="zh-CN"/>
        </w:rPr>
        <w:t>；</w:t>
      </w:r>
    </w:p>
    <w:p w14:paraId="67C08E1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w:t>
      </w:r>
      <w:r>
        <w:rPr>
          <w:rFonts w:hint="eastAsia" w:ascii="宋体" w:hAnsi="宋体" w:eastAsia="宋体" w:cs="宋体"/>
          <w:bCs/>
          <w:sz w:val="21"/>
          <w:szCs w:val="21"/>
        </w:rPr>
        <w:t>方案思路</w:t>
      </w:r>
      <w:r>
        <w:rPr>
          <w:rStyle w:val="42"/>
          <w:rFonts w:hint="eastAsia" w:ascii="宋体" w:hAnsi="宋体" w:eastAsia="宋体" w:cs="宋体"/>
          <w:color w:val="auto"/>
          <w:sz w:val="21"/>
          <w:szCs w:val="21"/>
          <w:highlight w:val="none"/>
          <w:u w:val="none"/>
          <w:lang w:val="en-US" w:eastAsia="zh-CN"/>
        </w:rPr>
        <w:t>；</w:t>
      </w:r>
    </w:p>
    <w:p w14:paraId="4EC5623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eastAsia="zh-CN"/>
        </w:rPr>
        <w:t>）</w:t>
      </w:r>
      <w:r>
        <w:rPr>
          <w:rFonts w:hint="eastAsia" w:ascii="宋体" w:hAnsi="宋体" w:eastAsia="宋体" w:cs="宋体"/>
          <w:bCs/>
          <w:sz w:val="21"/>
          <w:szCs w:val="21"/>
        </w:rPr>
        <w:t>方案内容</w:t>
      </w:r>
      <w:r>
        <w:rPr>
          <w:rFonts w:hint="eastAsia" w:ascii="宋体" w:hAnsi="宋体" w:eastAsia="宋体" w:cs="宋体"/>
          <w:szCs w:val="21"/>
          <w:highlight w:val="none"/>
          <w:lang w:val="en-US" w:eastAsia="zh-CN"/>
        </w:rPr>
        <w:t>；</w:t>
      </w:r>
    </w:p>
    <w:p w14:paraId="38CE95A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w:t>
      </w:r>
      <w:r>
        <w:rPr>
          <w:rFonts w:hint="eastAsia" w:ascii="宋体" w:hAnsi="宋体" w:eastAsia="宋体" w:cs="宋体"/>
          <w:bCs/>
          <w:sz w:val="21"/>
          <w:szCs w:val="21"/>
        </w:rPr>
        <w:t>进度计划</w:t>
      </w:r>
      <w:r>
        <w:rPr>
          <w:rFonts w:hint="eastAsia" w:ascii="宋体" w:hAnsi="宋体" w:eastAsia="宋体" w:cs="宋体"/>
          <w:szCs w:val="21"/>
          <w:highlight w:val="none"/>
          <w:lang w:val="en-US" w:eastAsia="zh-CN"/>
        </w:rPr>
        <w:t>；</w:t>
      </w:r>
    </w:p>
    <w:p w14:paraId="35E3997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lang w:eastAsia="zh-CN"/>
        </w:rPr>
        <w:t>）</w:t>
      </w:r>
      <w:r>
        <w:rPr>
          <w:rFonts w:hint="eastAsia" w:ascii="宋体" w:hAnsi="宋体" w:eastAsia="宋体" w:cs="宋体"/>
          <w:bCs/>
          <w:sz w:val="21"/>
          <w:szCs w:val="21"/>
        </w:rPr>
        <w:t>质量保证</w:t>
      </w:r>
      <w:r>
        <w:rPr>
          <w:rFonts w:hint="eastAsia" w:ascii="宋体" w:hAnsi="宋体" w:eastAsia="宋体" w:cs="宋体"/>
          <w:szCs w:val="21"/>
          <w:highlight w:val="none"/>
          <w:lang w:val="en-US" w:eastAsia="zh-CN"/>
        </w:rPr>
        <w:t>；</w:t>
      </w:r>
    </w:p>
    <w:p w14:paraId="13CAF0D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lang w:eastAsia="zh-CN"/>
        </w:rPr>
        <w:t>）</w:t>
      </w:r>
      <w:r>
        <w:rPr>
          <w:rFonts w:hint="eastAsia" w:ascii="宋体" w:hAnsi="宋体" w:eastAsia="宋体" w:cs="宋体"/>
          <w:bCs/>
          <w:sz w:val="21"/>
          <w:szCs w:val="21"/>
        </w:rPr>
        <w:t>服务承诺</w:t>
      </w:r>
      <w:r>
        <w:rPr>
          <w:rFonts w:hint="eastAsia" w:ascii="宋体" w:hAnsi="宋体" w:eastAsia="宋体" w:cs="宋体"/>
          <w:bCs/>
          <w:sz w:val="21"/>
          <w:szCs w:val="21"/>
          <w:lang w:eastAsia="zh-CN"/>
        </w:rPr>
        <w:t>；</w:t>
      </w:r>
    </w:p>
    <w:p w14:paraId="5FC83F8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lang w:eastAsia="zh-CN"/>
        </w:rPr>
        <w:t>）</w:t>
      </w:r>
      <w:r>
        <w:rPr>
          <w:rFonts w:hint="eastAsia" w:ascii="宋体" w:hAnsi="宋体" w:eastAsia="宋体" w:cs="宋体"/>
          <w:color w:val="000000"/>
          <w:kern w:val="2"/>
          <w:szCs w:val="21"/>
          <w:highlight w:val="none"/>
        </w:rPr>
        <w:t>拟投</w:t>
      </w:r>
      <w:r>
        <w:rPr>
          <w:rFonts w:hint="eastAsia" w:ascii="宋体" w:hAnsi="宋体" w:eastAsia="宋体" w:cs="宋体"/>
          <w:color w:val="000000"/>
          <w:szCs w:val="21"/>
          <w:highlight w:val="none"/>
        </w:rPr>
        <w:t>入实施的团队人员配置（格式见第六章）</w:t>
      </w:r>
      <w:r>
        <w:rPr>
          <w:rFonts w:hint="eastAsia" w:ascii="宋体" w:hAnsi="宋体" w:eastAsia="宋体" w:cs="宋体"/>
          <w:color w:val="000000"/>
          <w:szCs w:val="21"/>
          <w:highlight w:val="none"/>
          <w:lang w:val="en-US" w:eastAsia="zh-CN"/>
        </w:rPr>
        <w:t>；</w:t>
      </w:r>
    </w:p>
    <w:p w14:paraId="010669A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lang w:eastAsia="zh-CN"/>
        </w:rPr>
        <w:t>）</w:t>
      </w:r>
      <w:r>
        <w:rPr>
          <w:rFonts w:hint="eastAsia" w:ascii="宋体" w:hAnsi="宋体" w:eastAsia="宋体" w:cs="宋体"/>
          <w:color w:val="000000"/>
          <w:szCs w:val="21"/>
          <w:highlight w:val="none"/>
        </w:rPr>
        <w:t>商务响应表（格式见第六章）；</w:t>
      </w:r>
    </w:p>
    <w:p w14:paraId="6BE227C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lang w:eastAsia="zh-CN"/>
        </w:rPr>
        <w:t>）</w:t>
      </w:r>
      <w:r>
        <w:rPr>
          <w:rFonts w:hint="eastAsia" w:ascii="宋体" w:hAnsi="宋体" w:eastAsia="宋体" w:cs="宋体"/>
          <w:color w:val="000000"/>
          <w:szCs w:val="21"/>
          <w:highlight w:val="none"/>
        </w:rPr>
        <w:t>同类项目实施情况一览表（格式见第六章）；</w:t>
      </w:r>
    </w:p>
    <w:p w14:paraId="2C24349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lang w:val="en-US" w:eastAsia="zh-CN"/>
        </w:rPr>
        <w:t>16</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根据评分表及项目需求情况，自行添加相关表格及资料</w:t>
      </w:r>
      <w:r>
        <w:rPr>
          <w:rFonts w:hint="eastAsia" w:ascii="宋体" w:hAnsi="宋体" w:eastAsia="宋体" w:cs="宋体"/>
          <w:b w:val="0"/>
          <w:bCs w:val="0"/>
          <w:color w:val="000000"/>
          <w:szCs w:val="21"/>
          <w:highlight w:val="none"/>
          <w:lang w:eastAsia="zh-CN"/>
        </w:rPr>
        <w:t>。</w:t>
      </w:r>
    </w:p>
    <w:p w14:paraId="5855D2A8">
      <w:pPr>
        <w:pageBreakBefore w:val="0"/>
        <w:widowControl w:val="0"/>
        <w:shd w:val="clear"/>
        <w:tabs>
          <w:tab w:val="left" w:pos="533"/>
        </w:tabs>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szCs w:val="21"/>
          <w:highlight w:val="none"/>
        </w:rPr>
        <w:t>3、报价文件包括：</w:t>
      </w:r>
    </w:p>
    <w:p w14:paraId="0A894664">
      <w:pPr>
        <w:pageBreakBefore w:val="0"/>
        <w:widowControl w:val="0"/>
        <w:numPr>
          <w:ilvl w:val="0"/>
          <w:numId w:val="0"/>
        </w:numPr>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开标一览表</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格式见附件</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517E3B5C">
      <w:pPr>
        <w:pageBreakBefore w:val="0"/>
        <w:widowControl w:val="0"/>
        <w:numPr>
          <w:ilvl w:val="0"/>
          <w:numId w:val="0"/>
        </w:numPr>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报价明细表</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格式见附件</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27297D35">
      <w:pPr>
        <w:pageBreakBefore w:val="0"/>
        <w:widowControl w:val="0"/>
        <w:numPr>
          <w:ilvl w:val="0"/>
          <w:numId w:val="0"/>
        </w:numPr>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投标人针对报价的说明或证明材料。</w:t>
      </w:r>
    </w:p>
    <w:p w14:paraId="70C578A9">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（二）投标文件的语言及度量衡单位</w:t>
      </w:r>
    </w:p>
    <w:p w14:paraId="0D85A9DD">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▲1、投标文件以及投标人与采购人和采购代理机构就有关投标事宜的所有来往函电，均应以中文书写。</w:t>
      </w:r>
    </w:p>
    <w:p w14:paraId="2AAFBC06">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▲2、投标文件所使用的度量衡单位，均采用我国法定计量单位。</w:t>
      </w:r>
      <w:bookmarkStart w:id="93" w:name="_Toc177824945"/>
      <w:bookmarkStart w:id="94" w:name="_Toc177824878"/>
      <w:bookmarkStart w:id="95" w:name="_Toc177870548"/>
      <w:bookmarkStart w:id="96" w:name="_Toc177825126"/>
    </w:p>
    <w:p w14:paraId="409C4094">
      <w:pPr>
        <w:pageBreakBefore w:val="0"/>
        <w:widowControl w:val="0"/>
        <w:shd w:val="clear"/>
        <w:kinsoku/>
        <w:wordWrap/>
        <w:overflowPunct/>
        <w:topLinePunct w:val="0"/>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3、对不同文字文本投标文件的解释发生异议的，以中文文本为准。</w:t>
      </w:r>
    </w:p>
    <w:bookmarkEnd w:id="93"/>
    <w:bookmarkEnd w:id="94"/>
    <w:bookmarkEnd w:id="95"/>
    <w:bookmarkEnd w:id="96"/>
    <w:p w14:paraId="05AC6523">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（三）投标报价</w:t>
      </w:r>
    </w:p>
    <w:p w14:paraId="6306A688">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1、投标报价应按招标文件中相关附表格式填写。</w:t>
      </w:r>
    </w:p>
    <w:p w14:paraId="2C23BE7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▲2、招标采购单位不接受备选方案。</w:t>
      </w:r>
    </w:p>
    <w:p w14:paraId="3F62C423">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▲3、投标文件只允许有一个报价，有选择的报价将不予接受。</w:t>
      </w:r>
    </w:p>
    <w:p w14:paraId="560C2E5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投标人应充分考虑因各种原因可能发生的费用。对没有填报的费用，采购人认为所有费用已包含在报价中，除合同条款另有规定外，不得进行调整。</w:t>
      </w:r>
    </w:p>
    <w:p w14:paraId="1726AC60">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（四）投标文件的有效期</w:t>
      </w:r>
    </w:p>
    <w:p w14:paraId="25422BD5">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▲1、自投标截止日起</w:t>
      </w:r>
      <w:r>
        <w:rPr>
          <w:rFonts w:hint="eastAsia" w:ascii="宋体" w:hAnsi="宋体" w:eastAsia="宋体" w:cs="宋体"/>
          <w:color w:val="auto"/>
          <w:szCs w:val="21"/>
          <w:highlight w:val="none"/>
          <w:u w:val="single"/>
        </w:rPr>
        <w:t>90天</w:t>
      </w:r>
      <w:r>
        <w:rPr>
          <w:rFonts w:hint="eastAsia" w:ascii="宋体" w:hAnsi="宋体" w:eastAsia="宋体" w:cs="宋体"/>
          <w:color w:val="auto"/>
          <w:szCs w:val="21"/>
          <w:highlight w:val="none"/>
        </w:rPr>
        <w:t>投标书应保持有效。有效期短于这个规定期限的投标将被拒绝。</w:t>
      </w:r>
    </w:p>
    <w:p w14:paraId="2263275B">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2、在特殊情况下，采购人可与投标人协商延长投标书的有效期，这种要求和答复均以书面形式进行。</w:t>
      </w:r>
      <w:bookmarkStart w:id="97" w:name="_Toc177824879"/>
      <w:bookmarkStart w:id="98" w:name="_Toc177870549"/>
      <w:bookmarkStart w:id="99" w:name="_Toc177824946"/>
      <w:bookmarkStart w:id="100" w:name="_Toc177825127"/>
    </w:p>
    <w:p w14:paraId="3496F0D3">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3、投标人可拒绝接受延期要求而不会导致投标保证金被不予返还。同意延长有效期的投标人需要相应延长投标保证金的有效期，但不能修改投标文件。</w:t>
      </w:r>
      <w:bookmarkEnd w:id="97"/>
      <w:bookmarkEnd w:id="98"/>
      <w:bookmarkEnd w:id="99"/>
      <w:bookmarkEnd w:id="100"/>
      <w:r>
        <w:rPr>
          <w:rFonts w:hint="eastAsia" w:ascii="宋体" w:hAnsi="宋体" w:eastAsia="宋体" w:cs="宋体"/>
          <w:color w:val="auto"/>
          <w:szCs w:val="21"/>
          <w:highlight w:val="none"/>
        </w:rPr>
        <w:t xml:space="preserve"> </w:t>
      </w:r>
    </w:p>
    <w:p w14:paraId="406906F2">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4、中标人的投标文件自开标之日起至合同履行完毕止均应保持有效。</w:t>
      </w:r>
    </w:p>
    <w:p w14:paraId="6293AA40">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b/>
          <w:color w:val="auto"/>
          <w:szCs w:val="21"/>
          <w:highlight w:val="none"/>
        </w:rPr>
      </w:pPr>
      <w:bookmarkStart w:id="101" w:name="_Toc177824880"/>
      <w:bookmarkStart w:id="102" w:name="_Toc177870550"/>
      <w:bookmarkStart w:id="103" w:name="_Toc177825128"/>
      <w:bookmarkStart w:id="104" w:name="_Toc177824947"/>
      <w:r>
        <w:rPr>
          <w:rFonts w:hint="eastAsia" w:ascii="宋体" w:hAnsi="宋体" w:eastAsia="宋体" w:cs="宋体"/>
          <w:b/>
          <w:color w:val="auto"/>
          <w:szCs w:val="21"/>
          <w:highlight w:val="none"/>
        </w:rPr>
        <w:t>（五）投标保证金</w:t>
      </w:r>
      <w:bookmarkEnd w:id="101"/>
      <w:bookmarkEnd w:id="102"/>
      <w:bookmarkEnd w:id="103"/>
      <w:bookmarkEnd w:id="104"/>
    </w:p>
    <w:p w14:paraId="1603495B">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5957B4D1">
      <w:pPr>
        <w:pageBreakBefore w:val="0"/>
        <w:widowControl w:val="0"/>
        <w:shd w:val="clear"/>
        <w:kinsoku/>
        <w:wordWrap/>
        <w:overflowPunct/>
        <w:topLinePunct w:val="0"/>
        <w:bidi w:val="0"/>
        <w:spacing w:line="400" w:lineRule="exact"/>
        <w:textAlignment w:val="auto"/>
        <w:rPr>
          <w:rFonts w:hint="eastAsia" w:ascii="宋体" w:hAnsi="宋体" w:eastAsia="宋体" w:cs="宋体"/>
          <w:b/>
          <w:color w:val="auto"/>
          <w:szCs w:val="20"/>
          <w:highlight w:val="none"/>
        </w:rPr>
      </w:pPr>
      <w:bookmarkStart w:id="105" w:name="_Toc177870551"/>
      <w:bookmarkStart w:id="106" w:name="_Toc177824948"/>
      <w:bookmarkStart w:id="107" w:name="_Toc177825129"/>
      <w:bookmarkStart w:id="108" w:name="_Toc177824881"/>
      <w:r>
        <w:rPr>
          <w:rFonts w:hint="eastAsia" w:ascii="宋体" w:hAnsi="宋体" w:eastAsia="宋体" w:cs="宋体"/>
          <w:b/>
          <w:color w:val="auto"/>
          <w:szCs w:val="21"/>
          <w:highlight w:val="none"/>
        </w:rPr>
        <w:t>（六）</w:t>
      </w:r>
      <w:r>
        <w:rPr>
          <w:rFonts w:hint="eastAsia" w:ascii="宋体" w:hAnsi="宋体" w:eastAsia="宋体" w:cs="宋体"/>
          <w:b/>
          <w:color w:val="auto"/>
          <w:szCs w:val="20"/>
          <w:highlight w:val="none"/>
        </w:rPr>
        <w:t>投标文件编制</w:t>
      </w:r>
    </w:p>
    <w:p w14:paraId="052883F0">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1、本项目通过“政采云平台（www.zcygov.cn）”实行在线投标响应（电子投标）。投标人应通过“政采云电子交易客户端”，并按照本招标文件和“政府采购云平台”的要求编制并加密投标文件。</w:t>
      </w:r>
    </w:p>
    <w:p w14:paraId="2AD28199">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21C0DE12">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79E742E0">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4、投标文件内容不完整、编排混乱导致投标文件被误读、漏读或者查找不到相关内容的，是投标人的责任。</w:t>
      </w:r>
    </w:p>
    <w:p w14:paraId="7569CD94">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5、投标文件因字迹潦草或表达不清所引起的后果由投标人负责。</w:t>
      </w:r>
    </w:p>
    <w:p w14:paraId="5CB68713">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0D0BE315">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7、投标文件的签章</w:t>
      </w:r>
    </w:p>
    <w:p w14:paraId="341F6BBB">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投标文件的签章见《前附表》；</w:t>
      </w:r>
    </w:p>
    <w:p w14:paraId="6AFC10B4">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投标文件应由投标人法定代表人或其授权代表签字（或盖章），并时加盖投标人公章。</w:t>
      </w:r>
    </w:p>
    <w:p w14:paraId="7E198C10">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参与在线投标时如遇平台技术问题详询400-881-7190。</w:t>
      </w:r>
    </w:p>
    <w:p w14:paraId="07872225">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8、投标文件的形式</w:t>
      </w:r>
    </w:p>
    <w:p w14:paraId="1DF5F69D">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投标文件的形式：见《前附表》；</w:t>
      </w:r>
    </w:p>
    <w:p w14:paraId="47F0F22D">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“电子加密投标文件”：“电子加密投标文件”是指通过“政采云电子交易客户端”完成投标文件编制后生成并加密的数据电文形式的投标文件。</w:t>
      </w:r>
    </w:p>
    <w:p w14:paraId="5F7F82F0">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 “备份投标文件”：“备份投标文件”是指与“电子加密投标文件”同时生成的数据电文形式的电子文件（备份标书），其他方式编制的“备份投标文件”视为无效的“备份投标文件”。</w:t>
      </w:r>
    </w:p>
    <w:p w14:paraId="13C663BC">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9、投标文件的份数</w:t>
      </w:r>
    </w:p>
    <w:p w14:paraId="0153CBFB">
      <w:pPr>
        <w:keepNext w:val="0"/>
        <w:keepLines w:val="0"/>
        <w:pageBreakBefore w:val="0"/>
        <w:widowControl w:val="0"/>
        <w:shd w:val="clear"/>
        <w:kinsoku/>
        <w:wordWrap/>
        <w:overflowPunct/>
        <w:topLinePunct w:val="0"/>
        <w:autoSpaceDE/>
        <w:autoSpaceDN/>
        <w:bidi w:val="0"/>
        <w:adjustRightInd w:val="0"/>
        <w:snapToGrid w:val="0"/>
        <w:spacing w:line="390" w:lineRule="atLeas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投标文件的份数：见《前附表》。</w:t>
      </w:r>
    </w:p>
    <w:p w14:paraId="719FCFE5">
      <w:pPr>
        <w:pageBreakBefore w:val="0"/>
        <w:widowControl w:val="0"/>
        <w:shd w:val="clear"/>
        <w:kinsoku/>
        <w:wordWrap/>
        <w:overflowPunct/>
        <w:topLinePunct w:val="0"/>
        <w:bidi w:val="0"/>
        <w:spacing w:line="400" w:lineRule="exact"/>
        <w:textAlignment w:val="auto"/>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（七）投标文件的递交</w:t>
      </w:r>
    </w:p>
    <w:p w14:paraId="77BA48C9">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1、投标文件的上传、递交</w:t>
      </w:r>
    </w:p>
    <w:p w14:paraId="0960E669">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“投标文件”的上传、递交：见《前附表》。</w:t>
      </w:r>
    </w:p>
    <w:p w14:paraId="7AF04FC9">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2、“电子加密投标文件”解密和异常情况处理</w:t>
      </w:r>
    </w:p>
    <w:p w14:paraId="4B1482D5">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“电子加密投标文件”解密：见《前附表》。</w:t>
      </w:r>
    </w:p>
    <w:p w14:paraId="3B6A278B">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3、投标文件的补充、修改或撤回</w:t>
      </w:r>
    </w:p>
    <w:p w14:paraId="6B31AA6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7469D0E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投标截止时间后，投标人不得撤回、修改《投标文件》。</w:t>
      </w:r>
    </w:p>
    <w:p w14:paraId="014968B5">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4、投标文件的备选方案</w:t>
      </w:r>
    </w:p>
    <w:p w14:paraId="476B420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投标人不得递交任何的投标备选（替代）方案，否则其投标文件将作无效标处理。与“电子加密投标文件”同时生成的“备份投标文件”不是投标备选方案。</w:t>
      </w:r>
    </w:p>
    <w:bookmarkEnd w:id="105"/>
    <w:bookmarkEnd w:id="106"/>
    <w:bookmarkEnd w:id="107"/>
    <w:bookmarkEnd w:id="108"/>
    <w:p w14:paraId="71E13B95">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bookmarkStart w:id="109" w:name="_Toc177870552"/>
      <w:r>
        <w:rPr>
          <w:rFonts w:hint="eastAsia" w:ascii="宋体" w:hAnsi="宋体" w:eastAsia="宋体" w:cs="宋体"/>
          <w:color w:val="auto"/>
          <w:szCs w:val="21"/>
          <w:highlight w:val="none"/>
        </w:rPr>
        <w:t>5、投标截止期</w:t>
      </w:r>
    </w:p>
    <w:p w14:paraId="50853A71">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5.1投标人应按前附表规定的时间、地点将投标文件递交给采购代理机构，采购代理机构将拒绝接受逾期送达的投标文件。</w:t>
      </w:r>
    </w:p>
    <w:p w14:paraId="6B698B0A">
      <w:pPr>
        <w:keepNext w:val="0"/>
        <w:keepLines w:val="0"/>
        <w:pageBreakBefore w:val="0"/>
        <w:widowControl w:val="0"/>
        <w:shd w:val="clea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109"/>
      <w:bookmarkStart w:id="110" w:name="_Toc107820050"/>
      <w:bookmarkStart w:id="111" w:name="_Toc170792769"/>
    </w:p>
    <w:bookmarkEnd w:id="110"/>
    <w:bookmarkEnd w:id="111"/>
    <w:p w14:paraId="052D0791">
      <w:pPr>
        <w:pStyle w:val="5"/>
        <w:keepNext/>
        <w:keepLines/>
        <w:pageBreakBefore w:val="0"/>
        <w:widowControl w:val="0"/>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12" w:name="_Toc4662"/>
      <w:bookmarkStart w:id="113" w:name="_Toc20939"/>
      <w:bookmarkStart w:id="114" w:name="_Toc15896"/>
      <w:bookmarkStart w:id="115" w:name="_Toc222632758"/>
      <w:bookmarkStart w:id="116" w:name="_Toc317341941"/>
      <w:bookmarkStart w:id="117" w:name="_Toc4085"/>
      <w:r>
        <w:rPr>
          <w:rFonts w:hint="eastAsia" w:ascii="宋体" w:hAnsi="宋体" w:eastAsia="宋体" w:cs="宋体"/>
          <w:color w:val="auto"/>
          <w:sz w:val="24"/>
          <w:szCs w:val="24"/>
          <w:highlight w:val="none"/>
        </w:rPr>
        <w:t>四、开标</w:t>
      </w:r>
      <w:bookmarkEnd w:id="112"/>
      <w:bookmarkEnd w:id="113"/>
      <w:bookmarkEnd w:id="114"/>
      <w:bookmarkEnd w:id="115"/>
      <w:bookmarkEnd w:id="116"/>
      <w:bookmarkEnd w:id="117"/>
    </w:p>
    <w:p w14:paraId="0623AB79">
      <w:pPr>
        <w:pStyle w:val="7"/>
        <w:pageBreakBefore w:val="0"/>
        <w:widowControl w:val="0"/>
        <w:numPr>
          <w:ilvl w:val="0"/>
          <w:numId w:val="0"/>
        </w:numPr>
        <w:shd w:val="clear"/>
        <w:tabs>
          <w:tab w:val="clear" w:pos="720"/>
        </w:tabs>
        <w:kinsoku/>
        <w:wordWrap/>
        <w:overflowPunct/>
        <w:topLinePunct w:val="0"/>
        <w:bidi w:val="0"/>
        <w:spacing w:before="0" w:after="0" w:line="400" w:lineRule="exact"/>
        <w:ind w:left="720" w:hanging="720"/>
        <w:textAlignment w:val="auto"/>
        <w:rPr>
          <w:rFonts w:hint="eastAsia" w:ascii="宋体" w:hAnsi="宋体" w:eastAsia="宋体" w:cs="宋体"/>
          <w:b w:val="0"/>
          <w:bCs w:val="0"/>
          <w:color w:val="auto"/>
          <w:sz w:val="21"/>
          <w:szCs w:val="21"/>
          <w:highlight w:val="none"/>
        </w:rPr>
      </w:pPr>
      <w:bookmarkStart w:id="118" w:name="_Toc222632759"/>
      <w:bookmarkStart w:id="119" w:name="_Toc317341942"/>
      <w:r>
        <w:rPr>
          <w:rFonts w:hint="eastAsia" w:ascii="宋体" w:hAnsi="宋体" w:eastAsia="宋体" w:cs="宋体"/>
          <w:b w:val="0"/>
          <w:bCs w:val="0"/>
          <w:color w:val="auto"/>
          <w:sz w:val="21"/>
          <w:szCs w:val="21"/>
          <w:highlight w:val="none"/>
        </w:rPr>
        <w:t>（一）开标形式</w:t>
      </w:r>
    </w:p>
    <w:p w14:paraId="4A980A9B">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采购组织机构将按照招标文件规定的时间通过“政采云平台”组织开标、开启投标文件，所有投标人均应当准时在线参加。</w:t>
      </w:r>
    </w:p>
    <w:p w14:paraId="4DC7C080">
      <w:pPr>
        <w:pStyle w:val="7"/>
        <w:pageBreakBefore w:val="0"/>
        <w:widowControl w:val="0"/>
        <w:numPr>
          <w:ilvl w:val="0"/>
          <w:numId w:val="0"/>
        </w:numPr>
        <w:shd w:val="clear"/>
        <w:tabs>
          <w:tab w:val="clear" w:pos="720"/>
        </w:tabs>
        <w:kinsoku/>
        <w:wordWrap/>
        <w:overflowPunct/>
        <w:topLinePunct w:val="0"/>
        <w:bidi w:val="0"/>
        <w:spacing w:before="0" w:after="0" w:line="400" w:lineRule="exact"/>
        <w:ind w:left="720" w:hanging="7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 开标准备</w:t>
      </w:r>
    </w:p>
    <w:p w14:paraId="7371B87E">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1、开标的准备工作由采购组织机构负责落实；</w:t>
      </w:r>
    </w:p>
    <w:p w14:paraId="35B970EB">
      <w:pPr>
        <w:pageBreakBefore w:val="0"/>
        <w:widowControl w:val="0"/>
        <w:shd w:val="clear"/>
        <w:kinsoku/>
        <w:wordWrap/>
        <w:overflowPunct/>
        <w:topLinePunct w:val="0"/>
        <w:bidi w:val="0"/>
        <w:spacing w:after="120" w:line="400" w:lineRule="exact"/>
        <w:ind w:firstLine="369" w:firstLineChars="176"/>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采购组织机构将按照招标文件规定的时间通过“政采云平台”组织开标、开启投标文件，所有投标人均应当准时在线参加。</w:t>
      </w:r>
      <w:r>
        <w:rPr>
          <w:rFonts w:hint="eastAsia" w:ascii="宋体" w:hAnsi="宋体" w:eastAsia="宋体" w:cs="宋体"/>
          <w:color w:val="auto"/>
          <w:kern w:val="0"/>
          <w:szCs w:val="21"/>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4C17D84F">
      <w:pPr>
        <w:pStyle w:val="7"/>
        <w:pageBreakBefore w:val="0"/>
        <w:widowControl w:val="0"/>
        <w:numPr>
          <w:ilvl w:val="0"/>
          <w:numId w:val="0"/>
        </w:numPr>
        <w:shd w:val="clear"/>
        <w:tabs>
          <w:tab w:val="clear" w:pos="720"/>
        </w:tabs>
        <w:kinsoku/>
        <w:wordWrap/>
        <w:overflowPunct/>
        <w:topLinePunct w:val="0"/>
        <w:bidi w:val="0"/>
        <w:spacing w:before="0" w:after="0" w:line="400" w:lineRule="exact"/>
        <w:ind w:left="720" w:hanging="7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（三）开标流程</w:t>
      </w:r>
    </w:p>
    <w:p w14:paraId="7D2B9CAF">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1、开标、开启投标文件时，电子交易平台自动提取所有投标、投标文件，提示采购组织机构和投标人按招标文件规定的方式和时间在线解密。给予投标人在线解密的时间为30分钟。</w:t>
      </w:r>
    </w:p>
    <w:p w14:paraId="2639D2CC">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544FEF80">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3、投标文件解密后，采购人及采购代理机构将对依法对投标人的资格进行审查，资格审查结束后进入符合性审查和资信技术的评审工作。</w:t>
      </w:r>
    </w:p>
    <w:p w14:paraId="77EBC3B8">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4、符合性审查、资信技术评审结束后，开启报价文件。</w:t>
      </w:r>
    </w:p>
    <w:p w14:paraId="2E7C3B46">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5、评标委员会对报价的合理性、准确性等进行审查核实。</w:t>
      </w:r>
    </w:p>
    <w:p w14:paraId="3BC07F02">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6、评标委员会完成评审后，通过电子交易平台向采购人及其委托的代理机构提交评审报告。同时打印纸质评审报告签署后由采购代理机构保存。</w:t>
      </w:r>
    </w:p>
    <w:p w14:paraId="3FF57606">
      <w:pPr>
        <w:pageBreakBefore w:val="0"/>
        <w:widowControl w:val="0"/>
        <w:shd w:val="clear"/>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7、评审结束后，代理机构通过电子交易平台或发送邮件形式向各投标人公布中标（成交）候选投标人名单，及采购人最终确定中标或中标人名单的时间和公告方式等。</w:t>
      </w:r>
    </w:p>
    <w:p w14:paraId="0C0DC87A">
      <w:pPr>
        <w:pageBreakBefore w:val="0"/>
        <w:widowControl w:val="0"/>
        <w:shd w:val="clear"/>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8、开标会议结束。</w:t>
      </w:r>
    </w:p>
    <w:p w14:paraId="1470562A">
      <w:pPr>
        <w:pageBreakBefore w:val="0"/>
        <w:widowControl w:val="0"/>
        <w:shd w:val="clear"/>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特别说明：如遇“政府采购云平台”电子化开标或评审程序调整的，按调整后程序执行。</w:t>
      </w:r>
    </w:p>
    <w:p w14:paraId="6CD7BE88">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20" w:name="_Toc13947"/>
      <w:bookmarkStart w:id="121" w:name="_Toc13446"/>
      <w:bookmarkStart w:id="122" w:name="_Toc17668"/>
      <w:bookmarkStart w:id="123" w:name="_Toc29731"/>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资格审查</w:t>
      </w:r>
      <w:bookmarkEnd w:id="120"/>
      <w:bookmarkEnd w:id="121"/>
      <w:bookmarkEnd w:id="122"/>
    </w:p>
    <w:p w14:paraId="7819E378">
      <w:pPr>
        <w:pStyle w:val="17"/>
        <w:pageBreakBefore w:val="0"/>
        <w:widowControl w:val="0"/>
        <w:numPr>
          <w:ilvl w:val="0"/>
          <w:numId w:val="3"/>
        </w:numPr>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资格审查人员</w:t>
      </w:r>
    </w:p>
    <w:p w14:paraId="16C5EFE2">
      <w:pPr>
        <w:pStyle w:val="17"/>
        <w:pageBreakBefore w:val="0"/>
        <w:widowControl w:val="0"/>
        <w:shd w:val="clear"/>
        <w:kinsoku/>
        <w:wordWrap/>
        <w:overflowPunct/>
        <w:topLinePunct w:val="0"/>
        <w:bidi w:val="0"/>
        <w:adjustRightInd w:val="0"/>
        <w:snapToGrid w:val="0"/>
        <w:spacing w:before="0" w:beforeLines="0" w:after="0" w:afterLines="0"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由采购人及采购代理机构负责。</w:t>
      </w:r>
    </w:p>
    <w:p w14:paraId="1D8A72F1">
      <w:pPr>
        <w:pStyle w:val="17"/>
        <w:pageBreakBefore w:val="0"/>
        <w:widowControl w:val="0"/>
        <w:numPr>
          <w:ilvl w:val="0"/>
          <w:numId w:val="3"/>
        </w:numPr>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资格审查依据</w:t>
      </w:r>
    </w:p>
    <w:p w14:paraId="27DCCA7B">
      <w:pPr>
        <w:pStyle w:val="17"/>
        <w:pageBreakBefore w:val="0"/>
        <w:widowControl w:val="0"/>
        <w:shd w:val="clear"/>
        <w:kinsoku/>
        <w:wordWrap/>
        <w:overflowPunct/>
        <w:topLinePunct w:val="0"/>
        <w:bidi w:val="0"/>
        <w:adjustRightInd w:val="0"/>
        <w:snapToGrid w:val="0"/>
        <w:spacing w:before="0" w:beforeLines="0" w:after="0" w:afterLines="0"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招标文件、投标人的资格证明文件、“信用中国”网站www.creditchina.gov.cn及“中国政府采购网”www.ccgp.gov.cn查询结果。</w:t>
      </w:r>
    </w:p>
    <w:p w14:paraId="4443B1F6">
      <w:pPr>
        <w:pStyle w:val="17"/>
        <w:pageBreakBefore w:val="0"/>
        <w:widowControl w:val="0"/>
        <w:numPr>
          <w:ilvl w:val="0"/>
          <w:numId w:val="3"/>
        </w:numPr>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资格审查方法</w:t>
      </w:r>
    </w:p>
    <w:p w14:paraId="53D3990C">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1、审查投标人资格证明文件的完整性、符合性。</w:t>
      </w:r>
    </w:p>
    <w:p w14:paraId="783B9696">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2、登录“信用中国”网站www.creditchina.gov.cn、“中国政府采购网”www.ccgp.gov.cn查询截止投标时间前的各投标人信用记录，打印相关网页页面留存。</w:t>
      </w:r>
    </w:p>
    <w:p w14:paraId="6AB064F2">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3、打印纸质资格审查表并签字确认。</w:t>
      </w:r>
    </w:p>
    <w:p w14:paraId="3A864341">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4、采购人或采购代理机构对投标人所提交的资格证明材料仅负审核的责任。如发现投标人所提交的资格证明材料不合法或与事实不符，采购人可取消其中标资格并追究投标人的法律责任。</w:t>
      </w:r>
    </w:p>
    <w:p w14:paraId="6C1A27A3">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5、投标人提交的资格证明材料无法证明其符合招标文件规定的“投标人资格要求”的，采购人或采购代理机构将对其作资格审查不通过处理（无效投标），并不再将其投标提交评标委员会进行后续评审。</w:t>
      </w:r>
    </w:p>
    <w:p w14:paraId="241E273F">
      <w:pPr>
        <w:pageBreakBefore w:val="0"/>
        <w:widowControl w:val="0"/>
        <w:shd w:val="clear"/>
        <w:kinsoku/>
        <w:wordWrap/>
        <w:overflowPunct/>
        <w:topLinePunct w:val="0"/>
        <w:bidi w:val="0"/>
        <w:spacing w:line="400" w:lineRule="exact"/>
        <w:ind w:firstLine="371" w:firstLineChars="177"/>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6、单位负责人为同一人或者存在直接控股、管理关系的不同投标人参加同一合同项下的政府采购活动的，相关投标人均作资格无效处理。</w:t>
      </w:r>
    </w:p>
    <w:p w14:paraId="3BDD3D23">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24" w:name="_Toc11885"/>
      <w:bookmarkStart w:id="125" w:name="_Toc27733"/>
      <w:bookmarkStart w:id="126" w:name="_Toc16490"/>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评标</w:t>
      </w:r>
      <w:bookmarkEnd w:id="118"/>
      <w:bookmarkEnd w:id="119"/>
      <w:bookmarkEnd w:id="123"/>
      <w:bookmarkEnd w:id="124"/>
      <w:bookmarkEnd w:id="125"/>
      <w:bookmarkEnd w:id="126"/>
    </w:p>
    <w:p w14:paraId="7501A402">
      <w:pPr>
        <w:pStyle w:val="17"/>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bookmarkStart w:id="127" w:name="_Toc317341943"/>
      <w:r>
        <w:rPr>
          <w:rFonts w:hint="eastAsia" w:ascii="宋体" w:hAnsi="宋体" w:eastAsia="宋体" w:cs="宋体"/>
          <w:b/>
          <w:color w:val="auto"/>
          <w:sz w:val="21"/>
          <w:szCs w:val="21"/>
          <w:highlight w:val="none"/>
        </w:rPr>
        <w:t>（一）评审工作的组织</w:t>
      </w:r>
    </w:p>
    <w:p w14:paraId="382C1D19">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采购人或采购代理机构负责组织本项目的评审工作，并依据政府采购法的相关规定履行职责。</w:t>
      </w:r>
    </w:p>
    <w:p w14:paraId="56BA2A0E">
      <w:pPr>
        <w:pStyle w:val="17"/>
        <w:pageBreakBefore w:val="0"/>
        <w:widowControl w:val="0"/>
        <w:shd w:val="clear"/>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（二）组建评标委员会</w:t>
      </w:r>
    </w:p>
    <w:p w14:paraId="5EF85A44">
      <w:pPr>
        <w:pStyle w:val="17"/>
        <w:pageBreakBefore w:val="0"/>
        <w:widowControl w:val="0"/>
        <w:shd w:val="clear"/>
        <w:kinsoku/>
        <w:wordWrap/>
        <w:overflowPunct/>
        <w:topLinePunct w:val="0"/>
        <w:bidi w:val="0"/>
        <w:adjustRightInd w:val="0"/>
        <w:snapToGrid w:val="0"/>
        <w:spacing w:before="0" w:beforeLines="0" w:after="0" w:afterLines="0"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本项目评标委员会由合法组建的5人（含）以上单数组成。评标委员会成员名单在评审结果（采购结果）公告前保密。</w:t>
      </w:r>
    </w:p>
    <w:p w14:paraId="1444E074">
      <w:pPr>
        <w:pStyle w:val="17"/>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（三）评标委员会的职责</w:t>
      </w:r>
    </w:p>
    <w:p w14:paraId="018459A3">
      <w:pPr>
        <w:pageBreakBefore w:val="0"/>
        <w:widowControl w:val="0"/>
        <w:shd w:val="clear"/>
        <w:kinsoku/>
        <w:wordWrap/>
        <w:overflowPunct/>
        <w:topLinePunct w:val="0"/>
        <w:bidi w:val="0"/>
        <w:spacing w:line="400" w:lineRule="exact"/>
        <w:ind w:firstLine="371" w:firstLineChars="17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评标委员会负责具体评审事务，并独立履行下列职责：</w:t>
      </w:r>
    </w:p>
    <w:p w14:paraId="08E30DA9">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1、审查、评价投标文件是否符合招标文件的资信、技术等实质性要求；</w:t>
      </w:r>
    </w:p>
    <w:p w14:paraId="7B1C499E">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2、要求投标人对投标文件有关事项作出澄清或者说明；</w:t>
      </w:r>
    </w:p>
    <w:p w14:paraId="46621FD0">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3、对投标文件进行比较和评价；</w:t>
      </w:r>
    </w:p>
    <w:p w14:paraId="7792B9A4">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4、确定中标候选人名单，以及根据采购人委托直接确定中标人；</w:t>
      </w:r>
    </w:p>
    <w:p w14:paraId="60D4504A">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5、向采购人、采购代理机构或者有关部门报告评审中发现的违法行为。</w:t>
      </w:r>
    </w:p>
    <w:p w14:paraId="622475CA">
      <w:pPr>
        <w:pStyle w:val="17"/>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（四）评审原则和评标办法</w:t>
      </w:r>
    </w:p>
    <w:p w14:paraId="1E948CEE">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1、评审原则：</w:t>
      </w:r>
      <w:r>
        <w:rPr>
          <w:rFonts w:hint="eastAsia" w:ascii="宋体" w:hAnsi="宋体" w:eastAsia="宋体" w:cs="宋体"/>
          <w:color w:val="auto"/>
          <w:kern w:val="0"/>
          <w:szCs w:val="21"/>
          <w:highlight w:val="none"/>
        </w:rPr>
        <w:t>评标委员会</w:t>
      </w:r>
      <w:r>
        <w:rPr>
          <w:rFonts w:hint="eastAsia" w:ascii="宋体" w:hAnsi="宋体" w:eastAsia="宋体" w:cs="宋体"/>
          <w:color w:val="auto"/>
          <w:szCs w:val="21"/>
          <w:highlight w:val="none"/>
        </w:rPr>
        <w:t>按照客观、公正、审慎、择优的原则，根据招标文件规定的评审程序、评审方法和评审标准进行独立评审。</w:t>
      </w:r>
    </w:p>
    <w:p w14:paraId="3EF8F3C7">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2、评审工作将依据</w:t>
      </w:r>
      <w:r>
        <w:rPr>
          <w:rFonts w:hint="eastAsia" w:ascii="宋体" w:hAnsi="宋体" w:eastAsia="宋体" w:cs="宋体"/>
          <w:color w:val="auto"/>
          <w:kern w:val="0"/>
          <w:szCs w:val="21"/>
          <w:highlight w:val="none"/>
        </w:rPr>
        <w:t>招标文件、投标文件及招标文件中事先已列明的内容进行。</w:t>
      </w:r>
    </w:p>
    <w:p w14:paraId="074CE439">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3、评标办法。本项目采用综合评分法，详见《第四章：评标办法及标准》。</w:t>
      </w:r>
    </w:p>
    <w:p w14:paraId="041754CE">
      <w:pPr>
        <w:pStyle w:val="17"/>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（五）评审意见的争议处理</w:t>
      </w:r>
    </w:p>
    <w:p w14:paraId="4504576D">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689B16C7">
      <w:pPr>
        <w:pStyle w:val="17"/>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（六）评审纪律</w:t>
      </w:r>
    </w:p>
    <w:p w14:paraId="5C6235AB">
      <w:pPr>
        <w:keepNext w:val="0"/>
        <w:keepLines w:val="0"/>
        <w:pageBreakBefore w:val="0"/>
        <w:widowControl w:val="0"/>
        <w:shd w:val="clear"/>
        <w:kinsoku/>
        <w:wordWrap/>
        <w:overflowPunct/>
        <w:topLinePunct w:val="0"/>
        <w:autoSpaceDE/>
        <w:autoSpaceDN/>
        <w:bidi w:val="0"/>
        <w:adjustRightInd/>
        <w:snapToGrid/>
        <w:spacing w:after="120" w:line="400" w:lineRule="exact"/>
        <w:ind w:firstLine="371" w:firstLineChars="177"/>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评标委员会成员必须严格遵守保密规定，不得泄露评审的有关情况</w:t>
      </w:r>
      <w:r>
        <w:rPr>
          <w:rFonts w:hint="eastAsia" w:ascii="宋体" w:hAnsi="宋体" w:eastAsia="宋体" w:cs="宋体"/>
          <w:color w:val="auto"/>
          <w:kern w:val="0"/>
          <w:szCs w:val="21"/>
          <w:highlight w:val="none"/>
        </w:rPr>
        <w:t>，任何单位和个人不得干扰、影响评标的正常进行，评标委员会成员不得私下与投标人接触，不得出现浙江省政府采购活动现场组织管理办法中规定的其他禁止行为。</w:t>
      </w:r>
    </w:p>
    <w:p w14:paraId="05E99BD9">
      <w:pPr>
        <w:pStyle w:val="17"/>
        <w:pageBreakBefore w:val="0"/>
        <w:widowControl w:val="0"/>
        <w:shd w:val="clear"/>
        <w:tabs>
          <w:tab w:val="left" w:pos="720"/>
        </w:tabs>
        <w:kinsoku/>
        <w:wordWrap/>
        <w:overflowPunct/>
        <w:topLinePunct w:val="0"/>
        <w:bidi w:val="0"/>
        <w:adjustRightInd w:val="0"/>
        <w:snapToGrid w:val="0"/>
        <w:spacing w:before="0" w:beforeLines="0" w:after="0" w:afterLines="0" w:line="400" w:lineRule="exact"/>
        <w:textAlignment w:val="auto"/>
        <w:rPr>
          <w:rFonts w:hint="eastAsia" w:ascii="宋体" w:hAnsi="宋体" w:eastAsia="宋体" w:cs="宋体"/>
          <w:b/>
          <w:color w:val="auto"/>
          <w:sz w:val="21"/>
          <w:szCs w:val="21"/>
          <w:highlight w:val="none"/>
        </w:rPr>
      </w:pPr>
      <w:bookmarkStart w:id="128" w:name="_Toc24550043"/>
      <w:bookmarkStart w:id="129" w:name="_Toc33194395"/>
      <w:r>
        <w:rPr>
          <w:rFonts w:hint="eastAsia" w:ascii="宋体" w:hAnsi="宋体" w:eastAsia="宋体" w:cs="宋体"/>
          <w:b/>
          <w:color w:val="auto"/>
          <w:sz w:val="21"/>
          <w:szCs w:val="21"/>
          <w:highlight w:val="none"/>
        </w:rPr>
        <w:t>（七）</w:t>
      </w:r>
      <w:bookmarkEnd w:id="128"/>
      <w:bookmarkStart w:id="130" w:name="_Toc24550044"/>
      <w:r>
        <w:rPr>
          <w:rFonts w:hint="eastAsia" w:ascii="宋体" w:hAnsi="宋体" w:eastAsia="宋体" w:cs="宋体"/>
          <w:b/>
          <w:color w:val="auto"/>
          <w:sz w:val="21"/>
          <w:szCs w:val="21"/>
          <w:highlight w:val="none"/>
        </w:rPr>
        <w:t>评审流程及内容</w:t>
      </w:r>
      <w:bookmarkEnd w:id="129"/>
      <w:bookmarkEnd w:id="130"/>
    </w:p>
    <w:p w14:paraId="2BF60C43">
      <w:pPr>
        <w:pageBreakBefore w:val="0"/>
        <w:widowControl w:val="0"/>
        <w:shd w:val="clear"/>
        <w:kinsoku/>
        <w:wordWrap/>
        <w:overflowPunct/>
        <w:topLinePunct w:val="0"/>
        <w:bidi w:val="0"/>
        <w:spacing w:line="400" w:lineRule="exact"/>
        <w:ind w:firstLine="371" w:firstLineChars="176"/>
        <w:textAlignment w:val="auto"/>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本项目具体的评审事务由评标委员会负责，评审流程及内容如下：</w:t>
      </w:r>
    </w:p>
    <w:p w14:paraId="38CDF745">
      <w:pPr>
        <w:pStyle w:val="7"/>
        <w:pageBreakBefore w:val="0"/>
        <w:widowControl w:val="0"/>
        <w:numPr>
          <w:ilvl w:val="0"/>
          <w:numId w:val="0"/>
        </w:numPr>
        <w:shd w:val="clear"/>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评审前准备</w:t>
      </w:r>
    </w:p>
    <w:p w14:paraId="50259A88">
      <w:pPr>
        <w:pageBreakBefore w:val="0"/>
        <w:widowControl w:val="0"/>
        <w:shd w:val="clear"/>
        <w:kinsoku/>
        <w:wordWrap/>
        <w:overflowPunct/>
        <w:topLinePunct w:val="0"/>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1.1由评审专家推选评审小组组长，采购人代表不得担任评审小组组长。</w:t>
      </w:r>
    </w:p>
    <w:p w14:paraId="2D6CC2CB">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58C13045">
      <w:pPr>
        <w:pStyle w:val="7"/>
        <w:pageBreakBefore w:val="0"/>
        <w:widowControl w:val="0"/>
        <w:numPr>
          <w:ilvl w:val="0"/>
          <w:numId w:val="0"/>
        </w:numPr>
        <w:shd w:val="clear"/>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2、投标文件的初步审查、符合性审查</w:t>
      </w:r>
    </w:p>
    <w:p w14:paraId="2D39B910">
      <w:pPr>
        <w:pageBreakBefore w:val="0"/>
        <w:widowControl w:val="0"/>
        <w:shd w:val="clear"/>
        <w:kinsoku/>
        <w:wordWrap/>
        <w:overflowPunct/>
        <w:topLinePunct w:val="0"/>
        <w:bidi w:val="0"/>
        <w:spacing w:line="400" w:lineRule="exact"/>
        <w:ind w:firstLine="373" w:firstLineChars="177"/>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对所有通过资格审查的投标人的投标文件进行初步审查，审查、评价投标文件是否符合招标文件的资信、技术、服务等实质性要求。</w:t>
      </w:r>
    </w:p>
    <w:p w14:paraId="4F6D8A26">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1033D54B">
      <w:pPr>
        <w:pStyle w:val="7"/>
        <w:pageBreakBefore w:val="0"/>
        <w:widowControl w:val="0"/>
        <w:numPr>
          <w:ilvl w:val="0"/>
          <w:numId w:val="0"/>
        </w:numPr>
        <w:shd w:val="clear"/>
        <w:tabs>
          <w:tab w:val="clear" w:pos="720"/>
        </w:tabs>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3、投标文件的澄清、说明或补正</w:t>
      </w:r>
    </w:p>
    <w:p w14:paraId="74ACD568">
      <w:pPr>
        <w:pageBreakBefore w:val="0"/>
        <w:widowControl w:val="0"/>
        <w:shd w:val="clear"/>
        <w:kinsoku/>
        <w:wordWrap/>
        <w:overflowPunct/>
        <w:topLinePunct w:val="0"/>
        <w:bidi w:val="0"/>
        <w:spacing w:line="400" w:lineRule="exact"/>
        <w:ind w:firstLine="371" w:firstLineChars="177"/>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1A9066B0">
      <w:pPr>
        <w:pageBreakBefore w:val="0"/>
        <w:widowControl w:val="0"/>
        <w:shd w:val="clear"/>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0737F6A6">
      <w:pPr>
        <w:pStyle w:val="7"/>
        <w:pageBreakBefore w:val="0"/>
        <w:widowControl w:val="0"/>
        <w:numPr>
          <w:ilvl w:val="0"/>
          <w:numId w:val="0"/>
        </w:numPr>
        <w:shd w:val="clear"/>
        <w:tabs>
          <w:tab w:val="clear" w:pos="720"/>
        </w:tabs>
        <w:kinsoku/>
        <w:wordWrap/>
        <w:overflowPunct/>
        <w:topLinePunct w:val="0"/>
        <w:bidi w:val="0"/>
        <w:spacing w:before="0" w:after="0"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4、投标文件的错误修正</w:t>
      </w:r>
    </w:p>
    <w:p w14:paraId="106D4DD2">
      <w:pPr>
        <w:pageBreakBefore w:val="0"/>
        <w:widowControl w:val="0"/>
        <w:shd w:val="clear"/>
        <w:kinsoku/>
        <w:wordWrap/>
        <w:overflowPunct/>
        <w:topLinePunct w:val="0"/>
        <w:bidi w:val="0"/>
        <w:spacing w:line="400" w:lineRule="exact"/>
        <w:ind w:firstLine="369" w:firstLineChars="175"/>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4.1投标文件如果出现计算或表达上的错误，修正错误的原则如下：</w:t>
      </w:r>
    </w:p>
    <w:p w14:paraId="459E6110">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（1）投标文件中开标一览表（报价表）内容与投标文件中相应内容不一致的，以开标一览表（报价表）为准。</w:t>
      </w:r>
    </w:p>
    <w:p w14:paraId="25271112">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（2）投标文件的大写金额和小写金额不一致的，以大写金额为准；</w:t>
      </w:r>
    </w:p>
    <w:p w14:paraId="39B5D94D">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（3）单价金额小数点或者百分比有明显错位的，应以开标一览表（报价表）的总价为准，并修改单价；</w:t>
      </w:r>
    </w:p>
    <w:p w14:paraId="44E587B1">
      <w:pPr>
        <w:keepNext w:val="0"/>
        <w:keepLines w:val="0"/>
        <w:pageBreakBefore w:val="0"/>
        <w:widowControl w:val="0"/>
        <w:shd w:val="clear"/>
        <w:kinsoku/>
        <w:wordWrap/>
        <w:overflowPunct/>
        <w:topLinePunct w:val="0"/>
        <w:autoSpaceDE/>
        <w:autoSpaceDN/>
        <w:bidi w:val="0"/>
        <w:snapToGrid/>
        <w:spacing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（4）总价金额与按单价汇总金额不一致的，以单价金额计算结果为准。</w:t>
      </w:r>
    </w:p>
    <w:p w14:paraId="0CDE5362">
      <w:pPr>
        <w:keepNext w:val="0"/>
        <w:keepLines w:val="0"/>
        <w:pageBreakBefore w:val="0"/>
        <w:widowControl w:val="0"/>
        <w:shd w:val="clear"/>
        <w:kinsoku/>
        <w:wordWrap/>
        <w:overflowPunct/>
        <w:topLinePunct w:val="0"/>
        <w:autoSpaceDE/>
        <w:autoSpaceDN/>
        <w:bidi w:val="0"/>
        <w:adjustRightInd w:val="0"/>
        <w:snapToGrid/>
        <w:spacing w:line="380" w:lineRule="exact"/>
        <w:ind w:firstLine="48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71E12EC5">
      <w:pPr>
        <w:keepNext w:val="0"/>
        <w:keepLines w:val="0"/>
        <w:pageBreakBefore w:val="0"/>
        <w:widowControl w:val="0"/>
        <w:shd w:val="clear"/>
        <w:kinsoku/>
        <w:wordWrap/>
        <w:overflowPunct/>
        <w:topLinePunct w:val="0"/>
        <w:autoSpaceDE/>
        <w:autoSpaceDN/>
        <w:bidi w:val="0"/>
        <w:snapToGrid/>
        <w:spacing w:after="120" w:line="38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4.2对不同文字文本投标文件的解释发生异议的，以中文文本为准。</w:t>
      </w:r>
    </w:p>
    <w:p w14:paraId="08713066">
      <w:pPr>
        <w:pageBreakBefore w:val="0"/>
        <w:widowControl w:val="0"/>
        <w:shd w:val="clear"/>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（八）投标文件有下列情况之一者将视为无效：</w:t>
      </w:r>
    </w:p>
    <w:p w14:paraId="6E977E96">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bookmarkStart w:id="131" w:name="_Hlk33211013"/>
      <w:r>
        <w:rPr>
          <w:rFonts w:hint="eastAsia" w:ascii="宋体" w:hAnsi="宋体" w:eastAsia="宋体" w:cs="宋体"/>
          <w:color w:val="auto"/>
          <w:kern w:val="0"/>
          <w:szCs w:val="21"/>
          <w:highlight w:val="none"/>
        </w:rPr>
        <w:t>1、资信、技术文件符合性审查中，存在下列情形之一的，经评标委员会认定后作无效标处理：</w:t>
      </w:r>
    </w:p>
    <w:p w14:paraId="3FA12C17">
      <w:pPr>
        <w:pageBreakBefore w:val="0"/>
        <w:widowControl w:val="0"/>
        <w:shd w:val="clear"/>
        <w:tabs>
          <w:tab w:val="left" w:pos="1110"/>
        </w:tabs>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bookmarkStart w:id="132" w:name="_Toc33194396"/>
      <w:r>
        <w:rPr>
          <w:rFonts w:hint="eastAsia" w:ascii="宋体" w:hAnsi="宋体" w:eastAsia="宋体" w:cs="宋体"/>
          <w:color w:val="auto"/>
          <w:kern w:val="0"/>
          <w:szCs w:val="21"/>
          <w:highlight w:val="none"/>
        </w:rPr>
        <w:t>（1）投标文件未有效授权，法定代表人授权委托书等填写不完整或有涂改的；</w:t>
      </w:r>
      <w:bookmarkEnd w:id="132"/>
    </w:p>
    <w:p w14:paraId="3EE7769D">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（2）投标文件没有对本招标文件作出实质性响应的，或不满足（不响应）本招标文件中标注“▲”的实质性要求条款的，或存在招标文件中明确规定的其他无效标情形的；</w:t>
      </w:r>
    </w:p>
    <w:p w14:paraId="7D3D3948">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（3）投标文件存在一个或一个以上备选（替代）投标方案的；</w:t>
      </w:r>
    </w:p>
    <w:p w14:paraId="4AE98F8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（4）仅提交“备份投标文件”的；</w:t>
      </w:r>
    </w:p>
    <w:p w14:paraId="106E634A">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（5）文件组成内容不齐全，本招标文件规定必须提供而未提供的（属于资格审查范围的除外）；</w:t>
      </w:r>
    </w:p>
    <w:p w14:paraId="4B856629">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（6）投标文件标注的响应或偏离情况与事实不符，或提供了虚假材料的；</w:t>
      </w:r>
    </w:p>
    <w:p w14:paraId="5FED412D">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（7）不响应或擅自改变本招标文件要求或投标文件有采购人不能接受的附加条件的；</w:t>
      </w:r>
    </w:p>
    <w:p w14:paraId="05B5EE6A">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（8）违反国家或政府部门相关法律、法规、文件规定的。</w:t>
      </w:r>
      <w:bookmarkEnd w:id="131"/>
    </w:p>
    <w:p w14:paraId="70DAB6E7">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2、报价文件符合性审查中，存在下列情形之一的，经评标委员会认定后作无效标处理：</w:t>
      </w:r>
    </w:p>
    <w:p w14:paraId="5E900F56">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（1）未按照招标文件标明的币种报价的，或者投标报价涵盖的内容不符合招标文件要求的；</w:t>
      </w:r>
    </w:p>
    <w:p w14:paraId="4EEAA90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（2）投标报价出现前后不一致且不同意按照招标文件规定的方法进行修正的；</w:t>
      </w:r>
    </w:p>
    <w:p w14:paraId="1E223EB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（3）投标报价具有选择性，且未注明哪个有效的；</w:t>
      </w:r>
    </w:p>
    <w:p w14:paraId="061C2E8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（4）投标报价超过采购预算（或最高限价）的；</w:t>
      </w:r>
    </w:p>
    <w:p w14:paraId="471395FE">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268BA36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（6）违反国家或政府部门相关法律、法规、文件规定的。</w:t>
      </w:r>
    </w:p>
    <w:p w14:paraId="57BF84CC">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3、投标人串通投标的，投标无效。</w:t>
      </w:r>
    </w:p>
    <w:p w14:paraId="15C15F31">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投标人有以下情形之一的，视为投标人串通投标：</w:t>
      </w:r>
    </w:p>
    <w:p w14:paraId="6CA3A780">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（1）不同投标人的投标文件由同一单位或者个人编制；</w:t>
      </w:r>
    </w:p>
    <w:p w14:paraId="15242D1E">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（2）不同投标人委托同一单位或者个人办理投标事宜；</w:t>
      </w:r>
    </w:p>
    <w:p w14:paraId="087472D8">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（3）不同投标人的投标文件载明的项目管理成员或者联系人员为同一人；</w:t>
      </w:r>
    </w:p>
    <w:p w14:paraId="5E13E9DA">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（4）不同投标人的投标文件异常一致或者投标报价呈规律性差异；</w:t>
      </w:r>
    </w:p>
    <w:p w14:paraId="02EED7BD">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（5）不同投标人的投标文件相互混装；</w:t>
      </w:r>
    </w:p>
    <w:p w14:paraId="251F9A01">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4、法律、法规和招标文件规定的其他无效标情形。</w:t>
      </w:r>
    </w:p>
    <w:p w14:paraId="5F6D61E0">
      <w:pPr>
        <w:pageBreakBefore w:val="0"/>
        <w:widowControl w:val="0"/>
        <w:shd w:val="clear"/>
        <w:kinsoku/>
        <w:wordWrap/>
        <w:overflowPunct/>
        <w:topLinePunct w:val="0"/>
        <w:bidi w:val="0"/>
        <w:adjustRightInd w:val="0"/>
        <w:snapToGrid w:val="0"/>
        <w:spacing w:line="400" w:lineRule="exact"/>
        <w:ind w:firstLine="422"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49C825A9">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（九）投标文件的评估、比较、评分</w:t>
      </w:r>
    </w:p>
    <w:p w14:paraId="068C1364">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297738C0">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39EB5A74">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（十）修改评审结果</w:t>
      </w:r>
    </w:p>
    <w:p w14:paraId="306FB254">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1、评标结果汇总完成后，除下列情形外，任何人不得修改评标结果：</w:t>
      </w:r>
    </w:p>
    <w:p w14:paraId="776CFDC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 分值汇总计算错误的；</w:t>
      </w:r>
    </w:p>
    <w:p w14:paraId="256B1629">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 分项评分超出评分标准范围的；</w:t>
      </w:r>
    </w:p>
    <w:p w14:paraId="2546BD4E">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评标委员会成员对客观评审因素评分不一致的；</w:t>
      </w:r>
    </w:p>
    <w:p w14:paraId="53D6B965">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 经评标委员会认定评分畸高、畸低的。</w:t>
      </w:r>
    </w:p>
    <w:p w14:paraId="0C33DAA9">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2、评标报告签署前，经复核发现存在以上情形之一的，评标委员会将当场修改评标结果，并在评标报告中记载。</w:t>
      </w:r>
    </w:p>
    <w:p w14:paraId="40B913B3">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（十一）投标人排序及推荐中标（成交）候选投标人</w:t>
      </w:r>
    </w:p>
    <w:p w14:paraId="2016E1C3">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53976A70">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1、综合得分相同的，按投标报价低的优先原则确定排名；</w:t>
      </w:r>
    </w:p>
    <w:p w14:paraId="7DE86DC4">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2、综合得分和投标报价均相同的，按技术资信得分从高到低确定排名；</w:t>
      </w:r>
    </w:p>
    <w:p w14:paraId="4EA20EB7">
      <w:pPr>
        <w:keepNext w:val="0"/>
        <w:keepLines w:val="0"/>
        <w:pageBreakBefore w:val="0"/>
        <w:widowControl w:val="0"/>
        <w:shd w:val="clear"/>
        <w:kinsoku/>
        <w:wordWrap/>
        <w:overflowPunct/>
        <w:topLinePunct w:val="0"/>
        <w:autoSpaceDE/>
        <w:autoSpaceDN/>
        <w:bidi w:val="0"/>
        <w:adjustRightInd/>
        <w:snapToGrid/>
        <w:spacing w:line="396"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3、综合得分、投标报价和技术资信得分均相同的由评标委员会全体成员记名投票按少数服从多数的原则确定排名。</w:t>
      </w:r>
    </w:p>
    <w:p w14:paraId="6849E9F8">
      <w:pPr>
        <w:pageBreakBefore w:val="0"/>
        <w:widowControl w:val="0"/>
        <w:shd w:val="clear"/>
        <w:kinsoku/>
        <w:wordWrap/>
        <w:overflowPunct/>
        <w:topLinePunct w:val="0"/>
        <w:bidi w:val="0"/>
        <w:spacing w:line="400" w:lineRule="exact"/>
        <w:ind w:firstLine="373" w:firstLineChars="17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4、</w:t>
      </w:r>
      <w:r>
        <w:rPr>
          <w:rFonts w:hint="eastAsia" w:ascii="宋体" w:hAnsi="宋体" w:eastAsia="宋体" w:cs="宋体"/>
          <w:b/>
          <w:highlight w:val="none"/>
        </w:rPr>
        <w:t>根据最终得分排序，通过书面评审报告的形式，向采购人推荐</w:t>
      </w:r>
      <w:r>
        <w:rPr>
          <w:rFonts w:hint="eastAsia" w:ascii="宋体" w:hAnsi="宋体" w:eastAsia="宋体" w:cs="宋体"/>
          <w:b/>
          <w:kern w:val="0"/>
          <w:highlight w:val="none"/>
        </w:rPr>
        <w:t>排名第一的投标人为第一中标候选人，排名第二的为第二中标候选人</w:t>
      </w:r>
      <w:r>
        <w:rPr>
          <w:rFonts w:hint="eastAsia" w:ascii="宋体" w:hAnsi="宋体" w:eastAsia="宋体" w:cs="宋体"/>
          <w:b/>
          <w:highlight w:val="none"/>
        </w:rPr>
        <w:t>。</w:t>
      </w:r>
    </w:p>
    <w:p w14:paraId="75EFDE4C">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（十二）起草、签署评审报告</w:t>
      </w:r>
    </w:p>
    <w:p w14:paraId="60DD3DD0">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05F64C7F">
      <w:pPr>
        <w:pageBreakBefore w:val="0"/>
        <w:widowControl w:val="0"/>
        <w:shd w:val="clear"/>
        <w:tabs>
          <w:tab w:val="left" w:pos="720"/>
        </w:tabs>
        <w:kinsoku/>
        <w:wordWrap/>
        <w:overflowPunct/>
        <w:topLinePunct w:val="0"/>
        <w:bidi w:val="0"/>
        <w:spacing w:line="400" w:lineRule="exact"/>
        <w:ind w:firstLine="369" w:firstLineChars="175"/>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（十三）评标过程的保密</w:t>
      </w:r>
    </w:p>
    <w:p w14:paraId="60B2BA52">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凡是属于审查、澄清、评审和比较的有关资料以及授标建议，任何人均不得向投标人或其他无关的人员透露。</w:t>
      </w:r>
    </w:p>
    <w:p w14:paraId="59D9229F">
      <w:pPr>
        <w:pageBreakBefore w:val="0"/>
        <w:widowControl w:val="0"/>
        <w:shd w:val="clear"/>
        <w:kinsoku/>
        <w:wordWrap/>
        <w:overflowPunct/>
        <w:topLinePunct w:val="0"/>
        <w:bidi w:val="0"/>
        <w:spacing w:line="400" w:lineRule="exact"/>
        <w:ind w:firstLine="367" w:firstLineChars="17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本项目评标过程实行全程录音、录像监控，投标人在评标过程中所进行的力图影响评标结果的不公正活动，可能导致其投标被拒绝。</w:t>
      </w:r>
    </w:p>
    <w:p w14:paraId="3CEAC62A">
      <w:pPr>
        <w:pageBreakBefore w:val="0"/>
        <w:widowControl w:val="0"/>
        <w:shd w:val="clear"/>
        <w:kinsoku/>
        <w:wordWrap/>
        <w:overflowPunct/>
        <w:topLinePunct w:val="0"/>
        <w:bidi w:val="0"/>
        <w:spacing w:line="400" w:lineRule="exact"/>
        <w:ind w:firstLine="369" w:firstLineChars="175"/>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（十四）废标的情形</w:t>
      </w:r>
    </w:p>
    <w:p w14:paraId="041B6B7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在招标采购中，出现下列情形之一的，应予废标：</w:t>
      </w:r>
    </w:p>
    <w:p w14:paraId="3C3E2649">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1、符合专业条件的投标人或者对招标文件作实质性响应的投标人不足三家的；</w:t>
      </w:r>
    </w:p>
    <w:p w14:paraId="1C507587">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2、出现影响采购公正的违法、违规行为的；</w:t>
      </w:r>
    </w:p>
    <w:p w14:paraId="1FC787F8">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3、投标人的报价均超过了采购预算，采购人不能支付的；</w:t>
      </w:r>
    </w:p>
    <w:p w14:paraId="62441CF7">
      <w:pPr>
        <w:pageBreakBefore w:val="0"/>
        <w:widowControl w:val="0"/>
        <w:shd w:val="clear"/>
        <w:kinsoku/>
        <w:wordWrap/>
        <w:overflowPunct/>
        <w:topLinePunct w:val="0"/>
        <w:bidi w:val="0"/>
        <w:spacing w:line="400" w:lineRule="exact"/>
        <w:ind w:firstLine="367" w:firstLineChars="175"/>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4、因重大变故，采购任务取消的。</w:t>
      </w:r>
    </w:p>
    <w:p w14:paraId="27DF668C">
      <w:pPr>
        <w:pageBreakBefore w:val="0"/>
        <w:widowControl w:val="0"/>
        <w:shd w:val="clear"/>
        <w:tabs>
          <w:tab w:val="left" w:pos="720"/>
        </w:tabs>
        <w:kinsoku/>
        <w:wordWrap/>
        <w:overflowPunct/>
        <w:topLinePunct w:val="0"/>
        <w:bidi w:val="0"/>
        <w:spacing w:line="400" w:lineRule="exact"/>
        <w:ind w:firstLine="369" w:firstLineChars="175"/>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（十五）可中止电子交易活动的情形</w:t>
      </w:r>
    </w:p>
    <w:p w14:paraId="53732BCA">
      <w:pPr>
        <w:pageBreakBefore w:val="0"/>
        <w:widowControl w:val="0"/>
        <w:shd w:val="clear"/>
        <w:kinsoku/>
        <w:wordWrap/>
        <w:overflowPunct/>
        <w:topLinePunct w:val="0"/>
        <w:bidi w:val="0"/>
        <w:spacing w:line="400" w:lineRule="exact"/>
        <w:ind w:firstLine="371" w:firstLineChars="176"/>
        <w:textAlignment w:val="auto"/>
        <w:rPr>
          <w:rFonts w:hint="eastAsia" w:ascii="宋体" w:hAnsi="宋体" w:eastAsia="宋体" w:cs="宋体"/>
          <w:color w:val="auto"/>
          <w:highlight w:val="none"/>
        </w:rPr>
      </w:pPr>
      <w:r>
        <w:rPr>
          <w:rFonts w:hint="eastAsia" w:ascii="宋体" w:hAnsi="宋体" w:eastAsia="宋体" w:cs="宋体"/>
          <w:b/>
          <w:color w:val="auto"/>
          <w:highlight w:val="none"/>
        </w:rPr>
        <w:t>采购过程中出现以下情形，导致电子交易平台无法正常运行，或者无法保证电子交易的公平、公正和安全时，采购组织机构可中止电子交易活动：</w:t>
      </w:r>
    </w:p>
    <w:p w14:paraId="02DB9020">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1、电子交易平台发生故障而无法登录访问的；</w:t>
      </w:r>
    </w:p>
    <w:p w14:paraId="73B5CCFD">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BE6B95E">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4373F5DC">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4、病毒发作导致不能进行正常操作的；</w:t>
      </w:r>
    </w:p>
    <w:p w14:paraId="7B7B368B">
      <w:pPr>
        <w:pageBreakBefore w:val="0"/>
        <w:widowControl w:val="0"/>
        <w:shd w:val="clear"/>
        <w:kinsoku/>
        <w:wordWrap/>
        <w:overflowPunct/>
        <w:topLinePunct w:val="0"/>
        <w:bidi w:val="0"/>
        <w:spacing w:line="400" w:lineRule="exact"/>
        <w:ind w:firstLine="369" w:firstLineChars="176"/>
        <w:textAlignment w:val="auto"/>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2184F130">
      <w:pPr>
        <w:pageBreakBefore w:val="0"/>
        <w:widowControl w:val="0"/>
        <w:shd w:val="clear"/>
        <w:kinsoku/>
        <w:wordWrap/>
        <w:overflowPunct/>
        <w:topLinePunct w:val="0"/>
        <w:bidi w:val="0"/>
        <w:spacing w:line="4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出现上述情形，不影响采购公平、公正性的，采购组织机构可以待上述情形消除后继续组织电子交易活动；影响或可能影响采购公平、公正性的，应当重新采购。</w:t>
      </w:r>
    </w:p>
    <w:p w14:paraId="64EA93A8">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rPr>
      </w:pPr>
      <w:bookmarkStart w:id="133" w:name="_Toc28539"/>
      <w:bookmarkStart w:id="134" w:name="_Toc11475"/>
      <w:bookmarkStart w:id="135" w:name="_Toc30968"/>
      <w:bookmarkStart w:id="136" w:name="_Toc10758"/>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定标</w:t>
      </w:r>
      <w:bookmarkEnd w:id="127"/>
      <w:bookmarkEnd w:id="133"/>
      <w:bookmarkEnd w:id="134"/>
      <w:bookmarkEnd w:id="135"/>
      <w:bookmarkEnd w:id="136"/>
    </w:p>
    <w:p w14:paraId="1FFC857A">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bookmarkStart w:id="137" w:name="_Toc317341944"/>
      <w:bookmarkStart w:id="138" w:name="_Toc222632760"/>
      <w:r>
        <w:rPr>
          <w:rFonts w:hint="eastAsia" w:ascii="宋体" w:hAnsi="宋体" w:eastAsia="宋体" w:cs="宋体"/>
          <w:color w:val="auto"/>
          <w:szCs w:val="21"/>
          <w:highlight w:val="none"/>
        </w:rPr>
        <w:t>（一）确定中标人。本项目由采购单位确定中标人。</w:t>
      </w:r>
    </w:p>
    <w:p w14:paraId="22C6BFE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（二）采购代理机构在评标结束后2个工作日内将评标报告交采购单位。</w:t>
      </w:r>
    </w:p>
    <w:p w14:paraId="7F4FA5C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（三）采购人在收到评标报告后5个工作日内按照评标报告推荐的顺序确定中标人。中标候选人顺序并列的，由采购人采购小组成员集体讨论确定。</w:t>
      </w:r>
    </w:p>
    <w:p w14:paraId="35A4F9C8">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（四）采购人依法确定中标人后2个工作日内，采购人和采购代理机构以书面形式发出《中标通知书》，并同时在相关网站发布中标公告。中标公告期限为1个工作日。</w:t>
      </w:r>
    </w:p>
    <w:p w14:paraId="000297A2">
      <w:pPr>
        <w:pageBreakBefore w:val="0"/>
        <w:widowControl w:val="0"/>
        <w:shd w:val="clear"/>
        <w:kinsoku/>
        <w:wordWrap/>
        <w:overflowPunct/>
        <w:topLinePunct w:val="0"/>
        <w:bidi w:val="0"/>
        <w:adjustRightInd w:val="0"/>
        <w:snapToGrid w:val="0"/>
        <w:spacing w:line="400" w:lineRule="exact"/>
        <w:jc w:val="left"/>
        <w:textAlignment w:val="auto"/>
        <w:rPr>
          <w:rFonts w:hint="eastAsia" w:ascii="宋体" w:hAnsi="宋体" w:eastAsia="宋体" w:cs="宋体"/>
          <w:highlight w:val="none"/>
        </w:rPr>
      </w:pPr>
      <w:r>
        <w:rPr>
          <w:rFonts w:hint="eastAsia" w:ascii="宋体" w:hAnsi="宋体" w:eastAsia="宋体" w:cs="宋体"/>
          <w:color w:val="auto"/>
          <w:szCs w:val="21"/>
          <w:highlight w:val="none"/>
        </w:rPr>
        <w:t xml:space="preserve">     采购代理机构对未通过资格审查的投标人，告知其未通过的原因。对未中标人，告知其本人的评审得分和排序。</w:t>
      </w:r>
    </w:p>
    <w:p w14:paraId="1070FEE0">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60" w:lineRule="exact"/>
        <w:textAlignment w:val="auto"/>
        <w:rPr>
          <w:rFonts w:hint="eastAsia" w:ascii="宋体" w:hAnsi="宋体" w:eastAsia="宋体" w:cs="宋体"/>
          <w:color w:val="auto"/>
          <w:sz w:val="24"/>
          <w:szCs w:val="24"/>
          <w:highlight w:val="none"/>
          <w:lang w:val="en-US" w:eastAsia="zh-CN"/>
        </w:rPr>
      </w:pPr>
      <w:bookmarkStart w:id="139" w:name="_Toc16672"/>
      <w:bookmarkStart w:id="140" w:name="_Toc15751"/>
      <w:bookmarkStart w:id="141" w:name="_Toc23493"/>
      <w:bookmarkStart w:id="142" w:name="_Toc10354"/>
      <w:r>
        <w:rPr>
          <w:rFonts w:hint="eastAsia" w:ascii="宋体" w:hAnsi="宋体" w:eastAsia="宋体" w:cs="宋体"/>
          <w:color w:val="auto"/>
          <w:sz w:val="24"/>
          <w:szCs w:val="24"/>
          <w:highlight w:val="none"/>
          <w:lang w:val="en-US" w:eastAsia="zh-CN"/>
        </w:rPr>
        <w:t>八、合同的授予</w:t>
      </w:r>
      <w:bookmarkEnd w:id="137"/>
      <w:bookmarkEnd w:id="138"/>
      <w:bookmarkEnd w:id="139"/>
      <w:bookmarkEnd w:id="140"/>
      <w:bookmarkEnd w:id="141"/>
      <w:bookmarkEnd w:id="142"/>
    </w:p>
    <w:p w14:paraId="23AD16FB">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（一）授予合同的依据</w:t>
      </w:r>
    </w:p>
    <w:p w14:paraId="4A436803">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1、采购人和采购代理机构签发的中标通知书；</w:t>
      </w:r>
    </w:p>
    <w:p w14:paraId="53ED23F0">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2、招标文件、招标文件的修改及补充文件；</w:t>
      </w:r>
    </w:p>
    <w:p w14:paraId="6BDCFB65">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3、投标文件和询标时投标人做出的澄清、说明、纠正、承诺；</w:t>
      </w:r>
    </w:p>
    <w:p w14:paraId="6CB6453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4、《中华人民共和国民法典》的规定。</w:t>
      </w:r>
    </w:p>
    <w:p w14:paraId="2FD80D70">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（二）签署合同的要求</w:t>
      </w:r>
    </w:p>
    <w:p w14:paraId="4C7D4F7A">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1、采购人与中标人按照中标通知书的规定时间、地点签订书面合同；</w:t>
      </w:r>
    </w:p>
    <w:p w14:paraId="52F995C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2、签订合同的时间（以前附表为准）；</w:t>
      </w:r>
    </w:p>
    <w:p w14:paraId="57231132">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3、所签订的采购合同内容不得对招标文件和中标人的投标文件作实质性修改；</w:t>
      </w:r>
    </w:p>
    <w:p w14:paraId="5303976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4、采购人不得向中标人提出任何不合理的要求，作为签订合同的条件，不得与中标人私下订立背离合同实质性内容的协议；</w:t>
      </w:r>
    </w:p>
    <w:p w14:paraId="1F85118C">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5、自合同签订之日起二个工作日内，采购人应将合同进行网上公告。</w:t>
      </w:r>
    </w:p>
    <w:p w14:paraId="253A90CE">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（三）中标通知书</w:t>
      </w:r>
    </w:p>
    <w:p w14:paraId="261732D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1、确定中标人后，采购人和采购代理机构将以书面形式发出中标通知书；</w:t>
      </w:r>
    </w:p>
    <w:p w14:paraId="10D2F762">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2、中标通知书为双方签订采购合同的依据；</w:t>
      </w:r>
    </w:p>
    <w:p w14:paraId="2B4ECE30">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3、中标人应根据中标通知书中规定的时间内，由法定代表人或其授权代理人与采购人签订合同。</w:t>
      </w:r>
    </w:p>
    <w:p w14:paraId="60F88A82">
      <w:pPr>
        <w:pageBreakBefore w:val="0"/>
        <w:widowControl w:val="0"/>
        <w:shd w:val="clear"/>
        <w:kinsoku/>
        <w:wordWrap/>
        <w:overflowPunct/>
        <w:topLinePunct w:val="0"/>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4、中标通知书发出后，采购人改变中标结果，或者中标人放弃中标，应当承担相应的法律责任。</w:t>
      </w:r>
    </w:p>
    <w:p w14:paraId="290D9188">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（四）履约保证金</w:t>
      </w:r>
    </w:p>
    <w:p w14:paraId="0234225E">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不收取</w:t>
      </w:r>
      <w:r>
        <w:rPr>
          <w:rFonts w:hint="eastAsia" w:ascii="宋体" w:hAnsi="宋体" w:eastAsia="宋体" w:cs="宋体"/>
          <w:b w:val="0"/>
          <w:bCs/>
          <w:color w:val="auto"/>
          <w:szCs w:val="21"/>
          <w:highlight w:val="none"/>
        </w:rPr>
        <w:t>。</w:t>
      </w:r>
    </w:p>
    <w:p w14:paraId="1A9AF564">
      <w:pPr>
        <w:pageBreakBefore w:val="0"/>
        <w:widowControl w:val="0"/>
        <w:shd w:val="clear"/>
        <w:kinsoku/>
        <w:wordWrap/>
        <w:overflowPunct/>
        <w:topLinePunct w:val="0"/>
        <w:bidi w:val="0"/>
        <w:adjustRightInd w:val="0"/>
        <w:snapToGrid w:val="0"/>
        <w:spacing w:line="4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（五）合同签订</w:t>
      </w:r>
    </w:p>
    <w:p w14:paraId="7C422FC7">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1、采购人与中标人依据招标文件和中标人的投标文件签订书面合同；</w:t>
      </w:r>
    </w:p>
    <w:p w14:paraId="16B0BFCD">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采购人如不与中标人订立协议的，或者采购人、中标人订立背离实质性内容的协议，由政府有关部门责令改正，同时依法承担相应法律责任；</w:t>
      </w:r>
    </w:p>
    <w:p w14:paraId="3A47CC95">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3、中标人如不按规定与采购人订立协议的，则采购人将取消其中标资格，并向其要求以预算金额2%额度的赔偿；</w:t>
      </w:r>
    </w:p>
    <w:p w14:paraId="2FDDD936">
      <w:pPr>
        <w:pageBreakBefore w:val="0"/>
        <w:widowControl w:val="0"/>
        <w:shd w:val="clea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4、中标人应当按照协议约定履行义务，完成项目各项工作，不得将中标项目违法转让（转包）给他人。</w:t>
      </w:r>
    </w:p>
    <w:p w14:paraId="6F0565A2">
      <w:pPr>
        <w:pStyle w:val="4"/>
        <w:shd w:val="clear"/>
        <w:spacing w:before="0" w:after="0" w:line="240" w:lineRule="auto"/>
        <w:jc w:val="center"/>
        <w:outlineLvl w:val="9"/>
        <w:rPr>
          <w:rFonts w:hint="eastAsia" w:ascii="宋体" w:hAnsi="宋体" w:cs="宋体"/>
          <w:snapToGrid w:val="0"/>
          <w:color w:val="auto"/>
          <w:sz w:val="40"/>
          <w:szCs w:val="36"/>
          <w:highlight w:val="none"/>
        </w:rPr>
      </w:pPr>
      <w:bookmarkStart w:id="143" w:name="_Toc317341945"/>
      <w:bookmarkStart w:id="144" w:name="_Toc3637"/>
      <w:bookmarkStart w:id="145" w:name="_Toc29826"/>
      <w:bookmarkStart w:id="146" w:name="_Toc27963"/>
      <w:bookmarkStart w:id="147" w:name="_Toc17693"/>
      <w:bookmarkStart w:id="148" w:name="_Toc222632762"/>
    </w:p>
    <w:p w14:paraId="1F625AC1">
      <w:pPr>
        <w:rPr>
          <w:rFonts w:hint="eastAsia" w:ascii="宋体" w:hAnsi="宋体" w:cs="宋体"/>
          <w:snapToGrid w:val="0"/>
          <w:color w:val="auto"/>
          <w:sz w:val="40"/>
          <w:szCs w:val="36"/>
          <w:highlight w:val="none"/>
        </w:rPr>
      </w:pPr>
    </w:p>
    <w:p w14:paraId="27B7B652">
      <w:pPr>
        <w:pStyle w:val="13"/>
        <w:rPr>
          <w:rFonts w:hint="eastAsia" w:ascii="宋体" w:hAnsi="宋体" w:cs="宋体"/>
          <w:snapToGrid w:val="0"/>
          <w:color w:val="auto"/>
          <w:sz w:val="40"/>
          <w:szCs w:val="36"/>
          <w:highlight w:val="none"/>
        </w:rPr>
      </w:pPr>
    </w:p>
    <w:p w14:paraId="1DB418C2">
      <w:pPr>
        <w:pStyle w:val="26"/>
        <w:rPr>
          <w:rFonts w:hint="eastAsia" w:ascii="宋体" w:hAnsi="宋体" w:cs="宋体"/>
          <w:snapToGrid w:val="0"/>
          <w:color w:val="auto"/>
          <w:sz w:val="40"/>
          <w:szCs w:val="36"/>
          <w:highlight w:val="none"/>
        </w:rPr>
      </w:pPr>
    </w:p>
    <w:p w14:paraId="74C832DE">
      <w:pPr>
        <w:rPr>
          <w:rFonts w:hint="eastAsia" w:ascii="宋体" w:hAnsi="宋体" w:cs="宋体"/>
          <w:snapToGrid w:val="0"/>
          <w:color w:val="auto"/>
          <w:sz w:val="40"/>
          <w:szCs w:val="36"/>
          <w:highlight w:val="none"/>
        </w:rPr>
      </w:pPr>
    </w:p>
    <w:p w14:paraId="6F9CFBCB">
      <w:pPr>
        <w:pStyle w:val="33"/>
        <w:rPr>
          <w:rFonts w:hint="eastAsia" w:ascii="宋体" w:hAnsi="宋体" w:cs="宋体"/>
          <w:snapToGrid w:val="0"/>
          <w:color w:val="auto"/>
          <w:sz w:val="40"/>
          <w:szCs w:val="36"/>
          <w:highlight w:val="none"/>
        </w:rPr>
      </w:pPr>
    </w:p>
    <w:p w14:paraId="03862FC0">
      <w:pPr>
        <w:rPr>
          <w:rFonts w:hint="eastAsia" w:ascii="宋体" w:hAnsi="宋体" w:cs="宋体"/>
          <w:snapToGrid w:val="0"/>
          <w:color w:val="auto"/>
          <w:sz w:val="40"/>
          <w:szCs w:val="36"/>
          <w:highlight w:val="none"/>
        </w:rPr>
      </w:pPr>
    </w:p>
    <w:p w14:paraId="2A57D6BF">
      <w:pPr>
        <w:pStyle w:val="33"/>
        <w:rPr>
          <w:rFonts w:hint="eastAsia"/>
        </w:rPr>
      </w:pPr>
    </w:p>
    <w:p w14:paraId="765509A2">
      <w:pPr>
        <w:rPr>
          <w:rFonts w:hint="eastAsia" w:ascii="宋体" w:hAnsi="宋体" w:cs="宋体"/>
          <w:snapToGrid w:val="0"/>
          <w:color w:val="auto"/>
          <w:sz w:val="40"/>
          <w:szCs w:val="36"/>
          <w:highlight w:val="none"/>
        </w:rPr>
      </w:pPr>
    </w:p>
    <w:p w14:paraId="0623190A">
      <w:pPr>
        <w:pStyle w:val="33"/>
        <w:rPr>
          <w:rFonts w:hint="eastAsia"/>
        </w:rPr>
      </w:pPr>
    </w:p>
    <w:p w14:paraId="777DE061">
      <w:pPr>
        <w:pStyle w:val="4"/>
        <w:shd w:val="clear"/>
        <w:spacing w:before="0" w:after="0" w:line="480" w:lineRule="exact"/>
        <w:jc w:val="center"/>
        <w:rPr>
          <w:rFonts w:hint="eastAsia" w:ascii="宋体" w:hAnsi="宋体" w:eastAsia="宋体" w:cs="宋体"/>
          <w:snapToGrid w:val="0"/>
          <w:color w:val="auto"/>
          <w:sz w:val="36"/>
          <w:szCs w:val="36"/>
          <w:highlight w:val="none"/>
        </w:rPr>
      </w:pPr>
      <w:bookmarkStart w:id="149" w:name="_Toc30794"/>
      <w:r>
        <w:rPr>
          <w:rFonts w:hint="eastAsia" w:ascii="宋体" w:hAnsi="宋体" w:eastAsia="宋体" w:cs="宋体"/>
          <w:snapToGrid w:val="0"/>
          <w:color w:val="auto"/>
          <w:sz w:val="36"/>
          <w:szCs w:val="36"/>
          <w:highlight w:val="none"/>
        </w:rPr>
        <w:t xml:space="preserve">第四章 </w:t>
      </w:r>
      <w:bookmarkEnd w:id="143"/>
      <w:bookmarkEnd w:id="144"/>
      <w:r>
        <w:rPr>
          <w:rFonts w:hint="eastAsia" w:ascii="宋体" w:hAnsi="宋体" w:eastAsia="宋体" w:cs="宋体"/>
          <w:snapToGrid w:val="0"/>
          <w:color w:val="auto"/>
          <w:sz w:val="36"/>
          <w:szCs w:val="36"/>
          <w:highlight w:val="none"/>
        </w:rPr>
        <w:t xml:space="preserve"> 评标办法及标准</w:t>
      </w:r>
      <w:bookmarkEnd w:id="145"/>
      <w:bookmarkEnd w:id="146"/>
      <w:bookmarkEnd w:id="147"/>
      <w:bookmarkEnd w:id="149"/>
    </w:p>
    <w:p w14:paraId="17A71F15">
      <w:pPr>
        <w:pageBreakBefore w:val="0"/>
        <w:shd w:val="clea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为公正、公平、科学地选择中标人，根据《中华人民共和国政府采购法》《政府采购货物服务招标投标管理办法》等有关法律法规的规定，并结合本项目的实际，制定本办法。</w:t>
      </w:r>
    </w:p>
    <w:p w14:paraId="79A6B9FE">
      <w:pPr>
        <w:pageBreakBefore w:val="0"/>
        <w:shd w:val="clea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本办法适用于</w:t>
      </w:r>
      <w:r>
        <w:rPr>
          <w:rFonts w:hint="eastAsia" w:ascii="宋体" w:hAnsi="宋体" w:eastAsia="宋体" w:cs="宋体"/>
          <w:b/>
          <w:bCs/>
          <w:color w:val="auto"/>
          <w:szCs w:val="21"/>
          <w:highlight w:val="none"/>
          <w:u w:val="single"/>
          <w:lang w:eastAsia="zh-CN"/>
        </w:rPr>
        <w:t>2024年度第二批未来社区创建实施方案编制服务采购项目</w:t>
      </w:r>
      <w:r>
        <w:rPr>
          <w:rFonts w:hint="eastAsia" w:ascii="宋体" w:hAnsi="宋体" w:eastAsia="宋体" w:cs="宋体"/>
          <w:color w:val="auto"/>
          <w:szCs w:val="21"/>
          <w:highlight w:val="none"/>
        </w:rPr>
        <w:t>的评标。</w:t>
      </w:r>
    </w:p>
    <w:p w14:paraId="71DFB74E">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50" w:name="_Toc18753"/>
      <w:bookmarkStart w:id="151" w:name="_Toc4155"/>
      <w:bookmarkStart w:id="152" w:name="_Toc27962"/>
      <w:bookmarkStart w:id="153" w:name="_Toc317341947"/>
      <w:bookmarkStart w:id="154" w:name="_Toc300812053"/>
      <w:bookmarkStart w:id="155" w:name="_Toc294470144"/>
      <w:r>
        <w:rPr>
          <w:rFonts w:hint="eastAsia" w:ascii="宋体" w:hAnsi="宋体" w:eastAsia="宋体" w:cs="宋体"/>
          <w:color w:val="auto"/>
          <w:sz w:val="24"/>
          <w:szCs w:val="24"/>
          <w:highlight w:val="none"/>
          <w:lang w:val="en-US" w:eastAsia="zh-CN"/>
        </w:rPr>
        <w:t>一、评标程序与方法</w:t>
      </w:r>
      <w:bookmarkEnd w:id="150"/>
      <w:bookmarkEnd w:id="151"/>
      <w:bookmarkEnd w:id="152"/>
    </w:p>
    <w:p w14:paraId="043801A7">
      <w:pPr>
        <w:pageBreakBefore w:val="0"/>
        <w:shd w:val="clea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1、评标委员会对通过资格性检查的投标人进行符合性检</w:t>
      </w:r>
      <w:r>
        <w:rPr>
          <w:rFonts w:hint="eastAsia" w:ascii="宋体" w:hAnsi="宋体" w:eastAsia="宋体" w:cs="宋体"/>
          <w:color w:val="auto"/>
          <w:spacing w:val="-6"/>
          <w:sz w:val="21"/>
          <w:szCs w:val="21"/>
          <w:highlight w:val="none"/>
        </w:rPr>
        <w:t>查。依据招标文件的规定，从</w:t>
      </w:r>
      <w:r>
        <w:rPr>
          <w:rFonts w:hint="eastAsia" w:ascii="宋体" w:hAnsi="宋体" w:eastAsia="宋体" w:cs="宋体"/>
          <w:color w:val="auto"/>
          <w:szCs w:val="21"/>
          <w:highlight w:val="none"/>
        </w:rPr>
        <w:t>投标文件的有效性、完整性和对招标文件的响应</w:t>
      </w:r>
      <w:r>
        <w:rPr>
          <w:rFonts w:hint="eastAsia" w:ascii="宋体" w:hAnsi="宋体" w:eastAsia="宋体" w:cs="宋体"/>
          <w:color w:val="auto"/>
          <w:spacing w:val="-6"/>
          <w:sz w:val="21"/>
          <w:szCs w:val="21"/>
          <w:highlight w:val="none"/>
        </w:rPr>
        <w:t>程度进行审查，以确定</w:t>
      </w:r>
      <w:r>
        <w:rPr>
          <w:rFonts w:hint="eastAsia" w:ascii="宋体" w:hAnsi="宋体" w:eastAsia="宋体" w:cs="宋体"/>
          <w:color w:val="auto"/>
          <w:szCs w:val="21"/>
          <w:highlight w:val="none"/>
        </w:rPr>
        <w:t>是否对招标文件的实质性要求做出响应。</w:t>
      </w:r>
    </w:p>
    <w:p w14:paraId="6D94E9B5">
      <w:pPr>
        <w:pageBreakBefore w:val="0"/>
        <w:shd w:val="clea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689A98BB">
      <w:pPr>
        <w:pageBreakBefore w:val="0"/>
        <w:shd w:val="clear"/>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3、比较与评价。评标委员会按上述规定的评标内容和标准，对符合性检查合格的投标文件进行综合比较与独立评分。</w:t>
      </w:r>
    </w:p>
    <w:p w14:paraId="5D4E2094">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56" w:name="_Toc2491"/>
      <w:bookmarkStart w:id="157" w:name="_Toc26404"/>
      <w:bookmarkStart w:id="158" w:name="_Toc7267"/>
      <w:r>
        <w:rPr>
          <w:rFonts w:hint="eastAsia" w:ascii="宋体" w:hAnsi="宋体" w:eastAsia="宋体" w:cs="宋体"/>
          <w:color w:val="auto"/>
          <w:sz w:val="24"/>
          <w:szCs w:val="24"/>
          <w:highlight w:val="none"/>
          <w:lang w:val="en-US" w:eastAsia="zh-CN"/>
        </w:rPr>
        <w:t>二、综合评分法</w:t>
      </w:r>
      <w:bookmarkEnd w:id="156"/>
      <w:bookmarkEnd w:id="157"/>
      <w:bookmarkEnd w:id="158"/>
    </w:p>
    <w:p w14:paraId="62DDC568">
      <w:pPr>
        <w:pageBreakBefore w:val="0"/>
        <w:shd w:val="clea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color w:val="auto"/>
          <w:szCs w:val="21"/>
          <w:highlight w:val="none"/>
        </w:rPr>
        <w:t>本次评标采用综合评分法，总分为100分，其中价格分</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分、技术商务资信分</w:t>
      </w:r>
      <w:r>
        <w:rPr>
          <w:rFonts w:hint="eastAsia" w:ascii="宋体" w:hAnsi="宋体" w:eastAsia="宋体" w:cs="宋体"/>
          <w:color w:val="auto"/>
          <w:szCs w:val="21"/>
          <w:highlight w:val="none"/>
          <w:lang w:val="en-US" w:eastAsia="zh-CN"/>
        </w:rPr>
        <w:t>90</w:t>
      </w:r>
      <w:r>
        <w:rPr>
          <w:rFonts w:hint="eastAsia" w:ascii="宋体" w:hAnsi="宋体" w:eastAsia="宋体" w:cs="宋体"/>
          <w:color w:val="auto"/>
          <w:szCs w:val="21"/>
          <w:highlight w:val="none"/>
        </w:rPr>
        <w:t>分。合格投标人的评标得分为各项目汇总得分，中标候选资格按评标综合得分由高到低顺序排列，推荐中标候选人；得分相同的，按投标报价由低到高顺序排列；得分且投标报价相同的并列。</w:t>
      </w:r>
    </w:p>
    <w:p w14:paraId="0BAAEBBD">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59" w:name="_Toc14114"/>
      <w:bookmarkStart w:id="160" w:name="_Toc26255"/>
      <w:bookmarkStart w:id="161" w:name="_Toc23186"/>
      <w:bookmarkStart w:id="162" w:name="_Toc3993"/>
      <w:r>
        <w:rPr>
          <w:rFonts w:hint="eastAsia" w:ascii="宋体" w:hAnsi="宋体" w:eastAsia="宋体" w:cs="宋体"/>
          <w:color w:val="auto"/>
          <w:sz w:val="24"/>
          <w:szCs w:val="24"/>
          <w:highlight w:val="none"/>
          <w:lang w:val="en-US" w:eastAsia="zh-CN"/>
        </w:rPr>
        <w:t>三、评标内容及标准</w:t>
      </w:r>
      <w:bookmarkEnd w:id="153"/>
      <w:bookmarkEnd w:id="154"/>
      <w:bookmarkEnd w:id="155"/>
      <w:bookmarkEnd w:id="159"/>
      <w:bookmarkEnd w:id="160"/>
      <w:bookmarkEnd w:id="161"/>
      <w:bookmarkEnd w:id="162"/>
    </w:p>
    <w:p w14:paraId="0B774DE3">
      <w:pPr>
        <w:keepNext w:val="0"/>
        <w:keepLines w:val="0"/>
        <w:pageBreakBefore w:val="0"/>
        <w:widowControl w:val="0"/>
        <w:shd w:val="clear"/>
        <w:kinsoku/>
        <w:wordWrap/>
        <w:overflowPunct/>
        <w:topLinePunct w:val="0"/>
        <w:autoSpaceDE/>
        <w:autoSpaceDN/>
        <w:bidi w:val="0"/>
        <w:adjustRightInd/>
        <w:snapToGrid/>
        <w:spacing w:line="500" w:lineRule="exact"/>
        <w:ind w:firstLine="105" w:firstLineChars="5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（一）价格分（</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p w14:paraId="58630661">
      <w:pPr>
        <w:pStyle w:val="64"/>
        <w:keepNext w:val="0"/>
        <w:keepLines w:val="0"/>
        <w:pageBreakBefore w:val="0"/>
        <w:widowControl w:val="0"/>
        <w:kinsoku/>
        <w:wordWrap/>
        <w:overflowPunct/>
        <w:topLinePunct w:val="0"/>
        <w:autoSpaceDE/>
        <w:autoSpaceDN/>
        <w:bidi w:val="0"/>
        <w:adjustRightInd w:val="0"/>
        <w:snapToGrid w:val="0"/>
        <w:spacing w:line="39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1、价格分采用低价优先法计算，即满足招标文件要求且投标报价最低的价格为评标基准价，其他投标人的价格分按照下列公式计算：</w:t>
      </w:r>
    </w:p>
    <w:p w14:paraId="58CE6ADE">
      <w:pPr>
        <w:keepNext w:val="0"/>
        <w:keepLines w:val="0"/>
        <w:pageBreakBefore w:val="0"/>
        <w:widowControl w:val="0"/>
        <w:kinsoku/>
        <w:wordWrap/>
        <w:overflowPunct/>
        <w:topLinePunct w:val="0"/>
        <w:autoSpaceDE/>
        <w:autoSpaceDN/>
        <w:bidi w:val="0"/>
        <w:spacing w:line="39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rPr>
        <w:t>%</w:t>
      </w:r>
      <w:r>
        <w:rPr>
          <w:rFonts w:hint="eastAsia" w:ascii="宋体" w:hAnsi="宋体" w:eastAsia="宋体" w:cs="宋体"/>
          <w:color w:val="auto"/>
          <w:szCs w:val="21"/>
          <w:highlight w:val="none"/>
        </w:rPr>
        <w:t>×100（保留两位小数）</w:t>
      </w:r>
    </w:p>
    <w:p w14:paraId="7D73BFA4">
      <w:pPr>
        <w:keepNext w:val="0"/>
        <w:keepLines w:val="0"/>
        <w:pageBreakBefore w:val="0"/>
        <w:widowControl w:val="0"/>
        <w:kinsoku/>
        <w:wordWrap/>
        <w:overflowPunct/>
        <w:topLinePunct w:val="0"/>
        <w:autoSpaceDE/>
        <w:autoSpaceDN/>
        <w:bidi w:val="0"/>
        <w:spacing w:line="39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、投标人的投标报价超过采购人给定的预算金额的，作无效标处理。</w:t>
      </w:r>
    </w:p>
    <w:p w14:paraId="37CECDD9">
      <w:pPr>
        <w:keepNext w:val="0"/>
        <w:keepLines w:val="0"/>
        <w:pageBreakBefore w:val="0"/>
        <w:widowControl w:val="0"/>
        <w:kinsoku/>
        <w:wordWrap/>
        <w:overflowPunct/>
        <w:topLinePunct w:val="0"/>
        <w:autoSpaceDE/>
        <w:autoSpaceDN/>
        <w:bidi w:val="0"/>
        <w:spacing w:line="39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TW" w:eastAsia="zh-TW"/>
        </w:rPr>
        <w:t>评审时评标委员会认为投标人的报价明显低于其他通过符合性审查投标人的报价，有可能影响产品质量或者不能诚信履约的，投标人在评标现场合理的时间内提供书面说明，必要时提交相关证明材料；投标人不能证明其报价合理性的，评标委员会应当将其作为无效投标处理</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 xml:space="preserve"> </w:t>
      </w:r>
    </w:p>
    <w:p w14:paraId="043BCD2F">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4、中小企业政策执行： </w:t>
      </w:r>
    </w:p>
    <w:p w14:paraId="0816D2F5">
      <w:pPr>
        <w:keepNext w:val="0"/>
        <w:keepLines w:val="0"/>
        <w:pageBreakBefore w:val="0"/>
        <w:widowControl/>
        <w:kinsoku/>
        <w:wordWrap/>
        <w:overflowPunct/>
        <w:topLinePunct w:val="0"/>
        <w:autoSpaceDE/>
        <w:autoSpaceDN/>
        <w:bidi w:val="0"/>
        <w:spacing w:line="384"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本项目为专门面向中小企业采购，为本项目提供服务的供应商为非中小企业的，资格审查不予通过；符合上述条件的中小型企业应按照采购文件附件的格式要求在资格证明文件中提供《中小企业声明函》</w:t>
      </w:r>
      <w:r>
        <w:rPr>
          <w:rFonts w:hint="eastAsia" w:ascii="宋体" w:hAnsi="宋体" w:eastAsia="宋体" w:cs="宋体"/>
          <w:color w:val="auto"/>
          <w:highlight w:val="none"/>
          <w:lang w:eastAsia="zh-CN"/>
        </w:rPr>
        <w:t>；</w:t>
      </w:r>
    </w:p>
    <w:p w14:paraId="71F16EFC">
      <w:pPr>
        <w:keepNext w:val="0"/>
        <w:keepLines w:val="0"/>
        <w:pageBreakBefore w:val="0"/>
        <w:kinsoku/>
        <w:wordWrap/>
        <w:overflowPunct/>
        <w:topLinePunct w:val="0"/>
        <w:autoSpaceDE/>
        <w:autoSpaceDN/>
        <w:bidi w:val="0"/>
        <w:adjustRightInd w:val="0"/>
        <w:snapToGrid w:val="0"/>
        <w:spacing w:line="384"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按照本办法规定提供声明函内容不实的，属于提供虚假材料谋取中标、成交，依照《中华人民共和国政府采购法》等国家有关规定追究相应责任。采购代理机构在中标结果公告中公开中标的《中小微企业声明函》</w:t>
      </w:r>
      <w:r>
        <w:rPr>
          <w:rFonts w:hint="eastAsia" w:ascii="宋体" w:hAnsi="宋体" w:eastAsia="宋体" w:cs="宋体"/>
          <w:color w:val="auto"/>
          <w:highlight w:val="none"/>
          <w:lang w:eastAsia="zh-CN"/>
        </w:rPr>
        <w:t>；</w:t>
      </w:r>
    </w:p>
    <w:p w14:paraId="365E5FBC">
      <w:pPr>
        <w:keepNext w:val="0"/>
        <w:keepLines w:val="0"/>
        <w:pageBreakBefore w:val="0"/>
        <w:kinsoku/>
        <w:wordWrap/>
        <w:overflowPunct/>
        <w:topLinePunct w:val="0"/>
        <w:autoSpaceDE/>
        <w:autoSpaceDN/>
        <w:bidi w:val="0"/>
        <w:adjustRightInd w:val="0"/>
        <w:snapToGrid w:val="0"/>
        <w:spacing w:line="384" w:lineRule="exac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投标产品生产企业（提供服务的企业）按照《关于印发中小企业划型标准规定的通知》（工信部联企</w:t>
      </w:r>
      <w:r>
        <w:rPr>
          <w:rFonts w:hint="eastAsia" w:ascii="宋体" w:hAnsi="宋体" w:eastAsia="宋体" w:cs="宋体"/>
          <w:bCs/>
          <w:color w:val="auto"/>
          <w:spacing w:val="-6"/>
          <w:sz w:val="21"/>
          <w:szCs w:val="21"/>
          <w:highlight w:val="none"/>
        </w:rPr>
        <w:t>业〔2011〕300 号）的所属行业规定为小型、微型企业。</w:t>
      </w:r>
      <w:r>
        <w:rPr>
          <w:rFonts w:hint="eastAsia" w:ascii="宋体" w:hAnsi="宋体" w:eastAsia="宋体" w:cs="宋体"/>
          <w:bCs/>
          <w:color w:val="auto"/>
          <w:szCs w:val="21"/>
          <w:highlight w:val="none"/>
        </w:rPr>
        <w:t>投标文件中必须提供《中小企业声明函》；</w:t>
      </w:r>
    </w:p>
    <w:p w14:paraId="5B3D392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符合中小企业划分标准的个体工商户，视同中小企业。</w:t>
      </w:r>
    </w:p>
    <w:p w14:paraId="06AC643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3、残疾人福利性单位视同小微企业，其产品参加本项目投标的，享受小微企业同等的价格扣除。</w:t>
      </w:r>
    </w:p>
    <w:p w14:paraId="0997A9A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3.1残疾人福利性单位应当同时满足以下条件：</w:t>
      </w:r>
    </w:p>
    <w:p w14:paraId="4C879535">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 安置的残疾人占本单位在职职工人数的比例不低于 25%（含 25%），并且安置的残疾人人数不少于 10 人（含 10 人）；</w:t>
      </w:r>
    </w:p>
    <w:p w14:paraId="5549D152">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②依法与安置的每位残疾人签订了一年以上（含一年）的劳动合同或服务协议；</w:t>
      </w:r>
    </w:p>
    <w:p w14:paraId="3591B83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③为安置的每位残疾人按月足额缴纳了基本养老保险、基本医疗保险、失业保险、工伤保险和生育保险等社会保险费；</w:t>
      </w:r>
    </w:p>
    <w:p w14:paraId="04C3704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④通过银行等金融机构向安置的每位残疾人，按月支付了不低于单位所在区县适用的经省级人民政府批准的月最低工资标准的工资；</w:t>
      </w:r>
    </w:p>
    <w:p w14:paraId="69400114">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⑤提供本单位制造的货物、承担的工程或者服务（以下简称产品），或者提供其他残疾人福利性单位制造的货物（不包括使用非残疾人福利性单位注册商标的货物）。</w:t>
      </w:r>
    </w:p>
    <w:p w14:paraId="00A7988C">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 同时提供以下所有证明材料的投标人被认定为残疾人福利性单位：</w:t>
      </w:r>
    </w:p>
    <w:p w14:paraId="344090C8">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 提供《残疾人福利性单位声明函》；</w:t>
      </w:r>
    </w:p>
    <w:p w14:paraId="2B57BAE6">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 提供社保缴纳人员名单、录用的残疾人的《中华人民共和国残疾人证》或者《中华人民共和国残疾军人证(1至8级)》复印件。</w:t>
      </w:r>
    </w:p>
    <w:p w14:paraId="05308CD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4、监狱企业视同小微企业，其产品参加本项目投标的，享受小微企业同等的价格扣除。</w:t>
      </w:r>
    </w:p>
    <w:p w14:paraId="14DDB215">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提供以下证明材料的投标人被认定为监狱企业：省级以上监狱管理局、戒毒管理局（含新疆生产建设兵团）出具的属于监狱企业的证明文件复印件。</w:t>
      </w:r>
    </w:p>
    <w:p w14:paraId="6F170AC9">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技术、商务资信分（</w:t>
      </w:r>
      <w:r>
        <w:rPr>
          <w:rFonts w:hint="eastAsia" w:ascii="宋体" w:hAnsi="宋体" w:eastAsia="宋体" w:cs="宋体"/>
          <w:b/>
          <w:color w:val="auto"/>
          <w:szCs w:val="21"/>
          <w:highlight w:val="none"/>
          <w:lang w:val="en-US" w:eastAsia="zh-CN"/>
        </w:rPr>
        <w:t>90</w:t>
      </w:r>
      <w:r>
        <w:rPr>
          <w:rFonts w:hint="eastAsia" w:ascii="宋体" w:hAnsi="宋体" w:eastAsia="宋体" w:cs="宋体"/>
          <w:b/>
          <w:color w:val="auto"/>
          <w:szCs w:val="21"/>
          <w:highlight w:val="none"/>
        </w:rPr>
        <w:t>分）</w:t>
      </w:r>
    </w:p>
    <w:tbl>
      <w:tblPr>
        <w:tblStyle w:val="36"/>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44"/>
        <w:gridCol w:w="912"/>
        <w:gridCol w:w="6227"/>
      </w:tblGrid>
      <w:tr w14:paraId="4A5F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5" w:type="pct"/>
            <w:noWrap w:val="0"/>
            <w:vAlign w:val="center"/>
          </w:tcPr>
          <w:p w14:paraId="2C460100">
            <w:pPr>
              <w:jc w:val="center"/>
              <w:rPr>
                <w:rFonts w:hint="eastAsia"/>
                <w:b/>
                <w:bCs/>
                <w:sz w:val="22"/>
                <w:szCs w:val="28"/>
              </w:rPr>
            </w:pPr>
            <w:r>
              <w:rPr>
                <w:rFonts w:hint="eastAsia"/>
                <w:b/>
                <w:bCs/>
                <w:sz w:val="22"/>
                <w:szCs w:val="28"/>
              </w:rPr>
              <w:t>序号</w:t>
            </w:r>
          </w:p>
        </w:tc>
        <w:tc>
          <w:tcPr>
            <w:tcW w:w="856" w:type="pct"/>
            <w:noWrap w:val="0"/>
            <w:vAlign w:val="center"/>
          </w:tcPr>
          <w:p w14:paraId="3B054C31">
            <w:pPr>
              <w:jc w:val="center"/>
              <w:rPr>
                <w:rFonts w:hint="eastAsia"/>
                <w:b/>
                <w:bCs/>
                <w:sz w:val="22"/>
                <w:szCs w:val="28"/>
              </w:rPr>
            </w:pPr>
            <w:r>
              <w:rPr>
                <w:rFonts w:hint="eastAsia"/>
                <w:b/>
                <w:bCs/>
                <w:sz w:val="22"/>
                <w:szCs w:val="28"/>
              </w:rPr>
              <w:t>评分内容</w:t>
            </w:r>
          </w:p>
        </w:tc>
        <w:tc>
          <w:tcPr>
            <w:tcW w:w="475" w:type="pct"/>
            <w:noWrap w:val="0"/>
            <w:vAlign w:val="center"/>
          </w:tcPr>
          <w:p w14:paraId="52D3C85D">
            <w:pPr>
              <w:jc w:val="center"/>
              <w:rPr>
                <w:rFonts w:hint="eastAsia"/>
                <w:b/>
                <w:bCs/>
                <w:sz w:val="22"/>
                <w:szCs w:val="28"/>
              </w:rPr>
            </w:pPr>
            <w:r>
              <w:rPr>
                <w:rFonts w:hint="eastAsia"/>
                <w:b/>
                <w:bCs/>
                <w:sz w:val="22"/>
                <w:szCs w:val="28"/>
              </w:rPr>
              <w:t>分值</w:t>
            </w:r>
          </w:p>
        </w:tc>
        <w:tc>
          <w:tcPr>
            <w:tcW w:w="3243" w:type="pct"/>
            <w:noWrap w:val="0"/>
            <w:vAlign w:val="center"/>
          </w:tcPr>
          <w:p w14:paraId="1DC2539D">
            <w:pPr>
              <w:jc w:val="center"/>
              <w:rPr>
                <w:rFonts w:hint="eastAsia"/>
                <w:b/>
                <w:bCs/>
                <w:sz w:val="22"/>
                <w:szCs w:val="28"/>
              </w:rPr>
            </w:pPr>
            <w:r>
              <w:rPr>
                <w:rFonts w:hint="eastAsia"/>
                <w:b/>
                <w:bCs/>
                <w:sz w:val="22"/>
                <w:szCs w:val="28"/>
              </w:rPr>
              <w:t>评审标准</w:t>
            </w:r>
          </w:p>
        </w:tc>
      </w:tr>
      <w:tr w14:paraId="4653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25" w:type="pct"/>
            <w:noWrap w:val="0"/>
            <w:vAlign w:val="center"/>
          </w:tcPr>
          <w:p w14:paraId="73270D6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rPr>
              <w:t>1</w:t>
            </w:r>
          </w:p>
        </w:tc>
        <w:tc>
          <w:tcPr>
            <w:tcW w:w="856" w:type="pct"/>
            <w:noWrap w:val="0"/>
            <w:vAlign w:val="center"/>
          </w:tcPr>
          <w:p w14:paraId="7F5A64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pacing w:val="-6"/>
                <w:sz w:val="21"/>
                <w:szCs w:val="21"/>
              </w:rPr>
              <w:t>项目负责人情况</w:t>
            </w:r>
          </w:p>
        </w:tc>
        <w:tc>
          <w:tcPr>
            <w:tcW w:w="475" w:type="pct"/>
            <w:noWrap w:val="0"/>
            <w:vAlign w:val="center"/>
          </w:tcPr>
          <w:p w14:paraId="48EACC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pacing w:val="-6"/>
                <w:sz w:val="21"/>
                <w:szCs w:val="21"/>
              </w:rPr>
              <w:t>3分</w:t>
            </w:r>
          </w:p>
        </w:tc>
        <w:tc>
          <w:tcPr>
            <w:tcW w:w="3243" w:type="pct"/>
            <w:noWrap w:val="0"/>
            <w:vAlign w:val="center"/>
          </w:tcPr>
          <w:p w14:paraId="6E943D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Cs w:val="21"/>
              </w:rPr>
            </w:pPr>
            <w:r>
              <w:rPr>
                <w:rFonts w:hint="eastAsia" w:ascii="宋体" w:hAnsi="宋体" w:eastAsia="宋体" w:cs="宋体"/>
                <w:szCs w:val="21"/>
              </w:rPr>
              <w:t>项目负责人具有规划类高级及以上职称的得3分；</w:t>
            </w:r>
          </w:p>
          <w:p w14:paraId="1969F3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Cs w:val="21"/>
              </w:rPr>
            </w:pPr>
            <w:r>
              <w:rPr>
                <w:rFonts w:hint="eastAsia" w:ascii="宋体" w:hAnsi="宋体" w:eastAsia="宋体" w:cs="宋体"/>
                <w:b/>
                <w:bCs/>
                <w:szCs w:val="21"/>
              </w:rPr>
              <w:t>提供相关人员的证书、职称、业绩证明材料等扫描件并加盖公章。</w:t>
            </w:r>
          </w:p>
        </w:tc>
      </w:tr>
      <w:tr w14:paraId="0FA3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425" w:type="pct"/>
            <w:noWrap w:val="0"/>
            <w:vAlign w:val="center"/>
          </w:tcPr>
          <w:p w14:paraId="64DA87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2</w:t>
            </w:r>
          </w:p>
        </w:tc>
        <w:tc>
          <w:tcPr>
            <w:tcW w:w="856" w:type="pct"/>
            <w:noWrap w:val="0"/>
            <w:vAlign w:val="center"/>
          </w:tcPr>
          <w:p w14:paraId="632DF6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项目团队实力</w:t>
            </w:r>
          </w:p>
        </w:tc>
        <w:tc>
          <w:tcPr>
            <w:tcW w:w="475" w:type="pct"/>
            <w:noWrap w:val="0"/>
            <w:vAlign w:val="center"/>
          </w:tcPr>
          <w:p w14:paraId="0B93E51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7分</w:t>
            </w:r>
          </w:p>
        </w:tc>
        <w:tc>
          <w:tcPr>
            <w:tcW w:w="3243" w:type="pct"/>
            <w:noWrap w:val="0"/>
            <w:vAlign w:val="center"/>
          </w:tcPr>
          <w:p w14:paraId="6B976E2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（1）除项目负责人以外，配置</w:t>
            </w:r>
            <w:r>
              <w:rPr>
                <w:rFonts w:hint="eastAsia" w:ascii="宋体" w:hAnsi="宋体" w:eastAsia="宋体" w:cs="宋体"/>
                <w:szCs w:val="21"/>
                <w:lang w:val="en-US" w:eastAsia="zh-CN"/>
              </w:rPr>
              <w:t>1</w:t>
            </w:r>
            <w:r>
              <w:rPr>
                <w:rFonts w:hint="eastAsia" w:ascii="宋体" w:hAnsi="宋体" w:eastAsia="宋体" w:cs="宋体"/>
                <w:szCs w:val="21"/>
              </w:rPr>
              <w:t>名从事城乡规划编制的核心成员，如其具备城乡规划中级职称得1分，具备注册规划师或规划类高级及以上技术职称得2分。最多得2分。</w:t>
            </w:r>
          </w:p>
          <w:p w14:paraId="6DD6D6D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（2）除项目负责人以外，配置1名从事相关专业（景观</w:t>
            </w:r>
            <w:r>
              <w:rPr>
                <w:rFonts w:hint="eastAsia" w:ascii="宋体" w:hAnsi="宋体" w:eastAsia="宋体" w:cs="宋体"/>
                <w:szCs w:val="21"/>
                <w:lang w:val="en-US" w:eastAsia="zh-CN"/>
              </w:rPr>
              <w:t>类</w:t>
            </w:r>
            <w:r>
              <w:rPr>
                <w:rFonts w:hint="eastAsia" w:ascii="宋体" w:hAnsi="宋体" w:eastAsia="宋体" w:cs="宋体"/>
                <w:szCs w:val="21"/>
              </w:rPr>
              <w:t>、规划</w:t>
            </w:r>
            <w:r>
              <w:rPr>
                <w:rFonts w:hint="eastAsia" w:ascii="宋体" w:hAnsi="宋体" w:eastAsia="宋体" w:cs="宋体"/>
                <w:szCs w:val="21"/>
                <w:lang w:val="en-US" w:eastAsia="zh-CN"/>
              </w:rPr>
              <w:t>类</w:t>
            </w:r>
            <w:r>
              <w:rPr>
                <w:rFonts w:hint="eastAsia" w:ascii="宋体" w:hAnsi="宋体" w:eastAsia="宋体" w:cs="宋体"/>
                <w:szCs w:val="21"/>
              </w:rPr>
              <w:t>）的核心成员，如其具备中级职称得1分，具备高级</w:t>
            </w:r>
            <w:r>
              <w:rPr>
                <w:rFonts w:hint="eastAsia" w:ascii="宋体" w:hAnsi="宋体" w:eastAsia="宋体" w:cs="宋体"/>
                <w:szCs w:val="21"/>
                <w:lang w:val="en-US" w:eastAsia="zh-CN"/>
              </w:rPr>
              <w:t>及以上</w:t>
            </w:r>
            <w:r>
              <w:rPr>
                <w:rFonts w:hint="eastAsia" w:ascii="宋体" w:hAnsi="宋体" w:eastAsia="宋体" w:cs="宋体"/>
                <w:szCs w:val="21"/>
              </w:rPr>
              <w:t>职称的得2分。最多得2分。</w:t>
            </w:r>
          </w:p>
          <w:p w14:paraId="0D64CD0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（3）项目组成员除项目负责人及核心成员外，</w:t>
            </w:r>
            <w:r>
              <w:rPr>
                <w:rFonts w:hint="eastAsia" w:ascii="宋体" w:hAnsi="宋体" w:eastAsia="宋体" w:cs="宋体"/>
                <w:szCs w:val="21"/>
                <w:lang w:val="en-US" w:eastAsia="zh-CN"/>
              </w:rPr>
              <w:t>配备</w:t>
            </w:r>
            <w:r>
              <w:rPr>
                <w:rFonts w:hint="eastAsia" w:ascii="宋体" w:hAnsi="宋体" w:eastAsia="宋体" w:cs="宋体"/>
                <w:szCs w:val="21"/>
              </w:rPr>
              <w:t>（景观</w:t>
            </w:r>
            <w:r>
              <w:rPr>
                <w:rFonts w:hint="eastAsia" w:ascii="宋体" w:hAnsi="宋体" w:eastAsia="宋体" w:cs="宋体"/>
                <w:szCs w:val="21"/>
                <w:lang w:val="en-US" w:eastAsia="zh-CN"/>
              </w:rPr>
              <w:t>类</w:t>
            </w:r>
            <w:r>
              <w:rPr>
                <w:rFonts w:hint="eastAsia" w:ascii="宋体" w:hAnsi="宋体" w:eastAsia="宋体" w:cs="宋体"/>
                <w:szCs w:val="21"/>
              </w:rPr>
              <w:t>、规划</w:t>
            </w:r>
            <w:r>
              <w:rPr>
                <w:rFonts w:hint="eastAsia" w:ascii="宋体" w:hAnsi="宋体" w:eastAsia="宋体" w:cs="宋体"/>
                <w:szCs w:val="21"/>
                <w:lang w:val="en-US" w:eastAsia="zh-CN"/>
              </w:rPr>
              <w:t>类</w:t>
            </w:r>
            <w:r>
              <w:rPr>
                <w:rFonts w:hint="eastAsia" w:ascii="宋体" w:hAnsi="宋体" w:eastAsia="宋体" w:cs="宋体"/>
                <w:szCs w:val="21"/>
              </w:rPr>
              <w:t>）中级职称</w:t>
            </w:r>
            <w:r>
              <w:rPr>
                <w:rFonts w:hint="eastAsia" w:ascii="宋体" w:hAnsi="宋体" w:eastAsia="宋体" w:cs="宋体"/>
                <w:szCs w:val="21"/>
                <w:lang w:val="en-US" w:eastAsia="zh-CN"/>
              </w:rPr>
              <w:t>的每人</w:t>
            </w:r>
            <w:r>
              <w:rPr>
                <w:rFonts w:hint="eastAsia" w:ascii="宋体" w:hAnsi="宋体" w:eastAsia="宋体" w:cs="宋体"/>
                <w:szCs w:val="21"/>
              </w:rPr>
              <w:t>得1分</w:t>
            </w:r>
            <w:r>
              <w:rPr>
                <w:rFonts w:hint="eastAsia" w:ascii="宋体" w:hAnsi="宋体" w:eastAsia="宋体" w:cs="宋体"/>
                <w:szCs w:val="21"/>
                <w:lang w:eastAsia="zh-CN"/>
              </w:rPr>
              <w:t>；</w:t>
            </w:r>
            <w:r>
              <w:rPr>
                <w:rFonts w:hint="eastAsia" w:ascii="宋体" w:hAnsi="宋体" w:eastAsia="宋体" w:cs="宋体"/>
                <w:szCs w:val="21"/>
                <w:lang w:val="en-US" w:eastAsia="zh-CN"/>
              </w:rPr>
              <w:t>配备</w:t>
            </w:r>
            <w:r>
              <w:rPr>
                <w:rFonts w:hint="eastAsia" w:ascii="宋体" w:hAnsi="宋体" w:eastAsia="宋体" w:cs="宋体"/>
                <w:szCs w:val="21"/>
              </w:rPr>
              <w:t>注册规划师或规划类高级及以上技术职称人员的每人得2分。最多得3分。</w:t>
            </w:r>
          </w:p>
          <w:p w14:paraId="3339F34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b/>
                <w:bCs/>
                <w:szCs w:val="21"/>
              </w:rPr>
              <w:t>提供相关人员证书等证明材料扫描件并加盖公章。</w:t>
            </w:r>
          </w:p>
        </w:tc>
      </w:tr>
      <w:tr w14:paraId="7194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425" w:type="pct"/>
            <w:noWrap w:val="0"/>
            <w:vAlign w:val="center"/>
          </w:tcPr>
          <w:p w14:paraId="01567A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3</w:t>
            </w:r>
          </w:p>
        </w:tc>
        <w:tc>
          <w:tcPr>
            <w:tcW w:w="856" w:type="pct"/>
            <w:noWrap w:val="0"/>
            <w:vAlign w:val="center"/>
          </w:tcPr>
          <w:p w14:paraId="7A558B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获奖情况</w:t>
            </w:r>
          </w:p>
        </w:tc>
        <w:tc>
          <w:tcPr>
            <w:tcW w:w="475" w:type="pct"/>
            <w:noWrap w:val="0"/>
            <w:vAlign w:val="center"/>
          </w:tcPr>
          <w:p w14:paraId="1BF9988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trike/>
                <w:szCs w:val="21"/>
              </w:rPr>
            </w:pPr>
            <w:r>
              <w:rPr>
                <w:rFonts w:hint="eastAsia" w:ascii="宋体" w:hAnsi="宋体" w:eastAsia="宋体" w:cs="宋体"/>
                <w:kern w:val="0"/>
                <w:szCs w:val="21"/>
                <w:lang w:bidi="ar"/>
              </w:rPr>
              <w:t>3分</w:t>
            </w:r>
          </w:p>
        </w:tc>
        <w:tc>
          <w:tcPr>
            <w:tcW w:w="3243" w:type="pct"/>
            <w:noWrap w:val="0"/>
            <w:vAlign w:val="center"/>
          </w:tcPr>
          <w:p w14:paraId="13BE2FF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szCs w:val="21"/>
              </w:rPr>
              <w:t>供应商获得</w:t>
            </w:r>
            <w:r>
              <w:rPr>
                <w:rFonts w:hint="eastAsia" w:ascii="宋体" w:hAnsi="宋体" w:eastAsia="宋体" w:cs="宋体"/>
                <w:szCs w:val="21"/>
                <w:lang w:val="en-US" w:eastAsia="zh-CN"/>
              </w:rPr>
              <w:t>过</w:t>
            </w:r>
            <w:r>
              <w:rPr>
                <w:rFonts w:hint="eastAsia" w:ascii="宋体" w:hAnsi="宋体" w:eastAsia="宋体" w:cs="宋体"/>
                <w:szCs w:val="21"/>
              </w:rPr>
              <w:t>市级行政主管部门或行业协会颁发的规划类奖项</w:t>
            </w:r>
            <w:r>
              <w:rPr>
                <w:rFonts w:hint="eastAsia" w:ascii="宋体" w:hAnsi="宋体" w:eastAsia="宋体" w:cs="宋体"/>
                <w:szCs w:val="21"/>
                <w:lang w:val="en-US" w:eastAsia="zh-CN"/>
              </w:rPr>
              <w:t>的</w:t>
            </w:r>
            <w:r>
              <w:rPr>
                <w:rFonts w:hint="eastAsia" w:ascii="宋体" w:hAnsi="宋体" w:eastAsia="宋体" w:cs="宋体"/>
                <w:szCs w:val="21"/>
              </w:rPr>
              <w:t>每个得</w:t>
            </w:r>
            <w:r>
              <w:rPr>
                <w:rFonts w:hint="eastAsia" w:ascii="宋体" w:hAnsi="宋体" w:eastAsia="宋体" w:cs="宋体"/>
                <w:szCs w:val="21"/>
                <w:lang w:val="en-US" w:eastAsia="zh-CN"/>
              </w:rPr>
              <w:t>1</w:t>
            </w:r>
            <w:r>
              <w:rPr>
                <w:rFonts w:hint="eastAsia" w:ascii="宋体" w:hAnsi="宋体" w:eastAsia="宋体" w:cs="宋体"/>
                <w:szCs w:val="21"/>
              </w:rPr>
              <w:t>分</w:t>
            </w:r>
            <w:r>
              <w:rPr>
                <w:rFonts w:hint="eastAsia" w:ascii="宋体" w:hAnsi="宋体" w:eastAsia="宋体" w:cs="宋体"/>
                <w:szCs w:val="21"/>
                <w:lang w:eastAsia="zh-CN"/>
              </w:rPr>
              <w:t>；</w:t>
            </w:r>
            <w:r>
              <w:rPr>
                <w:rFonts w:hint="eastAsia" w:ascii="宋体" w:hAnsi="宋体" w:eastAsia="宋体" w:cs="宋体"/>
                <w:szCs w:val="21"/>
              </w:rPr>
              <w:t>获得</w:t>
            </w:r>
            <w:r>
              <w:rPr>
                <w:rFonts w:hint="eastAsia" w:ascii="宋体" w:hAnsi="宋体" w:eastAsia="宋体" w:cs="宋体"/>
                <w:szCs w:val="21"/>
                <w:lang w:val="en-US" w:eastAsia="zh-CN"/>
              </w:rPr>
              <w:t>过省</w:t>
            </w:r>
            <w:r>
              <w:rPr>
                <w:rFonts w:hint="eastAsia" w:ascii="宋体" w:hAnsi="宋体" w:eastAsia="宋体" w:cs="宋体"/>
                <w:szCs w:val="21"/>
              </w:rPr>
              <w:t>级及以上行政主管部门或行业协会颁发的规划类奖项</w:t>
            </w:r>
            <w:r>
              <w:rPr>
                <w:rFonts w:hint="eastAsia" w:ascii="宋体" w:hAnsi="宋体" w:eastAsia="宋体" w:cs="宋体"/>
                <w:szCs w:val="21"/>
                <w:lang w:val="en-US" w:eastAsia="zh-CN"/>
              </w:rPr>
              <w:t>的</w:t>
            </w:r>
            <w:r>
              <w:rPr>
                <w:rFonts w:hint="eastAsia" w:ascii="宋体" w:hAnsi="宋体" w:eastAsia="宋体" w:cs="宋体"/>
                <w:szCs w:val="21"/>
              </w:rPr>
              <w:t>每个得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val="en-US" w:eastAsia="zh-CN"/>
              </w:rPr>
              <w:t>本项</w:t>
            </w:r>
            <w:r>
              <w:rPr>
                <w:rFonts w:hint="eastAsia" w:ascii="宋体" w:hAnsi="宋体" w:eastAsia="宋体" w:cs="宋体"/>
                <w:szCs w:val="21"/>
              </w:rPr>
              <w:t>最多得3分。</w:t>
            </w:r>
          </w:p>
          <w:p w14:paraId="44C5B86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trike/>
                <w:szCs w:val="21"/>
              </w:rPr>
            </w:pPr>
            <w:r>
              <w:rPr>
                <w:rFonts w:hint="eastAsia" w:ascii="宋体" w:hAnsi="宋体" w:eastAsia="宋体" w:cs="宋体"/>
                <w:b/>
                <w:bCs/>
                <w:szCs w:val="21"/>
              </w:rPr>
              <w:t>需提供证书复印件，否则不计分。</w:t>
            </w:r>
          </w:p>
        </w:tc>
      </w:tr>
      <w:tr w14:paraId="7590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noWrap w:val="0"/>
            <w:vAlign w:val="center"/>
          </w:tcPr>
          <w:p w14:paraId="183004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856" w:type="pct"/>
            <w:vMerge w:val="restart"/>
            <w:noWrap w:val="0"/>
            <w:vAlign w:val="center"/>
          </w:tcPr>
          <w:p w14:paraId="588FB30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lang w:val="en-US" w:eastAsia="zh-CN"/>
              </w:rPr>
              <w:t>项目</w:t>
            </w:r>
            <w:r>
              <w:rPr>
                <w:rFonts w:hint="eastAsia" w:ascii="宋体" w:hAnsi="宋体" w:eastAsia="宋体" w:cs="宋体"/>
                <w:szCs w:val="21"/>
              </w:rPr>
              <w:t>基本情况</w:t>
            </w:r>
            <w:r>
              <w:rPr>
                <w:rFonts w:hint="eastAsia" w:ascii="宋体" w:hAnsi="宋体" w:eastAsia="宋体" w:cs="宋体"/>
                <w:szCs w:val="21"/>
                <w:lang w:val="en-US" w:eastAsia="zh-CN"/>
              </w:rPr>
              <w:t>分析</w:t>
            </w:r>
          </w:p>
        </w:tc>
        <w:tc>
          <w:tcPr>
            <w:tcW w:w="475" w:type="pct"/>
            <w:vMerge w:val="restart"/>
            <w:noWrap w:val="0"/>
            <w:vAlign w:val="center"/>
          </w:tcPr>
          <w:p w14:paraId="048175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15分</w:t>
            </w:r>
          </w:p>
        </w:tc>
        <w:tc>
          <w:tcPr>
            <w:tcW w:w="3243" w:type="pct"/>
            <w:noWrap w:val="0"/>
            <w:vAlign w:val="center"/>
          </w:tcPr>
          <w:p w14:paraId="2D41A7D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
                <w:bCs/>
              </w:rPr>
              <w:t>选址范围</w:t>
            </w:r>
            <w:r>
              <w:rPr>
                <w:rFonts w:hint="eastAsia" w:ascii="宋体" w:hAnsi="宋体" w:eastAsia="宋体" w:cs="宋体"/>
              </w:rPr>
              <w:t>（0-5分）：确定17个未来社区（完整社区）选址范围，明确创建项目所在区位。选址合理、分析透彻、认识全面的得3-5分；选址较为合理、分析比较透彻、认识全面的得1-3（</w:t>
            </w:r>
            <w:r>
              <w:rPr>
                <w:rFonts w:hint="eastAsia" w:ascii="宋体" w:hAnsi="宋体" w:eastAsia="宋体" w:cs="宋体"/>
                <w:lang w:val="en-US" w:eastAsia="zh-CN"/>
              </w:rPr>
              <w:t>不</w:t>
            </w:r>
            <w:r>
              <w:rPr>
                <w:rFonts w:hint="eastAsia" w:ascii="宋体" w:hAnsi="宋体" w:eastAsia="宋体" w:cs="宋体"/>
              </w:rPr>
              <w:t>含）分；无方案该项得0分。</w:t>
            </w:r>
          </w:p>
        </w:tc>
      </w:tr>
      <w:tr w14:paraId="52C9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noWrap w:val="0"/>
            <w:vAlign w:val="center"/>
          </w:tcPr>
          <w:p w14:paraId="093DA1E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856" w:type="pct"/>
            <w:vMerge w:val="continue"/>
            <w:noWrap w:val="0"/>
            <w:vAlign w:val="center"/>
          </w:tcPr>
          <w:p w14:paraId="1374AA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475" w:type="pct"/>
            <w:vMerge w:val="continue"/>
            <w:noWrap w:val="0"/>
            <w:vAlign w:val="center"/>
          </w:tcPr>
          <w:p w14:paraId="01A10F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3243" w:type="pct"/>
            <w:noWrap w:val="0"/>
            <w:vAlign w:val="center"/>
          </w:tcPr>
          <w:p w14:paraId="621DF23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b/>
                <w:bCs/>
                <w:szCs w:val="21"/>
              </w:rPr>
              <w:t>社区情况</w:t>
            </w:r>
            <w:r>
              <w:rPr>
                <w:rFonts w:hint="eastAsia" w:ascii="宋体" w:hAnsi="宋体" w:eastAsia="宋体" w:cs="宋体"/>
                <w:szCs w:val="21"/>
              </w:rPr>
              <w:t>（0-5分）</w:t>
            </w:r>
            <w:r>
              <w:rPr>
                <w:rFonts w:hint="eastAsia" w:ascii="宋体" w:hAnsi="宋体" w:eastAsia="宋体" w:cs="宋体"/>
                <w:b/>
                <w:bCs/>
                <w:szCs w:val="21"/>
              </w:rPr>
              <w:t>：</w:t>
            </w:r>
            <w:r>
              <w:rPr>
                <w:rFonts w:hint="eastAsia" w:ascii="宋体" w:hAnsi="宋体" w:eastAsia="宋体" w:cs="宋体"/>
                <w:szCs w:val="21"/>
              </w:rPr>
              <w:t>分析解读社区单元、周边公服设施及社区风貌情况，与国土空间规划及城镇社区专项规划做好衔接。资料详实、分析到位、衔接到位的得3-5分；资料较为详实、分析粗糙、衔接较为顺畅的得1-3（</w:t>
            </w:r>
            <w:r>
              <w:rPr>
                <w:rFonts w:hint="eastAsia" w:ascii="宋体" w:hAnsi="宋体" w:eastAsia="宋体" w:cs="宋体"/>
                <w:szCs w:val="21"/>
                <w:lang w:val="en-US" w:eastAsia="zh-CN"/>
              </w:rPr>
              <w:t>不</w:t>
            </w:r>
            <w:r>
              <w:rPr>
                <w:rFonts w:hint="eastAsia" w:ascii="宋体" w:hAnsi="宋体" w:eastAsia="宋体" w:cs="宋体"/>
                <w:szCs w:val="21"/>
              </w:rPr>
              <w:t>含）分；</w:t>
            </w:r>
            <w:r>
              <w:rPr>
                <w:rFonts w:hint="eastAsia" w:ascii="宋体" w:hAnsi="宋体" w:eastAsia="宋体" w:cs="宋体"/>
              </w:rPr>
              <w:t>无方案该项得0分。</w:t>
            </w:r>
          </w:p>
        </w:tc>
      </w:tr>
      <w:tr w14:paraId="5CF5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25" w:type="pct"/>
            <w:vMerge w:val="continue"/>
            <w:noWrap w:val="0"/>
            <w:vAlign w:val="center"/>
          </w:tcPr>
          <w:p w14:paraId="72B7BB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856" w:type="pct"/>
            <w:vMerge w:val="continue"/>
            <w:noWrap w:val="0"/>
            <w:vAlign w:val="center"/>
          </w:tcPr>
          <w:p w14:paraId="28E7A7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475" w:type="pct"/>
            <w:vMerge w:val="continue"/>
            <w:noWrap w:val="0"/>
            <w:vAlign w:val="center"/>
          </w:tcPr>
          <w:p w14:paraId="7B8C81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3243" w:type="pct"/>
            <w:noWrap w:val="0"/>
            <w:vAlign w:val="center"/>
          </w:tcPr>
          <w:p w14:paraId="7D9D372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Cs w:val="21"/>
              </w:rPr>
            </w:pPr>
            <w:r>
              <w:rPr>
                <w:rFonts w:hint="eastAsia" w:ascii="宋体" w:hAnsi="宋体" w:eastAsia="宋体" w:cs="宋体"/>
                <w:b/>
                <w:bCs/>
                <w:szCs w:val="21"/>
              </w:rPr>
              <w:t>居民调研及分析</w:t>
            </w:r>
            <w:r>
              <w:rPr>
                <w:rFonts w:hint="eastAsia" w:ascii="宋体" w:hAnsi="宋体" w:eastAsia="宋体" w:cs="宋体"/>
                <w:szCs w:val="21"/>
              </w:rPr>
              <w:t>（0-5分）</w:t>
            </w:r>
            <w:r>
              <w:rPr>
                <w:rFonts w:hint="eastAsia" w:ascii="宋体" w:hAnsi="宋体" w:eastAsia="宋体" w:cs="宋体"/>
                <w:b/>
                <w:bCs/>
                <w:szCs w:val="21"/>
              </w:rPr>
              <w:t>：</w:t>
            </w:r>
            <w:r>
              <w:rPr>
                <w:rFonts w:hint="eastAsia" w:ascii="宋体" w:hAnsi="宋体" w:eastAsia="宋体" w:cs="宋体"/>
                <w:szCs w:val="21"/>
              </w:rPr>
              <w:t>对社区居民充分调研和分析，形成综合研判。资料收集详实、分析到位的得3-5分；资料收集较为充足、分析全面的得1-3（</w:t>
            </w:r>
            <w:r>
              <w:rPr>
                <w:rFonts w:hint="eastAsia" w:ascii="宋体" w:hAnsi="宋体" w:eastAsia="宋体" w:cs="宋体"/>
                <w:szCs w:val="21"/>
                <w:lang w:val="en-US" w:eastAsia="zh-CN"/>
              </w:rPr>
              <w:t>不</w:t>
            </w:r>
            <w:r>
              <w:rPr>
                <w:rFonts w:hint="eastAsia" w:ascii="宋体" w:hAnsi="宋体" w:eastAsia="宋体" w:cs="宋体"/>
                <w:szCs w:val="21"/>
              </w:rPr>
              <w:t>含）分；</w:t>
            </w:r>
            <w:r>
              <w:rPr>
                <w:rFonts w:hint="eastAsia" w:ascii="宋体" w:hAnsi="宋体" w:eastAsia="宋体" w:cs="宋体"/>
              </w:rPr>
              <w:t>无方案该项得0分。</w:t>
            </w:r>
          </w:p>
        </w:tc>
      </w:tr>
      <w:tr w14:paraId="42A8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425" w:type="pct"/>
            <w:vMerge w:val="restart"/>
            <w:noWrap w:val="0"/>
            <w:vAlign w:val="center"/>
          </w:tcPr>
          <w:p w14:paraId="143117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856" w:type="pct"/>
            <w:vMerge w:val="restart"/>
            <w:noWrap w:val="0"/>
            <w:vAlign w:val="center"/>
          </w:tcPr>
          <w:p w14:paraId="621EBD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方案思路</w:t>
            </w:r>
          </w:p>
        </w:tc>
        <w:tc>
          <w:tcPr>
            <w:tcW w:w="475" w:type="pct"/>
            <w:vMerge w:val="restart"/>
            <w:noWrap w:val="0"/>
            <w:vAlign w:val="center"/>
          </w:tcPr>
          <w:p w14:paraId="29A385A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25分</w:t>
            </w:r>
          </w:p>
        </w:tc>
        <w:tc>
          <w:tcPr>
            <w:tcW w:w="3243" w:type="pct"/>
            <w:noWrap w:val="0"/>
            <w:vAlign w:val="center"/>
          </w:tcPr>
          <w:p w14:paraId="6C8D2DC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
                <w:bCs/>
                <w:szCs w:val="21"/>
              </w:rPr>
              <w:t>创建目标</w:t>
            </w:r>
            <w:r>
              <w:rPr>
                <w:rFonts w:hint="eastAsia" w:ascii="宋体" w:hAnsi="宋体" w:eastAsia="宋体" w:cs="宋体"/>
              </w:rPr>
              <w:t>（0-5分）：根据未来社区（完整社区）创建要求，开展文化专篇研究，进行社区文化特色挖掘和文化主题凝练。提出社区的创建思路、目标定位和特色主题。定位目标的科学、合理、前瞻、创新的得3-5分；定位目标的较为科学、合理、前瞻、创新的得1-3</w:t>
            </w:r>
            <w:r>
              <w:rPr>
                <w:rFonts w:hint="eastAsia" w:ascii="宋体" w:hAnsi="宋体" w:eastAsia="宋体" w:cs="宋体"/>
                <w:szCs w:val="21"/>
              </w:rPr>
              <w:t>（</w:t>
            </w:r>
            <w:r>
              <w:rPr>
                <w:rFonts w:hint="eastAsia" w:ascii="宋体" w:hAnsi="宋体" w:eastAsia="宋体" w:cs="宋体"/>
                <w:szCs w:val="21"/>
                <w:lang w:val="en-US" w:eastAsia="zh-CN"/>
              </w:rPr>
              <w:t>不</w:t>
            </w:r>
            <w:r>
              <w:rPr>
                <w:rFonts w:hint="eastAsia" w:ascii="宋体" w:hAnsi="宋体" w:eastAsia="宋体" w:cs="宋体"/>
                <w:szCs w:val="21"/>
              </w:rPr>
              <w:t>含）</w:t>
            </w:r>
            <w:r>
              <w:rPr>
                <w:rFonts w:hint="eastAsia" w:ascii="宋体" w:hAnsi="宋体" w:eastAsia="宋体" w:cs="宋体"/>
              </w:rPr>
              <w:t>分；无方案该项得0分。</w:t>
            </w:r>
          </w:p>
        </w:tc>
      </w:tr>
      <w:tr w14:paraId="1194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25" w:type="pct"/>
            <w:vMerge w:val="continue"/>
            <w:noWrap w:val="0"/>
            <w:vAlign w:val="center"/>
          </w:tcPr>
          <w:p w14:paraId="398B00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856" w:type="pct"/>
            <w:vMerge w:val="continue"/>
            <w:noWrap w:val="0"/>
            <w:vAlign w:val="center"/>
          </w:tcPr>
          <w:p w14:paraId="23ED6F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475" w:type="pct"/>
            <w:vMerge w:val="continue"/>
            <w:noWrap w:val="0"/>
            <w:vAlign w:val="center"/>
          </w:tcPr>
          <w:p w14:paraId="288910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3243" w:type="pct"/>
            <w:noWrap w:val="0"/>
            <w:vAlign w:val="center"/>
          </w:tcPr>
          <w:p w14:paraId="49564CB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b/>
                <w:bCs/>
                <w:szCs w:val="21"/>
              </w:rPr>
              <w:t>空间总体设计</w:t>
            </w:r>
            <w:r>
              <w:rPr>
                <w:rFonts w:hint="eastAsia" w:ascii="宋体" w:hAnsi="宋体" w:eastAsia="宋体" w:cs="宋体"/>
                <w:szCs w:val="21"/>
              </w:rPr>
              <w:t>（0-5分）：围绕社区创建目标，明确社区单元具体的空间方案，改造及(或)新建部分的建设内容及相应规模。建设内容清晰、规模布局合理的得3-5分；建设内容模糊不清、规模布局不合理的得1-3（</w:t>
            </w:r>
            <w:r>
              <w:rPr>
                <w:rFonts w:hint="eastAsia" w:ascii="宋体" w:hAnsi="宋体" w:eastAsia="宋体" w:cs="宋体"/>
                <w:szCs w:val="21"/>
                <w:lang w:val="en-US" w:eastAsia="zh-CN"/>
              </w:rPr>
              <w:t>不</w:t>
            </w:r>
            <w:r>
              <w:rPr>
                <w:rFonts w:hint="eastAsia" w:ascii="宋体" w:hAnsi="宋体" w:eastAsia="宋体" w:cs="宋体"/>
                <w:szCs w:val="21"/>
              </w:rPr>
              <w:t>含）分；无方案该项得0分。</w:t>
            </w:r>
          </w:p>
        </w:tc>
      </w:tr>
      <w:tr w14:paraId="384B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25" w:type="pct"/>
            <w:vMerge w:val="continue"/>
            <w:noWrap w:val="0"/>
            <w:vAlign w:val="center"/>
          </w:tcPr>
          <w:p w14:paraId="069A49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856" w:type="pct"/>
            <w:vMerge w:val="continue"/>
            <w:noWrap w:val="0"/>
            <w:vAlign w:val="center"/>
          </w:tcPr>
          <w:p w14:paraId="12BFCC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475" w:type="pct"/>
            <w:vMerge w:val="continue"/>
            <w:noWrap w:val="0"/>
            <w:vAlign w:val="center"/>
          </w:tcPr>
          <w:p w14:paraId="16A6F0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3243" w:type="pct"/>
            <w:noWrap w:val="0"/>
            <w:vAlign w:val="center"/>
          </w:tcPr>
          <w:p w14:paraId="27357B9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b/>
                <w:bCs/>
                <w:szCs w:val="21"/>
              </w:rPr>
              <w:t>场景设计及技术要求</w:t>
            </w:r>
            <w:r>
              <w:rPr>
                <w:rFonts w:hint="eastAsia" w:ascii="宋体" w:hAnsi="宋体" w:eastAsia="宋体" w:cs="宋体"/>
                <w:szCs w:val="21"/>
              </w:rPr>
              <w:t>（0-15分）：根据需求明确社区的核心场景和打造思路。分地块明确各项内容与规模，汇总形成项目场景系统方案，绘制场景空间集成图，编制配套空间配置清单、场景技术应用配置清单，并填写创建评价指标响应表。</w:t>
            </w:r>
          </w:p>
          <w:p w14:paraId="0D8CE00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场景设计合理、分析到位、指引清晰的得10-15分；场景设计较为合理、分析到位、指引清晰的得5-10（</w:t>
            </w:r>
            <w:r>
              <w:rPr>
                <w:rFonts w:hint="eastAsia" w:ascii="宋体" w:hAnsi="宋体" w:eastAsia="宋体" w:cs="宋体"/>
                <w:szCs w:val="21"/>
                <w:lang w:val="en-US" w:eastAsia="zh-CN"/>
              </w:rPr>
              <w:t>不</w:t>
            </w:r>
            <w:r>
              <w:rPr>
                <w:rFonts w:hint="eastAsia" w:ascii="宋体" w:hAnsi="宋体" w:eastAsia="宋体" w:cs="宋体"/>
                <w:szCs w:val="21"/>
              </w:rPr>
              <w:t>含）分；场景设计不合理、分析过于简单、指引不明确的得1-5（</w:t>
            </w:r>
            <w:r>
              <w:rPr>
                <w:rFonts w:hint="eastAsia" w:ascii="宋体" w:hAnsi="宋体" w:eastAsia="宋体" w:cs="宋体"/>
                <w:szCs w:val="21"/>
                <w:lang w:val="en-US" w:eastAsia="zh-CN"/>
              </w:rPr>
              <w:t>不</w:t>
            </w:r>
            <w:r>
              <w:rPr>
                <w:rFonts w:hint="eastAsia" w:ascii="宋体" w:hAnsi="宋体" w:eastAsia="宋体" w:cs="宋体"/>
                <w:szCs w:val="21"/>
              </w:rPr>
              <w:t>含）分；无方案该项得0分。</w:t>
            </w:r>
          </w:p>
        </w:tc>
      </w:tr>
      <w:tr w14:paraId="33FB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25" w:type="pct"/>
            <w:vMerge w:val="restart"/>
            <w:noWrap w:val="0"/>
            <w:vAlign w:val="center"/>
          </w:tcPr>
          <w:p w14:paraId="791AA83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856" w:type="pct"/>
            <w:vMerge w:val="restart"/>
            <w:noWrap w:val="0"/>
            <w:vAlign w:val="center"/>
          </w:tcPr>
          <w:p w14:paraId="42C03BB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方案内容</w:t>
            </w:r>
          </w:p>
        </w:tc>
        <w:tc>
          <w:tcPr>
            <w:tcW w:w="475" w:type="pct"/>
            <w:vMerge w:val="restart"/>
            <w:noWrap w:val="0"/>
            <w:vAlign w:val="center"/>
          </w:tcPr>
          <w:p w14:paraId="2490D0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20分</w:t>
            </w:r>
          </w:p>
        </w:tc>
        <w:tc>
          <w:tcPr>
            <w:tcW w:w="3243" w:type="pct"/>
            <w:noWrap w:val="0"/>
            <w:vAlign w:val="center"/>
          </w:tcPr>
          <w:p w14:paraId="26CFF14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
                <w:bCs/>
              </w:rPr>
              <w:t>数字化系统设计</w:t>
            </w:r>
            <w:r>
              <w:rPr>
                <w:rFonts w:hint="eastAsia" w:ascii="宋体" w:hAnsi="宋体" w:eastAsia="宋体" w:cs="宋体"/>
              </w:rPr>
              <w:t>（0-5分）：摸清现有数字化资源，提出数字化需求清单，明确数字化建设的总体目标和重点任务。结合数字社会等要求，规划重点数字化应用，包含需求问题、应用名称、应用描述、空间配套、运营思路等。根据《浙江省未来社区数字化建设指引(2.0 版)》建设要求》进行打分；</w:t>
            </w:r>
          </w:p>
          <w:p w14:paraId="239BF74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rPr>
            </w:pPr>
            <w:r>
              <w:rPr>
                <w:rFonts w:hint="eastAsia" w:ascii="宋体" w:hAnsi="宋体" w:eastAsia="宋体" w:cs="宋体"/>
                <w:szCs w:val="21"/>
              </w:rPr>
              <w:t>内容全面，方案合理、科学的得3-5分；内容不完善，方案不太合理、不太科学的得1-3（</w:t>
            </w:r>
            <w:r>
              <w:rPr>
                <w:rFonts w:hint="eastAsia" w:ascii="宋体" w:hAnsi="宋体" w:eastAsia="宋体" w:cs="宋体"/>
                <w:szCs w:val="21"/>
                <w:lang w:val="en-US" w:eastAsia="zh-CN"/>
              </w:rPr>
              <w:t>不</w:t>
            </w:r>
            <w:r>
              <w:rPr>
                <w:rFonts w:hint="eastAsia" w:ascii="宋体" w:hAnsi="宋体" w:eastAsia="宋体" w:cs="宋体"/>
                <w:szCs w:val="21"/>
              </w:rPr>
              <w:t>含）分；</w:t>
            </w:r>
            <w:r>
              <w:rPr>
                <w:rFonts w:hint="eastAsia" w:ascii="宋体" w:hAnsi="宋体" w:eastAsia="宋体" w:cs="宋体"/>
              </w:rPr>
              <w:t>无方案该项得0分。</w:t>
            </w:r>
          </w:p>
        </w:tc>
      </w:tr>
      <w:tr w14:paraId="656A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25" w:type="pct"/>
            <w:vMerge w:val="continue"/>
            <w:noWrap w:val="0"/>
            <w:vAlign w:val="center"/>
          </w:tcPr>
          <w:p w14:paraId="030D569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856" w:type="pct"/>
            <w:vMerge w:val="continue"/>
            <w:noWrap w:val="0"/>
            <w:vAlign w:val="center"/>
          </w:tcPr>
          <w:p w14:paraId="62E505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475" w:type="pct"/>
            <w:vMerge w:val="continue"/>
            <w:noWrap w:val="0"/>
            <w:vAlign w:val="center"/>
          </w:tcPr>
          <w:p w14:paraId="3DD19E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3243" w:type="pct"/>
            <w:noWrap w:val="0"/>
            <w:vAlign w:val="center"/>
          </w:tcPr>
          <w:p w14:paraId="37D8EE7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b/>
                <w:bCs/>
                <w:szCs w:val="21"/>
              </w:rPr>
              <w:t>运营组织</w:t>
            </w:r>
            <w:r>
              <w:rPr>
                <w:rFonts w:hint="eastAsia" w:ascii="宋体" w:hAnsi="宋体" w:eastAsia="宋体" w:cs="宋体"/>
                <w:szCs w:val="21"/>
              </w:rPr>
              <w:t>（0-5分）</w:t>
            </w:r>
            <w:r>
              <w:rPr>
                <w:rFonts w:hint="eastAsia" w:ascii="宋体" w:hAnsi="宋体" w:eastAsia="宋体" w:cs="宋体"/>
                <w:b/>
                <w:bCs/>
                <w:szCs w:val="21"/>
              </w:rPr>
              <w:t>：</w:t>
            </w:r>
            <w:r>
              <w:rPr>
                <w:rFonts w:hint="eastAsia" w:ascii="宋体" w:hAnsi="宋体" w:eastAsia="宋体" w:cs="宋体"/>
                <w:szCs w:val="21"/>
              </w:rPr>
              <w:t>明确公益性、惠民及商业经营性业态空间布局，明确各项内容与规模。明确运营主体和运营组织架构。符合社区实际需求、组织合理、思路清晰的得3-5分；社区实际需求不符、组织较为合理、思路清晰的得1-3（</w:t>
            </w:r>
            <w:r>
              <w:rPr>
                <w:rFonts w:hint="eastAsia" w:ascii="宋体" w:hAnsi="宋体" w:eastAsia="宋体" w:cs="宋体"/>
                <w:szCs w:val="21"/>
                <w:lang w:val="en-US" w:eastAsia="zh-CN"/>
              </w:rPr>
              <w:t>不</w:t>
            </w:r>
            <w:r>
              <w:rPr>
                <w:rFonts w:hint="eastAsia" w:ascii="宋体" w:hAnsi="宋体" w:eastAsia="宋体" w:cs="宋体"/>
                <w:szCs w:val="21"/>
              </w:rPr>
              <w:t>含）分；</w:t>
            </w:r>
            <w:r>
              <w:rPr>
                <w:rFonts w:hint="eastAsia" w:ascii="宋体" w:hAnsi="宋体" w:eastAsia="宋体" w:cs="宋体"/>
              </w:rPr>
              <w:t>无方案该项得0分。</w:t>
            </w:r>
          </w:p>
        </w:tc>
      </w:tr>
      <w:tr w14:paraId="6FF9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25" w:type="pct"/>
            <w:vMerge w:val="continue"/>
            <w:noWrap w:val="0"/>
            <w:vAlign w:val="center"/>
          </w:tcPr>
          <w:p w14:paraId="5D1965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856" w:type="pct"/>
            <w:vMerge w:val="continue"/>
            <w:noWrap w:val="0"/>
            <w:vAlign w:val="center"/>
          </w:tcPr>
          <w:p w14:paraId="5D15DB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475" w:type="pct"/>
            <w:vMerge w:val="continue"/>
            <w:noWrap w:val="0"/>
            <w:vAlign w:val="center"/>
          </w:tcPr>
          <w:p w14:paraId="2C2DBA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3243" w:type="pct"/>
            <w:noWrap w:val="0"/>
            <w:vAlign w:val="center"/>
          </w:tcPr>
          <w:p w14:paraId="2F5BD25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b/>
                <w:bCs/>
                <w:szCs w:val="21"/>
              </w:rPr>
              <w:t>实施推进计划</w:t>
            </w:r>
            <w:r>
              <w:rPr>
                <w:rFonts w:hint="eastAsia" w:ascii="宋体" w:hAnsi="宋体" w:eastAsia="宋体" w:cs="宋体"/>
                <w:szCs w:val="21"/>
              </w:rPr>
              <w:t>（0-5分）</w:t>
            </w:r>
            <w:r>
              <w:rPr>
                <w:rFonts w:hint="eastAsia" w:ascii="宋体" w:hAnsi="宋体" w:eastAsia="宋体" w:cs="宋体"/>
                <w:b/>
                <w:bCs/>
                <w:szCs w:val="21"/>
              </w:rPr>
              <w:t>：</w:t>
            </w:r>
            <w:r>
              <w:rPr>
                <w:rFonts w:hint="eastAsia" w:ascii="宋体" w:hAnsi="宋体" w:eastAsia="宋体" w:cs="宋体"/>
                <w:szCs w:val="21"/>
              </w:rPr>
              <w:t>根据未来社区相关时间节点的要求，细化项目实施推进计划提供项目完成建设、运营、提交验收命名的计划时间。内容全面，方案合理、科学的得3-5分；内容不完善，方案不太合理、不太科学的得1-3（</w:t>
            </w:r>
            <w:r>
              <w:rPr>
                <w:rFonts w:hint="eastAsia" w:ascii="宋体" w:hAnsi="宋体" w:eastAsia="宋体" w:cs="宋体"/>
                <w:szCs w:val="21"/>
                <w:lang w:val="en-US" w:eastAsia="zh-CN"/>
              </w:rPr>
              <w:t>不</w:t>
            </w:r>
            <w:r>
              <w:rPr>
                <w:rFonts w:hint="eastAsia" w:ascii="宋体" w:hAnsi="宋体" w:eastAsia="宋体" w:cs="宋体"/>
                <w:szCs w:val="21"/>
              </w:rPr>
              <w:t>含）分；</w:t>
            </w:r>
            <w:r>
              <w:rPr>
                <w:rFonts w:hint="eastAsia" w:ascii="宋体" w:hAnsi="宋体" w:eastAsia="宋体" w:cs="宋体"/>
              </w:rPr>
              <w:t>无方案该项得0分。</w:t>
            </w:r>
          </w:p>
        </w:tc>
      </w:tr>
      <w:tr w14:paraId="5F6B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25" w:type="pct"/>
            <w:vMerge w:val="continue"/>
            <w:noWrap w:val="0"/>
            <w:vAlign w:val="center"/>
          </w:tcPr>
          <w:p w14:paraId="5C1758C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856" w:type="pct"/>
            <w:vMerge w:val="continue"/>
            <w:noWrap w:val="0"/>
            <w:vAlign w:val="center"/>
          </w:tcPr>
          <w:p w14:paraId="722F43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475" w:type="pct"/>
            <w:vMerge w:val="continue"/>
            <w:noWrap w:val="0"/>
            <w:vAlign w:val="center"/>
          </w:tcPr>
          <w:p w14:paraId="55410B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p>
        </w:tc>
        <w:tc>
          <w:tcPr>
            <w:tcW w:w="3243" w:type="pct"/>
            <w:noWrap w:val="0"/>
            <w:vAlign w:val="center"/>
          </w:tcPr>
          <w:p w14:paraId="32B4BED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b/>
                <w:bCs/>
                <w:szCs w:val="21"/>
              </w:rPr>
              <w:t>概算与资金平衡</w:t>
            </w:r>
            <w:r>
              <w:rPr>
                <w:rFonts w:hint="eastAsia" w:ascii="宋体" w:hAnsi="宋体" w:eastAsia="宋体" w:cs="宋体"/>
                <w:szCs w:val="21"/>
              </w:rPr>
              <w:t>（0-5分）</w:t>
            </w:r>
            <w:r>
              <w:rPr>
                <w:rFonts w:hint="eastAsia" w:ascii="宋体" w:hAnsi="宋体" w:eastAsia="宋体" w:cs="宋体"/>
                <w:b/>
                <w:bCs/>
                <w:szCs w:val="21"/>
              </w:rPr>
              <w:t>：</w:t>
            </w:r>
            <w:r>
              <w:rPr>
                <w:rFonts w:hint="eastAsia" w:ascii="宋体" w:hAnsi="宋体" w:eastAsia="宋体" w:cs="宋体"/>
                <w:szCs w:val="21"/>
              </w:rPr>
              <w:t>明确政府方投入收益和资金筹措情况、建设期土地使用方投资概算方案和资金筹措(若有)，编制政府方投入收益情况表和土地使用方建设期资金测算表。明确街道、综合运营商等不同运营主体在运营期内的财务收支方案，分主体编制运营期资金平衡测算表。资金概算的合理、可操作性强的得3-5分；资金概算的合理、可操作性强的得</w:t>
            </w:r>
            <w:r>
              <w:rPr>
                <w:rFonts w:hint="eastAsia" w:ascii="宋体" w:hAnsi="宋体" w:eastAsia="宋体" w:cs="宋体"/>
                <w:spacing w:val="-6"/>
                <w:sz w:val="21"/>
                <w:szCs w:val="21"/>
              </w:rPr>
              <w:t>1-3（</w:t>
            </w:r>
            <w:r>
              <w:rPr>
                <w:rFonts w:hint="eastAsia" w:ascii="宋体" w:hAnsi="宋体" w:eastAsia="宋体" w:cs="宋体"/>
                <w:spacing w:val="-6"/>
                <w:sz w:val="21"/>
                <w:szCs w:val="21"/>
                <w:lang w:val="en-US" w:eastAsia="zh-CN"/>
              </w:rPr>
              <w:t>不</w:t>
            </w:r>
            <w:r>
              <w:rPr>
                <w:rFonts w:hint="eastAsia" w:ascii="宋体" w:hAnsi="宋体" w:eastAsia="宋体" w:cs="宋体"/>
                <w:spacing w:val="-6"/>
                <w:sz w:val="21"/>
                <w:szCs w:val="21"/>
              </w:rPr>
              <w:t>含）分；</w:t>
            </w:r>
            <w:r>
              <w:rPr>
                <w:rFonts w:hint="eastAsia" w:ascii="宋体" w:hAnsi="宋体" w:eastAsia="宋体" w:cs="宋体"/>
                <w:spacing w:val="-6"/>
                <w:sz w:val="21"/>
              </w:rPr>
              <w:t>无方案该项得0分。</w:t>
            </w:r>
          </w:p>
        </w:tc>
      </w:tr>
      <w:tr w14:paraId="25FB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2AD94E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856" w:type="pct"/>
            <w:noWrap w:val="0"/>
            <w:vAlign w:val="center"/>
          </w:tcPr>
          <w:p w14:paraId="273C57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进度计划</w:t>
            </w:r>
          </w:p>
        </w:tc>
        <w:tc>
          <w:tcPr>
            <w:tcW w:w="475" w:type="pct"/>
            <w:noWrap w:val="0"/>
            <w:vAlign w:val="center"/>
          </w:tcPr>
          <w:p w14:paraId="354E064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6分</w:t>
            </w:r>
          </w:p>
        </w:tc>
        <w:tc>
          <w:tcPr>
            <w:tcW w:w="3243" w:type="pct"/>
            <w:noWrap w:val="0"/>
            <w:vAlign w:val="center"/>
          </w:tcPr>
          <w:p w14:paraId="3F4CC59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投标人进度控制方案和措施，并做出承诺，视情况酌情打分： </w:t>
            </w:r>
          </w:p>
          <w:p w14:paraId="11D437B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总体思路清晰，完整得 4-6分； </w:t>
            </w:r>
          </w:p>
          <w:p w14:paraId="246405E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总体思路较清晰，较完整得 2-4（</w:t>
            </w:r>
            <w:r>
              <w:rPr>
                <w:rFonts w:hint="eastAsia" w:ascii="宋体" w:hAnsi="宋体" w:eastAsia="宋体" w:cs="宋体"/>
                <w:szCs w:val="21"/>
                <w:lang w:val="en-US" w:eastAsia="zh-CN"/>
              </w:rPr>
              <w:t>不</w:t>
            </w:r>
            <w:r>
              <w:rPr>
                <w:rFonts w:hint="eastAsia" w:ascii="宋体" w:hAnsi="宋体" w:eastAsia="宋体" w:cs="宋体"/>
                <w:szCs w:val="21"/>
              </w:rPr>
              <w:t xml:space="preserve">含）分； </w:t>
            </w:r>
          </w:p>
          <w:p w14:paraId="2D7EE2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思路不清晰，不完整得 0-2（</w:t>
            </w:r>
            <w:r>
              <w:rPr>
                <w:rFonts w:hint="eastAsia" w:ascii="宋体" w:hAnsi="宋体" w:eastAsia="宋体" w:cs="宋体"/>
                <w:szCs w:val="21"/>
                <w:lang w:val="en-US" w:eastAsia="zh-CN"/>
              </w:rPr>
              <w:t>不</w:t>
            </w:r>
            <w:r>
              <w:rPr>
                <w:rFonts w:hint="eastAsia" w:ascii="宋体" w:hAnsi="宋体" w:eastAsia="宋体" w:cs="宋体"/>
                <w:szCs w:val="21"/>
              </w:rPr>
              <w:t>含）分。</w:t>
            </w:r>
          </w:p>
        </w:tc>
      </w:tr>
      <w:tr w14:paraId="26E4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25C53C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856" w:type="pct"/>
            <w:noWrap w:val="0"/>
            <w:vAlign w:val="center"/>
          </w:tcPr>
          <w:p w14:paraId="3F2FF7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质量保证</w:t>
            </w:r>
          </w:p>
        </w:tc>
        <w:tc>
          <w:tcPr>
            <w:tcW w:w="475" w:type="pct"/>
            <w:noWrap w:val="0"/>
            <w:vAlign w:val="center"/>
          </w:tcPr>
          <w:p w14:paraId="4D09672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6分</w:t>
            </w:r>
          </w:p>
        </w:tc>
        <w:tc>
          <w:tcPr>
            <w:tcW w:w="3243" w:type="pct"/>
            <w:noWrap w:val="0"/>
            <w:vAlign w:val="center"/>
          </w:tcPr>
          <w:p w14:paraId="4A06077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根据质量目标是否明确，保证措施是否具体有效等方面综合评分。 </w:t>
            </w:r>
          </w:p>
          <w:p w14:paraId="0DFF8A6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质量目标明确，保证措施具体有效的，给予 4-6分； </w:t>
            </w:r>
          </w:p>
          <w:p w14:paraId="186ECF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pacing w:val="-6"/>
                <w:sz w:val="21"/>
                <w:szCs w:val="21"/>
              </w:rPr>
            </w:pPr>
            <w:r>
              <w:rPr>
                <w:rFonts w:hint="eastAsia" w:ascii="宋体" w:hAnsi="宋体" w:eastAsia="宋体" w:cs="宋体"/>
                <w:szCs w:val="21"/>
              </w:rPr>
              <w:t>质量目标模糊不</w:t>
            </w:r>
            <w:r>
              <w:rPr>
                <w:rFonts w:hint="eastAsia" w:ascii="宋体" w:hAnsi="宋体" w:eastAsia="宋体" w:cs="宋体"/>
                <w:spacing w:val="-6"/>
                <w:sz w:val="21"/>
                <w:szCs w:val="21"/>
              </w:rPr>
              <w:t>清，保证措施可行性一般的，给予2-4（</w:t>
            </w:r>
            <w:r>
              <w:rPr>
                <w:rFonts w:hint="eastAsia" w:ascii="宋体" w:hAnsi="宋体" w:eastAsia="宋体" w:cs="宋体"/>
                <w:spacing w:val="-6"/>
                <w:sz w:val="21"/>
                <w:szCs w:val="21"/>
                <w:lang w:val="en-US" w:eastAsia="zh-CN"/>
              </w:rPr>
              <w:t>不</w:t>
            </w:r>
            <w:r>
              <w:rPr>
                <w:rFonts w:hint="eastAsia" w:ascii="宋体" w:hAnsi="宋体" w:eastAsia="宋体" w:cs="宋体"/>
                <w:spacing w:val="-6"/>
                <w:sz w:val="21"/>
                <w:szCs w:val="21"/>
              </w:rPr>
              <w:t xml:space="preserve">含）分； </w:t>
            </w:r>
          </w:p>
          <w:p w14:paraId="06DA56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有措施，但可行性差，未具体展现，且质量目标不明确的，给予 0-2（</w:t>
            </w:r>
            <w:r>
              <w:rPr>
                <w:rFonts w:hint="eastAsia" w:ascii="宋体" w:hAnsi="宋体" w:eastAsia="宋体" w:cs="宋体"/>
                <w:szCs w:val="21"/>
                <w:lang w:val="en-US" w:eastAsia="zh-CN"/>
              </w:rPr>
              <w:t>不</w:t>
            </w:r>
            <w:r>
              <w:rPr>
                <w:rFonts w:hint="eastAsia" w:ascii="宋体" w:hAnsi="宋体" w:eastAsia="宋体" w:cs="宋体"/>
                <w:szCs w:val="21"/>
              </w:rPr>
              <w:t>含）分。</w:t>
            </w:r>
          </w:p>
        </w:tc>
      </w:tr>
      <w:tr w14:paraId="2CA8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center"/>
          </w:tcPr>
          <w:p w14:paraId="146EE3B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856" w:type="pct"/>
            <w:noWrap w:val="0"/>
            <w:vAlign w:val="center"/>
          </w:tcPr>
          <w:p w14:paraId="4ADA7E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服务承诺</w:t>
            </w:r>
          </w:p>
        </w:tc>
        <w:tc>
          <w:tcPr>
            <w:tcW w:w="475" w:type="pct"/>
            <w:noWrap w:val="0"/>
            <w:vAlign w:val="center"/>
          </w:tcPr>
          <w:p w14:paraId="703DB2D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rPr>
            </w:pPr>
            <w:r>
              <w:rPr>
                <w:rFonts w:hint="eastAsia" w:ascii="宋体" w:hAnsi="宋体" w:eastAsia="宋体" w:cs="宋体"/>
                <w:szCs w:val="21"/>
              </w:rPr>
              <w:t>5分</w:t>
            </w:r>
          </w:p>
        </w:tc>
        <w:tc>
          <w:tcPr>
            <w:tcW w:w="3243" w:type="pct"/>
            <w:noWrap w:val="0"/>
            <w:vAlign w:val="center"/>
          </w:tcPr>
          <w:p w14:paraId="445B645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rPr>
            </w:pPr>
            <w:r>
              <w:rPr>
                <w:rFonts w:hint="eastAsia" w:ascii="宋体" w:hAnsi="宋体" w:eastAsia="宋体" w:cs="宋体"/>
                <w:szCs w:val="21"/>
              </w:rPr>
              <w:t>评委根据供应商提供的对于本项目的服务承诺以及实质性的优惠承诺，比较打分（0-5分）。</w:t>
            </w:r>
          </w:p>
          <w:p w14:paraId="7C62A77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rPr>
            </w:pPr>
            <w:r>
              <w:rPr>
                <w:rFonts w:hint="eastAsia" w:ascii="宋体" w:hAnsi="宋体" w:eastAsia="宋体" w:cs="宋体"/>
                <w:b/>
                <w:bCs/>
                <w:szCs w:val="21"/>
              </w:rPr>
              <w:t>投标文件中提供承诺函（</w:t>
            </w:r>
            <w:r>
              <w:rPr>
                <w:rFonts w:hint="eastAsia" w:ascii="宋体" w:hAnsi="宋体" w:eastAsia="宋体" w:cs="宋体"/>
                <w:b/>
                <w:bCs/>
                <w:szCs w:val="21"/>
                <w:lang w:val="en-US" w:eastAsia="zh-CN"/>
              </w:rPr>
              <w:t>格式自拟</w:t>
            </w:r>
            <w:r>
              <w:rPr>
                <w:rFonts w:hint="eastAsia" w:ascii="宋体" w:hAnsi="宋体" w:eastAsia="宋体" w:cs="宋体"/>
                <w:b/>
                <w:bCs/>
                <w:szCs w:val="21"/>
              </w:rPr>
              <w:t>）。</w:t>
            </w:r>
          </w:p>
        </w:tc>
      </w:tr>
    </w:tbl>
    <w:p w14:paraId="1F68CA78">
      <w:pPr>
        <w:shd w:val="clear"/>
        <w:rPr>
          <w:rFonts w:hint="eastAsia"/>
          <w:highlight w:val="none"/>
        </w:rPr>
      </w:pPr>
    </w:p>
    <w:p w14:paraId="317AFECA">
      <w:pPr>
        <w:spacing w:line="360" w:lineRule="auto"/>
        <w:ind w:firstLine="442" w:firstLineChars="200"/>
        <w:rPr>
          <w:rFonts w:hint="eastAsia" w:ascii="宋体" w:hAnsi="宋体" w:eastAsia="宋体" w:cs="宋体"/>
          <w:b/>
          <w:bCs/>
          <w:sz w:val="22"/>
          <w:szCs w:val="22"/>
        </w:rPr>
      </w:pPr>
      <w:r>
        <w:rPr>
          <w:rFonts w:hint="eastAsia" w:ascii="宋体" w:hAnsi="宋体" w:eastAsia="宋体" w:cs="宋体"/>
          <w:b/>
          <w:bCs/>
          <w:sz w:val="22"/>
          <w:szCs w:val="22"/>
        </w:rPr>
        <w:t>注：以上证明文件复印件均需CA签章，附在响应文件中；提供材料不真实、不完整或伪造证明材料的，后果自负。</w:t>
      </w:r>
    </w:p>
    <w:p w14:paraId="45903A14">
      <w:pPr>
        <w:pStyle w:val="12"/>
        <w:rPr>
          <w:rFonts w:hint="eastAsia"/>
          <w:highlight w:val="none"/>
        </w:rPr>
      </w:pPr>
    </w:p>
    <w:p w14:paraId="57596461">
      <w:pPr>
        <w:pStyle w:val="13"/>
        <w:rPr>
          <w:rFonts w:hint="eastAsia"/>
          <w:highlight w:val="none"/>
        </w:rPr>
      </w:pPr>
    </w:p>
    <w:p w14:paraId="4D5D6262">
      <w:pPr>
        <w:numPr>
          <w:ilvl w:val="0"/>
          <w:numId w:val="4"/>
        </w:numPr>
        <w:shd w:val="clear"/>
        <w:tabs>
          <w:tab w:val="center" w:pos="4706"/>
        </w:tabs>
        <w:adjustRightInd/>
        <w:snapToGrid/>
        <w:spacing w:line="440" w:lineRule="exact"/>
        <w:ind w:firstLine="0" w:firstLineChars="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分值计算</w:t>
      </w:r>
    </w:p>
    <w:p w14:paraId="70D24DDD">
      <w:pPr>
        <w:numPr>
          <w:ilvl w:val="0"/>
          <w:numId w:val="5"/>
        </w:numPr>
        <w:shd w:val="clear"/>
        <w:tabs>
          <w:tab w:val="center" w:pos="4706"/>
        </w:tabs>
        <w:spacing w:line="480" w:lineRule="exact"/>
        <w:rPr>
          <w:rFonts w:hint="eastAsia" w:ascii="宋体" w:hAnsi="宋体" w:cs="宋体"/>
          <w:bCs/>
          <w:color w:val="auto"/>
          <w:szCs w:val="21"/>
          <w:highlight w:val="none"/>
        </w:rPr>
      </w:pPr>
      <w:r>
        <w:rPr>
          <w:rFonts w:hint="eastAsia" w:ascii="宋体" w:hAnsi="宋体" w:cs="宋体"/>
          <w:bCs/>
          <w:color w:val="auto"/>
          <w:szCs w:val="21"/>
          <w:highlight w:val="none"/>
        </w:rPr>
        <w:t>价格分</w:t>
      </w:r>
    </w:p>
    <w:p w14:paraId="28D25D33">
      <w:pPr>
        <w:shd w:val="clear"/>
        <w:tabs>
          <w:tab w:val="center" w:pos="4706"/>
        </w:tabs>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调整错误、并执行支付采购政策后按评分细则中的公式计算。</w:t>
      </w:r>
    </w:p>
    <w:p w14:paraId="38FF8024">
      <w:pPr>
        <w:shd w:val="clear"/>
        <w:tabs>
          <w:tab w:val="center" w:pos="4706"/>
        </w:tabs>
        <w:spacing w:line="360" w:lineRule="exact"/>
        <w:rPr>
          <w:rFonts w:ascii="宋体" w:hAnsi="宋体" w:cs="宋体"/>
          <w:bCs/>
          <w:color w:val="auto"/>
          <w:szCs w:val="21"/>
          <w:highlight w:val="none"/>
        </w:rPr>
      </w:pPr>
      <w:r>
        <w:rPr>
          <w:rFonts w:hint="eastAsia" w:ascii="宋体" w:hAnsi="宋体" w:cs="宋体"/>
          <w:bCs/>
          <w:color w:val="auto"/>
          <w:szCs w:val="21"/>
          <w:highlight w:val="none"/>
        </w:rPr>
        <w:t>2、技术、商务资信及其他分</w:t>
      </w:r>
    </w:p>
    <w:p w14:paraId="7F1105B8">
      <w:pPr>
        <w:shd w:val="clea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技术、商务资信及其他分按照评标委员会成员的独立评分结果汇总数算术平均分计算，计算公式为：</w:t>
      </w:r>
    </w:p>
    <w:p w14:paraId="0D5A1859">
      <w:pPr>
        <w:shd w:val="clea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技术、商务资信及其他分=（评标委员会所有成员评分合计数）/（评标委员会组成人员数）</w:t>
      </w:r>
      <w:bookmarkStart w:id="163" w:name="_Toc317341948"/>
    </w:p>
    <w:p w14:paraId="2D306098">
      <w:pPr>
        <w:shd w:val="clear"/>
        <w:spacing w:line="320" w:lineRule="exact"/>
        <w:rPr>
          <w:rFonts w:hint="eastAsia" w:ascii="宋体" w:hAnsi="宋体" w:cs="宋体"/>
          <w:bCs/>
          <w:color w:val="auto"/>
          <w:szCs w:val="21"/>
          <w:highlight w:val="none"/>
        </w:rPr>
      </w:pPr>
      <w:r>
        <w:rPr>
          <w:rFonts w:hint="eastAsia" w:ascii="宋体" w:hAnsi="宋体" w:cs="宋体"/>
          <w:bCs/>
          <w:color w:val="auto"/>
          <w:szCs w:val="21"/>
          <w:highlight w:val="none"/>
        </w:rPr>
        <w:t>3、综合得分</w:t>
      </w:r>
    </w:p>
    <w:p w14:paraId="09D4B999">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投标人评标综合得分=技术、商务资信及其他分+价格得分</w:t>
      </w:r>
    </w:p>
    <w:p w14:paraId="0BAEB543">
      <w:pPr>
        <w:shd w:val="clear"/>
        <w:adjustRightInd w:val="0"/>
        <w:snapToGri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评分过程中采用四舍五入法，并保留小数2位。</w:t>
      </w:r>
    </w:p>
    <w:bookmarkEnd w:id="163"/>
    <w:p w14:paraId="7C4EB44B">
      <w:pPr>
        <w:pStyle w:val="5"/>
        <w:keepNext/>
        <w:keepLines/>
        <w:pageBreakBefore w:val="0"/>
        <w:widowControl w:val="0"/>
        <w:numPr>
          <w:ilvl w:val="0"/>
          <w:numId w:val="0"/>
        </w:numPr>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color w:val="auto"/>
          <w:sz w:val="24"/>
          <w:szCs w:val="24"/>
          <w:highlight w:val="none"/>
          <w:lang w:val="en-US" w:eastAsia="zh-CN"/>
        </w:rPr>
      </w:pPr>
      <w:bookmarkStart w:id="164" w:name="_Toc6478"/>
      <w:bookmarkStart w:id="165" w:name="_Toc317341949"/>
      <w:bookmarkStart w:id="166" w:name="_Toc4136"/>
      <w:bookmarkStart w:id="167" w:name="_Toc22162"/>
      <w:bookmarkStart w:id="168" w:name="_Toc2756"/>
      <w:r>
        <w:rPr>
          <w:rFonts w:hint="eastAsia" w:ascii="宋体" w:hAnsi="宋体" w:eastAsia="宋体" w:cs="宋体"/>
          <w:color w:val="auto"/>
          <w:sz w:val="24"/>
          <w:szCs w:val="24"/>
          <w:highlight w:val="none"/>
          <w:lang w:val="en-US" w:eastAsia="zh-CN"/>
        </w:rPr>
        <w:t>四、监督管理</w:t>
      </w:r>
      <w:bookmarkEnd w:id="164"/>
      <w:bookmarkEnd w:id="165"/>
      <w:bookmarkEnd w:id="166"/>
      <w:bookmarkEnd w:id="167"/>
      <w:bookmarkEnd w:id="168"/>
    </w:p>
    <w:p w14:paraId="50A50093">
      <w:pPr>
        <w:shd w:val="clear"/>
        <w:spacing w:line="480" w:lineRule="exact"/>
        <w:ind w:firstLine="420" w:firstLineChars="200"/>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rPr>
        <w:t>本项目评审全程录音录像，监督管理部门为</w:t>
      </w:r>
      <w:r>
        <w:rPr>
          <w:rFonts w:hint="eastAsia" w:ascii="宋体" w:hAnsi="宋体" w:cs="宋体"/>
          <w:color w:val="auto"/>
          <w:szCs w:val="21"/>
          <w:highlight w:val="none"/>
          <w:u w:val="single"/>
        </w:rPr>
        <w:t>安吉县财政局</w:t>
      </w:r>
      <w:r>
        <w:rPr>
          <w:rFonts w:hint="eastAsia" w:ascii="宋体" w:hAnsi="宋体" w:cs="宋体"/>
          <w:color w:val="auto"/>
          <w:szCs w:val="21"/>
          <w:highlight w:val="none"/>
          <w:u w:val="single"/>
          <w:lang w:eastAsia="zh-CN"/>
        </w:rPr>
        <w:t>。</w:t>
      </w:r>
    </w:p>
    <w:p w14:paraId="48904CAE">
      <w:pPr>
        <w:pStyle w:val="63"/>
        <w:shd w:val="clear"/>
        <w:rPr>
          <w:rFonts w:hint="eastAsia"/>
          <w:color w:val="auto"/>
          <w:highlight w:val="none"/>
        </w:rPr>
      </w:pPr>
    </w:p>
    <w:p w14:paraId="7E5265DE">
      <w:pPr>
        <w:pStyle w:val="63"/>
        <w:shd w:val="clear"/>
        <w:rPr>
          <w:rFonts w:hint="eastAsia"/>
          <w:color w:val="auto"/>
          <w:highlight w:val="none"/>
        </w:rPr>
      </w:pPr>
    </w:p>
    <w:p w14:paraId="0C1C51F1">
      <w:pPr>
        <w:pStyle w:val="4"/>
        <w:shd w:val="clear"/>
        <w:spacing w:before="0" w:after="0" w:line="240" w:lineRule="auto"/>
        <w:jc w:val="both"/>
        <w:rPr>
          <w:rFonts w:hint="eastAsia" w:ascii="宋体" w:hAnsi="宋体" w:cs="宋体"/>
          <w:snapToGrid w:val="0"/>
          <w:color w:val="auto"/>
          <w:szCs w:val="36"/>
          <w:highlight w:val="none"/>
        </w:rPr>
      </w:pPr>
      <w:r>
        <w:rPr>
          <w:color w:val="auto"/>
          <w:highlight w:val="none"/>
        </w:rPr>
        <w:br w:type="page"/>
      </w:r>
      <w:bookmarkStart w:id="169" w:name="_Toc5807"/>
      <w:bookmarkStart w:id="170" w:name="_Toc21450"/>
      <w:bookmarkStart w:id="171" w:name="_Toc25477"/>
      <w:bookmarkStart w:id="172" w:name="_Toc317341950"/>
      <w:bookmarkStart w:id="173" w:name="_Toc2987"/>
      <w:r>
        <w:rPr>
          <w:rFonts w:hint="eastAsia"/>
          <w:color w:val="auto"/>
          <w:highlight w:val="none"/>
          <w:lang w:val="en-US" w:eastAsia="zh-CN"/>
        </w:rPr>
        <w:t xml:space="preserve">             </w:t>
      </w:r>
      <w:bookmarkStart w:id="174" w:name="_Toc4556"/>
      <w:r>
        <w:rPr>
          <w:rFonts w:hint="eastAsia" w:ascii="宋体" w:hAnsi="宋体" w:cs="宋体"/>
          <w:snapToGrid w:val="0"/>
          <w:color w:val="auto"/>
          <w:sz w:val="40"/>
          <w:szCs w:val="36"/>
          <w:highlight w:val="none"/>
        </w:rPr>
        <w:t>第五章 合同主要条款</w:t>
      </w:r>
      <w:bookmarkEnd w:id="148"/>
      <w:bookmarkEnd w:id="169"/>
      <w:bookmarkEnd w:id="170"/>
      <w:bookmarkEnd w:id="171"/>
      <w:bookmarkEnd w:id="172"/>
      <w:bookmarkEnd w:id="173"/>
      <w:bookmarkEnd w:id="174"/>
    </w:p>
    <w:p w14:paraId="088D39F5">
      <w:pPr>
        <w:shd w:val="clear"/>
        <w:spacing w:line="360" w:lineRule="exact"/>
        <w:rPr>
          <w:rFonts w:hint="eastAsia" w:ascii="宋体" w:hAnsi="宋体" w:cs="微软雅黑"/>
          <w:color w:val="auto"/>
          <w:szCs w:val="21"/>
          <w:highlight w:val="none"/>
        </w:rPr>
      </w:pPr>
      <w:bookmarkStart w:id="175" w:name="_Toc222632763"/>
    </w:p>
    <w:p w14:paraId="37C8ADB7">
      <w:pPr>
        <w:ind w:firstLine="1"/>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采购合同书（仅供参考）</w:t>
      </w:r>
    </w:p>
    <w:p w14:paraId="3374DBF1">
      <w:pPr>
        <w:spacing w:line="360" w:lineRule="exact"/>
        <w:rPr>
          <w:rFonts w:hint="eastAsia" w:ascii="宋体" w:hAnsi="宋体" w:eastAsia="宋体" w:cs="宋体"/>
          <w:szCs w:val="21"/>
          <w:highlight w:val="none"/>
        </w:rPr>
      </w:pPr>
    </w:p>
    <w:p w14:paraId="2587660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项目名称：                               采购编号：</w:t>
      </w:r>
    </w:p>
    <w:p w14:paraId="432C65E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委托人：（甲方单位全称）                                       （以下简称甲方）</w:t>
      </w:r>
    </w:p>
    <w:p w14:paraId="02CA8C9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受托人：（乙方单位全称）                                       （以下简称乙方）</w:t>
      </w:r>
    </w:p>
    <w:p w14:paraId="5CA604F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甲、乙双方根据                            的结果，签署本合同。</w:t>
      </w:r>
    </w:p>
    <w:p w14:paraId="24647C8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一、服务内容（签订内容另行协商）</w:t>
      </w:r>
    </w:p>
    <w:p w14:paraId="01FA96D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二、合同金额</w:t>
      </w:r>
    </w:p>
    <w:p w14:paraId="243AA23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本合同金额为（大写）：__________________________元（￥_____元）人民币。</w:t>
      </w:r>
    </w:p>
    <w:p w14:paraId="56C1DC1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三、技术资料</w:t>
      </w:r>
    </w:p>
    <w:p w14:paraId="28CE82F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乙方应按采购文件规定的时间向甲方提供有关技术资料。</w:t>
      </w:r>
    </w:p>
    <w:p w14:paraId="7FA6836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87E87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四、知识产权</w:t>
      </w:r>
    </w:p>
    <w:p w14:paraId="78E4887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乙方应保证提供服务过程中不会侵犯任何第三方的知识产权。</w:t>
      </w:r>
    </w:p>
    <w:p w14:paraId="5BFC379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五、履约保证金</w:t>
      </w:r>
    </w:p>
    <w:p w14:paraId="14A8DDE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不收取。</w:t>
      </w:r>
    </w:p>
    <w:p w14:paraId="7FDC4D4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转包或分包</w:t>
      </w:r>
    </w:p>
    <w:p w14:paraId="0ADAB35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本合同范围的服务，应由乙方直接供应，不得转让他人供应；</w:t>
      </w:r>
    </w:p>
    <w:p w14:paraId="4D9A724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除非得到甲方的书面同意，乙方不得将本合同范围的服务全部或部分分包给他人供应；</w:t>
      </w:r>
    </w:p>
    <w:p w14:paraId="324D944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如有转让和未经甲方同意的分包行为，甲方有权解除合同并追究乙方的违约责任。</w:t>
      </w:r>
    </w:p>
    <w:p w14:paraId="5757114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七、服务期限</w:t>
      </w:r>
    </w:p>
    <w:p w14:paraId="396F6DC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八、合同履行时间、履行方式及履行地点</w:t>
      </w:r>
    </w:p>
    <w:p w14:paraId="735F49E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履行时间：</w:t>
      </w:r>
    </w:p>
    <w:p w14:paraId="5132FF8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履行方式：</w:t>
      </w:r>
    </w:p>
    <w:p w14:paraId="386403B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履行地点：</w:t>
      </w:r>
    </w:p>
    <w:p w14:paraId="5F6E5A8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九、支付方式</w:t>
      </w:r>
    </w:p>
    <w:p w14:paraId="03CC38A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十、税费</w:t>
      </w:r>
    </w:p>
    <w:p w14:paraId="0DC992E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本合同执行中相关的一切税费均由乙方负担。</w:t>
      </w:r>
    </w:p>
    <w:p w14:paraId="2073C846">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十一、质量保证及后续服务</w:t>
      </w:r>
    </w:p>
    <w:p w14:paraId="1F0AEA9C">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乙方应按采购文件规定向甲方提供服务。</w:t>
      </w:r>
    </w:p>
    <w:p w14:paraId="1D93515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乙方提供的服务成果在服务质量保证期内发生故障，乙方应负责免费提供后续服务。对达不到要求者，根据实际情况，经双方协商，可按以下办法处理：</w:t>
      </w:r>
    </w:p>
    <w:p w14:paraId="026B982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（1）重做：由乙方承担所发生的全部费用。</w:t>
      </w:r>
    </w:p>
    <w:p w14:paraId="75CB097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（2）贬值处理：由甲乙双方合议定价。</w:t>
      </w:r>
    </w:p>
    <w:p w14:paraId="2D8369C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（3）解除合同。</w:t>
      </w:r>
    </w:p>
    <w:p w14:paraId="46AF982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如在服务过程中发生问题，乙方在接到甲方通知后在指定时间内到达甲方现场。</w:t>
      </w:r>
    </w:p>
    <w:p w14:paraId="3376CE5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w:t>
      </w:r>
      <w:r>
        <w:rPr>
          <w:rFonts w:hint="eastAsia" w:ascii="宋体" w:hAnsi="宋体" w:eastAsia="宋体" w:cs="宋体"/>
          <w:highlight w:val="none"/>
        </w:rPr>
        <w:t>在服务期内，乙方应对出现的质量及安全问题负责处理解决并承担一切费用。</w:t>
      </w:r>
    </w:p>
    <w:p w14:paraId="2592E89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十二、违约责任</w:t>
      </w:r>
    </w:p>
    <w:p w14:paraId="0DB45F8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甲方无正当理由拒收接受服务的，甲方向乙方偿付合同款项百分之五作为违约金。</w:t>
      </w:r>
    </w:p>
    <w:p w14:paraId="0DADBE68">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甲方无故逾期验收和办理款项支付手续的,甲方应按逾期付款总额每日万分之五向乙方支付违约金。</w:t>
      </w:r>
    </w:p>
    <w:p w14:paraId="0D648F6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 </w:t>
      </w:r>
    </w:p>
    <w:p w14:paraId="682AA37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十三、不可抗力事件处理</w:t>
      </w:r>
    </w:p>
    <w:p w14:paraId="5068D20B">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在合同有效期内，任何一方因不可抗力事件导致不能履行合同，则合同履行期可延长，其延长期与不可抗力影响期相同。</w:t>
      </w:r>
    </w:p>
    <w:p w14:paraId="14D9B3B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不可抗力事件发生后，应立即通知对方，并寄送有关权威机构出具的证明。</w:t>
      </w:r>
    </w:p>
    <w:p w14:paraId="57A0CF1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不可抗力事件延续120天以上，双方应通过友好协商，确定是否继续履行合同。</w:t>
      </w:r>
    </w:p>
    <w:p w14:paraId="26C7AB20">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十四、诉讼</w:t>
      </w:r>
    </w:p>
    <w:p w14:paraId="251E7D3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双方在执行合同中所发生的一切争</w:t>
      </w:r>
      <w:r>
        <w:rPr>
          <w:rFonts w:hint="eastAsia" w:ascii="宋体" w:hAnsi="宋体" w:eastAsia="宋体" w:cs="宋体"/>
          <w:spacing w:val="-6"/>
          <w:sz w:val="21"/>
          <w:highlight w:val="none"/>
        </w:rPr>
        <w:t>议，应通过协商解决。如协商不成，可</w:t>
      </w:r>
      <w:r>
        <w:rPr>
          <w:rFonts w:hint="eastAsia" w:ascii="宋体" w:hAnsi="宋体" w:eastAsia="宋体" w:cs="宋体"/>
          <w:highlight w:val="none"/>
        </w:rPr>
        <w:t>向甲方所在地法院起诉。</w:t>
      </w:r>
    </w:p>
    <w:p w14:paraId="296C9E32">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十五、合同生效及其它</w:t>
      </w:r>
    </w:p>
    <w:p w14:paraId="0A6A7D8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w:t>
      </w:r>
      <w:r>
        <w:rPr>
          <w:rFonts w:hint="eastAsia" w:ascii="宋体" w:hAnsi="宋体" w:eastAsia="宋体" w:cs="宋体"/>
          <w:highlight w:val="none"/>
        </w:rPr>
        <w:t>合同经双方法定代表人或授权代表签字并加盖单位公章后生效。</w:t>
      </w:r>
    </w:p>
    <w:p w14:paraId="04211DF5">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w:t>
      </w:r>
      <w:r>
        <w:rPr>
          <w:rFonts w:hint="eastAsia" w:ascii="宋体" w:hAnsi="宋体" w:eastAsia="宋体" w:cs="宋体"/>
          <w:highlight w:val="none"/>
        </w:rPr>
        <w:t>合同执行中涉及采购资金和采购内容修改或补充的，须经双方协商，并签书面补充协议，方可作为主合同不可分割的一部分。</w:t>
      </w:r>
    </w:p>
    <w:p w14:paraId="77909294">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w:t>
      </w:r>
      <w:r>
        <w:rPr>
          <w:rFonts w:hint="eastAsia" w:ascii="宋体" w:hAnsi="宋体" w:eastAsia="宋体" w:cs="宋体"/>
          <w:highlight w:val="none"/>
        </w:rPr>
        <w:t>本合同未尽事宜，遵照《</w:t>
      </w:r>
      <w:r>
        <w:rPr>
          <w:rFonts w:hint="eastAsia" w:ascii="宋体" w:hAnsi="宋体" w:eastAsia="宋体" w:cs="宋体"/>
          <w:highlight w:val="none"/>
          <w:lang w:eastAsia="zh-CN"/>
        </w:rPr>
        <w:t>民法典</w:t>
      </w:r>
      <w:r>
        <w:rPr>
          <w:rFonts w:hint="eastAsia" w:ascii="宋体" w:hAnsi="宋体" w:eastAsia="宋体" w:cs="宋体"/>
          <w:highlight w:val="none"/>
        </w:rPr>
        <w:t>》有关条文执行。</w:t>
      </w:r>
    </w:p>
    <w:p w14:paraId="09387E1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w:t>
      </w:r>
      <w:r>
        <w:rPr>
          <w:rFonts w:hint="eastAsia" w:ascii="宋体" w:hAnsi="宋体" w:eastAsia="宋体" w:cs="宋体"/>
          <w:highlight w:val="none"/>
        </w:rPr>
        <w:t>本合同正本一式两份，具有同等法律效力，甲乙双方各执一份；副本陆份，(用途)。</w:t>
      </w:r>
    </w:p>
    <w:p w14:paraId="6298068D">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甲  方（盖章）：                乙  方（盖章）：</w:t>
      </w:r>
    </w:p>
    <w:p w14:paraId="5414004C">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法定代表人或受委托人           法定代表人或受委托人</w:t>
      </w:r>
    </w:p>
    <w:p w14:paraId="4DBD4559">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（签字）：                     （签字）：</w:t>
      </w:r>
    </w:p>
    <w:p w14:paraId="234610C4">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地  址：                       地 址： </w:t>
      </w:r>
    </w:p>
    <w:p w14:paraId="122A7123">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邮  编：                       邮  编： </w:t>
      </w:r>
    </w:p>
    <w:p w14:paraId="6A0F5D3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电  话：                       电  话：                     </w:t>
      </w:r>
    </w:p>
    <w:p w14:paraId="3D818E7E">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开户银行：                     开户银行：</w:t>
      </w:r>
    </w:p>
    <w:p w14:paraId="28EF5BFA">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帐  号：                       帐  号：</w:t>
      </w:r>
    </w:p>
    <w:p w14:paraId="5C1639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p>
    <w:p w14:paraId="073F21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 签约时间：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年  </w:t>
      </w:r>
      <w:r>
        <w:rPr>
          <w:rFonts w:hint="eastAsia" w:ascii="宋体" w:hAnsi="宋体" w:eastAsia="宋体" w:cs="宋体"/>
          <w:highlight w:val="none"/>
          <w:lang w:val="en-US" w:eastAsia="zh-CN"/>
        </w:rPr>
        <w:t xml:space="preserve">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日</w:t>
      </w:r>
    </w:p>
    <w:p w14:paraId="3822AFCB">
      <w:pPr>
        <w:spacing w:line="320" w:lineRule="exact"/>
        <w:rPr>
          <w:rFonts w:hint="eastAsia" w:ascii="宋体" w:hAnsi="宋体" w:eastAsia="宋体" w:cs="宋体"/>
          <w:b/>
          <w:sz w:val="24"/>
          <w:highlight w:val="none"/>
        </w:rPr>
      </w:pPr>
    </w:p>
    <w:p w14:paraId="2A01F6F9">
      <w:pPr>
        <w:spacing w:line="320" w:lineRule="exact"/>
        <w:rPr>
          <w:rFonts w:hint="eastAsia" w:ascii="宋体" w:hAnsi="宋体" w:eastAsia="宋体" w:cs="宋体"/>
          <w:b/>
          <w:sz w:val="24"/>
          <w:highlight w:val="none"/>
        </w:rPr>
      </w:pPr>
    </w:p>
    <w:p w14:paraId="0AE44FE1">
      <w:pPr>
        <w:shd w:val="clear"/>
        <w:spacing w:line="48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sz w:val="24"/>
          <w:highlight w:val="none"/>
        </w:rPr>
        <w:t>注：本合同作为示范文本，具体以中标供应商与招标人所签定正式合同为准。</w:t>
      </w:r>
    </w:p>
    <w:p w14:paraId="03FFB237">
      <w:pPr>
        <w:shd w:val="clear"/>
        <w:spacing w:line="400" w:lineRule="exact"/>
        <w:ind w:firstLine="560"/>
        <w:rPr>
          <w:rFonts w:hint="eastAsia" w:ascii="宋体" w:hAnsi="宋体" w:cs="宋体"/>
          <w:color w:val="auto"/>
          <w:szCs w:val="21"/>
          <w:highlight w:val="none"/>
        </w:rPr>
      </w:pPr>
    </w:p>
    <w:p w14:paraId="603F65EE">
      <w:pPr>
        <w:pStyle w:val="4"/>
        <w:shd w:val="clear"/>
        <w:spacing w:before="0" w:after="0" w:line="240" w:lineRule="auto"/>
        <w:jc w:val="center"/>
        <w:outlineLvl w:val="9"/>
        <w:rPr>
          <w:rFonts w:hint="eastAsia" w:ascii="宋体" w:hAnsi="宋体" w:cs="宋体"/>
          <w:snapToGrid w:val="0"/>
          <w:color w:val="auto"/>
          <w:sz w:val="36"/>
          <w:szCs w:val="36"/>
          <w:highlight w:val="none"/>
        </w:rPr>
      </w:pPr>
      <w:bookmarkStart w:id="176" w:name="_Toc27994"/>
      <w:bookmarkStart w:id="177" w:name="_Toc19174"/>
      <w:bookmarkStart w:id="178" w:name="_Toc18881"/>
      <w:bookmarkStart w:id="179" w:name="_Toc317341951"/>
      <w:bookmarkStart w:id="180" w:name="_Toc25035"/>
    </w:p>
    <w:p w14:paraId="3CA1EFAD">
      <w:pPr>
        <w:rPr>
          <w:rFonts w:hint="eastAsia" w:ascii="宋体" w:hAnsi="宋体" w:cs="宋体"/>
          <w:snapToGrid w:val="0"/>
          <w:color w:val="auto"/>
          <w:sz w:val="36"/>
          <w:szCs w:val="36"/>
          <w:highlight w:val="none"/>
        </w:rPr>
      </w:pPr>
    </w:p>
    <w:p w14:paraId="1B76FB88">
      <w:pPr>
        <w:pStyle w:val="12"/>
        <w:rPr>
          <w:rFonts w:hint="eastAsia" w:ascii="宋体" w:hAnsi="宋体" w:cs="宋体"/>
          <w:snapToGrid w:val="0"/>
          <w:color w:val="auto"/>
          <w:sz w:val="36"/>
          <w:szCs w:val="36"/>
          <w:highlight w:val="none"/>
        </w:rPr>
      </w:pPr>
    </w:p>
    <w:p w14:paraId="4408CAC4">
      <w:pPr>
        <w:pStyle w:val="13"/>
        <w:rPr>
          <w:rFonts w:hint="eastAsia" w:ascii="宋体" w:hAnsi="宋体" w:cs="宋体"/>
          <w:snapToGrid w:val="0"/>
          <w:color w:val="auto"/>
          <w:sz w:val="36"/>
          <w:szCs w:val="36"/>
          <w:highlight w:val="none"/>
        </w:rPr>
      </w:pPr>
    </w:p>
    <w:p w14:paraId="360B6F2A">
      <w:pPr>
        <w:pStyle w:val="13"/>
        <w:rPr>
          <w:rFonts w:hint="eastAsia" w:ascii="宋体" w:hAnsi="宋体" w:cs="宋体"/>
          <w:snapToGrid w:val="0"/>
          <w:color w:val="auto"/>
          <w:sz w:val="36"/>
          <w:szCs w:val="36"/>
          <w:highlight w:val="none"/>
        </w:rPr>
      </w:pPr>
    </w:p>
    <w:p w14:paraId="14E528C3">
      <w:pPr>
        <w:pStyle w:val="13"/>
        <w:rPr>
          <w:rFonts w:hint="eastAsia" w:ascii="宋体" w:hAnsi="宋体" w:cs="宋体"/>
          <w:snapToGrid w:val="0"/>
          <w:color w:val="auto"/>
          <w:sz w:val="36"/>
          <w:szCs w:val="36"/>
          <w:highlight w:val="none"/>
        </w:rPr>
      </w:pPr>
    </w:p>
    <w:p w14:paraId="20D382CF">
      <w:pPr>
        <w:pStyle w:val="13"/>
        <w:rPr>
          <w:rFonts w:hint="eastAsia" w:ascii="宋体" w:hAnsi="宋体" w:cs="宋体"/>
          <w:snapToGrid w:val="0"/>
          <w:color w:val="auto"/>
          <w:sz w:val="36"/>
          <w:szCs w:val="36"/>
          <w:highlight w:val="none"/>
        </w:rPr>
      </w:pPr>
    </w:p>
    <w:p w14:paraId="5196F989">
      <w:pPr>
        <w:pStyle w:val="4"/>
        <w:shd w:val="clear"/>
        <w:spacing w:before="0" w:after="0" w:line="240" w:lineRule="auto"/>
        <w:jc w:val="center"/>
        <w:outlineLvl w:val="9"/>
        <w:rPr>
          <w:rFonts w:hint="eastAsia" w:ascii="宋体" w:hAnsi="宋体" w:cs="宋体"/>
          <w:snapToGrid w:val="0"/>
          <w:color w:val="auto"/>
          <w:sz w:val="36"/>
          <w:szCs w:val="36"/>
          <w:highlight w:val="none"/>
        </w:rPr>
      </w:pPr>
    </w:p>
    <w:p w14:paraId="744F76D7">
      <w:pPr>
        <w:pStyle w:val="4"/>
        <w:shd w:val="clear"/>
        <w:spacing w:before="0" w:after="0" w:line="240" w:lineRule="auto"/>
        <w:jc w:val="center"/>
        <w:rPr>
          <w:rFonts w:hint="eastAsia" w:ascii="宋体" w:hAnsi="宋体" w:cs="宋体"/>
          <w:snapToGrid w:val="0"/>
          <w:color w:val="auto"/>
          <w:sz w:val="36"/>
          <w:szCs w:val="36"/>
          <w:highlight w:val="none"/>
        </w:rPr>
      </w:pPr>
      <w:bookmarkStart w:id="181" w:name="_Toc9861"/>
      <w:r>
        <w:rPr>
          <w:rFonts w:hint="eastAsia" w:ascii="宋体" w:hAnsi="宋体" w:cs="宋体"/>
          <w:snapToGrid w:val="0"/>
          <w:color w:val="auto"/>
          <w:sz w:val="36"/>
          <w:szCs w:val="36"/>
          <w:highlight w:val="none"/>
        </w:rPr>
        <w:t>第六章  投标文件的格式</w:t>
      </w:r>
      <w:bookmarkEnd w:id="175"/>
      <w:bookmarkEnd w:id="176"/>
      <w:bookmarkEnd w:id="177"/>
      <w:bookmarkEnd w:id="178"/>
      <w:bookmarkEnd w:id="179"/>
      <w:bookmarkEnd w:id="180"/>
      <w:bookmarkEnd w:id="181"/>
    </w:p>
    <w:p w14:paraId="4BFE8790">
      <w:pPr>
        <w:shd w:val="clear"/>
        <w:spacing w:line="320" w:lineRule="exact"/>
        <w:jc w:val="right"/>
        <w:rPr>
          <w:rFonts w:hint="eastAsia" w:ascii="宋体" w:hAnsi="宋体" w:cs="宋体"/>
          <w:color w:val="auto"/>
          <w:szCs w:val="21"/>
          <w:highlight w:val="none"/>
        </w:rPr>
      </w:pPr>
      <w:bookmarkStart w:id="182" w:name="_Toc286416745"/>
      <w:bookmarkStart w:id="183" w:name="_Toc251601950"/>
      <w:bookmarkStart w:id="184" w:name="_Toc251602205"/>
    </w:p>
    <w:p w14:paraId="669C1CC8">
      <w:pPr>
        <w:shd w:val="clear"/>
        <w:spacing w:line="320" w:lineRule="exact"/>
        <w:rPr>
          <w:rFonts w:hint="eastAsia" w:ascii="宋体" w:hAnsi="宋体" w:cs="宋体"/>
          <w:color w:val="auto"/>
          <w:szCs w:val="21"/>
          <w:highlight w:val="none"/>
        </w:rPr>
      </w:pPr>
    </w:p>
    <w:p w14:paraId="553A4162">
      <w:pPr>
        <w:pStyle w:val="5"/>
        <w:shd w:val="clear"/>
        <w:jc w:val="center"/>
        <w:rPr>
          <w:rFonts w:hint="eastAsia" w:ascii="宋体" w:hAnsi="宋体" w:eastAsia="宋体" w:cs="宋体"/>
          <w:color w:val="auto"/>
          <w:sz w:val="24"/>
          <w:highlight w:val="none"/>
        </w:rPr>
      </w:pPr>
      <w:bookmarkStart w:id="185" w:name="_Toc32085"/>
      <w:bookmarkStart w:id="186" w:name="_Toc318084367"/>
      <w:bookmarkStart w:id="187" w:name="_Toc32480"/>
      <w:bookmarkStart w:id="188" w:name="_Toc95211197"/>
      <w:bookmarkStart w:id="189" w:name="_Toc22205"/>
      <w:bookmarkStart w:id="190" w:name="_Toc26573"/>
      <w:bookmarkStart w:id="191" w:name="_Toc4567"/>
      <w:bookmarkStart w:id="192" w:name="_Toc2236"/>
      <w:r>
        <w:rPr>
          <w:rFonts w:hint="eastAsia" w:ascii="宋体" w:hAnsi="宋体" w:eastAsia="宋体" w:cs="宋体"/>
          <w:color w:val="auto"/>
          <w:sz w:val="28"/>
          <w:szCs w:val="28"/>
          <w:highlight w:val="none"/>
        </w:rPr>
        <w:t>一、资格证明文件格式</w:t>
      </w:r>
      <w:bookmarkEnd w:id="182"/>
      <w:bookmarkEnd w:id="185"/>
      <w:bookmarkEnd w:id="186"/>
      <w:bookmarkEnd w:id="187"/>
      <w:bookmarkEnd w:id="188"/>
      <w:bookmarkEnd w:id="189"/>
      <w:bookmarkEnd w:id="190"/>
      <w:bookmarkEnd w:id="191"/>
      <w:bookmarkEnd w:id="192"/>
    </w:p>
    <w:p w14:paraId="167EA2A7">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1、资格证明文件封面格式： </w:t>
      </w:r>
    </w:p>
    <w:p w14:paraId="7C3DBD61">
      <w:pPr>
        <w:shd w:val="clear"/>
        <w:adjustRightInd w:val="0"/>
        <w:snapToGrid w:val="0"/>
        <w:rPr>
          <w:rFonts w:hint="eastAsia" w:ascii="宋体" w:hAnsi="宋体" w:cs="宋体"/>
          <w:color w:val="auto"/>
          <w:sz w:val="24"/>
          <w:highlight w:val="none"/>
        </w:rPr>
      </w:pPr>
    </w:p>
    <w:p w14:paraId="12BCB890">
      <w:pPr>
        <w:shd w:val="clear"/>
        <w:adjustRightInd w:val="0"/>
        <w:snapToGrid w:val="0"/>
        <w:rPr>
          <w:rFonts w:hint="eastAsia" w:ascii="宋体" w:hAnsi="宋体" w:cs="宋体"/>
          <w:color w:val="auto"/>
          <w:sz w:val="24"/>
          <w:highlight w:val="none"/>
        </w:rPr>
      </w:pPr>
    </w:p>
    <w:p w14:paraId="4A6FAF40">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14:paraId="26A0134B">
      <w:pPr>
        <w:shd w:val="clear"/>
        <w:adjustRightInd w:val="0"/>
        <w:snapToGrid w:val="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×××（投标人名称）</w:t>
      </w:r>
    </w:p>
    <w:p w14:paraId="6BC59E2E">
      <w:pPr>
        <w:shd w:val="clear"/>
        <w:adjustRightInd w:val="0"/>
        <w:snapToGrid w:val="0"/>
        <w:jc w:val="center"/>
        <w:rPr>
          <w:rFonts w:hint="eastAsia" w:ascii="宋体" w:hAnsi="宋体" w:cs="宋体"/>
          <w:bCs/>
          <w:color w:val="auto"/>
          <w:sz w:val="30"/>
          <w:szCs w:val="30"/>
          <w:highlight w:val="none"/>
        </w:rPr>
      </w:pPr>
    </w:p>
    <w:p w14:paraId="7DA7E70F">
      <w:pPr>
        <w:shd w:val="clear"/>
        <w:adjustRightInd w:val="0"/>
        <w:snapToGrid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资格证明文件</w:t>
      </w:r>
    </w:p>
    <w:p w14:paraId="4FD05ADA">
      <w:pPr>
        <w:shd w:val="clear"/>
        <w:adjustRightInd w:val="0"/>
        <w:snapToGrid w:val="0"/>
        <w:jc w:val="center"/>
        <w:rPr>
          <w:rFonts w:hint="eastAsia" w:ascii="宋体" w:hAnsi="宋体" w:cs="宋体"/>
          <w:b/>
          <w:bCs/>
          <w:color w:val="auto"/>
          <w:sz w:val="44"/>
          <w:szCs w:val="44"/>
          <w:highlight w:val="none"/>
        </w:rPr>
      </w:pPr>
    </w:p>
    <w:p w14:paraId="0E64417D">
      <w:pPr>
        <w:shd w:val="clear"/>
        <w:adjustRightInd w:val="0"/>
        <w:snapToGrid w:val="0"/>
        <w:jc w:val="center"/>
        <w:rPr>
          <w:rFonts w:hint="eastAsia" w:ascii="宋体" w:hAnsi="宋体" w:cs="宋体"/>
          <w:b/>
          <w:bCs/>
          <w:color w:val="auto"/>
          <w:sz w:val="44"/>
          <w:szCs w:val="44"/>
          <w:highlight w:val="none"/>
        </w:rPr>
      </w:pPr>
    </w:p>
    <w:p w14:paraId="14A751D3">
      <w:pPr>
        <w:shd w:val="clear"/>
        <w:adjustRightInd w:val="0"/>
        <w:snapToGrid w:val="0"/>
        <w:ind w:left="2250" w:leftChars="500" w:hanging="1200" w:hangingChars="50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02E50943">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w:t>
      </w:r>
    </w:p>
    <w:p w14:paraId="0D037F82">
      <w:pPr>
        <w:shd w:val="clea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投标人名称（盖章）：</w:t>
      </w:r>
    </w:p>
    <w:p w14:paraId="26748FA9">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14:paraId="01C82418">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14:paraId="10FAB2D4">
      <w:pPr>
        <w:shd w:val="clear"/>
        <w:adjustRightInd w:val="0"/>
        <w:snapToGrid w:val="0"/>
        <w:ind w:firstLine="645"/>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55DC5498">
      <w:pPr>
        <w:shd w:val="clear"/>
        <w:adjustRightInd w:val="0"/>
        <w:snapToGrid w:val="0"/>
        <w:ind w:firstLine="645"/>
        <w:jc w:val="right"/>
        <w:rPr>
          <w:rFonts w:hint="eastAsia" w:ascii="宋体" w:hAnsi="宋体" w:cs="宋体"/>
          <w:color w:val="auto"/>
          <w:sz w:val="24"/>
          <w:highlight w:val="none"/>
        </w:rPr>
      </w:pPr>
    </w:p>
    <w:p w14:paraId="04B34BC8">
      <w:pPr>
        <w:shd w:val="clear"/>
        <w:adjustRightInd w:val="0"/>
        <w:snapToGrid w:val="0"/>
        <w:ind w:firstLine="645"/>
        <w:jc w:val="right"/>
        <w:rPr>
          <w:rFonts w:hint="eastAsia" w:ascii="宋体" w:hAnsi="宋体" w:cs="宋体"/>
          <w:color w:val="auto"/>
          <w:sz w:val="24"/>
          <w:highlight w:val="none"/>
        </w:rPr>
      </w:pPr>
    </w:p>
    <w:p w14:paraId="693EA81C">
      <w:pPr>
        <w:shd w:val="clear"/>
        <w:adjustRightInd w:val="0"/>
        <w:snapToGrid w:val="0"/>
        <w:ind w:firstLine="645"/>
        <w:jc w:val="right"/>
        <w:rPr>
          <w:rFonts w:hint="eastAsia" w:ascii="宋体" w:hAnsi="宋体" w:cs="宋体"/>
          <w:color w:val="auto"/>
          <w:sz w:val="24"/>
          <w:highlight w:val="none"/>
        </w:rPr>
      </w:pPr>
    </w:p>
    <w:p w14:paraId="07E9B946">
      <w:pPr>
        <w:pStyle w:val="13"/>
        <w:shd w:val="clear"/>
        <w:rPr>
          <w:rFonts w:hint="eastAsia" w:ascii="宋体" w:hAnsi="宋体" w:cs="宋体"/>
          <w:color w:val="auto"/>
          <w:sz w:val="24"/>
          <w:highlight w:val="none"/>
        </w:rPr>
      </w:pPr>
    </w:p>
    <w:p w14:paraId="7A6C742B">
      <w:pPr>
        <w:shd w:val="clear"/>
        <w:rPr>
          <w:rFonts w:hint="eastAsia" w:ascii="宋体" w:hAnsi="宋体" w:cs="宋体"/>
          <w:color w:val="auto"/>
          <w:sz w:val="24"/>
          <w:highlight w:val="none"/>
        </w:rPr>
      </w:pPr>
    </w:p>
    <w:p w14:paraId="63668DE1">
      <w:pPr>
        <w:pStyle w:val="13"/>
        <w:shd w:val="clear"/>
        <w:rPr>
          <w:rFonts w:hint="eastAsia" w:ascii="宋体" w:hAnsi="宋体" w:cs="宋体"/>
          <w:color w:val="auto"/>
          <w:sz w:val="24"/>
          <w:highlight w:val="none"/>
        </w:rPr>
      </w:pPr>
    </w:p>
    <w:p w14:paraId="596D5D40">
      <w:pPr>
        <w:shd w:val="clear"/>
        <w:rPr>
          <w:rFonts w:hint="eastAsia" w:ascii="宋体" w:hAnsi="宋体" w:cs="宋体"/>
          <w:color w:val="auto"/>
          <w:sz w:val="24"/>
          <w:highlight w:val="none"/>
        </w:rPr>
      </w:pPr>
    </w:p>
    <w:p w14:paraId="71D03356">
      <w:pPr>
        <w:pStyle w:val="13"/>
        <w:shd w:val="clear"/>
        <w:rPr>
          <w:rFonts w:hint="eastAsia" w:ascii="宋体" w:hAnsi="宋体" w:cs="宋体"/>
          <w:color w:val="auto"/>
          <w:sz w:val="24"/>
          <w:highlight w:val="none"/>
        </w:rPr>
      </w:pPr>
    </w:p>
    <w:p w14:paraId="48FB3BB7">
      <w:pPr>
        <w:shd w:val="clear"/>
        <w:rPr>
          <w:rFonts w:hint="eastAsia" w:ascii="宋体" w:hAnsi="宋体" w:cs="宋体"/>
          <w:color w:val="auto"/>
          <w:sz w:val="24"/>
          <w:highlight w:val="none"/>
        </w:rPr>
      </w:pPr>
    </w:p>
    <w:p w14:paraId="7ADB14A8">
      <w:pPr>
        <w:pStyle w:val="13"/>
        <w:shd w:val="clear"/>
        <w:rPr>
          <w:rFonts w:hint="eastAsia" w:ascii="宋体" w:hAnsi="宋体" w:cs="宋体"/>
          <w:color w:val="auto"/>
          <w:sz w:val="24"/>
          <w:highlight w:val="none"/>
        </w:rPr>
      </w:pPr>
    </w:p>
    <w:p w14:paraId="6400CC08">
      <w:pPr>
        <w:shd w:val="clear"/>
        <w:rPr>
          <w:rFonts w:hint="eastAsia" w:ascii="宋体" w:hAnsi="宋体" w:cs="宋体"/>
          <w:color w:val="auto"/>
          <w:sz w:val="24"/>
          <w:highlight w:val="none"/>
        </w:rPr>
      </w:pPr>
    </w:p>
    <w:p w14:paraId="6869470A">
      <w:pPr>
        <w:pStyle w:val="13"/>
        <w:shd w:val="clear"/>
        <w:rPr>
          <w:rFonts w:hint="eastAsia" w:ascii="宋体" w:hAnsi="宋体" w:cs="宋体"/>
          <w:color w:val="auto"/>
          <w:sz w:val="24"/>
          <w:highlight w:val="none"/>
        </w:rPr>
      </w:pPr>
    </w:p>
    <w:p w14:paraId="1063A510">
      <w:pPr>
        <w:shd w:val="clear"/>
        <w:rPr>
          <w:rFonts w:hint="eastAsia" w:ascii="宋体" w:hAnsi="宋体" w:cs="宋体"/>
          <w:color w:val="auto"/>
          <w:sz w:val="24"/>
          <w:highlight w:val="none"/>
        </w:rPr>
      </w:pPr>
    </w:p>
    <w:p w14:paraId="7A7B9C0F">
      <w:pPr>
        <w:pStyle w:val="13"/>
        <w:shd w:val="clear"/>
        <w:rPr>
          <w:rFonts w:hint="eastAsia" w:ascii="宋体" w:hAnsi="宋体" w:cs="宋体"/>
          <w:color w:val="auto"/>
          <w:sz w:val="24"/>
          <w:highlight w:val="none"/>
        </w:rPr>
      </w:pPr>
    </w:p>
    <w:p w14:paraId="2008AF8E">
      <w:pPr>
        <w:shd w:val="clear"/>
        <w:rPr>
          <w:rFonts w:hint="eastAsia" w:ascii="宋体" w:hAnsi="宋体" w:cs="宋体"/>
          <w:color w:val="auto"/>
          <w:sz w:val="24"/>
          <w:highlight w:val="none"/>
        </w:rPr>
      </w:pPr>
    </w:p>
    <w:p w14:paraId="383CE1CC">
      <w:pPr>
        <w:shd w:val="clear"/>
        <w:adjustRightInd w:val="0"/>
        <w:snapToGrid w:val="0"/>
        <w:ind w:firstLine="0"/>
        <w:jc w:val="left"/>
        <w:rPr>
          <w:rFonts w:hint="eastAsia" w:ascii="宋体" w:hAnsi="宋体" w:cs="宋体"/>
          <w:color w:val="auto"/>
          <w:sz w:val="24"/>
          <w:highlight w:val="none"/>
        </w:rPr>
      </w:pPr>
      <w:r>
        <w:rPr>
          <w:rFonts w:hint="eastAsia" w:ascii="宋体" w:hAnsi="宋体" w:cs="宋体"/>
          <w:color w:val="auto"/>
          <w:sz w:val="24"/>
          <w:highlight w:val="none"/>
        </w:rPr>
        <w:t>2、目录</w:t>
      </w:r>
    </w:p>
    <w:p w14:paraId="61F9BC5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资格证明文件：</w:t>
      </w:r>
    </w:p>
    <w:p w14:paraId="320C835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投标资格声明书（格式见第六章）；</w:t>
      </w:r>
    </w:p>
    <w:p w14:paraId="55E9754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营业执照副本复印件；</w:t>
      </w:r>
    </w:p>
    <w:p w14:paraId="3EC1467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200"/>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符合本项目要求的资质证书复印件；</w:t>
      </w:r>
    </w:p>
    <w:p w14:paraId="501BE56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）最近一个季度依法缴纳税收和社保费的证明[税费凭证复印件，或者依法缴纳税费或依法免缴税费的证明]；</w:t>
      </w:r>
    </w:p>
    <w:p w14:paraId="2543425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中小企业声明函</w:t>
      </w:r>
      <w:r>
        <w:rPr>
          <w:rFonts w:hint="eastAsia" w:ascii="宋体" w:hAnsi="宋体" w:eastAsia="宋体" w:cs="宋体"/>
          <w:szCs w:val="21"/>
          <w:highlight w:val="none"/>
          <w:lang w:eastAsia="zh-CN"/>
        </w:rPr>
        <w:t>。（注：</w:t>
      </w:r>
      <w:r>
        <w:rPr>
          <w:rFonts w:hint="eastAsia" w:ascii="宋体" w:hAnsi="宋体" w:eastAsia="宋体" w:cs="宋体"/>
          <w:szCs w:val="21"/>
          <w:highlight w:val="none"/>
          <w:lang w:val="en-US" w:eastAsia="zh-CN"/>
        </w:rPr>
        <w:t>本项目为专门面向中小企业采购，投标供应商非中小企业的，资格审查不通过；符合上述条件的中小微型企业应按照磋商文件附件的格式要求在资格证明文件中提供《中小企业声明函》及证明材料</w:t>
      </w:r>
      <w:r>
        <w:rPr>
          <w:rFonts w:hint="eastAsia" w:ascii="宋体" w:hAnsi="宋体" w:eastAsia="宋体" w:cs="宋体"/>
          <w:szCs w:val="21"/>
          <w:highlight w:val="none"/>
          <w:lang w:eastAsia="zh-CN"/>
        </w:rPr>
        <w:t>）。</w:t>
      </w:r>
    </w:p>
    <w:p w14:paraId="41F03DDE">
      <w:pPr>
        <w:shd w:val="clear"/>
        <w:rPr>
          <w:color w:val="auto"/>
          <w:highlight w:val="none"/>
        </w:rPr>
      </w:pPr>
    </w:p>
    <w:p w14:paraId="4E92B874">
      <w:pPr>
        <w:pStyle w:val="13"/>
        <w:shd w:val="clear"/>
        <w:rPr>
          <w:color w:val="auto"/>
          <w:highlight w:val="none"/>
        </w:rPr>
      </w:pPr>
    </w:p>
    <w:p w14:paraId="260E59D1">
      <w:pPr>
        <w:shd w:val="clear"/>
        <w:rPr>
          <w:color w:val="auto"/>
          <w:highlight w:val="none"/>
        </w:rPr>
      </w:pPr>
    </w:p>
    <w:p w14:paraId="4DDBDECD">
      <w:pPr>
        <w:pStyle w:val="13"/>
        <w:shd w:val="clear"/>
        <w:rPr>
          <w:color w:val="auto"/>
          <w:highlight w:val="none"/>
        </w:rPr>
      </w:pPr>
    </w:p>
    <w:p w14:paraId="13B5A7D5">
      <w:pPr>
        <w:shd w:val="clear"/>
        <w:rPr>
          <w:color w:val="auto"/>
          <w:highlight w:val="none"/>
        </w:rPr>
      </w:pPr>
    </w:p>
    <w:p w14:paraId="1850572E">
      <w:pPr>
        <w:pStyle w:val="13"/>
        <w:shd w:val="clear"/>
        <w:rPr>
          <w:color w:val="auto"/>
          <w:highlight w:val="none"/>
        </w:rPr>
      </w:pPr>
    </w:p>
    <w:p w14:paraId="2AB2D59E">
      <w:pPr>
        <w:shd w:val="clear"/>
        <w:rPr>
          <w:color w:val="auto"/>
          <w:highlight w:val="none"/>
        </w:rPr>
      </w:pPr>
    </w:p>
    <w:p w14:paraId="64BB5A4C">
      <w:pPr>
        <w:pStyle w:val="13"/>
        <w:shd w:val="clear"/>
        <w:rPr>
          <w:color w:val="auto"/>
          <w:highlight w:val="none"/>
        </w:rPr>
      </w:pPr>
    </w:p>
    <w:p w14:paraId="1F025112">
      <w:pPr>
        <w:shd w:val="clear"/>
        <w:rPr>
          <w:color w:val="auto"/>
          <w:highlight w:val="none"/>
        </w:rPr>
      </w:pPr>
    </w:p>
    <w:p w14:paraId="7CEFB95B">
      <w:pPr>
        <w:pStyle w:val="13"/>
        <w:shd w:val="clear"/>
        <w:rPr>
          <w:color w:val="auto"/>
          <w:highlight w:val="none"/>
        </w:rPr>
      </w:pPr>
    </w:p>
    <w:p w14:paraId="4B500E1D">
      <w:pPr>
        <w:shd w:val="clear"/>
        <w:rPr>
          <w:color w:val="auto"/>
          <w:highlight w:val="none"/>
        </w:rPr>
      </w:pPr>
    </w:p>
    <w:p w14:paraId="4AC62516">
      <w:pPr>
        <w:pStyle w:val="13"/>
        <w:shd w:val="clear"/>
        <w:rPr>
          <w:color w:val="auto"/>
          <w:highlight w:val="none"/>
        </w:rPr>
      </w:pPr>
    </w:p>
    <w:p w14:paraId="7BA74870">
      <w:pPr>
        <w:shd w:val="clear"/>
        <w:rPr>
          <w:color w:val="auto"/>
          <w:highlight w:val="none"/>
        </w:rPr>
      </w:pPr>
    </w:p>
    <w:p w14:paraId="50AFA566">
      <w:pPr>
        <w:pStyle w:val="13"/>
        <w:shd w:val="clear"/>
        <w:rPr>
          <w:color w:val="auto"/>
          <w:highlight w:val="none"/>
        </w:rPr>
      </w:pPr>
    </w:p>
    <w:p w14:paraId="5FCA471D">
      <w:pPr>
        <w:shd w:val="clear"/>
        <w:rPr>
          <w:color w:val="auto"/>
          <w:highlight w:val="none"/>
        </w:rPr>
      </w:pPr>
    </w:p>
    <w:p w14:paraId="770F9455">
      <w:pPr>
        <w:pStyle w:val="13"/>
        <w:shd w:val="clear"/>
        <w:rPr>
          <w:color w:val="auto"/>
          <w:highlight w:val="none"/>
        </w:rPr>
      </w:pPr>
    </w:p>
    <w:p w14:paraId="603BEC8E">
      <w:pPr>
        <w:shd w:val="clear"/>
        <w:rPr>
          <w:color w:val="auto"/>
          <w:highlight w:val="none"/>
        </w:rPr>
      </w:pPr>
    </w:p>
    <w:p w14:paraId="0707B3A5">
      <w:pPr>
        <w:pStyle w:val="13"/>
        <w:shd w:val="clear"/>
        <w:rPr>
          <w:color w:val="auto"/>
          <w:highlight w:val="none"/>
        </w:rPr>
      </w:pPr>
    </w:p>
    <w:p w14:paraId="1095571F">
      <w:pPr>
        <w:shd w:val="clear"/>
        <w:rPr>
          <w:color w:val="auto"/>
          <w:highlight w:val="none"/>
        </w:rPr>
      </w:pPr>
    </w:p>
    <w:p w14:paraId="2CC55956">
      <w:pPr>
        <w:pStyle w:val="13"/>
        <w:shd w:val="clear"/>
        <w:rPr>
          <w:color w:val="auto"/>
          <w:highlight w:val="none"/>
        </w:rPr>
      </w:pPr>
    </w:p>
    <w:p w14:paraId="430C4F08">
      <w:pPr>
        <w:shd w:val="clear"/>
        <w:rPr>
          <w:color w:val="auto"/>
          <w:highlight w:val="none"/>
        </w:rPr>
      </w:pPr>
    </w:p>
    <w:p w14:paraId="162C9B51">
      <w:pPr>
        <w:pStyle w:val="13"/>
        <w:shd w:val="clear"/>
        <w:rPr>
          <w:color w:val="auto"/>
          <w:highlight w:val="none"/>
        </w:rPr>
      </w:pPr>
    </w:p>
    <w:p w14:paraId="3F809501">
      <w:pPr>
        <w:shd w:val="clear"/>
        <w:rPr>
          <w:color w:val="auto"/>
          <w:highlight w:val="none"/>
        </w:rPr>
      </w:pPr>
    </w:p>
    <w:p w14:paraId="36525C69">
      <w:pPr>
        <w:pStyle w:val="13"/>
        <w:shd w:val="clear"/>
        <w:rPr>
          <w:color w:val="auto"/>
          <w:highlight w:val="none"/>
        </w:rPr>
      </w:pPr>
    </w:p>
    <w:p w14:paraId="023C3D78">
      <w:pPr>
        <w:shd w:val="clear"/>
        <w:rPr>
          <w:color w:val="auto"/>
          <w:highlight w:val="none"/>
        </w:rPr>
      </w:pPr>
    </w:p>
    <w:p w14:paraId="4F6DA05A">
      <w:pPr>
        <w:pStyle w:val="13"/>
        <w:shd w:val="clear"/>
        <w:rPr>
          <w:color w:val="auto"/>
          <w:highlight w:val="none"/>
        </w:rPr>
      </w:pPr>
    </w:p>
    <w:p w14:paraId="50962D5D">
      <w:pPr>
        <w:pStyle w:val="26"/>
        <w:shd w:val="clear"/>
        <w:rPr>
          <w:color w:val="auto"/>
          <w:highlight w:val="none"/>
        </w:rPr>
      </w:pPr>
    </w:p>
    <w:p w14:paraId="371BDFD4">
      <w:pPr>
        <w:shd w:val="clear"/>
        <w:rPr>
          <w:color w:val="auto"/>
          <w:highlight w:val="none"/>
        </w:rPr>
      </w:pPr>
    </w:p>
    <w:p w14:paraId="4ACE8C91">
      <w:pPr>
        <w:pStyle w:val="13"/>
        <w:shd w:val="clear"/>
        <w:rPr>
          <w:color w:val="auto"/>
          <w:highlight w:val="none"/>
        </w:rPr>
      </w:pPr>
    </w:p>
    <w:p w14:paraId="215291D4">
      <w:pPr>
        <w:pStyle w:val="26"/>
        <w:shd w:val="clear"/>
        <w:rPr>
          <w:color w:val="auto"/>
          <w:highlight w:val="none"/>
        </w:rPr>
      </w:pPr>
    </w:p>
    <w:p w14:paraId="7A053596">
      <w:pPr>
        <w:shd w:val="clear"/>
        <w:rPr>
          <w:color w:val="auto"/>
          <w:highlight w:val="none"/>
        </w:rPr>
      </w:pPr>
    </w:p>
    <w:p w14:paraId="3B7028DB">
      <w:pPr>
        <w:pStyle w:val="13"/>
        <w:shd w:val="clear"/>
        <w:rPr>
          <w:color w:val="auto"/>
          <w:highlight w:val="none"/>
        </w:rPr>
      </w:pPr>
    </w:p>
    <w:p w14:paraId="5C0B4548">
      <w:pPr>
        <w:pStyle w:val="26"/>
        <w:shd w:val="clear"/>
        <w:rPr>
          <w:color w:val="auto"/>
          <w:highlight w:val="none"/>
        </w:rPr>
      </w:pPr>
    </w:p>
    <w:p w14:paraId="36A62EF8">
      <w:pPr>
        <w:shd w:val="clear"/>
        <w:rPr>
          <w:rFonts w:hint="eastAsia" w:ascii="宋体" w:hAnsi="宋体" w:cs="宋体"/>
          <w:color w:val="auto"/>
          <w:sz w:val="24"/>
          <w:highlight w:val="none"/>
        </w:rPr>
      </w:pPr>
      <w:r>
        <w:rPr>
          <w:rFonts w:hint="eastAsia" w:ascii="宋体" w:hAnsi="宋体" w:cs="宋体"/>
          <w:color w:val="auto"/>
          <w:sz w:val="24"/>
          <w:highlight w:val="none"/>
        </w:rPr>
        <w:t>3、投标资格声明书格式</w:t>
      </w:r>
    </w:p>
    <w:p w14:paraId="4B89A7AC">
      <w:pPr>
        <w:shd w:val="clear"/>
        <w:rPr>
          <w:rFonts w:hint="eastAsia"/>
          <w:color w:val="auto"/>
          <w:highlight w:val="none"/>
        </w:rPr>
      </w:pPr>
    </w:p>
    <w:p w14:paraId="5F8A1504">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36"/>
          <w:szCs w:val="36"/>
          <w:highlight w:val="none"/>
        </w:rPr>
        <w:t>投标资格声明书</w:t>
      </w:r>
    </w:p>
    <w:p w14:paraId="0B88B489">
      <w:pPr>
        <w:shd w:val="clear"/>
        <w:adjustRightInd w:val="0"/>
        <w:snapToGrid w:val="0"/>
        <w:spacing w:line="400" w:lineRule="exact"/>
        <w:rPr>
          <w:rFonts w:hint="eastAsia" w:ascii="宋体" w:hAnsi="宋体" w:cs="宋体"/>
          <w:color w:val="auto"/>
          <w:spacing w:val="8"/>
          <w:kern w:val="0"/>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安吉县住房和城乡建设局</w:t>
      </w:r>
      <w:r>
        <w:rPr>
          <w:rFonts w:hint="eastAsia" w:ascii="宋体" w:hAnsi="宋体" w:cs="宋体"/>
          <w:color w:val="auto"/>
          <w:szCs w:val="21"/>
          <w:highlight w:val="none"/>
          <w:u w:val="single"/>
        </w:rPr>
        <w:t>：</w:t>
      </w:r>
    </w:p>
    <w:p w14:paraId="4BAC816A">
      <w:pPr>
        <w:shd w:val="clear"/>
        <w:adjustRightInd w:val="0"/>
        <w:snapToGrid w:val="0"/>
        <w:spacing w:line="40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湖州盛远招标代理有限公司</w:t>
      </w:r>
      <w:r>
        <w:rPr>
          <w:rFonts w:hint="eastAsia" w:ascii="宋体" w:hAnsi="宋体" w:cs="宋体"/>
          <w:color w:val="auto"/>
          <w:szCs w:val="21"/>
          <w:highlight w:val="none"/>
        </w:rPr>
        <w:t>：</w:t>
      </w:r>
    </w:p>
    <w:p w14:paraId="22C9E0C6">
      <w:pPr>
        <w:shd w:val="clear"/>
        <w:tabs>
          <w:tab w:val="left" w:pos="1418"/>
        </w:tabs>
        <w:snapToGrid w:val="0"/>
        <w:spacing w:before="50" w:after="5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（投标人名称）系中华人民共和国合法企业，经营地址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2B902C">
      <w:pPr>
        <w:shd w:val="clear"/>
        <w:tabs>
          <w:tab w:val="left" w:pos="1418"/>
        </w:tabs>
        <w:snapToGrid w:val="0"/>
        <w:spacing w:before="50" w:after="5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项目的投标，为便于贵方公正、择优地确定中标人及其投标项目的服务，我方就本次投标有关事项郑重声明如下：</w:t>
      </w:r>
    </w:p>
    <w:p w14:paraId="298F1C26">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1、我方向贵方提交的所有投标文件、资料都是准确的和真实的；</w:t>
      </w:r>
    </w:p>
    <w:p w14:paraId="1974DDB2">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6F07EF01">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3、我方承诺已经具备招标文件规定的参加本项目政府采购活动的投标人应当具备的条件：</w:t>
      </w:r>
    </w:p>
    <w:p w14:paraId="3B30872D">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58503F5">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3050B83">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21920B7">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122FF375">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（5）参加本次政府采购活动前三年内，在经营活动中没有重大违法记录；</w:t>
      </w:r>
    </w:p>
    <w:p w14:paraId="3DC4FAFA">
      <w:pPr>
        <w:shd w:val="clea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（6）至本项目投标截止时间前，我方未列入失信被执行人、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3C5CEDB9">
      <w:pPr>
        <w:shd w:val="clea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4、以上事项如有虚假或隐瞒，我方愿意承担一切后果和责任。</w:t>
      </w:r>
    </w:p>
    <w:p w14:paraId="61AF3C7F">
      <w:pPr>
        <w:shd w:val="clear"/>
        <w:adjustRightInd w:val="0"/>
        <w:snapToGrid w:val="0"/>
        <w:spacing w:line="400" w:lineRule="exact"/>
        <w:ind w:firstLine="420" w:firstLineChars="200"/>
        <w:rPr>
          <w:rFonts w:hint="eastAsia" w:ascii="宋体" w:hAnsi="宋体" w:cs="宋体"/>
          <w:color w:val="auto"/>
          <w:szCs w:val="21"/>
          <w:highlight w:val="none"/>
          <w:u w:val="single"/>
        </w:rPr>
      </w:pPr>
    </w:p>
    <w:p w14:paraId="3FE2EBC5">
      <w:pPr>
        <w:shd w:val="clea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2C9E349B">
      <w:pPr>
        <w:shd w:val="clear"/>
        <w:adjustRightInd w:val="0"/>
        <w:snapToGrid w:val="0"/>
        <w:spacing w:line="400" w:lineRule="exact"/>
        <w:ind w:firstLine="420" w:firstLineChars="200"/>
        <w:rPr>
          <w:rFonts w:hint="eastAsia" w:ascii="宋体" w:hAnsi="宋体" w:cs="宋体"/>
          <w:color w:val="auto"/>
          <w:szCs w:val="21"/>
          <w:highlight w:val="none"/>
          <w:u w:val="single"/>
        </w:rPr>
      </w:pPr>
    </w:p>
    <w:p w14:paraId="506E5850">
      <w:pPr>
        <w:shd w:val="clear"/>
        <w:adjustRightInd w:val="0"/>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投标人全称（盖章）：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6588A46">
      <w:pPr>
        <w:shd w:val="clear"/>
        <w:adjustRightInd w:val="0"/>
        <w:snapToGrid w:val="0"/>
        <w:spacing w:line="400" w:lineRule="exact"/>
        <w:ind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p w14:paraId="60FF10C1">
      <w:pPr>
        <w:shd w:val="clear"/>
        <w:rPr>
          <w:rFonts w:hint="eastAsia"/>
          <w:color w:val="auto"/>
          <w:highlight w:val="none"/>
        </w:rPr>
      </w:pPr>
    </w:p>
    <w:p w14:paraId="04092759">
      <w:pPr>
        <w:shd w:val="clea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说明：重大违法记录是指因违法经营受到刑事处罚或者责令停产停业、吊销许可证或者执照、较大数额罚款（200万元及以上金额）等行政处罚。</w:t>
      </w:r>
    </w:p>
    <w:p w14:paraId="44E176E8">
      <w:pPr>
        <w:shd w:val="clear"/>
        <w:adjustRightInd w:val="0"/>
        <w:snapToGrid w:val="0"/>
        <w:ind w:firstLine="645"/>
        <w:jc w:val="left"/>
        <w:rPr>
          <w:rFonts w:hint="eastAsia" w:ascii="宋体" w:hAnsi="宋体" w:cs="宋体"/>
          <w:color w:val="auto"/>
          <w:sz w:val="24"/>
          <w:highlight w:val="none"/>
        </w:rPr>
      </w:pPr>
    </w:p>
    <w:p w14:paraId="20FCA296">
      <w:pPr>
        <w:shd w:val="clear"/>
        <w:adjustRightInd w:val="0"/>
        <w:snapToGrid w:val="0"/>
        <w:ind w:firstLine="645"/>
        <w:jc w:val="left"/>
        <w:rPr>
          <w:rFonts w:hint="eastAsia" w:ascii="宋体" w:hAnsi="宋体" w:cs="宋体"/>
          <w:color w:val="auto"/>
          <w:sz w:val="24"/>
          <w:highlight w:val="none"/>
        </w:rPr>
      </w:pPr>
    </w:p>
    <w:p w14:paraId="45A63EEA">
      <w:pPr>
        <w:shd w:val="clear"/>
        <w:rPr>
          <w:rFonts w:hint="eastAsia" w:ascii="宋体" w:hAnsi="宋体" w:cs="宋体"/>
          <w:color w:val="auto"/>
          <w:sz w:val="24"/>
          <w:highlight w:val="none"/>
        </w:rPr>
      </w:pPr>
    </w:p>
    <w:p w14:paraId="421CB422">
      <w:pPr>
        <w:shd w:val="clear"/>
        <w:spacing w:line="400" w:lineRule="exact"/>
        <w:rPr>
          <w:rFonts w:hint="eastAsia" w:ascii="宋体" w:hAnsi="宋体" w:cs="宋体"/>
          <w:color w:val="auto"/>
          <w:highlight w:val="none"/>
        </w:rPr>
      </w:pPr>
    </w:p>
    <w:p w14:paraId="6701044B">
      <w:pPr>
        <w:pStyle w:val="12"/>
        <w:rPr>
          <w:rFonts w:hint="eastAsia"/>
        </w:rPr>
      </w:pPr>
    </w:p>
    <w:p w14:paraId="6E0F44A5">
      <w:pPr>
        <w:shd w:val="clear"/>
        <w:rPr>
          <w:rFonts w:hint="eastAsia"/>
          <w:color w:val="auto"/>
          <w:highlight w:val="none"/>
        </w:rPr>
      </w:pPr>
    </w:p>
    <w:p w14:paraId="245417B5">
      <w:pPr>
        <w:shd w:val="clear"/>
        <w:spacing w:line="400" w:lineRule="exact"/>
        <w:rPr>
          <w:rFonts w:hint="eastAsia" w:ascii="宋体" w:hAnsi="宋体" w:cs="宋体"/>
          <w:color w:val="auto"/>
          <w:highlight w:val="none"/>
        </w:rPr>
      </w:pPr>
    </w:p>
    <w:p w14:paraId="17739827">
      <w:pPr>
        <w:shd w:val="clear"/>
        <w:rPr>
          <w:rFonts w:hint="eastAsia"/>
          <w:color w:val="auto"/>
          <w:highlight w:val="none"/>
        </w:rPr>
      </w:pPr>
    </w:p>
    <w:p w14:paraId="56C9C684">
      <w:pPr>
        <w:numPr>
          <w:ilvl w:val="0"/>
          <w:numId w:val="0"/>
        </w:numPr>
        <w:shd w:val="clear"/>
        <w:tabs>
          <w:tab w:val="left" w:pos="533"/>
        </w:tabs>
        <w:adjustRightInd w:val="0"/>
        <w:snapToGrid w:val="0"/>
        <w:spacing w:line="360" w:lineRule="exact"/>
        <w:ind w:left="113" w:firstLine="0"/>
        <w:jc w:val="left"/>
        <w:rPr>
          <w:rFonts w:hint="eastAsia" w:ascii="宋体" w:hAnsi="宋体" w:eastAsia="宋体" w:cs="宋体"/>
          <w:color w:val="auto"/>
          <w:sz w:val="24"/>
          <w:highlight w:val="none"/>
          <w:lang w:val="en-US" w:eastAsia="zh-CN"/>
        </w:rPr>
      </w:pPr>
    </w:p>
    <w:p w14:paraId="436E0629">
      <w:pPr>
        <w:numPr>
          <w:ilvl w:val="0"/>
          <w:numId w:val="0"/>
        </w:numPr>
        <w:shd w:val="clear"/>
        <w:tabs>
          <w:tab w:val="left" w:pos="533"/>
        </w:tabs>
        <w:adjustRightInd w:val="0"/>
        <w:snapToGrid w:val="0"/>
        <w:spacing w:line="360" w:lineRule="exact"/>
        <w:ind w:left="113"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4、中小企业声明函</w:t>
      </w:r>
    </w:p>
    <w:p w14:paraId="4FE43F8C">
      <w:pPr>
        <w:pStyle w:val="12"/>
        <w:numPr>
          <w:ilvl w:val="0"/>
          <w:numId w:val="0"/>
        </w:numPr>
        <w:rPr>
          <w:rFonts w:hint="eastAsia"/>
        </w:rPr>
      </w:pPr>
    </w:p>
    <w:p w14:paraId="0EA8C6F8">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bookmarkStart w:id="193" w:name="_Toc19603"/>
      <w:bookmarkStart w:id="194" w:name="_Toc8549"/>
      <w:bookmarkStart w:id="195" w:name="_Toc24255"/>
      <w:bookmarkStart w:id="196" w:name="_Toc17582"/>
      <w:bookmarkStart w:id="197" w:name="_Toc95211198"/>
      <w:bookmarkStart w:id="198" w:name="_Toc5664"/>
      <w:r>
        <w:rPr>
          <w:rFonts w:hint="eastAsia" w:ascii="宋体" w:hAnsi="宋体" w:eastAsia="宋体" w:cs="宋体"/>
          <w:b/>
          <w:bCs/>
          <w:color w:val="000000"/>
          <w:kern w:val="0"/>
          <w:sz w:val="36"/>
          <w:szCs w:val="36"/>
          <w:highlight w:val="none"/>
          <w:lang w:val="en-US" w:eastAsia="zh-CN" w:bidi="ar"/>
        </w:rPr>
        <w:t>中小企业声明函（服务）</w:t>
      </w:r>
    </w:p>
    <w:p w14:paraId="0CC82F78">
      <w:pPr>
        <w:pStyle w:val="12"/>
        <w:rPr>
          <w:rFonts w:hint="eastAsia"/>
        </w:rPr>
      </w:pPr>
    </w:p>
    <w:p w14:paraId="30A408F4">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000000"/>
          <w:kern w:val="0"/>
          <w:sz w:val="21"/>
          <w:szCs w:val="21"/>
          <w:highlight w:val="none"/>
          <w:u w:val="single"/>
          <w:lang w:val="en-US" w:eastAsia="zh-CN" w:bidi="ar"/>
        </w:rPr>
        <w:t>（单位名称）</w:t>
      </w:r>
      <w:r>
        <w:rPr>
          <w:rFonts w:hint="eastAsia" w:ascii="宋体" w:hAnsi="宋体" w:eastAsia="宋体" w:cs="宋体"/>
          <w:i w:val="0"/>
          <w:iCs w:val="0"/>
          <w:color w:val="000000"/>
          <w:kern w:val="0"/>
          <w:sz w:val="21"/>
          <w:szCs w:val="21"/>
          <w:highlight w:val="none"/>
          <w:lang w:val="en-US" w:eastAsia="zh-CN" w:bidi="ar"/>
        </w:rPr>
        <w:t>的</w:t>
      </w:r>
      <w:r>
        <w:rPr>
          <w:rFonts w:hint="eastAsia" w:ascii="宋体" w:hAnsi="宋体" w:eastAsia="宋体" w:cs="宋体"/>
          <w:i w:val="0"/>
          <w:iCs w:val="0"/>
          <w:color w:val="000000"/>
          <w:kern w:val="0"/>
          <w:sz w:val="21"/>
          <w:szCs w:val="21"/>
          <w:highlight w:val="none"/>
          <w:u w:val="single"/>
          <w:lang w:val="en-US" w:eastAsia="zh-CN" w:bidi="ar"/>
        </w:rPr>
        <w:t>（项目名称）</w:t>
      </w:r>
      <w:r>
        <w:rPr>
          <w:rFonts w:hint="eastAsia" w:ascii="宋体" w:hAnsi="宋体" w:eastAsia="宋体" w:cs="宋体"/>
          <w:i w:val="0"/>
          <w:iCs w:val="0"/>
          <w:color w:val="000000"/>
          <w:kern w:val="0"/>
          <w:sz w:val="21"/>
          <w:szCs w:val="21"/>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66ABA199">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1.</w:t>
      </w:r>
      <w:r>
        <w:rPr>
          <w:rFonts w:hint="eastAsia" w:ascii="宋体" w:hAnsi="宋体" w:eastAsia="宋体" w:cs="宋体"/>
          <w:i w:val="0"/>
          <w:iCs w:val="0"/>
          <w:color w:val="000000"/>
          <w:kern w:val="0"/>
          <w:sz w:val="21"/>
          <w:szCs w:val="21"/>
          <w:highlight w:val="none"/>
          <w:u w:val="single"/>
          <w:lang w:val="en-US" w:eastAsia="zh-CN" w:bidi="ar"/>
        </w:rPr>
        <w:t>（标的名称）</w:t>
      </w:r>
      <w:r>
        <w:rPr>
          <w:rFonts w:hint="eastAsia" w:ascii="宋体" w:hAnsi="宋体" w:eastAsia="宋体" w:cs="宋体"/>
          <w:i w:val="0"/>
          <w:iCs w:val="0"/>
          <w:color w:val="000000"/>
          <w:kern w:val="0"/>
          <w:sz w:val="21"/>
          <w:szCs w:val="21"/>
          <w:highlight w:val="none"/>
          <w:lang w:val="en-US" w:eastAsia="zh-CN" w:bidi="ar"/>
        </w:rPr>
        <w:t>，属于</w:t>
      </w:r>
      <w:r>
        <w:rPr>
          <w:rFonts w:hint="eastAsia" w:ascii="宋体" w:hAnsi="宋体" w:eastAsia="宋体" w:cs="宋体"/>
          <w:i w:val="0"/>
          <w:iCs w:val="0"/>
          <w:color w:val="000000"/>
          <w:kern w:val="0"/>
          <w:sz w:val="21"/>
          <w:szCs w:val="21"/>
          <w:highlight w:val="none"/>
          <w:u w:val="single"/>
          <w:lang w:val="en-US" w:eastAsia="zh-CN" w:bidi="ar"/>
        </w:rPr>
        <w:t>（采购文件中明确的所属行业）</w:t>
      </w:r>
      <w:r>
        <w:rPr>
          <w:rFonts w:hint="eastAsia" w:ascii="宋体" w:hAnsi="宋体" w:eastAsia="宋体" w:cs="宋体"/>
          <w:i w:val="0"/>
          <w:iCs w:val="0"/>
          <w:color w:val="000000"/>
          <w:kern w:val="0"/>
          <w:sz w:val="21"/>
          <w:szCs w:val="21"/>
          <w:highlight w:val="none"/>
          <w:lang w:val="en-US" w:eastAsia="zh-CN" w:bidi="ar"/>
        </w:rPr>
        <w:t>；承接企业为</w:t>
      </w:r>
      <w:r>
        <w:rPr>
          <w:rFonts w:hint="eastAsia" w:ascii="宋体" w:hAnsi="宋体" w:eastAsia="宋体" w:cs="宋体"/>
          <w:i w:val="0"/>
          <w:iCs w:val="0"/>
          <w:color w:val="000000"/>
          <w:kern w:val="0"/>
          <w:sz w:val="21"/>
          <w:szCs w:val="21"/>
          <w:highlight w:val="none"/>
          <w:u w:val="single"/>
          <w:lang w:val="en-US" w:eastAsia="zh-CN" w:bidi="ar"/>
        </w:rPr>
        <w:t>（企业名称）</w:t>
      </w:r>
      <w:r>
        <w:rPr>
          <w:rFonts w:hint="eastAsia" w:ascii="宋体" w:hAnsi="宋体" w:eastAsia="宋体" w:cs="宋体"/>
          <w:i w:val="0"/>
          <w:iCs w:val="0"/>
          <w:color w:val="000000"/>
          <w:kern w:val="0"/>
          <w:sz w:val="21"/>
          <w:szCs w:val="21"/>
          <w:highlight w:val="none"/>
          <w:lang w:val="en-US" w:eastAsia="zh-CN" w:bidi="ar"/>
        </w:rPr>
        <w:t>，从业人员</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人，营业收入为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万元，资产总额为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万元，属于</w:t>
      </w:r>
      <w:r>
        <w:rPr>
          <w:rFonts w:hint="eastAsia" w:ascii="宋体" w:hAnsi="宋体" w:eastAsia="宋体" w:cs="宋体"/>
          <w:i w:val="0"/>
          <w:iCs w:val="0"/>
          <w:color w:val="000000"/>
          <w:kern w:val="0"/>
          <w:sz w:val="21"/>
          <w:szCs w:val="21"/>
          <w:highlight w:val="none"/>
          <w:u w:val="single"/>
          <w:lang w:val="en-US" w:eastAsia="zh-CN" w:bidi="ar"/>
        </w:rPr>
        <w:t>（中型企业、 小型企业、微型企业）</w:t>
      </w:r>
      <w:r>
        <w:rPr>
          <w:rFonts w:hint="eastAsia" w:ascii="宋体" w:hAnsi="宋体" w:eastAsia="宋体" w:cs="宋体"/>
          <w:i w:val="0"/>
          <w:iCs w:val="0"/>
          <w:color w:val="000000"/>
          <w:kern w:val="0"/>
          <w:sz w:val="21"/>
          <w:szCs w:val="21"/>
          <w:highlight w:val="none"/>
          <w:lang w:val="en-US" w:eastAsia="zh-CN" w:bidi="ar"/>
        </w:rPr>
        <w:t xml:space="preserve">； </w:t>
      </w:r>
    </w:p>
    <w:p w14:paraId="6789F029">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lang w:val="en-US" w:eastAsia="zh-CN" w:bidi="ar"/>
        </w:rPr>
        <w:t>2.</w:t>
      </w:r>
      <w:r>
        <w:rPr>
          <w:rFonts w:hint="eastAsia" w:ascii="宋体" w:hAnsi="宋体" w:eastAsia="宋体" w:cs="宋体"/>
          <w:i w:val="0"/>
          <w:iCs w:val="0"/>
          <w:color w:val="000000"/>
          <w:kern w:val="0"/>
          <w:sz w:val="21"/>
          <w:szCs w:val="21"/>
          <w:highlight w:val="none"/>
          <w:u w:val="single"/>
          <w:lang w:val="en-US" w:eastAsia="zh-CN" w:bidi="ar"/>
        </w:rPr>
        <w:t>（标的名称）</w:t>
      </w:r>
      <w:r>
        <w:rPr>
          <w:rFonts w:hint="eastAsia" w:ascii="宋体" w:hAnsi="宋体" w:eastAsia="宋体" w:cs="宋体"/>
          <w:i w:val="0"/>
          <w:iCs w:val="0"/>
          <w:color w:val="000000"/>
          <w:kern w:val="0"/>
          <w:sz w:val="21"/>
          <w:szCs w:val="21"/>
          <w:highlight w:val="none"/>
          <w:lang w:val="en-US" w:eastAsia="zh-CN" w:bidi="ar"/>
        </w:rPr>
        <w:t>，属于</w:t>
      </w:r>
      <w:r>
        <w:rPr>
          <w:rFonts w:hint="eastAsia" w:ascii="宋体" w:hAnsi="宋体" w:eastAsia="宋体" w:cs="宋体"/>
          <w:i w:val="0"/>
          <w:iCs w:val="0"/>
          <w:color w:val="000000"/>
          <w:kern w:val="0"/>
          <w:sz w:val="21"/>
          <w:szCs w:val="21"/>
          <w:highlight w:val="none"/>
          <w:u w:val="single"/>
          <w:lang w:val="en-US" w:eastAsia="zh-CN" w:bidi="ar"/>
        </w:rPr>
        <w:t>（采购文件中明确的所属行业）</w:t>
      </w:r>
      <w:r>
        <w:rPr>
          <w:rFonts w:hint="eastAsia" w:ascii="宋体" w:hAnsi="宋体" w:eastAsia="宋体" w:cs="宋体"/>
          <w:i w:val="0"/>
          <w:iCs w:val="0"/>
          <w:color w:val="000000"/>
          <w:kern w:val="0"/>
          <w:sz w:val="21"/>
          <w:szCs w:val="21"/>
          <w:highlight w:val="none"/>
          <w:lang w:val="en-US" w:eastAsia="zh-CN" w:bidi="ar"/>
        </w:rPr>
        <w:t>；承接企业为</w:t>
      </w:r>
      <w:r>
        <w:rPr>
          <w:rFonts w:hint="eastAsia" w:ascii="宋体" w:hAnsi="宋体" w:eastAsia="宋体" w:cs="宋体"/>
          <w:i w:val="0"/>
          <w:iCs w:val="0"/>
          <w:color w:val="000000"/>
          <w:kern w:val="0"/>
          <w:sz w:val="21"/>
          <w:szCs w:val="21"/>
          <w:highlight w:val="none"/>
          <w:u w:val="single"/>
          <w:lang w:val="en-US" w:eastAsia="zh-CN" w:bidi="ar"/>
        </w:rPr>
        <w:t>（企业名称）</w:t>
      </w:r>
      <w:r>
        <w:rPr>
          <w:rFonts w:hint="eastAsia" w:ascii="宋体" w:hAnsi="宋体" w:eastAsia="宋体" w:cs="宋体"/>
          <w:i w:val="0"/>
          <w:iCs w:val="0"/>
          <w:color w:val="000000"/>
          <w:kern w:val="0"/>
          <w:sz w:val="21"/>
          <w:szCs w:val="21"/>
          <w:highlight w:val="none"/>
          <w:lang w:val="en-US" w:eastAsia="zh-CN" w:bidi="ar"/>
        </w:rPr>
        <w:t>，从业人员</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人，营业收入为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万元，资产总额为</w:t>
      </w:r>
      <w:r>
        <w:rPr>
          <w:rFonts w:hint="eastAsia" w:ascii="宋体" w:hAnsi="宋体" w:eastAsia="宋体" w:cs="宋体"/>
          <w:i w:val="0"/>
          <w:iCs w:val="0"/>
          <w:color w:val="000000"/>
          <w:kern w:val="0"/>
          <w:sz w:val="21"/>
          <w:szCs w:val="21"/>
          <w:highlight w:val="none"/>
          <w:u w:val="single"/>
          <w:lang w:val="en-US" w:eastAsia="zh-CN" w:bidi="ar"/>
        </w:rPr>
        <w:t xml:space="preserve">   </w:t>
      </w:r>
      <w:r>
        <w:rPr>
          <w:rFonts w:hint="eastAsia" w:ascii="宋体" w:hAnsi="宋体" w:eastAsia="宋体" w:cs="宋体"/>
          <w:i w:val="0"/>
          <w:iCs w:val="0"/>
          <w:color w:val="000000"/>
          <w:kern w:val="0"/>
          <w:sz w:val="21"/>
          <w:szCs w:val="21"/>
          <w:highlight w:val="none"/>
          <w:lang w:val="en-US" w:eastAsia="zh-CN" w:bidi="ar"/>
        </w:rPr>
        <w:t>万元，属于</w:t>
      </w:r>
      <w:r>
        <w:rPr>
          <w:rFonts w:hint="eastAsia" w:ascii="宋体" w:hAnsi="宋体" w:eastAsia="宋体" w:cs="宋体"/>
          <w:i w:val="0"/>
          <w:iCs w:val="0"/>
          <w:color w:val="000000"/>
          <w:kern w:val="0"/>
          <w:sz w:val="21"/>
          <w:szCs w:val="21"/>
          <w:highlight w:val="none"/>
          <w:u w:val="single"/>
          <w:lang w:val="en-US" w:eastAsia="zh-CN" w:bidi="ar"/>
        </w:rPr>
        <w:t>（中型企业、 小型企业、微型企业）</w:t>
      </w:r>
      <w:r>
        <w:rPr>
          <w:rFonts w:hint="eastAsia" w:ascii="宋体" w:hAnsi="宋体" w:eastAsia="宋体" w:cs="宋体"/>
          <w:i w:val="0"/>
          <w:iCs w:val="0"/>
          <w:color w:val="000000"/>
          <w:kern w:val="0"/>
          <w:sz w:val="21"/>
          <w:szCs w:val="21"/>
          <w:highlight w:val="none"/>
          <w:lang w:val="en-US" w:eastAsia="zh-CN" w:bidi="ar"/>
        </w:rPr>
        <w:t xml:space="preserve">； </w:t>
      </w:r>
    </w:p>
    <w:p w14:paraId="4C0B4D2D">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w:t>
      </w:r>
    </w:p>
    <w:p w14:paraId="343697ED">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以上企业，不属于大企业的分支机构，不存在控股股东为大企业的情形，也不存在与大企业的负责人为同一人的情形。</w:t>
      </w:r>
    </w:p>
    <w:p w14:paraId="30A2F3F5">
      <w:pPr>
        <w:keepNext w:val="0"/>
        <w:keepLines w:val="0"/>
        <w:pageBreakBefore w:val="0"/>
        <w:widowControl/>
        <w:suppressLineNumbers w:val="0"/>
        <w:kinsoku/>
        <w:wordWrap/>
        <w:overflowPunct/>
        <w:topLinePunct w:val="0"/>
        <w:autoSpaceDE/>
        <w:autoSpaceDN/>
        <w:bidi w:val="0"/>
        <w:adjustRightInd/>
        <w:snapToGrid/>
        <w:spacing w:line="540" w:lineRule="exact"/>
        <w:ind w:firstLine="420" w:firstLineChars="200"/>
        <w:jc w:val="lef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 xml:space="preserve">本企业对上述声明内容的真实性负责。如有虚假，将依法承担相应责任。 </w:t>
      </w:r>
    </w:p>
    <w:p w14:paraId="516B2543">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right"/>
        <w:textAlignment w:val="auto"/>
        <w:rPr>
          <w:rFonts w:hint="eastAsia" w:ascii="宋体" w:hAnsi="宋体" w:eastAsia="宋体" w:cs="宋体"/>
          <w:i w:val="0"/>
          <w:iCs w:val="0"/>
          <w:color w:val="000000"/>
          <w:kern w:val="0"/>
          <w:sz w:val="21"/>
          <w:szCs w:val="21"/>
          <w:highlight w:val="none"/>
          <w:lang w:val="en-US" w:eastAsia="zh-CN" w:bidi="ar"/>
        </w:rPr>
      </w:pPr>
    </w:p>
    <w:p w14:paraId="3545180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color w:val="000000"/>
          <w:kern w:val="0"/>
          <w:sz w:val="21"/>
          <w:szCs w:val="21"/>
          <w:highlight w:val="none"/>
          <w:lang w:val="en-US" w:eastAsia="zh-CN" w:bidi="ar"/>
        </w:rPr>
        <w:t xml:space="preserve">企业名称（盖章）： </w:t>
      </w:r>
    </w:p>
    <w:p w14:paraId="2911309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lang w:val="en-US" w:eastAsia="zh-CN" w:bidi="ar"/>
        </w:rPr>
        <w:t xml:space="preserve">日 期： </w:t>
      </w:r>
      <w:r>
        <w:rPr>
          <w:rFonts w:hint="eastAsia" w:ascii="宋体" w:hAnsi="宋体" w:eastAsia="宋体" w:cs="宋体"/>
          <w:color w:val="000000"/>
          <w:kern w:val="0"/>
          <w:sz w:val="21"/>
          <w:szCs w:val="21"/>
          <w:highlight w:val="none"/>
          <w:lang w:bidi="ar"/>
        </w:rPr>
        <w:t xml:space="preserve"> </w:t>
      </w:r>
    </w:p>
    <w:p w14:paraId="002E5A86">
      <w:pPr>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1"/>
          <w:szCs w:val="21"/>
          <w:highlight w:val="none"/>
          <w:lang w:bidi="ar"/>
        </w:rPr>
      </w:pPr>
    </w:p>
    <w:p w14:paraId="23C8314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说明：1、从业人员、营业收入、资产总额填报上一年度数据，无上一年度数据的新成立企业可不填报。为本项目提供服务的企业按照《关于印发中小企业划型标准规定的通知》（工信部联企业〔2011〕300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eastAsia="宋体" w:cs="宋体"/>
          <w:b/>
          <w:bCs/>
          <w:i w:val="0"/>
          <w:iCs w:val="0"/>
          <w:color w:val="000000"/>
          <w:kern w:val="0"/>
          <w:sz w:val="22"/>
          <w:szCs w:val="22"/>
          <w:highlight w:val="none"/>
          <w:u w:val="single"/>
          <w:lang w:bidi="ar"/>
        </w:rPr>
        <w:t>其他未列明行业</w:t>
      </w:r>
      <w:r>
        <w:rPr>
          <w:rFonts w:hint="eastAsia" w:ascii="宋体" w:hAnsi="宋体" w:eastAsia="宋体" w:cs="宋体"/>
          <w:color w:val="000000"/>
          <w:kern w:val="0"/>
          <w:sz w:val="21"/>
          <w:szCs w:val="21"/>
          <w:highlight w:val="none"/>
          <w:lang w:bidi="ar"/>
        </w:rPr>
        <w:t>。</w:t>
      </w:r>
    </w:p>
    <w:p w14:paraId="6AFFDBFB">
      <w:pPr>
        <w:pStyle w:val="4"/>
        <w:keepNext/>
        <w:keepLines/>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000000"/>
          <w:kern w:val="0"/>
          <w:sz w:val="21"/>
          <w:szCs w:val="21"/>
          <w:highlight w:val="none"/>
          <w:lang w:val="en-US" w:eastAsia="zh-CN" w:bidi="ar"/>
        </w:rPr>
      </w:pPr>
      <w:bookmarkStart w:id="199" w:name="_Toc31567"/>
      <w:bookmarkStart w:id="200" w:name="_Toc2289"/>
      <w:r>
        <w:rPr>
          <w:rFonts w:hint="eastAsia" w:ascii="宋体" w:hAnsi="宋体" w:eastAsia="宋体" w:cs="宋体"/>
          <w:b w:val="0"/>
          <w:bCs w:val="0"/>
          <w:color w:val="000000"/>
          <w:kern w:val="0"/>
          <w:sz w:val="21"/>
          <w:szCs w:val="21"/>
          <w:highlight w:val="none"/>
          <w:lang w:val="en-US" w:eastAsia="zh-CN" w:bidi="ar"/>
        </w:rPr>
        <w:t>2、投标人必须如实且规范填写本表格。如投标人提供的服务非中小企业的，资格审查不通过，投标无效；</w:t>
      </w:r>
      <w:bookmarkEnd w:id="199"/>
      <w:bookmarkEnd w:id="200"/>
    </w:p>
    <w:p w14:paraId="10015E0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w:t>
      </w:r>
      <w:r>
        <w:rPr>
          <w:rStyle w:val="39"/>
          <w:rFonts w:hint="eastAsia" w:ascii="宋体" w:hAnsi="宋体" w:eastAsia="宋体" w:cs="宋体"/>
          <w:b w:val="0"/>
          <w:color w:val="000000"/>
          <w:kern w:val="0"/>
          <w:sz w:val="21"/>
          <w:szCs w:val="21"/>
          <w:highlight w:val="none"/>
          <w:lang w:bidi="ar"/>
        </w:rPr>
        <w:t>中小企业划分为中型、小型、微型三种类型，具体标准根据企业从业人员、营业收入、资产总额等指标，结合行业特点制定。各行业划型标准为：</w:t>
      </w:r>
    </w:p>
    <w:p w14:paraId="305947B0">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（一）农、林、牧、渔业</w:t>
      </w:r>
    </w:p>
    <w:p w14:paraId="563918AA">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19EB8C50">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（二）工业</w:t>
      </w:r>
    </w:p>
    <w:p w14:paraId="6715E9CC">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00F99B">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（三）建筑业</w:t>
      </w:r>
    </w:p>
    <w:p w14:paraId="62DFCE55">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76EB44">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2" w:firstLineChars="3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（四）批发业</w:t>
      </w:r>
    </w:p>
    <w:p w14:paraId="028ED368">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97651B">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（五）零售业</w:t>
      </w:r>
    </w:p>
    <w:p w14:paraId="1C025B8B">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30" w:firstLineChars="3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99EBB6">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（六）交通运输业</w:t>
      </w:r>
    </w:p>
    <w:p w14:paraId="4D139F0E">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w:t>
      </w:r>
    </w:p>
    <w:p w14:paraId="729AF3E5">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（七）仓储业</w:t>
      </w:r>
    </w:p>
    <w:p w14:paraId="31DB3F4B">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DB6AAA">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（八）邮政业</w:t>
      </w:r>
    </w:p>
    <w:p w14:paraId="604957CD">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6FE79EF">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（九）住宿业</w:t>
      </w:r>
    </w:p>
    <w:p w14:paraId="00418D9E">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667328">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（十）餐饮业</w:t>
      </w:r>
    </w:p>
    <w:p w14:paraId="5D221C38">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E01E63">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（十一）信息传输业</w:t>
      </w:r>
    </w:p>
    <w:p w14:paraId="3FA6CAC5">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D9A484">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（十二）软件和信息技术服务业</w:t>
      </w:r>
    </w:p>
    <w:p w14:paraId="1ADB06F3">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64B295">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（十三）房地产开发经营</w:t>
      </w:r>
    </w:p>
    <w:p w14:paraId="68FC61C8">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018CE1">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（十四）物业管理</w:t>
      </w:r>
    </w:p>
    <w:p w14:paraId="68064A8A">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02EE0F">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（十五）租赁和商务服务业</w:t>
      </w:r>
    </w:p>
    <w:p w14:paraId="67A7D9D1">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8D43C8C">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1" w:firstLineChars="100"/>
        <w:textAlignment w:val="auto"/>
        <w:rPr>
          <w:rFonts w:hint="eastAsia" w:ascii="宋体" w:hAnsi="宋体" w:eastAsia="宋体" w:cs="宋体"/>
          <w:color w:val="191919"/>
          <w:sz w:val="21"/>
          <w:szCs w:val="21"/>
          <w:highlight w:val="none"/>
        </w:rPr>
      </w:pPr>
      <w:r>
        <w:rPr>
          <w:rStyle w:val="39"/>
          <w:rFonts w:hint="eastAsia" w:ascii="宋体" w:hAnsi="宋体" w:eastAsia="宋体" w:cs="宋体"/>
          <w:color w:val="191919"/>
          <w:sz w:val="21"/>
          <w:szCs w:val="21"/>
          <w:highlight w:val="none"/>
          <w:shd w:val="clear" w:color="auto" w:fill="FFFFFF"/>
        </w:rPr>
        <w:t>（十六）其他未列明行业</w:t>
      </w:r>
    </w:p>
    <w:p w14:paraId="7290DFD9">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r>
        <w:rPr>
          <w:rFonts w:hint="eastAsia" w:ascii="宋体" w:hAnsi="宋体" w:eastAsia="宋体" w:cs="宋体"/>
          <w:color w:val="191919"/>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57DCA8A2">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7C1F02C">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7CFCC76">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1E02EF55">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6781E363">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2F1A2D69">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245BC3EC">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4D96ED54">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046FE48">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3B6E9FDB">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1388C156">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35DFD466">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5F3D1B38">
      <w:pPr>
        <w:pStyle w:val="32"/>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10" w:firstLineChars="100"/>
        <w:textAlignment w:val="auto"/>
        <w:rPr>
          <w:rFonts w:hint="eastAsia" w:ascii="宋体" w:hAnsi="宋体" w:eastAsia="宋体" w:cs="宋体"/>
          <w:color w:val="191919"/>
          <w:sz w:val="21"/>
          <w:szCs w:val="21"/>
          <w:highlight w:val="none"/>
          <w:shd w:val="clear" w:color="auto" w:fill="FFFFFF"/>
        </w:rPr>
      </w:pPr>
    </w:p>
    <w:p w14:paraId="1444E805">
      <w:pPr>
        <w:pStyle w:val="5"/>
        <w:shd w:val="clea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二、技术资信文件格式</w:t>
      </w:r>
      <w:bookmarkEnd w:id="193"/>
      <w:bookmarkEnd w:id="194"/>
      <w:bookmarkEnd w:id="195"/>
      <w:bookmarkEnd w:id="196"/>
      <w:bookmarkEnd w:id="197"/>
      <w:bookmarkEnd w:id="198"/>
    </w:p>
    <w:p w14:paraId="5EDD9439">
      <w:pPr>
        <w:shd w:val="clear"/>
        <w:adjustRightInd w:val="0"/>
        <w:snapToGrid w:val="0"/>
        <w:rPr>
          <w:rFonts w:hint="eastAsia" w:ascii="宋体" w:hAnsi="宋体" w:cs="宋体"/>
          <w:color w:val="auto"/>
          <w:sz w:val="24"/>
          <w:highlight w:val="none"/>
        </w:rPr>
      </w:pPr>
    </w:p>
    <w:p w14:paraId="6DEFDCDE">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1、技术资信文件封面格式： </w:t>
      </w:r>
    </w:p>
    <w:p w14:paraId="49ED0AC3">
      <w:pPr>
        <w:shd w:val="clear"/>
        <w:adjustRightInd w:val="0"/>
        <w:snapToGrid w:val="0"/>
        <w:rPr>
          <w:rFonts w:hint="eastAsia" w:ascii="宋体" w:hAnsi="宋体" w:cs="宋体"/>
          <w:color w:val="auto"/>
          <w:sz w:val="24"/>
          <w:highlight w:val="none"/>
        </w:rPr>
      </w:pPr>
    </w:p>
    <w:p w14:paraId="7613F898">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14:paraId="01A0DD5A">
      <w:pPr>
        <w:shd w:val="clear"/>
        <w:adjustRightInd w:val="0"/>
        <w:snapToGrid w:val="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×××（投标人名称）</w:t>
      </w:r>
    </w:p>
    <w:p w14:paraId="240F1A73">
      <w:pPr>
        <w:shd w:val="clear"/>
        <w:adjustRightInd w:val="0"/>
        <w:snapToGrid w:val="0"/>
        <w:jc w:val="center"/>
        <w:rPr>
          <w:rFonts w:hint="eastAsia" w:ascii="宋体" w:hAnsi="宋体" w:cs="宋体"/>
          <w:bCs/>
          <w:color w:val="auto"/>
          <w:sz w:val="30"/>
          <w:szCs w:val="30"/>
          <w:highlight w:val="none"/>
        </w:rPr>
      </w:pPr>
    </w:p>
    <w:p w14:paraId="209D9AD4">
      <w:pPr>
        <w:shd w:val="clear"/>
        <w:adjustRightInd w:val="0"/>
        <w:snapToGrid w:val="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技术资信文件</w:t>
      </w:r>
    </w:p>
    <w:p w14:paraId="7EEFDD4C">
      <w:pPr>
        <w:shd w:val="clear"/>
        <w:adjustRightInd w:val="0"/>
        <w:snapToGrid w:val="0"/>
        <w:jc w:val="center"/>
        <w:rPr>
          <w:rFonts w:hint="eastAsia" w:ascii="宋体" w:hAnsi="宋体" w:cs="宋体"/>
          <w:b/>
          <w:bCs/>
          <w:color w:val="auto"/>
          <w:sz w:val="44"/>
          <w:szCs w:val="44"/>
          <w:highlight w:val="none"/>
        </w:rPr>
      </w:pPr>
    </w:p>
    <w:p w14:paraId="192F9FE5">
      <w:pPr>
        <w:shd w:val="clear"/>
        <w:adjustRightInd w:val="0"/>
        <w:snapToGrid w:val="0"/>
        <w:ind w:left="2250" w:leftChars="500" w:hanging="1200" w:hangingChars="500"/>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699D9E0F">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w:t>
      </w:r>
    </w:p>
    <w:p w14:paraId="01F7E443">
      <w:pPr>
        <w:shd w:val="clear"/>
        <w:adjustRightInd w:val="0"/>
        <w:snapToGrid w:val="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投标人名称（盖章）：</w:t>
      </w:r>
    </w:p>
    <w:p w14:paraId="4F08B8E3">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14:paraId="68C83306">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14:paraId="4AC63709">
      <w:pPr>
        <w:shd w:val="clear"/>
        <w:adjustRightInd w:val="0"/>
        <w:snapToGrid w:val="0"/>
        <w:ind w:firstLine="645"/>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0ECE7EE">
      <w:pPr>
        <w:shd w:val="clear"/>
        <w:adjustRightInd w:val="0"/>
        <w:snapToGrid w:val="0"/>
        <w:rPr>
          <w:rFonts w:hint="eastAsia" w:ascii="宋体" w:hAnsi="宋体" w:cs="宋体"/>
          <w:color w:val="auto"/>
          <w:sz w:val="24"/>
          <w:highlight w:val="none"/>
        </w:rPr>
      </w:pPr>
    </w:p>
    <w:p w14:paraId="2D6B8019">
      <w:pPr>
        <w:shd w:val="clear"/>
        <w:adjustRightInd w:val="0"/>
        <w:snapToGrid w:val="0"/>
        <w:rPr>
          <w:rFonts w:hint="eastAsia" w:ascii="宋体" w:hAnsi="宋体" w:cs="宋体"/>
          <w:color w:val="auto"/>
          <w:sz w:val="24"/>
          <w:highlight w:val="none"/>
        </w:rPr>
      </w:pPr>
    </w:p>
    <w:p w14:paraId="68D1FA99">
      <w:pPr>
        <w:shd w:val="clear"/>
        <w:adjustRightInd w:val="0"/>
        <w:snapToGrid w:val="0"/>
        <w:rPr>
          <w:rFonts w:hint="eastAsia" w:ascii="宋体" w:hAnsi="宋体" w:cs="宋体"/>
          <w:color w:val="auto"/>
          <w:sz w:val="24"/>
          <w:highlight w:val="none"/>
        </w:rPr>
      </w:pPr>
    </w:p>
    <w:p w14:paraId="65FDE7B2">
      <w:pPr>
        <w:shd w:val="clear"/>
        <w:adjustRightInd w:val="0"/>
        <w:snapToGrid w:val="0"/>
        <w:rPr>
          <w:rFonts w:hint="eastAsia" w:ascii="宋体" w:hAnsi="宋体" w:cs="宋体"/>
          <w:color w:val="auto"/>
          <w:sz w:val="24"/>
          <w:highlight w:val="none"/>
        </w:rPr>
      </w:pPr>
    </w:p>
    <w:p w14:paraId="16F6C6F2">
      <w:pPr>
        <w:shd w:val="clear"/>
        <w:adjustRightInd w:val="0"/>
        <w:snapToGrid w:val="0"/>
        <w:rPr>
          <w:rFonts w:hint="eastAsia" w:ascii="宋体" w:hAnsi="宋体" w:cs="宋体"/>
          <w:color w:val="auto"/>
          <w:sz w:val="24"/>
          <w:highlight w:val="none"/>
        </w:rPr>
      </w:pPr>
    </w:p>
    <w:p w14:paraId="45DA2637">
      <w:pPr>
        <w:shd w:val="clear"/>
        <w:adjustRightInd w:val="0"/>
        <w:snapToGrid w:val="0"/>
        <w:rPr>
          <w:rFonts w:hint="eastAsia" w:ascii="宋体" w:hAnsi="宋体" w:cs="宋体"/>
          <w:color w:val="auto"/>
          <w:sz w:val="24"/>
          <w:highlight w:val="none"/>
        </w:rPr>
      </w:pPr>
    </w:p>
    <w:p w14:paraId="0028D5D0">
      <w:pPr>
        <w:shd w:val="clear"/>
        <w:adjustRightInd w:val="0"/>
        <w:snapToGrid w:val="0"/>
        <w:rPr>
          <w:rFonts w:hint="eastAsia" w:ascii="宋体" w:hAnsi="宋体" w:cs="宋体"/>
          <w:color w:val="auto"/>
          <w:sz w:val="24"/>
          <w:highlight w:val="none"/>
        </w:rPr>
      </w:pPr>
    </w:p>
    <w:p w14:paraId="3F859605">
      <w:pPr>
        <w:shd w:val="clear"/>
        <w:adjustRightInd w:val="0"/>
        <w:snapToGrid w:val="0"/>
        <w:rPr>
          <w:rFonts w:hint="eastAsia" w:ascii="宋体" w:hAnsi="宋体" w:cs="宋体"/>
          <w:color w:val="auto"/>
          <w:sz w:val="24"/>
          <w:highlight w:val="none"/>
        </w:rPr>
      </w:pPr>
    </w:p>
    <w:p w14:paraId="51269875">
      <w:pPr>
        <w:shd w:val="clear"/>
        <w:adjustRightInd w:val="0"/>
        <w:snapToGrid w:val="0"/>
        <w:rPr>
          <w:rFonts w:hint="eastAsia" w:ascii="宋体" w:hAnsi="宋体" w:cs="宋体"/>
          <w:color w:val="auto"/>
          <w:sz w:val="24"/>
          <w:highlight w:val="none"/>
        </w:rPr>
      </w:pPr>
    </w:p>
    <w:p w14:paraId="4C512F1A">
      <w:pPr>
        <w:shd w:val="clear"/>
        <w:adjustRightInd w:val="0"/>
        <w:snapToGrid w:val="0"/>
        <w:rPr>
          <w:rFonts w:hint="eastAsia" w:ascii="宋体" w:hAnsi="宋体" w:cs="宋体"/>
          <w:color w:val="auto"/>
          <w:sz w:val="24"/>
          <w:highlight w:val="none"/>
        </w:rPr>
      </w:pPr>
    </w:p>
    <w:p w14:paraId="048F56F8">
      <w:pPr>
        <w:shd w:val="clear"/>
        <w:adjustRightInd w:val="0"/>
        <w:snapToGrid w:val="0"/>
        <w:rPr>
          <w:rFonts w:hint="eastAsia" w:ascii="宋体" w:hAnsi="宋体" w:cs="宋体"/>
          <w:color w:val="auto"/>
          <w:sz w:val="24"/>
          <w:highlight w:val="none"/>
        </w:rPr>
      </w:pPr>
    </w:p>
    <w:p w14:paraId="4F93DB50">
      <w:pPr>
        <w:shd w:val="clear"/>
        <w:adjustRightInd w:val="0"/>
        <w:snapToGrid w:val="0"/>
        <w:rPr>
          <w:rFonts w:hint="eastAsia" w:ascii="宋体" w:hAnsi="宋体" w:cs="宋体"/>
          <w:color w:val="auto"/>
          <w:sz w:val="24"/>
          <w:highlight w:val="none"/>
        </w:rPr>
      </w:pPr>
    </w:p>
    <w:p w14:paraId="6485721F">
      <w:pPr>
        <w:shd w:val="clear"/>
        <w:adjustRightInd w:val="0"/>
        <w:snapToGrid w:val="0"/>
        <w:rPr>
          <w:rFonts w:hint="eastAsia" w:ascii="宋体" w:hAnsi="宋体" w:cs="宋体"/>
          <w:color w:val="auto"/>
          <w:sz w:val="24"/>
          <w:highlight w:val="none"/>
        </w:rPr>
      </w:pPr>
    </w:p>
    <w:p w14:paraId="435DA490">
      <w:pPr>
        <w:shd w:val="clear"/>
        <w:adjustRightInd w:val="0"/>
        <w:snapToGrid w:val="0"/>
        <w:rPr>
          <w:rFonts w:hint="eastAsia" w:ascii="宋体" w:hAnsi="宋体" w:cs="宋体"/>
          <w:color w:val="auto"/>
          <w:sz w:val="24"/>
          <w:highlight w:val="none"/>
        </w:rPr>
      </w:pPr>
    </w:p>
    <w:p w14:paraId="5B29C06E">
      <w:pPr>
        <w:shd w:val="clear"/>
        <w:adjustRightInd w:val="0"/>
        <w:snapToGrid w:val="0"/>
        <w:rPr>
          <w:rFonts w:hint="eastAsia" w:ascii="宋体" w:hAnsi="宋体" w:cs="宋体"/>
          <w:color w:val="auto"/>
          <w:sz w:val="24"/>
          <w:highlight w:val="none"/>
        </w:rPr>
      </w:pPr>
    </w:p>
    <w:p w14:paraId="4CA41813">
      <w:pPr>
        <w:shd w:val="clear"/>
        <w:adjustRightInd w:val="0"/>
        <w:snapToGrid w:val="0"/>
        <w:rPr>
          <w:rFonts w:hint="eastAsia" w:ascii="宋体" w:hAnsi="宋体" w:cs="宋体"/>
          <w:color w:val="auto"/>
          <w:sz w:val="24"/>
          <w:highlight w:val="none"/>
        </w:rPr>
      </w:pPr>
    </w:p>
    <w:p w14:paraId="58227E3D">
      <w:pPr>
        <w:shd w:val="clear"/>
        <w:adjustRightInd w:val="0"/>
        <w:snapToGrid w:val="0"/>
        <w:rPr>
          <w:rFonts w:hint="eastAsia" w:ascii="宋体" w:hAnsi="宋体" w:cs="宋体"/>
          <w:color w:val="auto"/>
          <w:sz w:val="24"/>
          <w:highlight w:val="none"/>
        </w:rPr>
      </w:pPr>
    </w:p>
    <w:p w14:paraId="5A421ADF">
      <w:pPr>
        <w:shd w:val="clear"/>
        <w:adjustRightInd w:val="0"/>
        <w:snapToGrid w:val="0"/>
        <w:rPr>
          <w:rFonts w:hint="eastAsia" w:ascii="宋体" w:hAnsi="宋体" w:cs="宋体"/>
          <w:color w:val="auto"/>
          <w:sz w:val="24"/>
          <w:highlight w:val="none"/>
        </w:rPr>
      </w:pPr>
    </w:p>
    <w:p w14:paraId="0A290717">
      <w:pPr>
        <w:shd w:val="clear"/>
        <w:adjustRightInd w:val="0"/>
        <w:snapToGrid w:val="0"/>
        <w:rPr>
          <w:rFonts w:hint="eastAsia" w:ascii="宋体" w:hAnsi="宋体" w:cs="宋体"/>
          <w:color w:val="auto"/>
          <w:sz w:val="24"/>
          <w:highlight w:val="none"/>
        </w:rPr>
      </w:pPr>
    </w:p>
    <w:p w14:paraId="6D9B4218">
      <w:pPr>
        <w:shd w:val="clear"/>
        <w:adjustRightInd w:val="0"/>
        <w:snapToGrid w:val="0"/>
        <w:rPr>
          <w:rFonts w:hint="eastAsia" w:ascii="宋体" w:hAnsi="宋体" w:cs="宋体"/>
          <w:color w:val="auto"/>
          <w:sz w:val="24"/>
          <w:highlight w:val="none"/>
        </w:rPr>
      </w:pPr>
    </w:p>
    <w:p w14:paraId="70BD63C5">
      <w:pPr>
        <w:shd w:val="clear"/>
        <w:adjustRightInd w:val="0"/>
        <w:snapToGrid w:val="0"/>
        <w:rPr>
          <w:rFonts w:hint="eastAsia" w:ascii="宋体" w:hAnsi="宋体" w:cs="宋体"/>
          <w:color w:val="auto"/>
          <w:sz w:val="24"/>
          <w:highlight w:val="none"/>
        </w:rPr>
      </w:pPr>
    </w:p>
    <w:p w14:paraId="5A9828F5">
      <w:pPr>
        <w:shd w:val="clear"/>
        <w:adjustRightInd w:val="0"/>
        <w:snapToGrid w:val="0"/>
        <w:rPr>
          <w:rFonts w:hint="eastAsia" w:ascii="宋体" w:hAnsi="宋体" w:cs="宋体"/>
          <w:color w:val="auto"/>
          <w:sz w:val="24"/>
          <w:highlight w:val="none"/>
        </w:rPr>
      </w:pPr>
    </w:p>
    <w:p w14:paraId="2594B140">
      <w:pPr>
        <w:shd w:val="clear"/>
        <w:adjustRightInd w:val="0"/>
        <w:snapToGrid w:val="0"/>
        <w:rPr>
          <w:rFonts w:hint="eastAsia" w:ascii="宋体" w:hAnsi="宋体" w:cs="宋体"/>
          <w:color w:val="auto"/>
          <w:sz w:val="24"/>
          <w:highlight w:val="none"/>
        </w:rPr>
      </w:pPr>
    </w:p>
    <w:p w14:paraId="5A465A9F">
      <w:pPr>
        <w:shd w:val="clear"/>
        <w:adjustRightInd w:val="0"/>
        <w:snapToGrid w:val="0"/>
        <w:rPr>
          <w:rFonts w:hint="eastAsia" w:ascii="宋体" w:hAnsi="宋体" w:cs="宋体"/>
          <w:color w:val="auto"/>
          <w:sz w:val="24"/>
          <w:highlight w:val="none"/>
        </w:rPr>
      </w:pPr>
    </w:p>
    <w:p w14:paraId="4EB98580">
      <w:pPr>
        <w:shd w:val="clear"/>
        <w:adjustRightInd w:val="0"/>
        <w:snapToGrid w:val="0"/>
        <w:rPr>
          <w:rFonts w:hint="eastAsia" w:ascii="宋体" w:hAnsi="宋体" w:cs="宋体"/>
          <w:color w:val="auto"/>
          <w:sz w:val="24"/>
          <w:highlight w:val="none"/>
        </w:rPr>
      </w:pPr>
    </w:p>
    <w:p w14:paraId="0C11C641">
      <w:pPr>
        <w:pStyle w:val="13"/>
        <w:shd w:val="clear"/>
        <w:rPr>
          <w:rFonts w:hint="eastAsia"/>
          <w:highlight w:val="none"/>
        </w:rPr>
      </w:pPr>
    </w:p>
    <w:p w14:paraId="786162FC">
      <w:pPr>
        <w:shd w:val="clear"/>
        <w:adjustRightInd w:val="0"/>
        <w:snapToGrid w:val="0"/>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、目录</w:t>
      </w:r>
    </w:p>
    <w:p w14:paraId="5C28F81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2"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b/>
          <w:szCs w:val="21"/>
          <w:highlight w:val="none"/>
        </w:rPr>
        <w:t>技术资信文件</w:t>
      </w:r>
      <w:r>
        <w:rPr>
          <w:rFonts w:hint="eastAsia" w:ascii="宋体" w:hAnsi="宋体" w:eastAsia="宋体" w:cs="宋体"/>
          <w:b/>
          <w:szCs w:val="21"/>
          <w:highlight w:val="none"/>
          <w:lang w:eastAsia="zh-CN"/>
        </w:rPr>
        <w:t>：</w:t>
      </w:r>
    </w:p>
    <w:p w14:paraId="708462F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投标函（格式见第六章）；</w:t>
      </w:r>
    </w:p>
    <w:p w14:paraId="4536D60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营业执照复印件</w:t>
      </w:r>
    </w:p>
    <w:p w14:paraId="1961F8B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法定代表人身份证明书、法定代表人授权委托书（格式见第六章）</w:t>
      </w:r>
    </w:p>
    <w:p w14:paraId="3A3A883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投标单位情况表（格式见第六章）；</w:t>
      </w:r>
    </w:p>
    <w:p w14:paraId="1797EEB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获奖情况；</w:t>
      </w:r>
    </w:p>
    <w:p w14:paraId="033A819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rPr>
        <w:t>技术响应表（格式见第六章）；</w:t>
      </w:r>
    </w:p>
    <w:p w14:paraId="2630564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Style w:val="42"/>
          <w:rFonts w:hint="eastAsia" w:ascii="宋体" w:hAnsi="宋体" w:eastAsia="宋体" w:cs="宋体"/>
          <w:color w:val="auto"/>
          <w:sz w:val="21"/>
          <w:szCs w:val="21"/>
          <w:highlight w:val="none"/>
          <w:u w:val="none"/>
          <w:lang w:val="en-US" w:eastAsia="zh-CN"/>
        </w:rPr>
        <w:t>基本情况分析</w:t>
      </w:r>
      <w:r>
        <w:rPr>
          <w:rStyle w:val="42"/>
          <w:rFonts w:hint="eastAsia" w:ascii="宋体" w:hAnsi="宋体" w:eastAsia="宋体" w:cs="宋体"/>
          <w:color w:val="auto"/>
          <w:sz w:val="21"/>
          <w:szCs w:val="21"/>
          <w:highlight w:val="none"/>
          <w:u w:val="none"/>
          <w:lang w:eastAsia="zh-CN"/>
        </w:rPr>
        <w:t>；</w:t>
      </w:r>
    </w:p>
    <w:p w14:paraId="0790230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w:t>
      </w:r>
      <w:r>
        <w:rPr>
          <w:rFonts w:hint="eastAsia" w:ascii="宋体" w:hAnsi="宋体" w:eastAsia="宋体" w:cs="宋体"/>
          <w:bCs/>
          <w:sz w:val="21"/>
          <w:szCs w:val="21"/>
        </w:rPr>
        <w:t>方案思路</w:t>
      </w:r>
      <w:r>
        <w:rPr>
          <w:rStyle w:val="42"/>
          <w:rFonts w:hint="eastAsia" w:ascii="宋体" w:hAnsi="宋体" w:eastAsia="宋体" w:cs="宋体"/>
          <w:color w:val="auto"/>
          <w:sz w:val="21"/>
          <w:szCs w:val="21"/>
          <w:highlight w:val="none"/>
          <w:u w:val="none"/>
          <w:lang w:val="en-US" w:eastAsia="zh-CN"/>
        </w:rPr>
        <w:t>；</w:t>
      </w:r>
    </w:p>
    <w:p w14:paraId="48ABAF1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eastAsia="zh-CN"/>
        </w:rPr>
        <w:t>）</w:t>
      </w:r>
      <w:r>
        <w:rPr>
          <w:rFonts w:hint="eastAsia" w:ascii="宋体" w:hAnsi="宋体" w:eastAsia="宋体" w:cs="宋体"/>
          <w:bCs/>
          <w:sz w:val="21"/>
          <w:szCs w:val="21"/>
        </w:rPr>
        <w:t>方案内容</w:t>
      </w:r>
      <w:r>
        <w:rPr>
          <w:rFonts w:hint="eastAsia" w:ascii="宋体" w:hAnsi="宋体" w:eastAsia="宋体" w:cs="宋体"/>
          <w:szCs w:val="21"/>
          <w:highlight w:val="none"/>
          <w:lang w:val="en-US" w:eastAsia="zh-CN"/>
        </w:rPr>
        <w:t>；</w:t>
      </w:r>
    </w:p>
    <w:p w14:paraId="6C1BA3D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zh-CN"/>
        </w:rPr>
        <w:t>）</w:t>
      </w:r>
      <w:r>
        <w:rPr>
          <w:rFonts w:hint="eastAsia" w:ascii="宋体" w:hAnsi="宋体" w:eastAsia="宋体" w:cs="宋体"/>
          <w:bCs/>
          <w:sz w:val="21"/>
          <w:szCs w:val="21"/>
        </w:rPr>
        <w:t>进度计划</w:t>
      </w:r>
      <w:r>
        <w:rPr>
          <w:rFonts w:hint="eastAsia" w:ascii="宋体" w:hAnsi="宋体" w:eastAsia="宋体" w:cs="宋体"/>
          <w:szCs w:val="21"/>
          <w:highlight w:val="none"/>
          <w:lang w:val="en-US" w:eastAsia="zh-CN"/>
        </w:rPr>
        <w:t>；</w:t>
      </w:r>
    </w:p>
    <w:p w14:paraId="10F9ECD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lang w:eastAsia="zh-CN"/>
        </w:rPr>
        <w:t>）</w:t>
      </w:r>
      <w:r>
        <w:rPr>
          <w:rFonts w:hint="eastAsia" w:ascii="宋体" w:hAnsi="宋体" w:eastAsia="宋体" w:cs="宋体"/>
          <w:bCs/>
          <w:sz w:val="21"/>
          <w:szCs w:val="21"/>
        </w:rPr>
        <w:t>质量保证</w:t>
      </w:r>
      <w:r>
        <w:rPr>
          <w:rFonts w:hint="eastAsia" w:ascii="宋体" w:hAnsi="宋体" w:eastAsia="宋体" w:cs="宋体"/>
          <w:szCs w:val="21"/>
          <w:highlight w:val="none"/>
          <w:lang w:val="en-US" w:eastAsia="zh-CN"/>
        </w:rPr>
        <w:t>；</w:t>
      </w:r>
    </w:p>
    <w:p w14:paraId="09C148A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12</w:t>
      </w:r>
      <w:r>
        <w:rPr>
          <w:rFonts w:hint="eastAsia" w:ascii="宋体" w:hAnsi="宋体" w:eastAsia="宋体" w:cs="宋体"/>
          <w:szCs w:val="21"/>
          <w:highlight w:val="none"/>
          <w:lang w:eastAsia="zh-CN"/>
        </w:rPr>
        <w:t>）</w:t>
      </w:r>
      <w:r>
        <w:rPr>
          <w:rFonts w:hint="eastAsia" w:ascii="宋体" w:hAnsi="宋体" w:eastAsia="宋体" w:cs="宋体"/>
          <w:bCs/>
          <w:sz w:val="21"/>
          <w:szCs w:val="21"/>
        </w:rPr>
        <w:t>服务承诺</w:t>
      </w:r>
      <w:r>
        <w:rPr>
          <w:rFonts w:hint="eastAsia" w:ascii="宋体" w:hAnsi="宋体" w:eastAsia="宋体" w:cs="宋体"/>
          <w:bCs/>
          <w:sz w:val="21"/>
          <w:szCs w:val="21"/>
          <w:lang w:eastAsia="zh-CN"/>
        </w:rPr>
        <w:t>；</w:t>
      </w:r>
    </w:p>
    <w:p w14:paraId="4561ACB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lang w:eastAsia="zh-CN"/>
        </w:rPr>
        <w:t>）</w:t>
      </w:r>
      <w:r>
        <w:rPr>
          <w:rFonts w:hint="eastAsia" w:ascii="宋体" w:hAnsi="宋体" w:eastAsia="宋体" w:cs="宋体"/>
          <w:color w:val="000000"/>
          <w:kern w:val="2"/>
          <w:szCs w:val="21"/>
          <w:highlight w:val="none"/>
        </w:rPr>
        <w:t>拟投</w:t>
      </w:r>
      <w:r>
        <w:rPr>
          <w:rFonts w:hint="eastAsia" w:ascii="宋体" w:hAnsi="宋体" w:eastAsia="宋体" w:cs="宋体"/>
          <w:color w:val="000000"/>
          <w:szCs w:val="21"/>
          <w:highlight w:val="none"/>
        </w:rPr>
        <w:t>入实施的团队人员配置（格式见第六章）</w:t>
      </w:r>
      <w:r>
        <w:rPr>
          <w:rFonts w:hint="eastAsia" w:ascii="宋体" w:hAnsi="宋体" w:eastAsia="宋体" w:cs="宋体"/>
          <w:color w:val="000000"/>
          <w:szCs w:val="21"/>
          <w:highlight w:val="none"/>
          <w:lang w:val="en-US" w:eastAsia="zh-CN"/>
        </w:rPr>
        <w:t>；</w:t>
      </w:r>
    </w:p>
    <w:p w14:paraId="51010A1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14</w:t>
      </w:r>
      <w:r>
        <w:rPr>
          <w:rFonts w:hint="eastAsia" w:ascii="宋体" w:hAnsi="宋体" w:eastAsia="宋体" w:cs="宋体"/>
          <w:szCs w:val="21"/>
          <w:highlight w:val="none"/>
          <w:lang w:eastAsia="zh-CN"/>
        </w:rPr>
        <w:t>）</w:t>
      </w:r>
      <w:r>
        <w:rPr>
          <w:rFonts w:hint="eastAsia" w:ascii="宋体" w:hAnsi="宋体" w:eastAsia="宋体" w:cs="宋体"/>
          <w:color w:val="000000"/>
          <w:szCs w:val="21"/>
          <w:highlight w:val="none"/>
        </w:rPr>
        <w:t>商务响应表（格式见第六章）；</w:t>
      </w:r>
    </w:p>
    <w:p w14:paraId="135A724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lang w:eastAsia="zh-CN"/>
        </w:rPr>
        <w:t>）</w:t>
      </w:r>
      <w:r>
        <w:rPr>
          <w:rFonts w:hint="eastAsia" w:ascii="宋体" w:hAnsi="宋体" w:eastAsia="宋体" w:cs="宋体"/>
          <w:color w:val="000000"/>
          <w:szCs w:val="21"/>
          <w:highlight w:val="none"/>
        </w:rPr>
        <w:t>同类项目实施情况一览表（格式见第六章）；</w:t>
      </w:r>
    </w:p>
    <w:p w14:paraId="1A3B534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00" w:lineRule="exact"/>
        <w:ind w:leftChars="0"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16</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根据评分表及项目需求情况，自行添加相关表格及资料</w:t>
      </w:r>
      <w:r>
        <w:rPr>
          <w:rFonts w:hint="eastAsia" w:ascii="宋体" w:hAnsi="宋体" w:eastAsia="宋体" w:cs="宋体"/>
          <w:color w:val="000000"/>
          <w:szCs w:val="21"/>
          <w:highlight w:val="none"/>
          <w:lang w:eastAsia="zh-CN"/>
        </w:rPr>
        <w:t>。</w:t>
      </w:r>
    </w:p>
    <w:p w14:paraId="25331165">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68CA4C32">
      <w:pPr>
        <w:numPr>
          <w:ilvl w:val="0"/>
          <w:numId w:val="0"/>
        </w:numPr>
        <w:shd w:val="clear"/>
        <w:tabs>
          <w:tab w:val="left" w:pos="533"/>
        </w:tabs>
        <w:adjustRightInd w:val="0"/>
        <w:snapToGrid w:val="0"/>
        <w:spacing w:line="360" w:lineRule="exact"/>
        <w:ind w:left="113" w:firstLine="0"/>
        <w:jc w:val="left"/>
        <w:rPr>
          <w:rFonts w:hint="eastAsia" w:ascii="宋体" w:hAnsi="宋体" w:eastAsia="宋体" w:cs="宋体"/>
          <w:szCs w:val="24"/>
          <w:highlight w:val="none"/>
        </w:rPr>
      </w:pPr>
    </w:p>
    <w:p w14:paraId="101591D6">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17DC409B">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bookmarkStart w:id="225" w:name="_GoBack"/>
    </w:p>
    <w:bookmarkEnd w:id="225"/>
    <w:p w14:paraId="2F0D9B57">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69ED0888">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8D79EAC">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2F9452B4">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70D855C">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1C9DDCAF">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4EEBBF0C">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60D3E81">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EE970CA">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78E3217">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2104A589">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73698B08">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p>
    <w:p w14:paraId="4BCA2FE0">
      <w:pPr>
        <w:pStyle w:val="13"/>
        <w:shd w:val="clear"/>
        <w:ind w:left="0" w:leftChars="0" w:firstLine="0" w:firstLineChars="0"/>
        <w:rPr>
          <w:rFonts w:hint="eastAsia"/>
          <w:highlight w:val="none"/>
        </w:rPr>
      </w:pPr>
    </w:p>
    <w:p w14:paraId="75EF7641">
      <w:pPr>
        <w:pStyle w:val="26"/>
        <w:rPr>
          <w:rFonts w:hint="eastAsia"/>
          <w:highlight w:val="none"/>
        </w:rPr>
      </w:pPr>
    </w:p>
    <w:p w14:paraId="3DDE8D21">
      <w:pPr>
        <w:rPr>
          <w:rFonts w:hint="eastAsia"/>
          <w:highlight w:val="none"/>
        </w:rPr>
      </w:pPr>
    </w:p>
    <w:p w14:paraId="0F41FB93">
      <w:pPr>
        <w:numPr>
          <w:ilvl w:val="0"/>
          <w:numId w:val="0"/>
        </w:numPr>
        <w:shd w:val="clear"/>
        <w:tabs>
          <w:tab w:val="left" w:pos="533"/>
        </w:tabs>
        <w:adjustRightInd w:val="0"/>
        <w:snapToGrid w:val="0"/>
        <w:spacing w:line="360" w:lineRule="exact"/>
        <w:ind w:left="113" w:firstLine="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、投标函格式</w:t>
      </w:r>
    </w:p>
    <w:p w14:paraId="13E2E41A">
      <w:pPr>
        <w:shd w:val="clear"/>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投 标 函</w:t>
      </w:r>
    </w:p>
    <w:p w14:paraId="76D061BE">
      <w:pPr>
        <w:shd w:val="clea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致：</w:t>
      </w:r>
      <w:r>
        <w:rPr>
          <w:rFonts w:hint="eastAsia" w:ascii="宋体" w:hAnsi="宋体" w:cs="宋体"/>
          <w:color w:val="auto"/>
          <w:szCs w:val="21"/>
          <w:highlight w:val="none"/>
          <w:u w:val="single"/>
          <w:lang w:eastAsia="zh-CN"/>
        </w:rPr>
        <w:t>安吉县住房和城乡建设局</w:t>
      </w:r>
      <w:r>
        <w:rPr>
          <w:rFonts w:hint="eastAsia" w:ascii="宋体" w:hAnsi="宋体" w:cs="宋体"/>
          <w:color w:val="auto"/>
          <w:szCs w:val="21"/>
          <w:highlight w:val="none"/>
          <w:u w:val="single"/>
        </w:rPr>
        <w:t>：</w:t>
      </w:r>
    </w:p>
    <w:p w14:paraId="3058FEEA">
      <w:pPr>
        <w:shd w:val="clear"/>
        <w:spacing w:line="420" w:lineRule="exact"/>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湖州盛远招标代理有限公司</w:t>
      </w:r>
      <w:r>
        <w:rPr>
          <w:rFonts w:hint="eastAsia" w:ascii="宋体" w:hAnsi="宋体" w:cs="宋体"/>
          <w:color w:val="auto"/>
          <w:szCs w:val="21"/>
          <w:highlight w:val="none"/>
          <w:u w:val="single"/>
        </w:rPr>
        <w:t>：</w:t>
      </w:r>
    </w:p>
    <w:p w14:paraId="783DCC3E">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根据已收到贵方的招标文件编号</w:t>
      </w:r>
      <w:r>
        <w:rPr>
          <w:rFonts w:hint="eastAsia" w:ascii="宋体" w:hAnsi="宋体" w:cs="宋体"/>
          <w:color w:val="auto"/>
          <w:szCs w:val="21"/>
          <w:highlight w:val="none"/>
          <w:u w:val="single"/>
          <w:lang w:eastAsia="zh-CN"/>
        </w:rPr>
        <w:t>HZSY20240930</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2024年度第二批未来社区创建实施方案编制服务采购项目</w:t>
      </w:r>
      <w:r>
        <w:rPr>
          <w:rFonts w:hint="eastAsia" w:ascii="宋体" w:hAnsi="宋体" w:cs="宋体"/>
          <w:color w:val="auto"/>
          <w:szCs w:val="21"/>
          <w:highlight w:val="none"/>
          <w:u w:val="single"/>
        </w:rPr>
        <w:t>》</w:t>
      </w:r>
      <w:r>
        <w:rPr>
          <w:rFonts w:hint="eastAsia" w:ascii="宋体" w:hAnsi="宋体" w:cs="宋体"/>
          <w:color w:val="auto"/>
          <w:szCs w:val="21"/>
          <w:highlight w:val="none"/>
        </w:rPr>
        <w:t>招标文件，正式授权下述签字人：</w:t>
      </w:r>
      <w:r>
        <w:rPr>
          <w:rFonts w:hint="eastAsia" w:ascii="宋体" w:hAnsi="宋体" w:cs="宋体"/>
          <w:color w:val="auto"/>
          <w:szCs w:val="21"/>
          <w:highlight w:val="none"/>
          <w:u w:val="single"/>
        </w:rPr>
        <w:t>（姓名和职务）</w:t>
      </w:r>
      <w:r>
        <w:rPr>
          <w:rFonts w:hint="eastAsia" w:ascii="宋体" w:hAnsi="宋体" w:cs="宋体"/>
          <w:color w:val="auto"/>
          <w:szCs w:val="21"/>
          <w:highlight w:val="none"/>
        </w:rPr>
        <w:t>为我公司在职职工，代表</w:t>
      </w:r>
      <w:r>
        <w:rPr>
          <w:rFonts w:hint="eastAsia" w:ascii="宋体" w:hAnsi="宋体" w:cs="宋体"/>
          <w:color w:val="auto"/>
          <w:szCs w:val="21"/>
          <w:highlight w:val="none"/>
          <w:u w:val="single"/>
        </w:rPr>
        <w:t xml:space="preserve"> 投标人（即投标单位）</w:t>
      </w:r>
      <w:r>
        <w:rPr>
          <w:rFonts w:hint="eastAsia" w:ascii="宋体" w:hAnsi="宋体" w:cs="宋体"/>
          <w:color w:val="auto"/>
          <w:szCs w:val="21"/>
          <w:highlight w:val="none"/>
        </w:rPr>
        <w:t>，按招标文件要求提交投标文件。</w:t>
      </w:r>
    </w:p>
    <w:p w14:paraId="18498566">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14:paraId="0431ADFB">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2FE37845">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2、投标人在投标之前已经与贵方进行了充分的沟通，完全理解并接受招标文件的各项规定和要求，对招标文件的合理性、合法性不再有异议。</w:t>
      </w:r>
    </w:p>
    <w:p w14:paraId="091FCC15">
      <w:pPr>
        <w:shd w:val="clear"/>
        <w:adjustRightInd w:val="0"/>
        <w:snapToGrid w:val="0"/>
        <w:spacing w:line="420" w:lineRule="exact"/>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3. 本投标有效期自开标日起</w:t>
      </w:r>
      <w:r>
        <w:rPr>
          <w:rFonts w:hint="eastAsia" w:ascii="宋体" w:hAnsi="宋体" w:cs="宋体"/>
          <w:color w:val="auto"/>
          <w:szCs w:val="21"/>
          <w:highlight w:val="none"/>
          <w:u w:val="single"/>
        </w:rPr>
        <w:t xml:space="preserve"> 90个</w:t>
      </w:r>
      <w:r>
        <w:rPr>
          <w:rFonts w:hint="eastAsia" w:ascii="宋体" w:hAnsi="宋体" w:cs="宋体"/>
          <w:color w:val="auto"/>
          <w:szCs w:val="21"/>
          <w:highlight w:val="none"/>
        </w:rPr>
        <w:t>日历天；</w:t>
      </w:r>
    </w:p>
    <w:p w14:paraId="32E02A09">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我单位同意提供采购人和采购代理机构可能另外要求的与其招标有关的任何数据或资料；</w:t>
      </w:r>
    </w:p>
    <w:p w14:paraId="353DDD44">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我单位同意按照招标文件中规定的服务期限如期提供服务；</w:t>
      </w:r>
    </w:p>
    <w:p w14:paraId="36257B8A">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我单位保证所供服务项目质量符合国家强制性规范和标准，达到招标文件规定的要求；</w:t>
      </w:r>
    </w:p>
    <w:p w14:paraId="2104324C">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 我单位同意所提交的投标文件在招标有效期内有效，在此期间我方的投标有可能中标，我方将受此约束；</w:t>
      </w:r>
    </w:p>
    <w:p w14:paraId="536D1501">
      <w:pPr>
        <w:shd w:val="clea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 除非另外达成协议并生效，招标文件、招标文件补充、修改通知、技术规范、中标通知书和本投标文件将构成约束我们双方的合同。</w:t>
      </w:r>
    </w:p>
    <w:p w14:paraId="26F83313">
      <w:pPr>
        <w:shd w:val="clear"/>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 与本次投标有关的一切正式往来函件信息如下：</w:t>
      </w:r>
    </w:p>
    <w:p w14:paraId="5BF408DB">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电子邮箱：</w:t>
      </w:r>
      <w:r>
        <w:rPr>
          <w:rFonts w:hint="eastAsia" w:ascii="宋体" w:hAnsi="宋体" w:cs="宋体"/>
          <w:color w:val="auto"/>
          <w:szCs w:val="21"/>
          <w:highlight w:val="none"/>
          <w:u w:val="single"/>
        </w:rPr>
        <w:t xml:space="preserve">            </w:t>
      </w:r>
    </w:p>
    <w:p w14:paraId="5E2B5B68">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邮编：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 </w:t>
      </w:r>
      <w:r>
        <w:rPr>
          <w:rFonts w:hint="eastAsia" w:ascii="宋体" w:hAnsi="宋体" w:cs="宋体"/>
          <w:color w:val="auto"/>
          <w:szCs w:val="21"/>
          <w:highlight w:val="none"/>
          <w:u w:val="single"/>
        </w:rPr>
        <w:t xml:space="preserve">     </w:t>
      </w:r>
    </w:p>
    <w:p w14:paraId="5516679A">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银行帐号：</w:t>
      </w:r>
      <w:r>
        <w:rPr>
          <w:rFonts w:hint="eastAsia" w:ascii="宋体" w:hAnsi="宋体" w:cs="宋体"/>
          <w:color w:val="auto"/>
          <w:szCs w:val="21"/>
          <w:highlight w:val="none"/>
          <w:u w:val="single"/>
        </w:rPr>
        <w:t xml:space="preserve">         </w:t>
      </w:r>
    </w:p>
    <w:p w14:paraId="4018E653">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投标人代表姓名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37D0DB8A">
      <w:pPr>
        <w:shd w:val="clear"/>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58320EE9">
      <w:pPr>
        <w:pStyle w:val="15"/>
        <w:shd w:val="clear"/>
        <w:tabs>
          <w:tab w:val="left" w:pos="939"/>
        </w:tabs>
        <w:snapToGrid w:val="0"/>
        <w:spacing w:line="420" w:lineRule="exact"/>
        <w:ind w:left="0" w:leftChars="0" w:firstLine="420" w:firstLineChars="200"/>
        <w:rPr>
          <w:rFonts w:hint="eastAsia" w:ascii="宋体" w:hAnsi="宋体" w:cs="宋体"/>
          <w:color w:val="auto"/>
          <w:szCs w:val="21"/>
          <w:highlight w:val="none"/>
        </w:rPr>
      </w:pPr>
    </w:p>
    <w:p w14:paraId="0616F83E">
      <w:pPr>
        <w:pStyle w:val="15"/>
        <w:shd w:val="clear"/>
        <w:tabs>
          <w:tab w:val="left" w:pos="939"/>
        </w:tabs>
        <w:snapToGrid w:val="0"/>
        <w:spacing w:line="420" w:lineRule="exact"/>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投标人全称（公章）：</w:t>
      </w:r>
    </w:p>
    <w:p w14:paraId="6681DFA4">
      <w:pPr>
        <w:shd w:val="clear"/>
        <w:ind w:firstLine="420" w:firstLineChars="200"/>
        <w:rPr>
          <w:rFonts w:hint="eastAsia" w:ascii="宋体" w:hAnsi="宋体" w:cs="宋体"/>
          <w:color w:val="auto"/>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p>
    <w:p w14:paraId="529613DD">
      <w:pPr>
        <w:shd w:val="clear"/>
        <w:adjustRightInd w:val="0"/>
        <w:snapToGrid w:val="0"/>
        <w:rPr>
          <w:rFonts w:hint="eastAsia" w:ascii="宋体" w:hAnsi="宋体" w:cs="宋体"/>
          <w:color w:val="auto"/>
          <w:sz w:val="24"/>
          <w:highlight w:val="none"/>
        </w:rPr>
      </w:pPr>
    </w:p>
    <w:p w14:paraId="4F3C5031">
      <w:pPr>
        <w:shd w:val="clear"/>
        <w:adjustRightInd w:val="0"/>
        <w:snapToGrid w:val="0"/>
        <w:rPr>
          <w:rFonts w:hint="eastAsia" w:ascii="宋体" w:hAnsi="宋体" w:cs="宋体"/>
          <w:color w:val="auto"/>
          <w:sz w:val="24"/>
          <w:highlight w:val="none"/>
        </w:rPr>
      </w:pPr>
    </w:p>
    <w:p w14:paraId="1864E7EC">
      <w:pPr>
        <w:shd w:val="clear"/>
        <w:adjustRightInd w:val="0"/>
        <w:snapToGrid w:val="0"/>
        <w:rPr>
          <w:rFonts w:hint="eastAsia" w:ascii="宋体" w:hAnsi="宋体" w:cs="宋体"/>
          <w:color w:val="auto"/>
          <w:sz w:val="24"/>
          <w:highlight w:val="none"/>
        </w:rPr>
      </w:pPr>
    </w:p>
    <w:p w14:paraId="6963C002">
      <w:pPr>
        <w:shd w:val="clear"/>
        <w:adjustRightInd w:val="0"/>
        <w:snapToGrid w:val="0"/>
        <w:rPr>
          <w:rFonts w:hint="eastAsia" w:ascii="宋体" w:hAnsi="宋体" w:cs="宋体"/>
          <w:color w:val="auto"/>
          <w:sz w:val="24"/>
          <w:highlight w:val="none"/>
        </w:rPr>
      </w:pPr>
    </w:p>
    <w:p w14:paraId="7AF7E225">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、法定代表人身份证明书格式</w:t>
      </w:r>
    </w:p>
    <w:p w14:paraId="0B236E58">
      <w:pPr>
        <w:shd w:val="clear"/>
        <w:adjustRightInd w:val="0"/>
        <w:snapToGrid w:val="0"/>
        <w:jc w:val="center"/>
        <w:rPr>
          <w:rFonts w:hint="eastAsia" w:ascii="宋体" w:hAnsi="宋体" w:cs="宋体"/>
          <w:b/>
          <w:color w:val="auto"/>
          <w:sz w:val="36"/>
          <w:szCs w:val="36"/>
          <w:highlight w:val="none"/>
        </w:rPr>
      </w:pPr>
    </w:p>
    <w:p w14:paraId="188D512E">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14:paraId="2070B86B">
      <w:pPr>
        <w:shd w:val="clear"/>
        <w:spacing w:line="480" w:lineRule="auto"/>
        <w:ind w:firstLine="403" w:firstLineChars="192"/>
        <w:rPr>
          <w:rFonts w:hint="eastAsia" w:ascii="宋体" w:hAnsi="宋体" w:cs="宋体"/>
          <w:color w:val="auto"/>
          <w:szCs w:val="21"/>
          <w:highlight w:val="none"/>
        </w:rPr>
      </w:pPr>
    </w:p>
    <w:p w14:paraId="6C340A50">
      <w:pPr>
        <w:shd w:val="clear"/>
        <w:adjustRightInd w:val="0"/>
        <w:snapToGrid w:val="0"/>
        <w:jc w:val="left"/>
        <w:rPr>
          <w:rFonts w:hint="eastAsia" w:ascii="宋体" w:hAnsi="宋体" w:cs="宋体"/>
          <w:color w:val="auto"/>
          <w:sz w:val="24"/>
          <w:highlight w:val="none"/>
          <w:u w:val="single"/>
        </w:rPr>
      </w:pPr>
      <w:bookmarkStart w:id="201" w:name="_Toc24953114"/>
      <w:r>
        <w:rPr>
          <w:rFonts w:hint="eastAsia" w:ascii="宋体" w:hAnsi="宋体" w:cs="宋体"/>
          <w:color w:val="auto"/>
          <w:sz w:val="24"/>
          <w:highlight w:val="none"/>
          <w:u w:val="single"/>
        </w:rPr>
        <w:t>致</w:t>
      </w:r>
      <w:r>
        <w:rPr>
          <w:rFonts w:hint="eastAsia" w:ascii="宋体" w:hAnsi="宋体" w:cs="宋体"/>
          <w:color w:val="auto"/>
          <w:sz w:val="24"/>
          <w:highlight w:val="none"/>
          <w:u w:val="single"/>
          <w:lang w:eastAsia="zh-CN"/>
        </w:rPr>
        <w:t>安吉县住房和城乡建设局</w:t>
      </w:r>
      <w:r>
        <w:rPr>
          <w:rFonts w:hint="eastAsia" w:ascii="宋体" w:hAnsi="宋体" w:cs="宋体"/>
          <w:color w:val="auto"/>
          <w:sz w:val="24"/>
          <w:highlight w:val="none"/>
          <w:u w:val="single"/>
        </w:rPr>
        <w:t>：</w:t>
      </w:r>
    </w:p>
    <w:p w14:paraId="0EAA76D4">
      <w:pPr>
        <w:shd w:val="clear"/>
        <w:adjustRightInd w:val="0"/>
        <w:snapToGrid w:val="0"/>
        <w:jc w:val="left"/>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湖州盛远招标代理有限公司</w:t>
      </w:r>
      <w:r>
        <w:rPr>
          <w:rFonts w:hint="eastAsia" w:ascii="宋体" w:hAnsi="宋体" w:cs="宋体"/>
          <w:color w:val="auto"/>
          <w:sz w:val="24"/>
          <w:highlight w:val="none"/>
          <w:u w:val="single"/>
        </w:rPr>
        <w:t>：</w:t>
      </w:r>
    </w:p>
    <w:p w14:paraId="41226E44">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CD521CA">
      <w:pPr>
        <w:shd w:val="clear"/>
        <w:adjustRightInd w:val="0"/>
        <w:snapToGrid w:val="0"/>
        <w:ind w:firstLine="600" w:firstLineChars="250"/>
        <w:jc w:val="left"/>
        <w:rPr>
          <w:rFonts w:hint="eastAsia" w:ascii="宋体" w:hAnsi="宋体" w:cs="宋体"/>
          <w:color w:val="auto"/>
          <w:sz w:val="24"/>
          <w:highlight w:val="none"/>
          <w:u w:val="single"/>
        </w:rPr>
      </w:pPr>
      <w:r>
        <w:rPr>
          <w:rFonts w:hint="eastAsia" w:ascii="宋体" w:hAnsi="宋体" w:cs="宋体"/>
          <w:color w:val="auto"/>
          <w:sz w:val="24"/>
          <w:highlight w:val="none"/>
        </w:rPr>
        <w:t xml:space="preserve"> 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，性别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，是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的法定代表人。联系电话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传真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通讯地址：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DB3C0F">
      <w:pPr>
        <w:shd w:val="clear"/>
        <w:adjustRightInd w:val="0"/>
        <w:snapToGrid w:val="0"/>
        <w:jc w:val="center"/>
        <w:rPr>
          <w:rFonts w:hint="eastAsia" w:ascii="宋体" w:hAnsi="宋体" w:cs="宋体"/>
          <w:color w:val="auto"/>
          <w:sz w:val="24"/>
          <w:highlight w:val="none"/>
        </w:rPr>
      </w:pPr>
    </w:p>
    <w:p w14:paraId="07D62D8C">
      <w:pPr>
        <w:shd w:val="clea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特此证明</w:t>
      </w:r>
    </w:p>
    <w:p w14:paraId="32742EBA">
      <w:pPr>
        <w:shd w:val="clear"/>
        <w:adjustRightInd w:val="0"/>
        <w:snapToGrid w:val="0"/>
        <w:jc w:val="center"/>
        <w:rPr>
          <w:rFonts w:hint="eastAsia" w:ascii="宋体" w:hAnsi="宋体" w:cs="宋体"/>
          <w:color w:val="auto"/>
          <w:sz w:val="24"/>
          <w:highlight w:val="none"/>
        </w:rPr>
      </w:pPr>
    </w:p>
    <w:p w14:paraId="3DBFE19A">
      <w:pPr>
        <w:shd w:val="clea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 xml:space="preserve">                      投标人全称：（公章）</w:t>
      </w:r>
      <w:r>
        <w:rPr>
          <w:rFonts w:hint="eastAsia" w:ascii="宋体" w:hAnsi="宋体" w:cs="宋体"/>
          <w:color w:val="auto"/>
          <w:sz w:val="24"/>
          <w:highlight w:val="none"/>
          <w:u w:val="single"/>
        </w:rPr>
        <w:t xml:space="preserve">              </w:t>
      </w:r>
    </w:p>
    <w:p w14:paraId="6EB02399">
      <w:pPr>
        <w:shd w:val="clear"/>
        <w:wordWrap w:val="0"/>
        <w:adjustRightInd w:val="0"/>
        <w:snapToGrid w:val="0"/>
        <w:jc w:val="right"/>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日</w:t>
      </w:r>
    </w:p>
    <w:p w14:paraId="38B92B1B">
      <w:pPr>
        <w:shd w:val="clear"/>
        <w:adjustRightInd w:val="0"/>
        <w:snapToGrid w:val="0"/>
        <w:jc w:val="right"/>
        <w:rPr>
          <w:rFonts w:hint="eastAsia" w:ascii="宋体" w:hAnsi="宋体" w:cs="宋体"/>
          <w:color w:val="auto"/>
          <w:sz w:val="24"/>
          <w:highlight w:val="none"/>
          <w:u w:val="single"/>
        </w:rPr>
      </w:pPr>
    </w:p>
    <w:p w14:paraId="47229571">
      <w:pPr>
        <w:shd w:val="clear"/>
        <w:adjustRightInd w:val="0"/>
        <w:snapToGrid w:val="0"/>
        <w:jc w:val="right"/>
        <w:rPr>
          <w:rFonts w:hint="eastAsia" w:ascii="宋体" w:hAnsi="宋体" w:cs="宋体"/>
          <w:color w:val="auto"/>
          <w:sz w:val="24"/>
          <w:highlight w:val="none"/>
          <w:u w:val="single"/>
        </w:rPr>
      </w:pPr>
    </w:p>
    <w:p w14:paraId="4B269907">
      <w:pPr>
        <w:shd w:val="clear"/>
        <w:adjustRightInd w:val="0"/>
        <w:snapToGrid w:val="0"/>
        <w:jc w:val="right"/>
        <w:rPr>
          <w:rFonts w:hint="eastAsia" w:ascii="宋体" w:hAnsi="宋体" w:cs="宋体"/>
          <w:color w:val="auto"/>
          <w:sz w:val="24"/>
          <w:highlight w:val="none"/>
        </w:rPr>
      </w:pPr>
      <w:r>
        <w:rPr>
          <w:rFonts w:hint="eastAsia" w:ascii="宋体" w:hAnsi="宋体" w:cs="宋体"/>
          <w:color w:val="auto"/>
          <w:sz w:val="24"/>
          <w:highlight w:val="none"/>
        </w:rPr>
        <w:t>---------------------------------------------------------------------------</w:t>
      </w:r>
    </w:p>
    <w:p w14:paraId="3AB3AFE2">
      <w:pPr>
        <w:shd w:val="clear"/>
        <w:adjustRightInd w:val="0"/>
        <w:snapToGrid w:val="0"/>
        <w:jc w:val="center"/>
        <w:rPr>
          <w:rFonts w:hint="eastAsia" w:ascii="宋体" w:hAnsi="宋体" w:cs="宋体"/>
          <w:color w:val="auto"/>
          <w:sz w:val="24"/>
          <w:highlight w:val="none"/>
        </w:rPr>
      </w:pPr>
    </w:p>
    <w:p w14:paraId="40FB071F">
      <w:pPr>
        <w:shd w:val="clea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法定代表人身份证复印件黏贴处</w:t>
      </w:r>
    </w:p>
    <w:p w14:paraId="216B02D0">
      <w:pPr>
        <w:shd w:val="clear"/>
        <w:adjustRightInd w:val="0"/>
        <w:snapToGrid w:val="0"/>
        <w:rPr>
          <w:rFonts w:hint="eastAsia" w:ascii="宋体" w:hAnsi="宋体" w:cs="宋体"/>
          <w:color w:val="auto"/>
          <w:sz w:val="24"/>
          <w:highlight w:val="none"/>
          <w:u w:val="single"/>
        </w:rPr>
      </w:pPr>
      <w:r>
        <w:rPr>
          <w:rFonts w:hint="eastAsia" w:ascii="宋体" w:hAnsi="宋体" w:cs="宋体"/>
          <w:bCs/>
          <w:color w:val="auto"/>
          <w:sz w:val="24"/>
          <w:highlight w:val="none"/>
        </w:rPr>
        <w:br w:type="page"/>
      </w:r>
      <w:bookmarkEnd w:id="201"/>
      <w:bookmarkStart w:id="202" w:name="_Toc251602206"/>
      <w:bookmarkStart w:id="203" w:name="_Toc251601951"/>
      <w:r>
        <w:rPr>
          <w:rFonts w:hint="eastAsia" w:ascii="宋体" w:hAnsi="宋体" w:cs="宋体"/>
          <w:bCs/>
          <w:color w:val="auto"/>
          <w:sz w:val="24"/>
          <w:highlight w:val="none"/>
          <w:lang w:val="en-US" w:eastAsia="zh-CN"/>
        </w:rPr>
        <w:t>5</w:t>
      </w:r>
      <w:r>
        <w:rPr>
          <w:rFonts w:hint="eastAsia" w:ascii="宋体" w:hAnsi="宋体" w:cs="宋体"/>
          <w:color w:val="auto"/>
          <w:sz w:val="24"/>
          <w:highlight w:val="none"/>
        </w:rPr>
        <w:t>、法定代表人授权委托书格式</w:t>
      </w:r>
    </w:p>
    <w:p w14:paraId="0EED711B">
      <w:pPr>
        <w:shd w:val="clear"/>
        <w:spacing w:line="360" w:lineRule="auto"/>
        <w:jc w:val="center"/>
        <w:rPr>
          <w:rFonts w:hint="eastAsia" w:ascii="宋体" w:hAnsi="宋体" w:cs="宋体"/>
          <w:b/>
          <w:color w:val="auto"/>
          <w:sz w:val="28"/>
          <w:szCs w:val="28"/>
          <w:highlight w:val="none"/>
        </w:rPr>
      </w:pPr>
    </w:p>
    <w:p w14:paraId="2F48B14B">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bookmarkEnd w:id="202"/>
      <w:bookmarkEnd w:id="203"/>
    </w:p>
    <w:p w14:paraId="6072861F">
      <w:pPr>
        <w:shd w:val="clear"/>
        <w:spacing w:line="360" w:lineRule="auto"/>
        <w:jc w:val="center"/>
        <w:rPr>
          <w:rFonts w:hint="eastAsia" w:ascii="宋体" w:hAnsi="宋体" w:cs="宋体"/>
          <w:b/>
          <w:color w:val="auto"/>
          <w:sz w:val="28"/>
          <w:szCs w:val="28"/>
          <w:highlight w:val="none"/>
        </w:rPr>
      </w:pPr>
    </w:p>
    <w:p w14:paraId="7FCFE432">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本授权委托书声明: 我 </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为我公司授权代表，以本公司的名义参加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安吉县住房和城乡建设局</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2024年度第二批未来社区创建实施方案编制服务采购项目</w:t>
      </w:r>
      <w:r>
        <w:rPr>
          <w:rFonts w:hint="eastAsia" w:ascii="宋体" w:hAnsi="宋体" w:cs="宋体"/>
          <w:color w:val="auto"/>
          <w:szCs w:val="21"/>
          <w:highlight w:val="none"/>
        </w:rPr>
        <w:t>的投标活动。授权代表在开标、询标、合同招标过程中所签署的一切文件和处理与之有关的一切事务，我均予以承认。</w:t>
      </w:r>
    </w:p>
    <w:p w14:paraId="49B6544F">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授权代表无转委托权。特此委托。</w:t>
      </w:r>
    </w:p>
    <w:p w14:paraId="2F638E79">
      <w:pPr>
        <w:pStyle w:val="18"/>
        <w:shd w:val="clear"/>
        <w:spacing w:line="480" w:lineRule="auto"/>
        <w:ind w:left="5250"/>
        <w:rPr>
          <w:rFonts w:hint="eastAsia" w:ascii="宋体" w:eastAsia="宋体" w:cs="宋体"/>
          <w:color w:val="auto"/>
          <w:sz w:val="21"/>
          <w:szCs w:val="21"/>
          <w:highlight w:val="none"/>
        </w:rPr>
      </w:pPr>
    </w:p>
    <w:p w14:paraId="23F36E26">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授权代表（签字）：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性  别：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p>
    <w:p w14:paraId="254D0150">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w:t>
      </w:r>
    </w:p>
    <w:p w14:paraId="062916A3">
      <w:pPr>
        <w:shd w:val="clea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部    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   务： </w:t>
      </w:r>
      <w:r>
        <w:rPr>
          <w:rFonts w:hint="eastAsia" w:ascii="宋体" w:hAnsi="宋体" w:cs="宋体"/>
          <w:color w:val="auto"/>
          <w:szCs w:val="21"/>
          <w:highlight w:val="none"/>
          <w:u w:val="single"/>
        </w:rPr>
        <w:t xml:space="preserve">  　　　　　　　　　　</w:t>
      </w:r>
    </w:p>
    <w:p w14:paraId="2020967C">
      <w:pPr>
        <w:shd w:val="clear"/>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 (盖章)：</w:t>
      </w:r>
      <w:r>
        <w:rPr>
          <w:rFonts w:hint="eastAsia" w:ascii="宋体" w:hAnsi="宋体" w:cs="宋体"/>
          <w:color w:val="auto"/>
          <w:szCs w:val="21"/>
          <w:highlight w:val="none"/>
          <w:u w:val="single"/>
        </w:rPr>
        <w:t xml:space="preserve">                                   </w:t>
      </w:r>
    </w:p>
    <w:p w14:paraId="67EE0594">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法定代表人(签字)： </w:t>
      </w:r>
      <w:r>
        <w:rPr>
          <w:rFonts w:hint="eastAsia" w:ascii="宋体" w:hAnsi="宋体" w:cs="宋体"/>
          <w:color w:val="auto"/>
          <w:szCs w:val="21"/>
          <w:highlight w:val="none"/>
          <w:u w:val="single"/>
        </w:rPr>
        <w:t xml:space="preserve">                         </w:t>
      </w:r>
    </w:p>
    <w:p w14:paraId="0C413369">
      <w:pPr>
        <w:pStyle w:val="18"/>
        <w:shd w:val="clear"/>
        <w:spacing w:line="480" w:lineRule="auto"/>
        <w:ind w:left="5250"/>
        <w:rPr>
          <w:rFonts w:hint="eastAsia" w:ascii="宋体" w:eastAsia="宋体" w:cs="宋体"/>
          <w:color w:val="auto"/>
          <w:sz w:val="21"/>
          <w:szCs w:val="21"/>
          <w:highlight w:val="none"/>
        </w:rPr>
      </w:pPr>
    </w:p>
    <w:p w14:paraId="57682BCD">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BA30306">
      <w:pPr>
        <w:shd w:val="clear"/>
        <w:snapToGrid w:val="0"/>
        <w:spacing w:line="360" w:lineRule="auto"/>
        <w:rPr>
          <w:rFonts w:hint="eastAsia" w:ascii="宋体" w:hAnsi="宋体" w:cs="宋体"/>
          <w:b/>
          <w:color w:val="auto"/>
          <w:sz w:val="24"/>
          <w:highlight w:val="none"/>
          <w:u w:val="dash"/>
        </w:rPr>
      </w:pPr>
      <w:r>
        <w:rPr>
          <w:rFonts w:hint="eastAsia" w:ascii="宋体" w:hAnsi="宋体" w:cs="宋体"/>
          <w:b/>
          <w:color w:val="auto"/>
          <w:sz w:val="24"/>
          <w:highlight w:val="none"/>
          <w:u w:val="dash"/>
        </w:rPr>
        <w:t xml:space="preserve">                                                                              </w:t>
      </w:r>
    </w:p>
    <w:p w14:paraId="30B1D8B4">
      <w:pPr>
        <w:shd w:val="clear"/>
        <w:spacing w:line="360" w:lineRule="auto"/>
        <w:jc w:val="center"/>
        <w:rPr>
          <w:rFonts w:hint="eastAsia" w:ascii="宋体" w:hAnsi="宋体" w:cs="宋体"/>
          <w:bCs/>
          <w:color w:val="auto"/>
          <w:sz w:val="24"/>
          <w:highlight w:val="none"/>
        </w:rPr>
      </w:pPr>
    </w:p>
    <w:p w14:paraId="2791383A">
      <w:pPr>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被授权人身份证复印件黏贴处</w:t>
      </w:r>
    </w:p>
    <w:p w14:paraId="7B313BFB">
      <w:pPr>
        <w:shd w:val="clear"/>
        <w:spacing w:line="540" w:lineRule="exact"/>
        <w:rPr>
          <w:rFonts w:hint="eastAsia" w:ascii="宋体" w:hAnsi="宋体" w:cs="宋体"/>
          <w:color w:val="auto"/>
          <w:sz w:val="32"/>
          <w:szCs w:val="32"/>
          <w:highlight w:val="none"/>
        </w:rPr>
      </w:pPr>
    </w:p>
    <w:p w14:paraId="1E415731">
      <w:pPr>
        <w:shd w:val="clear"/>
        <w:spacing w:line="540" w:lineRule="exact"/>
        <w:rPr>
          <w:rFonts w:hint="eastAsia" w:ascii="宋体" w:hAnsi="宋体" w:cs="宋体"/>
          <w:color w:val="auto"/>
          <w:sz w:val="32"/>
          <w:szCs w:val="32"/>
          <w:highlight w:val="none"/>
        </w:rPr>
      </w:pPr>
    </w:p>
    <w:p w14:paraId="0CFDEF86">
      <w:pPr>
        <w:shd w:val="clear"/>
        <w:spacing w:line="540" w:lineRule="exact"/>
        <w:rPr>
          <w:rFonts w:hint="eastAsia" w:ascii="宋体" w:hAnsi="宋体" w:cs="宋体"/>
          <w:color w:val="auto"/>
          <w:sz w:val="32"/>
          <w:szCs w:val="32"/>
          <w:highlight w:val="none"/>
        </w:rPr>
      </w:pPr>
    </w:p>
    <w:p w14:paraId="598CEC2C">
      <w:pPr>
        <w:shd w:val="clear"/>
        <w:spacing w:line="540" w:lineRule="exact"/>
        <w:rPr>
          <w:rFonts w:hint="eastAsia" w:ascii="宋体" w:hAnsi="宋体" w:cs="宋体"/>
          <w:color w:val="auto"/>
          <w:sz w:val="32"/>
          <w:szCs w:val="32"/>
          <w:highlight w:val="none"/>
        </w:rPr>
      </w:pPr>
    </w:p>
    <w:p w14:paraId="79EB3937">
      <w:pPr>
        <w:shd w:val="clear"/>
        <w:spacing w:line="540" w:lineRule="exact"/>
        <w:rPr>
          <w:rFonts w:hint="eastAsia" w:ascii="宋体" w:hAnsi="宋体" w:cs="宋体"/>
          <w:color w:val="auto"/>
          <w:sz w:val="32"/>
          <w:szCs w:val="32"/>
          <w:highlight w:val="none"/>
        </w:rPr>
      </w:pPr>
    </w:p>
    <w:p w14:paraId="5B592401">
      <w:pPr>
        <w:shd w:val="clear"/>
        <w:spacing w:line="540" w:lineRule="exact"/>
        <w:rPr>
          <w:rFonts w:hint="eastAsia" w:ascii="宋体" w:hAnsi="宋体" w:cs="宋体"/>
          <w:color w:val="auto"/>
          <w:sz w:val="32"/>
          <w:szCs w:val="32"/>
          <w:highlight w:val="none"/>
        </w:rPr>
      </w:pPr>
    </w:p>
    <w:p w14:paraId="42A00740">
      <w:pPr>
        <w:pStyle w:val="13"/>
        <w:shd w:val="clear"/>
        <w:rPr>
          <w:rFonts w:hint="eastAsia"/>
          <w:color w:val="auto"/>
          <w:highlight w:val="none"/>
        </w:rPr>
      </w:pPr>
    </w:p>
    <w:p w14:paraId="05F355AC">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、投标单位情况表格式</w:t>
      </w:r>
    </w:p>
    <w:p w14:paraId="27B05888">
      <w:pPr>
        <w:shd w:val="clear"/>
        <w:spacing w:line="360" w:lineRule="exact"/>
        <w:ind w:firstLine="281" w:firstLineChars="100"/>
        <w:jc w:val="center"/>
        <w:rPr>
          <w:rFonts w:hint="eastAsia" w:ascii="宋体" w:hAnsi="宋体" w:cs="宋体"/>
          <w:b/>
          <w:color w:val="auto"/>
          <w:sz w:val="28"/>
          <w:szCs w:val="28"/>
          <w:highlight w:val="none"/>
        </w:rPr>
      </w:pPr>
    </w:p>
    <w:p w14:paraId="57222E6B">
      <w:pPr>
        <w:shd w:val="clear"/>
        <w:adjustRightInd w:val="0"/>
        <w:snapToGrid w:val="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投标单位情况表</w:t>
      </w:r>
    </w:p>
    <w:p w14:paraId="72407C5F">
      <w:pPr>
        <w:shd w:val="clear"/>
        <w:spacing w:line="36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项目名称：                                                         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3A00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0"/>
            <w:vAlign w:val="center"/>
          </w:tcPr>
          <w:p w14:paraId="0CA38669">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投标单位（盖章）</w:t>
            </w:r>
          </w:p>
        </w:tc>
        <w:tc>
          <w:tcPr>
            <w:tcW w:w="2162" w:type="dxa"/>
            <w:gridSpan w:val="2"/>
            <w:noWrap w:val="0"/>
            <w:vAlign w:val="center"/>
          </w:tcPr>
          <w:p w14:paraId="4B501926">
            <w:pPr>
              <w:pStyle w:val="6"/>
              <w:shd w:val="clear"/>
              <w:ind w:firstLine="0"/>
              <w:jc w:val="center"/>
              <w:rPr>
                <w:rFonts w:hint="eastAsia" w:ascii="宋体" w:hAnsi="宋体" w:cs="宋体"/>
                <w:color w:val="auto"/>
                <w:szCs w:val="21"/>
                <w:highlight w:val="none"/>
              </w:rPr>
            </w:pPr>
          </w:p>
        </w:tc>
        <w:tc>
          <w:tcPr>
            <w:tcW w:w="1722" w:type="dxa"/>
            <w:noWrap w:val="0"/>
            <w:vAlign w:val="center"/>
          </w:tcPr>
          <w:p w14:paraId="6D424260">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注册时间</w:t>
            </w:r>
          </w:p>
        </w:tc>
        <w:tc>
          <w:tcPr>
            <w:tcW w:w="2747" w:type="dxa"/>
            <w:gridSpan w:val="2"/>
            <w:noWrap w:val="0"/>
            <w:vAlign w:val="center"/>
          </w:tcPr>
          <w:p w14:paraId="72DF05E3">
            <w:pPr>
              <w:pStyle w:val="6"/>
              <w:shd w:val="clear"/>
              <w:ind w:firstLine="0"/>
              <w:jc w:val="center"/>
              <w:rPr>
                <w:rFonts w:hint="eastAsia" w:ascii="宋体" w:hAnsi="宋体" w:cs="宋体"/>
                <w:color w:val="auto"/>
                <w:szCs w:val="21"/>
                <w:highlight w:val="none"/>
              </w:rPr>
            </w:pPr>
          </w:p>
        </w:tc>
      </w:tr>
      <w:tr w14:paraId="630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0"/>
            <w:vAlign w:val="center"/>
          </w:tcPr>
          <w:p w14:paraId="21D925AA">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2162" w:type="dxa"/>
            <w:gridSpan w:val="2"/>
            <w:noWrap w:val="0"/>
            <w:vAlign w:val="center"/>
          </w:tcPr>
          <w:p w14:paraId="52F1ECED">
            <w:pPr>
              <w:pStyle w:val="6"/>
              <w:shd w:val="clear"/>
              <w:ind w:firstLine="0"/>
              <w:jc w:val="center"/>
              <w:rPr>
                <w:rFonts w:hint="eastAsia" w:ascii="宋体" w:hAnsi="宋体" w:cs="宋体"/>
                <w:color w:val="auto"/>
                <w:szCs w:val="21"/>
                <w:highlight w:val="none"/>
              </w:rPr>
            </w:pPr>
          </w:p>
        </w:tc>
        <w:tc>
          <w:tcPr>
            <w:tcW w:w="1722" w:type="dxa"/>
            <w:noWrap w:val="0"/>
            <w:vAlign w:val="center"/>
          </w:tcPr>
          <w:p w14:paraId="18B72D81">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747" w:type="dxa"/>
            <w:gridSpan w:val="2"/>
            <w:noWrap w:val="0"/>
            <w:vAlign w:val="center"/>
          </w:tcPr>
          <w:p w14:paraId="31C252DE">
            <w:pPr>
              <w:pStyle w:val="6"/>
              <w:shd w:val="clear"/>
              <w:ind w:firstLine="0"/>
              <w:jc w:val="center"/>
              <w:rPr>
                <w:rFonts w:hint="eastAsia" w:ascii="宋体" w:hAnsi="宋体" w:cs="宋体"/>
                <w:color w:val="auto"/>
                <w:szCs w:val="21"/>
                <w:highlight w:val="none"/>
              </w:rPr>
            </w:pPr>
          </w:p>
        </w:tc>
      </w:tr>
      <w:tr w14:paraId="2E57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0"/>
            <w:vAlign w:val="center"/>
          </w:tcPr>
          <w:p w14:paraId="735445E7">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资质</w:t>
            </w:r>
          </w:p>
        </w:tc>
        <w:tc>
          <w:tcPr>
            <w:tcW w:w="2162" w:type="dxa"/>
            <w:gridSpan w:val="2"/>
            <w:noWrap w:val="0"/>
            <w:vAlign w:val="center"/>
          </w:tcPr>
          <w:p w14:paraId="6C5FCA3D">
            <w:pPr>
              <w:pStyle w:val="6"/>
              <w:shd w:val="clear"/>
              <w:ind w:firstLine="0"/>
              <w:jc w:val="center"/>
              <w:rPr>
                <w:rFonts w:hint="eastAsia" w:ascii="宋体" w:hAnsi="宋体" w:cs="宋体"/>
                <w:color w:val="auto"/>
                <w:szCs w:val="21"/>
                <w:highlight w:val="none"/>
              </w:rPr>
            </w:pPr>
          </w:p>
        </w:tc>
        <w:tc>
          <w:tcPr>
            <w:tcW w:w="1722" w:type="dxa"/>
            <w:noWrap w:val="0"/>
            <w:vAlign w:val="center"/>
          </w:tcPr>
          <w:p w14:paraId="479EB837">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2747" w:type="dxa"/>
            <w:gridSpan w:val="2"/>
            <w:noWrap w:val="0"/>
            <w:vAlign w:val="center"/>
          </w:tcPr>
          <w:p w14:paraId="0FDC1C52">
            <w:pPr>
              <w:pStyle w:val="6"/>
              <w:shd w:val="clear"/>
              <w:ind w:firstLine="0"/>
              <w:jc w:val="center"/>
              <w:rPr>
                <w:rFonts w:hint="eastAsia" w:ascii="宋体" w:hAnsi="宋体" w:cs="宋体"/>
                <w:color w:val="auto"/>
                <w:szCs w:val="21"/>
                <w:highlight w:val="none"/>
              </w:rPr>
            </w:pPr>
          </w:p>
        </w:tc>
      </w:tr>
      <w:tr w14:paraId="27F9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0"/>
            <w:vAlign w:val="center"/>
          </w:tcPr>
          <w:p w14:paraId="4721AC4D">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108" w:type="dxa"/>
            <w:noWrap w:val="0"/>
            <w:vAlign w:val="center"/>
          </w:tcPr>
          <w:p w14:paraId="10198D78">
            <w:pPr>
              <w:pStyle w:val="6"/>
              <w:shd w:val="clear"/>
              <w:ind w:firstLine="0"/>
              <w:jc w:val="center"/>
              <w:rPr>
                <w:rFonts w:hint="eastAsia" w:ascii="宋体" w:hAnsi="宋体" w:cs="宋体"/>
                <w:color w:val="auto"/>
                <w:szCs w:val="21"/>
                <w:highlight w:val="none"/>
              </w:rPr>
            </w:pPr>
          </w:p>
        </w:tc>
        <w:tc>
          <w:tcPr>
            <w:tcW w:w="1054" w:type="dxa"/>
            <w:noWrap w:val="0"/>
            <w:vAlign w:val="center"/>
          </w:tcPr>
          <w:p w14:paraId="02102E89">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722" w:type="dxa"/>
            <w:noWrap w:val="0"/>
            <w:vAlign w:val="center"/>
          </w:tcPr>
          <w:p w14:paraId="4376AF36">
            <w:pPr>
              <w:pStyle w:val="6"/>
              <w:shd w:val="clear"/>
              <w:ind w:firstLine="0"/>
              <w:jc w:val="center"/>
              <w:rPr>
                <w:rFonts w:hint="eastAsia" w:ascii="宋体" w:hAnsi="宋体" w:cs="宋体"/>
                <w:color w:val="auto"/>
                <w:szCs w:val="21"/>
                <w:highlight w:val="none"/>
              </w:rPr>
            </w:pPr>
          </w:p>
        </w:tc>
        <w:tc>
          <w:tcPr>
            <w:tcW w:w="880" w:type="dxa"/>
            <w:noWrap w:val="0"/>
            <w:vAlign w:val="center"/>
          </w:tcPr>
          <w:p w14:paraId="64769AC3">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传真</w:t>
            </w:r>
          </w:p>
        </w:tc>
        <w:tc>
          <w:tcPr>
            <w:tcW w:w="1867" w:type="dxa"/>
            <w:noWrap w:val="0"/>
            <w:vAlign w:val="center"/>
          </w:tcPr>
          <w:p w14:paraId="42691C75">
            <w:pPr>
              <w:pStyle w:val="6"/>
              <w:shd w:val="clear"/>
              <w:ind w:firstLine="0"/>
              <w:jc w:val="center"/>
              <w:rPr>
                <w:rFonts w:hint="eastAsia" w:ascii="宋体" w:hAnsi="宋体" w:cs="宋体"/>
                <w:color w:val="auto"/>
                <w:szCs w:val="21"/>
                <w:highlight w:val="none"/>
              </w:rPr>
            </w:pPr>
          </w:p>
        </w:tc>
      </w:tr>
      <w:tr w14:paraId="60B9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0"/>
            <w:vAlign w:val="center"/>
          </w:tcPr>
          <w:p w14:paraId="588F4E66">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162" w:type="dxa"/>
            <w:gridSpan w:val="2"/>
            <w:noWrap w:val="0"/>
            <w:vAlign w:val="center"/>
          </w:tcPr>
          <w:p w14:paraId="605D800F">
            <w:pPr>
              <w:pStyle w:val="6"/>
              <w:shd w:val="clear"/>
              <w:ind w:firstLine="0"/>
              <w:jc w:val="center"/>
              <w:rPr>
                <w:rFonts w:hint="eastAsia" w:ascii="宋体" w:hAnsi="宋体" w:cs="宋体"/>
                <w:color w:val="auto"/>
                <w:szCs w:val="21"/>
                <w:highlight w:val="none"/>
              </w:rPr>
            </w:pPr>
          </w:p>
        </w:tc>
        <w:tc>
          <w:tcPr>
            <w:tcW w:w="1722" w:type="dxa"/>
            <w:noWrap w:val="0"/>
            <w:vAlign w:val="center"/>
          </w:tcPr>
          <w:p w14:paraId="51D2B254">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2747" w:type="dxa"/>
            <w:gridSpan w:val="2"/>
            <w:noWrap w:val="0"/>
            <w:vAlign w:val="center"/>
          </w:tcPr>
          <w:p w14:paraId="2E917C5E">
            <w:pPr>
              <w:pStyle w:val="6"/>
              <w:shd w:val="clear"/>
              <w:ind w:firstLine="0"/>
              <w:jc w:val="center"/>
              <w:rPr>
                <w:rFonts w:hint="eastAsia" w:ascii="宋体" w:hAnsi="宋体" w:cs="宋体"/>
                <w:color w:val="auto"/>
                <w:szCs w:val="21"/>
                <w:highlight w:val="none"/>
              </w:rPr>
            </w:pPr>
          </w:p>
        </w:tc>
      </w:tr>
      <w:tr w14:paraId="0F82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0"/>
            <w:vAlign w:val="center"/>
          </w:tcPr>
          <w:p w14:paraId="5626430A">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职工人数</w:t>
            </w:r>
          </w:p>
        </w:tc>
        <w:tc>
          <w:tcPr>
            <w:tcW w:w="6631" w:type="dxa"/>
            <w:gridSpan w:val="5"/>
            <w:noWrap w:val="0"/>
            <w:vAlign w:val="center"/>
          </w:tcPr>
          <w:p w14:paraId="05926879">
            <w:pPr>
              <w:pStyle w:val="6"/>
              <w:shd w:val="clear"/>
              <w:ind w:firstLine="0"/>
              <w:jc w:val="center"/>
              <w:rPr>
                <w:rFonts w:hint="eastAsia" w:ascii="宋体" w:hAnsi="宋体" w:cs="宋体"/>
                <w:color w:val="auto"/>
                <w:szCs w:val="21"/>
                <w:highlight w:val="none"/>
              </w:rPr>
            </w:pPr>
          </w:p>
        </w:tc>
      </w:tr>
      <w:tr w14:paraId="1A64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0"/>
            <w:vAlign w:val="center"/>
          </w:tcPr>
          <w:p w14:paraId="5C401BB7">
            <w:pPr>
              <w:pStyle w:val="6"/>
              <w:shd w:val="clear"/>
              <w:ind w:firstLine="0"/>
              <w:rPr>
                <w:rFonts w:hint="eastAsia" w:ascii="宋体" w:hAnsi="宋体" w:cs="宋体"/>
                <w:color w:val="auto"/>
                <w:szCs w:val="21"/>
                <w:highlight w:val="none"/>
              </w:rPr>
            </w:pPr>
            <w:r>
              <w:rPr>
                <w:rFonts w:hint="eastAsia" w:ascii="宋体" w:hAnsi="宋体" w:cs="宋体"/>
                <w:color w:val="auto"/>
                <w:szCs w:val="21"/>
                <w:highlight w:val="none"/>
              </w:rPr>
              <w:t>可从事业务范围</w:t>
            </w:r>
          </w:p>
        </w:tc>
        <w:tc>
          <w:tcPr>
            <w:tcW w:w="6631" w:type="dxa"/>
            <w:gridSpan w:val="5"/>
            <w:noWrap w:val="0"/>
            <w:vAlign w:val="center"/>
          </w:tcPr>
          <w:p w14:paraId="5D535CFA">
            <w:pPr>
              <w:pStyle w:val="6"/>
              <w:shd w:val="clear"/>
              <w:ind w:firstLine="0"/>
              <w:jc w:val="center"/>
              <w:rPr>
                <w:rFonts w:hint="eastAsia" w:ascii="宋体" w:hAnsi="宋体" w:cs="宋体"/>
                <w:color w:val="auto"/>
                <w:szCs w:val="21"/>
                <w:highlight w:val="none"/>
              </w:rPr>
            </w:pPr>
          </w:p>
        </w:tc>
      </w:tr>
      <w:tr w14:paraId="6DB0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0"/>
            <w:vAlign w:val="center"/>
          </w:tcPr>
          <w:p w14:paraId="34122CDD">
            <w:pPr>
              <w:pStyle w:val="6"/>
              <w:shd w:val="clear"/>
              <w:ind w:firstLine="0"/>
              <w:jc w:val="center"/>
              <w:rPr>
                <w:rFonts w:hint="eastAsia" w:ascii="宋体" w:hAnsi="宋体" w:cs="宋体"/>
                <w:color w:val="auto"/>
                <w:szCs w:val="21"/>
                <w:highlight w:val="none"/>
              </w:rPr>
            </w:pPr>
            <w:r>
              <w:rPr>
                <w:rFonts w:hint="eastAsia" w:ascii="宋体" w:hAnsi="宋体" w:cs="宋体"/>
                <w:color w:val="auto"/>
                <w:szCs w:val="21"/>
                <w:highlight w:val="none"/>
              </w:rPr>
              <w:t>公司简介</w:t>
            </w:r>
          </w:p>
        </w:tc>
        <w:tc>
          <w:tcPr>
            <w:tcW w:w="6631" w:type="dxa"/>
            <w:gridSpan w:val="5"/>
            <w:noWrap w:val="0"/>
            <w:vAlign w:val="center"/>
          </w:tcPr>
          <w:p w14:paraId="22D82167">
            <w:pPr>
              <w:pStyle w:val="6"/>
              <w:shd w:val="clear"/>
              <w:ind w:firstLine="0"/>
              <w:jc w:val="center"/>
              <w:rPr>
                <w:rFonts w:hint="eastAsia" w:ascii="宋体" w:hAnsi="宋体" w:cs="宋体"/>
                <w:color w:val="auto"/>
                <w:szCs w:val="21"/>
                <w:highlight w:val="none"/>
              </w:rPr>
            </w:pPr>
          </w:p>
        </w:tc>
      </w:tr>
    </w:tbl>
    <w:p w14:paraId="6D456066">
      <w:pPr>
        <w:shd w:val="clear"/>
        <w:spacing w:line="360" w:lineRule="exact"/>
        <w:rPr>
          <w:rFonts w:hint="eastAsia" w:ascii="宋体" w:hAnsi="宋体" w:cs="宋体"/>
          <w:color w:val="auto"/>
          <w:szCs w:val="21"/>
          <w:highlight w:val="none"/>
        </w:rPr>
      </w:pPr>
    </w:p>
    <w:p w14:paraId="3CC290D3">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注：除此表外，可另附文字和资料加以说明。</w:t>
      </w:r>
    </w:p>
    <w:p w14:paraId="0A4A4444">
      <w:pPr>
        <w:shd w:val="clear"/>
        <w:tabs>
          <w:tab w:val="left" w:pos="450"/>
          <w:tab w:val="left" w:pos="8280"/>
        </w:tabs>
        <w:spacing w:line="400" w:lineRule="exact"/>
        <w:jc w:val="right"/>
        <w:rPr>
          <w:rFonts w:hint="eastAsia" w:ascii="宋体" w:hAnsi="宋体" w:cs="宋体"/>
          <w:color w:val="auto"/>
          <w:sz w:val="24"/>
          <w:highlight w:val="none"/>
        </w:rPr>
      </w:pPr>
    </w:p>
    <w:p w14:paraId="5DEDE6D7">
      <w:pPr>
        <w:shd w:val="clear"/>
        <w:tabs>
          <w:tab w:val="left" w:pos="450"/>
          <w:tab w:val="left" w:pos="8280"/>
        </w:tabs>
        <w:spacing w:line="400" w:lineRule="exact"/>
        <w:jc w:val="right"/>
        <w:rPr>
          <w:rFonts w:hint="eastAsia" w:ascii="宋体" w:hAnsi="宋体" w:cs="宋体"/>
          <w:color w:val="auto"/>
          <w:sz w:val="24"/>
          <w:highlight w:val="none"/>
        </w:rPr>
      </w:pPr>
    </w:p>
    <w:p w14:paraId="64A2DC9C">
      <w:pPr>
        <w:shd w:val="clear"/>
        <w:tabs>
          <w:tab w:val="left" w:pos="450"/>
          <w:tab w:val="left" w:pos="8280"/>
        </w:tabs>
        <w:spacing w:line="400" w:lineRule="exact"/>
        <w:jc w:val="right"/>
        <w:rPr>
          <w:rFonts w:hint="eastAsia" w:ascii="宋体" w:hAnsi="宋体" w:cs="宋体"/>
          <w:color w:val="auto"/>
          <w:sz w:val="24"/>
          <w:highlight w:val="none"/>
        </w:rPr>
      </w:pPr>
    </w:p>
    <w:p w14:paraId="22EFCF94">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投标人全称：（盖章）</w:t>
      </w:r>
    </w:p>
    <w:p w14:paraId="4AF481E5">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授权代表或法定代表人签名：</w:t>
      </w:r>
    </w:p>
    <w:p w14:paraId="3DAAA2AE">
      <w:pPr>
        <w:shd w:val="clear"/>
        <w:tabs>
          <w:tab w:val="left" w:pos="450"/>
          <w:tab w:val="left" w:pos="8280"/>
        </w:tabs>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0CEDFBFE">
      <w:pPr>
        <w:shd w:val="clear"/>
        <w:spacing w:line="480" w:lineRule="exact"/>
        <w:ind w:firstLine="420" w:firstLineChars="200"/>
        <w:rPr>
          <w:rFonts w:hint="eastAsia" w:ascii="宋体" w:hAnsi="宋体" w:cs="宋体"/>
          <w:color w:val="auto"/>
          <w:szCs w:val="21"/>
          <w:highlight w:val="none"/>
        </w:rPr>
      </w:pPr>
    </w:p>
    <w:p w14:paraId="594D1CE7">
      <w:pPr>
        <w:shd w:val="clear"/>
        <w:spacing w:line="480" w:lineRule="exact"/>
        <w:ind w:firstLine="420" w:firstLineChars="200"/>
        <w:rPr>
          <w:rFonts w:hint="eastAsia" w:ascii="宋体" w:hAnsi="宋体" w:cs="宋体"/>
          <w:color w:val="auto"/>
          <w:szCs w:val="21"/>
          <w:highlight w:val="none"/>
        </w:rPr>
      </w:pPr>
    </w:p>
    <w:p w14:paraId="51B852AA">
      <w:pPr>
        <w:shd w:val="clear"/>
        <w:spacing w:line="480" w:lineRule="exact"/>
        <w:ind w:firstLine="420" w:firstLineChars="200"/>
        <w:rPr>
          <w:rFonts w:hint="eastAsia" w:ascii="宋体" w:hAnsi="宋体" w:cs="宋体"/>
          <w:color w:val="auto"/>
          <w:szCs w:val="21"/>
          <w:highlight w:val="none"/>
        </w:rPr>
      </w:pPr>
    </w:p>
    <w:p w14:paraId="3B8C59CF">
      <w:pPr>
        <w:shd w:val="clear"/>
        <w:spacing w:line="480" w:lineRule="exact"/>
        <w:ind w:firstLine="420" w:firstLineChars="200"/>
        <w:rPr>
          <w:rFonts w:hint="eastAsia" w:ascii="宋体" w:hAnsi="宋体" w:cs="宋体"/>
          <w:color w:val="auto"/>
          <w:szCs w:val="21"/>
          <w:highlight w:val="none"/>
        </w:rPr>
      </w:pPr>
    </w:p>
    <w:p w14:paraId="52DC38E9">
      <w:pPr>
        <w:shd w:val="clear"/>
        <w:tabs>
          <w:tab w:val="left" w:pos="450"/>
          <w:tab w:val="left" w:pos="8280"/>
        </w:tabs>
        <w:rPr>
          <w:rFonts w:hint="eastAsia" w:ascii="宋体" w:hAnsi="宋体" w:cs="宋体"/>
          <w:color w:val="auto"/>
          <w:sz w:val="24"/>
          <w:highlight w:val="none"/>
        </w:rPr>
        <w:sectPr>
          <w:headerReference r:id="rId4" w:type="default"/>
          <w:footerReference r:id="rId5" w:type="default"/>
          <w:footerReference r:id="rId6" w:type="even"/>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14:paraId="6088D48B">
      <w:pPr>
        <w:shd w:val="clear"/>
        <w:tabs>
          <w:tab w:val="left" w:pos="450"/>
          <w:tab w:val="left" w:pos="8280"/>
        </w:tabs>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、同类项目实施情况一览表格式</w:t>
      </w:r>
    </w:p>
    <w:p w14:paraId="1BAABED9">
      <w:pPr>
        <w:shd w:val="clear"/>
        <w:rPr>
          <w:rFonts w:hint="eastAsia"/>
          <w:color w:val="auto"/>
          <w:highlight w:val="none"/>
        </w:rPr>
      </w:pPr>
    </w:p>
    <w:p w14:paraId="756075C6">
      <w:pPr>
        <w:shd w:val="clear"/>
        <w:rPr>
          <w:rFonts w:hint="eastAsia"/>
          <w:color w:val="auto"/>
          <w:highlight w:val="none"/>
        </w:rPr>
      </w:pPr>
    </w:p>
    <w:p w14:paraId="30BCA10F">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投标人同类项目实施情况一览表</w:t>
      </w:r>
    </w:p>
    <w:p w14:paraId="4B05A3E6">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70EF49CC">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p w14:paraId="78362F4C">
      <w:pPr>
        <w:shd w:val="clear"/>
        <w:autoSpaceDE w:val="0"/>
        <w:autoSpaceDN w:val="0"/>
        <w:adjustRightInd w:val="0"/>
        <w:snapToGrid w:val="0"/>
        <w:spacing w:line="440" w:lineRule="exact"/>
        <w:jc w:val="center"/>
        <w:rPr>
          <w:rFonts w:hint="eastAsia" w:ascii="宋体" w:hAnsi="宋体" w:cs="宋体"/>
          <w:b/>
          <w:color w:val="auto"/>
          <w:szCs w:val="21"/>
          <w:highlight w:val="none"/>
        </w:rPr>
      </w:pPr>
    </w:p>
    <w:tbl>
      <w:tblPr>
        <w:tblStyle w:val="36"/>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369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0"/>
            <w:vAlign w:val="center"/>
          </w:tcPr>
          <w:p w14:paraId="3986ADFF">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53" w:type="dxa"/>
            <w:noWrap w:val="0"/>
            <w:vAlign w:val="center"/>
          </w:tcPr>
          <w:p w14:paraId="02F1C7DB">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551" w:type="dxa"/>
            <w:noWrap w:val="0"/>
            <w:vAlign w:val="center"/>
          </w:tcPr>
          <w:p w14:paraId="5DC2CDF7">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项目服务时间</w:t>
            </w:r>
          </w:p>
        </w:tc>
        <w:tc>
          <w:tcPr>
            <w:tcW w:w="1832" w:type="dxa"/>
            <w:noWrap w:val="0"/>
            <w:vAlign w:val="center"/>
          </w:tcPr>
          <w:p w14:paraId="23C7D437">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采购人名称</w:t>
            </w:r>
          </w:p>
        </w:tc>
        <w:tc>
          <w:tcPr>
            <w:tcW w:w="1936" w:type="dxa"/>
            <w:noWrap w:val="0"/>
            <w:vAlign w:val="center"/>
          </w:tcPr>
          <w:p w14:paraId="687F1718">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182" w:type="dxa"/>
            <w:noWrap w:val="0"/>
            <w:vAlign w:val="center"/>
          </w:tcPr>
          <w:p w14:paraId="091FC837">
            <w:pPr>
              <w:shd w:val="clea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r>
      <w:tr w14:paraId="3C4F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3331CCD8">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0C9421AD">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4EFE987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57553D23">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625D4A94">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31D3FFC9">
            <w:pPr>
              <w:shd w:val="clear"/>
              <w:spacing w:line="360" w:lineRule="exact"/>
              <w:jc w:val="center"/>
              <w:rPr>
                <w:rFonts w:hint="eastAsia" w:ascii="宋体" w:hAnsi="宋体" w:cs="宋体"/>
                <w:color w:val="auto"/>
                <w:szCs w:val="21"/>
                <w:highlight w:val="none"/>
              </w:rPr>
            </w:pPr>
          </w:p>
        </w:tc>
      </w:tr>
      <w:tr w14:paraId="712F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29B33084">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67981F75">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65AB468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7210E91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19D1049F">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2E1F7858">
            <w:pPr>
              <w:shd w:val="clear"/>
              <w:spacing w:line="360" w:lineRule="exact"/>
              <w:jc w:val="center"/>
              <w:rPr>
                <w:rFonts w:hint="eastAsia" w:ascii="宋体" w:hAnsi="宋体" w:cs="宋体"/>
                <w:color w:val="auto"/>
                <w:szCs w:val="21"/>
                <w:highlight w:val="none"/>
              </w:rPr>
            </w:pPr>
          </w:p>
        </w:tc>
      </w:tr>
      <w:tr w14:paraId="7068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541C0BAA">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3B746670">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329A75C1">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4B3631A9">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C41B7A2">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7DA663DE">
            <w:pPr>
              <w:shd w:val="clear"/>
              <w:spacing w:line="360" w:lineRule="exact"/>
              <w:jc w:val="center"/>
              <w:rPr>
                <w:rFonts w:hint="eastAsia" w:ascii="宋体" w:hAnsi="宋体" w:cs="宋体"/>
                <w:color w:val="auto"/>
                <w:szCs w:val="21"/>
                <w:highlight w:val="none"/>
              </w:rPr>
            </w:pPr>
          </w:p>
        </w:tc>
      </w:tr>
      <w:tr w14:paraId="23A2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283CFA89">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3971E3BA">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6201AA31">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799395D8">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70C945B">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61F75A29">
            <w:pPr>
              <w:shd w:val="clear"/>
              <w:spacing w:line="360" w:lineRule="exact"/>
              <w:jc w:val="center"/>
              <w:rPr>
                <w:rFonts w:hint="eastAsia" w:ascii="宋体" w:hAnsi="宋体" w:cs="宋体"/>
                <w:color w:val="auto"/>
                <w:szCs w:val="21"/>
                <w:highlight w:val="none"/>
              </w:rPr>
            </w:pPr>
          </w:p>
        </w:tc>
      </w:tr>
      <w:tr w14:paraId="38A2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76773FD3">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1129B11D">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3B6A14D4">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72FE1E3F">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758573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1D2C753D">
            <w:pPr>
              <w:shd w:val="clear"/>
              <w:spacing w:line="360" w:lineRule="exact"/>
              <w:jc w:val="center"/>
              <w:rPr>
                <w:rFonts w:hint="eastAsia" w:ascii="宋体" w:hAnsi="宋体" w:cs="宋体"/>
                <w:color w:val="auto"/>
                <w:szCs w:val="21"/>
                <w:highlight w:val="none"/>
              </w:rPr>
            </w:pPr>
          </w:p>
        </w:tc>
      </w:tr>
      <w:tr w14:paraId="5E87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6B1E6423">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7E472589">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1E14C021">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1043254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3C80CD29">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47885560">
            <w:pPr>
              <w:shd w:val="clear"/>
              <w:spacing w:line="360" w:lineRule="exact"/>
              <w:jc w:val="center"/>
              <w:rPr>
                <w:rFonts w:hint="eastAsia" w:ascii="宋体" w:hAnsi="宋体" w:cs="宋体"/>
                <w:color w:val="auto"/>
                <w:szCs w:val="21"/>
                <w:highlight w:val="none"/>
              </w:rPr>
            </w:pPr>
          </w:p>
        </w:tc>
      </w:tr>
      <w:tr w14:paraId="1ED3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715DF56C">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28D2FD20">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1A0794E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5226C1D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648D1845">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1940C2FC">
            <w:pPr>
              <w:shd w:val="clear"/>
              <w:spacing w:line="360" w:lineRule="exact"/>
              <w:jc w:val="center"/>
              <w:rPr>
                <w:rFonts w:hint="eastAsia" w:ascii="宋体" w:hAnsi="宋体" w:cs="宋体"/>
                <w:color w:val="auto"/>
                <w:szCs w:val="21"/>
                <w:highlight w:val="none"/>
              </w:rPr>
            </w:pPr>
          </w:p>
        </w:tc>
      </w:tr>
      <w:tr w14:paraId="7F2A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59750EFE">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3894C2E1">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4F5A714F">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285B9B64">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56ECA6D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77FE17EF">
            <w:pPr>
              <w:shd w:val="clear"/>
              <w:spacing w:line="360" w:lineRule="exact"/>
              <w:jc w:val="center"/>
              <w:rPr>
                <w:rFonts w:hint="eastAsia" w:ascii="宋体" w:hAnsi="宋体" w:cs="宋体"/>
                <w:color w:val="auto"/>
                <w:szCs w:val="21"/>
                <w:highlight w:val="none"/>
              </w:rPr>
            </w:pPr>
          </w:p>
        </w:tc>
      </w:tr>
      <w:tr w14:paraId="5CA4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4CC4DF4B">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637B2497">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0507D25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1CE9D04D">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09989BA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5AB966C1">
            <w:pPr>
              <w:shd w:val="clear"/>
              <w:spacing w:line="360" w:lineRule="exact"/>
              <w:jc w:val="center"/>
              <w:rPr>
                <w:rFonts w:hint="eastAsia" w:ascii="宋体" w:hAnsi="宋体" w:cs="宋体"/>
                <w:color w:val="auto"/>
                <w:szCs w:val="21"/>
                <w:highlight w:val="none"/>
              </w:rPr>
            </w:pPr>
          </w:p>
        </w:tc>
      </w:tr>
      <w:tr w14:paraId="7578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6C68E292">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042077A3">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419FA4F4">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342A594B">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5AE0042C">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38F710D3">
            <w:pPr>
              <w:shd w:val="clear"/>
              <w:spacing w:line="360" w:lineRule="exact"/>
              <w:jc w:val="center"/>
              <w:rPr>
                <w:rFonts w:hint="eastAsia" w:ascii="宋体" w:hAnsi="宋体" w:cs="宋体"/>
                <w:color w:val="auto"/>
                <w:szCs w:val="21"/>
                <w:highlight w:val="none"/>
              </w:rPr>
            </w:pPr>
          </w:p>
        </w:tc>
      </w:tr>
      <w:tr w14:paraId="0861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0"/>
            <w:vAlign w:val="center"/>
          </w:tcPr>
          <w:p w14:paraId="40F6731B">
            <w:pPr>
              <w:shd w:val="clear"/>
              <w:spacing w:line="360" w:lineRule="exact"/>
              <w:jc w:val="center"/>
              <w:rPr>
                <w:rFonts w:hint="eastAsia" w:ascii="宋体" w:hAnsi="宋体" w:cs="宋体"/>
                <w:color w:val="auto"/>
                <w:szCs w:val="21"/>
                <w:highlight w:val="none"/>
              </w:rPr>
            </w:pPr>
          </w:p>
        </w:tc>
        <w:tc>
          <w:tcPr>
            <w:tcW w:w="1153" w:type="dxa"/>
            <w:noWrap w:val="0"/>
            <w:vAlign w:val="center"/>
          </w:tcPr>
          <w:p w14:paraId="44646B2E">
            <w:pPr>
              <w:shd w:val="clear"/>
              <w:spacing w:line="360" w:lineRule="exact"/>
              <w:jc w:val="center"/>
              <w:rPr>
                <w:rFonts w:hint="eastAsia" w:ascii="宋体" w:hAnsi="宋体" w:cs="宋体"/>
                <w:color w:val="auto"/>
                <w:szCs w:val="21"/>
                <w:highlight w:val="none"/>
              </w:rPr>
            </w:pPr>
          </w:p>
        </w:tc>
        <w:tc>
          <w:tcPr>
            <w:tcW w:w="1551" w:type="dxa"/>
            <w:noWrap w:val="0"/>
            <w:vAlign w:val="center"/>
          </w:tcPr>
          <w:p w14:paraId="2B621469">
            <w:pPr>
              <w:shd w:val="clear"/>
              <w:spacing w:line="360" w:lineRule="exact"/>
              <w:jc w:val="center"/>
              <w:rPr>
                <w:rFonts w:hint="eastAsia" w:ascii="宋体" w:hAnsi="宋体" w:cs="宋体"/>
                <w:color w:val="auto"/>
                <w:szCs w:val="21"/>
                <w:highlight w:val="none"/>
              </w:rPr>
            </w:pPr>
          </w:p>
        </w:tc>
        <w:tc>
          <w:tcPr>
            <w:tcW w:w="1832" w:type="dxa"/>
            <w:noWrap w:val="0"/>
            <w:vAlign w:val="center"/>
          </w:tcPr>
          <w:p w14:paraId="67001C49">
            <w:pPr>
              <w:shd w:val="clear"/>
              <w:spacing w:line="360" w:lineRule="exact"/>
              <w:jc w:val="center"/>
              <w:rPr>
                <w:rFonts w:hint="eastAsia" w:ascii="宋体" w:hAnsi="宋体" w:cs="宋体"/>
                <w:color w:val="auto"/>
                <w:szCs w:val="21"/>
                <w:highlight w:val="none"/>
              </w:rPr>
            </w:pPr>
          </w:p>
        </w:tc>
        <w:tc>
          <w:tcPr>
            <w:tcW w:w="1936" w:type="dxa"/>
            <w:noWrap w:val="0"/>
            <w:vAlign w:val="center"/>
          </w:tcPr>
          <w:p w14:paraId="023393E1">
            <w:pPr>
              <w:shd w:val="clear"/>
              <w:spacing w:line="360" w:lineRule="exact"/>
              <w:jc w:val="center"/>
              <w:rPr>
                <w:rFonts w:hint="eastAsia" w:ascii="宋体" w:hAnsi="宋体" w:cs="宋体"/>
                <w:color w:val="auto"/>
                <w:szCs w:val="21"/>
                <w:highlight w:val="none"/>
              </w:rPr>
            </w:pPr>
          </w:p>
        </w:tc>
        <w:tc>
          <w:tcPr>
            <w:tcW w:w="1182" w:type="dxa"/>
            <w:noWrap w:val="0"/>
            <w:vAlign w:val="center"/>
          </w:tcPr>
          <w:p w14:paraId="757268FF">
            <w:pPr>
              <w:shd w:val="clear"/>
              <w:spacing w:line="360" w:lineRule="exact"/>
              <w:jc w:val="center"/>
              <w:rPr>
                <w:rFonts w:hint="eastAsia" w:ascii="宋体" w:hAnsi="宋体" w:cs="宋体"/>
                <w:color w:val="auto"/>
                <w:szCs w:val="21"/>
                <w:highlight w:val="none"/>
              </w:rPr>
            </w:pPr>
          </w:p>
        </w:tc>
      </w:tr>
    </w:tbl>
    <w:p w14:paraId="5267CD44">
      <w:pPr>
        <w:shd w:val="clear"/>
        <w:snapToGrid w:val="0"/>
        <w:spacing w:line="440" w:lineRule="exact"/>
        <w:rPr>
          <w:rFonts w:hint="eastAsia" w:ascii="宋体" w:hAnsi="宋体" w:cs="宋体"/>
          <w:color w:val="auto"/>
          <w:szCs w:val="21"/>
          <w:highlight w:val="none"/>
        </w:rPr>
      </w:pPr>
    </w:p>
    <w:p w14:paraId="016CDAC4">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2A1CFC42">
      <w:pPr>
        <w:pStyle w:val="1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p>
    <w:p w14:paraId="020EDA3E">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2CFF6A98">
      <w:pPr>
        <w:shd w:val="clear"/>
        <w:adjustRightInd w:val="0"/>
        <w:snapToGrid w:val="0"/>
        <w:jc w:val="left"/>
        <w:rPr>
          <w:rFonts w:hint="eastAsia" w:ascii="宋体" w:hAnsi="宋体" w:cs="宋体"/>
          <w:color w:val="auto"/>
          <w:sz w:val="24"/>
          <w:highlight w:val="none"/>
        </w:rPr>
      </w:pPr>
    </w:p>
    <w:p w14:paraId="6C74A856">
      <w:pPr>
        <w:shd w:val="clear"/>
        <w:adjustRightInd w:val="0"/>
        <w:snapToGrid w:val="0"/>
        <w:jc w:val="left"/>
        <w:rPr>
          <w:rFonts w:hint="eastAsia" w:ascii="宋体" w:hAnsi="宋体" w:cs="宋体"/>
          <w:color w:val="auto"/>
          <w:sz w:val="24"/>
          <w:highlight w:val="none"/>
        </w:rPr>
      </w:pPr>
    </w:p>
    <w:p w14:paraId="5EB882AB">
      <w:pPr>
        <w:shd w:val="clear"/>
        <w:autoSpaceDE w:val="0"/>
        <w:autoSpaceDN w:val="0"/>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注：1、</w:t>
      </w:r>
      <w:r>
        <w:rPr>
          <w:rFonts w:hint="eastAsia" w:ascii="宋体" w:hAnsi="宋体" w:cs="宋体"/>
          <w:color w:val="auto"/>
          <w:szCs w:val="21"/>
          <w:highlight w:val="none"/>
          <w:lang w:val="en-US" w:eastAsia="zh-CN"/>
        </w:rPr>
        <w:t>附件资料</w:t>
      </w:r>
      <w:r>
        <w:rPr>
          <w:rFonts w:hint="eastAsia" w:ascii="宋体" w:hAnsi="宋体" w:cs="宋体"/>
          <w:color w:val="auto"/>
          <w:szCs w:val="21"/>
          <w:highlight w:val="none"/>
        </w:rPr>
        <w:t>按评分标准提供。</w:t>
      </w:r>
    </w:p>
    <w:p w14:paraId="72719E7D">
      <w:pPr>
        <w:shd w:val="clear"/>
        <w:adjustRightInd w:val="0"/>
        <w:snapToGrid w:val="0"/>
        <w:jc w:val="left"/>
        <w:rPr>
          <w:rFonts w:hint="eastAsia" w:ascii="宋体" w:hAnsi="宋体" w:cs="宋体"/>
          <w:color w:val="auto"/>
          <w:sz w:val="24"/>
          <w:highlight w:val="none"/>
        </w:rPr>
      </w:pPr>
    </w:p>
    <w:p w14:paraId="6BF9BBCF">
      <w:pPr>
        <w:shd w:val="clear"/>
        <w:adjustRightInd w:val="0"/>
        <w:snapToGrid w:val="0"/>
        <w:jc w:val="left"/>
        <w:rPr>
          <w:rFonts w:hint="eastAsia" w:ascii="宋体" w:hAnsi="宋体" w:cs="宋体"/>
          <w:color w:val="auto"/>
          <w:sz w:val="24"/>
          <w:highlight w:val="none"/>
        </w:rPr>
      </w:pPr>
    </w:p>
    <w:p w14:paraId="045216C1">
      <w:pPr>
        <w:shd w:val="clear"/>
        <w:adjustRightInd w:val="0"/>
        <w:snapToGrid w:val="0"/>
        <w:jc w:val="left"/>
        <w:rPr>
          <w:rFonts w:hint="eastAsia" w:ascii="宋体" w:hAnsi="宋体" w:cs="宋体"/>
          <w:color w:val="auto"/>
          <w:sz w:val="24"/>
          <w:highlight w:val="none"/>
        </w:rPr>
      </w:pPr>
    </w:p>
    <w:p w14:paraId="554814A8">
      <w:pPr>
        <w:shd w:val="clear"/>
        <w:adjustRightInd w:val="0"/>
        <w:snapToGrid w:val="0"/>
        <w:jc w:val="left"/>
        <w:rPr>
          <w:rFonts w:hint="eastAsia" w:ascii="宋体" w:hAnsi="宋体" w:cs="宋体"/>
          <w:color w:val="auto"/>
          <w:sz w:val="24"/>
          <w:highlight w:val="none"/>
        </w:rPr>
      </w:pPr>
    </w:p>
    <w:p w14:paraId="23BFB25B">
      <w:pPr>
        <w:shd w:val="clear"/>
        <w:adjustRightInd w:val="0"/>
        <w:snapToGrid w:val="0"/>
        <w:jc w:val="left"/>
        <w:rPr>
          <w:rFonts w:hint="eastAsia" w:ascii="宋体" w:hAnsi="宋体" w:cs="宋体"/>
          <w:color w:val="auto"/>
          <w:sz w:val="24"/>
          <w:highlight w:val="none"/>
        </w:rPr>
      </w:pPr>
    </w:p>
    <w:p w14:paraId="09E9B987">
      <w:pPr>
        <w:shd w:val="clear"/>
        <w:adjustRightInd w:val="0"/>
        <w:snapToGrid w:val="0"/>
        <w:jc w:val="left"/>
        <w:rPr>
          <w:rFonts w:hint="eastAsia" w:ascii="宋体" w:hAnsi="宋体" w:cs="宋体"/>
          <w:color w:val="auto"/>
          <w:sz w:val="24"/>
          <w:highlight w:val="none"/>
        </w:rPr>
      </w:pPr>
    </w:p>
    <w:p w14:paraId="2289F7E5">
      <w:pPr>
        <w:shd w:val="clear"/>
        <w:adjustRightInd w:val="0"/>
        <w:snapToGrid w:val="0"/>
        <w:jc w:val="left"/>
        <w:rPr>
          <w:rFonts w:hint="eastAsia" w:ascii="宋体" w:hAnsi="宋体" w:cs="宋体"/>
          <w:color w:val="auto"/>
          <w:sz w:val="24"/>
          <w:highlight w:val="none"/>
        </w:rPr>
      </w:pPr>
    </w:p>
    <w:p w14:paraId="544FD8CE">
      <w:pPr>
        <w:shd w:val="clear"/>
        <w:adjustRightInd w:val="0"/>
        <w:snapToGrid w:val="0"/>
        <w:jc w:val="left"/>
        <w:rPr>
          <w:rFonts w:hint="eastAsia" w:ascii="宋体" w:hAnsi="宋体" w:cs="宋体"/>
          <w:color w:val="auto"/>
          <w:sz w:val="24"/>
          <w:highlight w:val="none"/>
        </w:rPr>
      </w:pPr>
    </w:p>
    <w:p w14:paraId="5615246F">
      <w:pPr>
        <w:shd w:val="clear"/>
        <w:adjustRightInd w:val="0"/>
        <w:snapToGrid w:val="0"/>
        <w:jc w:val="left"/>
        <w:rPr>
          <w:rFonts w:hint="eastAsia" w:ascii="宋体" w:hAnsi="宋体" w:cs="宋体"/>
          <w:color w:val="auto"/>
          <w:sz w:val="24"/>
          <w:highlight w:val="none"/>
        </w:rPr>
      </w:pPr>
    </w:p>
    <w:p w14:paraId="5D5D683F">
      <w:pPr>
        <w:shd w:val="clear"/>
        <w:adjustRightInd w:val="0"/>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8、商务响应表格式</w:t>
      </w:r>
    </w:p>
    <w:p w14:paraId="00010A61">
      <w:pPr>
        <w:shd w:val="clear"/>
        <w:adjustRightInd w:val="0"/>
        <w:snapToGrid w:val="0"/>
        <w:rPr>
          <w:rFonts w:hint="eastAsia" w:ascii="宋体" w:hAnsi="宋体" w:cs="宋体"/>
          <w:b/>
          <w:color w:val="auto"/>
          <w:sz w:val="44"/>
          <w:szCs w:val="44"/>
          <w:highlight w:val="none"/>
        </w:rPr>
      </w:pPr>
    </w:p>
    <w:p w14:paraId="0C722D28">
      <w:pPr>
        <w:shd w:val="clear"/>
        <w:adjustRightInd w:val="0"/>
        <w:snapToGrid w:val="0"/>
        <w:spacing w:line="440" w:lineRule="exact"/>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商务响应表</w:t>
      </w:r>
    </w:p>
    <w:p w14:paraId="101BB70D">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61073FDE">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6"/>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1930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0"/>
            <w:vAlign w:val="center"/>
          </w:tcPr>
          <w:p w14:paraId="5D96A673">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043" w:type="dxa"/>
            <w:noWrap w:val="0"/>
            <w:vAlign w:val="center"/>
          </w:tcPr>
          <w:p w14:paraId="52AF0E55">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招标文件要求</w:t>
            </w:r>
          </w:p>
        </w:tc>
        <w:tc>
          <w:tcPr>
            <w:tcW w:w="1265" w:type="dxa"/>
            <w:noWrap w:val="0"/>
            <w:vAlign w:val="center"/>
          </w:tcPr>
          <w:p w14:paraId="655C7172">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是否响应</w:t>
            </w:r>
          </w:p>
        </w:tc>
        <w:tc>
          <w:tcPr>
            <w:tcW w:w="1596" w:type="dxa"/>
            <w:noWrap w:val="0"/>
            <w:vAlign w:val="center"/>
          </w:tcPr>
          <w:p w14:paraId="5230F8EF">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投标人的承诺或说明</w:t>
            </w:r>
          </w:p>
        </w:tc>
      </w:tr>
      <w:tr w14:paraId="0ABC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4BCD6F32">
            <w:pPr>
              <w:shd w:val="clear"/>
              <w:adjustRightInd w:val="0"/>
              <w:snapToGrid w:val="0"/>
              <w:rPr>
                <w:rFonts w:ascii="宋体" w:hAnsi="宋体" w:cs="宋体"/>
                <w:b/>
                <w:color w:val="auto"/>
                <w:sz w:val="18"/>
                <w:szCs w:val="18"/>
                <w:highlight w:val="none"/>
              </w:rPr>
            </w:pPr>
          </w:p>
        </w:tc>
        <w:tc>
          <w:tcPr>
            <w:tcW w:w="4043" w:type="dxa"/>
            <w:noWrap w:val="0"/>
            <w:vAlign w:val="center"/>
          </w:tcPr>
          <w:p w14:paraId="182074E0">
            <w:pPr>
              <w:shd w:val="clear"/>
              <w:adjustRightInd w:val="0"/>
              <w:snapToGrid w:val="0"/>
              <w:rPr>
                <w:rFonts w:hint="eastAsia" w:ascii="宋体" w:hAnsi="宋体" w:cs="宋体"/>
                <w:color w:val="auto"/>
                <w:sz w:val="18"/>
                <w:szCs w:val="18"/>
                <w:highlight w:val="none"/>
              </w:rPr>
            </w:pPr>
          </w:p>
        </w:tc>
        <w:tc>
          <w:tcPr>
            <w:tcW w:w="1265" w:type="dxa"/>
            <w:noWrap w:val="0"/>
            <w:vAlign w:val="center"/>
          </w:tcPr>
          <w:p w14:paraId="51007122">
            <w:pPr>
              <w:shd w:val="clear"/>
              <w:adjustRightInd w:val="0"/>
              <w:snapToGrid w:val="0"/>
              <w:spacing w:line="240" w:lineRule="exact"/>
              <w:jc w:val="center"/>
              <w:rPr>
                <w:rFonts w:hint="eastAsia" w:ascii="宋体" w:hAnsi="宋体" w:cs="宋体"/>
                <w:b/>
                <w:color w:val="auto"/>
                <w:sz w:val="18"/>
                <w:szCs w:val="18"/>
                <w:highlight w:val="none"/>
              </w:rPr>
            </w:pPr>
          </w:p>
        </w:tc>
        <w:tc>
          <w:tcPr>
            <w:tcW w:w="1596" w:type="dxa"/>
            <w:noWrap w:val="0"/>
            <w:vAlign w:val="center"/>
          </w:tcPr>
          <w:p w14:paraId="05412C73">
            <w:pPr>
              <w:shd w:val="clear"/>
              <w:adjustRightInd w:val="0"/>
              <w:snapToGrid w:val="0"/>
              <w:spacing w:line="240" w:lineRule="exact"/>
              <w:jc w:val="center"/>
              <w:rPr>
                <w:rFonts w:hint="eastAsia" w:ascii="宋体" w:hAnsi="宋体" w:cs="宋体"/>
                <w:b/>
                <w:color w:val="auto"/>
                <w:sz w:val="18"/>
                <w:szCs w:val="18"/>
                <w:highlight w:val="none"/>
              </w:rPr>
            </w:pPr>
          </w:p>
        </w:tc>
      </w:tr>
      <w:tr w14:paraId="5176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519ACBCE">
            <w:pPr>
              <w:shd w:val="clear"/>
              <w:adjustRightInd w:val="0"/>
              <w:snapToGrid w:val="0"/>
              <w:rPr>
                <w:rFonts w:ascii="宋体" w:hAnsi="宋体" w:cs="宋体"/>
                <w:b/>
                <w:color w:val="auto"/>
                <w:sz w:val="18"/>
                <w:szCs w:val="18"/>
                <w:highlight w:val="none"/>
              </w:rPr>
            </w:pPr>
          </w:p>
        </w:tc>
        <w:tc>
          <w:tcPr>
            <w:tcW w:w="4043" w:type="dxa"/>
            <w:noWrap w:val="0"/>
            <w:vAlign w:val="top"/>
          </w:tcPr>
          <w:p w14:paraId="0EDF431B">
            <w:pPr>
              <w:shd w:val="clear"/>
              <w:adjustRightInd w:val="0"/>
              <w:snapToGrid w:val="0"/>
              <w:ind w:firstLine="360" w:firstLineChars="200"/>
              <w:rPr>
                <w:rFonts w:hint="eastAsia" w:ascii="宋体" w:hAnsi="宋体" w:cs="宋体"/>
                <w:color w:val="auto"/>
                <w:sz w:val="18"/>
                <w:szCs w:val="18"/>
                <w:highlight w:val="none"/>
              </w:rPr>
            </w:pPr>
          </w:p>
        </w:tc>
        <w:tc>
          <w:tcPr>
            <w:tcW w:w="1265" w:type="dxa"/>
            <w:noWrap w:val="0"/>
            <w:vAlign w:val="center"/>
          </w:tcPr>
          <w:p w14:paraId="68233794">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center"/>
          </w:tcPr>
          <w:p w14:paraId="040FF7F6">
            <w:pPr>
              <w:shd w:val="clear"/>
              <w:adjustRightInd w:val="0"/>
              <w:snapToGrid w:val="0"/>
              <w:spacing w:line="240" w:lineRule="exact"/>
              <w:rPr>
                <w:rFonts w:hint="eastAsia" w:ascii="宋体" w:hAnsi="宋体" w:cs="宋体"/>
                <w:color w:val="auto"/>
                <w:sz w:val="18"/>
                <w:szCs w:val="18"/>
                <w:highlight w:val="none"/>
              </w:rPr>
            </w:pPr>
          </w:p>
        </w:tc>
      </w:tr>
      <w:tr w14:paraId="7DE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3BB6FE5C">
            <w:pPr>
              <w:shd w:val="clear"/>
              <w:adjustRightInd w:val="0"/>
              <w:snapToGrid w:val="0"/>
              <w:rPr>
                <w:rFonts w:hint="eastAsia" w:ascii="宋体" w:hAnsi="宋体" w:cs="宋体"/>
                <w:b/>
                <w:color w:val="auto"/>
                <w:sz w:val="18"/>
                <w:szCs w:val="18"/>
                <w:highlight w:val="none"/>
              </w:rPr>
            </w:pPr>
          </w:p>
        </w:tc>
        <w:tc>
          <w:tcPr>
            <w:tcW w:w="4043" w:type="dxa"/>
            <w:noWrap w:val="0"/>
            <w:vAlign w:val="top"/>
          </w:tcPr>
          <w:p w14:paraId="6E422B90">
            <w:pPr>
              <w:shd w:val="clear"/>
              <w:adjustRightInd w:val="0"/>
              <w:snapToGrid w:val="0"/>
              <w:rPr>
                <w:rFonts w:hint="eastAsia" w:ascii="宋体" w:hAnsi="宋体" w:cs="宋体"/>
                <w:b/>
                <w:color w:val="auto"/>
                <w:sz w:val="18"/>
                <w:szCs w:val="18"/>
                <w:highlight w:val="none"/>
              </w:rPr>
            </w:pPr>
          </w:p>
        </w:tc>
        <w:tc>
          <w:tcPr>
            <w:tcW w:w="1265" w:type="dxa"/>
            <w:noWrap w:val="0"/>
            <w:vAlign w:val="top"/>
          </w:tcPr>
          <w:p w14:paraId="42AAB550">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09990C31">
            <w:pPr>
              <w:shd w:val="clear"/>
              <w:adjustRightInd w:val="0"/>
              <w:snapToGrid w:val="0"/>
              <w:spacing w:line="240" w:lineRule="exact"/>
              <w:rPr>
                <w:rFonts w:hint="eastAsia" w:ascii="宋体" w:hAnsi="宋体" w:cs="宋体"/>
                <w:color w:val="auto"/>
                <w:sz w:val="18"/>
                <w:szCs w:val="18"/>
                <w:highlight w:val="none"/>
              </w:rPr>
            </w:pPr>
          </w:p>
        </w:tc>
      </w:tr>
      <w:tr w14:paraId="3AA4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77F3E08E">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64A1D939">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0715C83B">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77B4E2B1">
            <w:pPr>
              <w:shd w:val="clear"/>
              <w:adjustRightInd w:val="0"/>
              <w:snapToGrid w:val="0"/>
              <w:spacing w:line="240" w:lineRule="exact"/>
              <w:rPr>
                <w:rFonts w:hint="eastAsia" w:ascii="宋体" w:hAnsi="宋体" w:cs="宋体"/>
                <w:color w:val="auto"/>
                <w:sz w:val="18"/>
                <w:szCs w:val="18"/>
                <w:highlight w:val="none"/>
              </w:rPr>
            </w:pPr>
          </w:p>
        </w:tc>
      </w:tr>
      <w:tr w14:paraId="3B4E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2A1D8405">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237FB7F7">
            <w:pPr>
              <w:shd w:val="clear"/>
              <w:autoSpaceDE w:val="0"/>
              <w:autoSpaceDN w:val="0"/>
              <w:adjustRightInd w:val="0"/>
              <w:ind w:right="-100"/>
              <w:jc w:val="left"/>
              <w:rPr>
                <w:rFonts w:hint="eastAsia" w:ascii="宋体" w:hAnsi="宋体" w:cs="宋体"/>
                <w:color w:val="auto"/>
                <w:kern w:val="0"/>
                <w:sz w:val="18"/>
                <w:szCs w:val="18"/>
                <w:highlight w:val="none"/>
              </w:rPr>
            </w:pPr>
          </w:p>
        </w:tc>
        <w:tc>
          <w:tcPr>
            <w:tcW w:w="1265" w:type="dxa"/>
            <w:noWrap w:val="0"/>
            <w:vAlign w:val="top"/>
          </w:tcPr>
          <w:p w14:paraId="7635E569">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484A5409">
            <w:pPr>
              <w:shd w:val="clear"/>
              <w:adjustRightInd w:val="0"/>
              <w:snapToGrid w:val="0"/>
              <w:spacing w:line="240" w:lineRule="exact"/>
              <w:rPr>
                <w:rFonts w:hint="eastAsia" w:ascii="宋体" w:hAnsi="宋体" w:cs="宋体"/>
                <w:color w:val="auto"/>
                <w:sz w:val="18"/>
                <w:szCs w:val="18"/>
                <w:highlight w:val="none"/>
              </w:rPr>
            </w:pPr>
          </w:p>
        </w:tc>
      </w:tr>
      <w:tr w14:paraId="6E34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04ADD012">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13823AF3">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691F1CFD">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24437B75">
            <w:pPr>
              <w:shd w:val="clear"/>
              <w:adjustRightInd w:val="0"/>
              <w:snapToGrid w:val="0"/>
              <w:spacing w:line="240" w:lineRule="exact"/>
              <w:rPr>
                <w:rFonts w:hint="eastAsia" w:ascii="宋体" w:hAnsi="宋体" w:cs="宋体"/>
                <w:color w:val="auto"/>
                <w:sz w:val="18"/>
                <w:szCs w:val="18"/>
                <w:highlight w:val="none"/>
              </w:rPr>
            </w:pPr>
          </w:p>
        </w:tc>
      </w:tr>
      <w:tr w14:paraId="716A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66F6C459">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433CD364">
            <w:pPr>
              <w:shd w:val="clear"/>
              <w:rPr>
                <w:rFonts w:hint="eastAsia" w:ascii="宋体" w:hAnsi="宋体" w:cs="宋体"/>
                <w:color w:val="auto"/>
                <w:sz w:val="18"/>
                <w:szCs w:val="18"/>
                <w:highlight w:val="none"/>
              </w:rPr>
            </w:pPr>
          </w:p>
        </w:tc>
        <w:tc>
          <w:tcPr>
            <w:tcW w:w="1265" w:type="dxa"/>
            <w:noWrap w:val="0"/>
            <w:vAlign w:val="top"/>
          </w:tcPr>
          <w:p w14:paraId="14FDA395">
            <w:pPr>
              <w:shd w:val="clear"/>
              <w:adjustRightInd w:val="0"/>
              <w:snapToGrid w:val="0"/>
              <w:spacing w:line="240" w:lineRule="exact"/>
              <w:rPr>
                <w:rFonts w:hint="eastAsia" w:ascii="宋体" w:hAnsi="宋体" w:cs="宋体"/>
                <w:color w:val="auto"/>
                <w:sz w:val="18"/>
                <w:szCs w:val="18"/>
                <w:highlight w:val="none"/>
              </w:rPr>
            </w:pPr>
          </w:p>
        </w:tc>
        <w:tc>
          <w:tcPr>
            <w:tcW w:w="1596" w:type="dxa"/>
            <w:noWrap w:val="0"/>
            <w:vAlign w:val="top"/>
          </w:tcPr>
          <w:p w14:paraId="44EE7D04">
            <w:pPr>
              <w:shd w:val="clear"/>
              <w:adjustRightInd w:val="0"/>
              <w:snapToGrid w:val="0"/>
              <w:spacing w:line="240" w:lineRule="exact"/>
              <w:rPr>
                <w:rFonts w:hint="eastAsia" w:ascii="宋体" w:hAnsi="宋体" w:cs="宋体"/>
                <w:color w:val="auto"/>
                <w:sz w:val="18"/>
                <w:szCs w:val="18"/>
                <w:highlight w:val="none"/>
              </w:rPr>
            </w:pPr>
          </w:p>
        </w:tc>
      </w:tr>
    </w:tbl>
    <w:p w14:paraId="49428B17">
      <w:pPr>
        <w:shd w:val="clear"/>
        <w:snapToGrid w:val="0"/>
        <w:spacing w:before="50" w:after="50"/>
        <w:rPr>
          <w:rFonts w:hint="eastAsia" w:ascii="宋体" w:hAnsi="宋体" w:cs="宋体"/>
          <w:color w:val="auto"/>
          <w:sz w:val="21"/>
          <w:szCs w:val="21"/>
          <w:highlight w:val="none"/>
        </w:rPr>
      </w:pPr>
    </w:p>
    <w:p w14:paraId="65ECAF04">
      <w:pPr>
        <w:shd w:val="clear"/>
        <w:snapToGrid w:val="0"/>
        <w:spacing w:before="50" w:after="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授权代表签名：</w:t>
      </w:r>
      <w:r>
        <w:rPr>
          <w:rFonts w:hint="eastAsia" w:ascii="宋体" w:hAnsi="宋体" w:cs="宋体"/>
          <w:color w:val="auto"/>
          <w:sz w:val="21"/>
          <w:szCs w:val="21"/>
          <w:highlight w:val="none"/>
          <w:u w:val="single"/>
        </w:rPr>
        <w:t xml:space="preserve">        </w:t>
      </w:r>
    </w:p>
    <w:p w14:paraId="5CA63626">
      <w:pPr>
        <w:pStyle w:val="12"/>
        <w:shd w:val="clear"/>
        <w:snapToGrid w:val="0"/>
        <w:ind w:right="280"/>
        <w:rPr>
          <w:rFonts w:cs="宋体"/>
          <w:color w:val="auto"/>
          <w:sz w:val="24"/>
          <w:highlight w:val="none"/>
        </w:rPr>
      </w:pPr>
      <w:r>
        <w:rPr>
          <w:rFonts w:cs="宋体"/>
          <w:color w:val="auto"/>
          <w:sz w:val="21"/>
          <w:szCs w:val="21"/>
          <w:highlight w:val="none"/>
        </w:rPr>
        <w:t>投标人全称（盖章）：</w:t>
      </w:r>
      <w:r>
        <w:rPr>
          <w:rFonts w:cs="宋体"/>
          <w:color w:val="auto"/>
          <w:sz w:val="21"/>
          <w:szCs w:val="21"/>
          <w:highlight w:val="none"/>
          <w:u w:val="single"/>
        </w:rPr>
        <w:t xml:space="preserve">               </w:t>
      </w:r>
      <w:r>
        <w:rPr>
          <w:rFonts w:cs="宋体"/>
          <w:color w:val="auto"/>
          <w:sz w:val="21"/>
          <w:szCs w:val="21"/>
          <w:highlight w:val="none"/>
        </w:rPr>
        <w:t xml:space="preserve">              年    月　 日</w:t>
      </w:r>
    </w:p>
    <w:p w14:paraId="3B3D85A2">
      <w:pPr>
        <w:shd w:val="clear"/>
        <w:adjustRightInd w:val="0"/>
        <w:snapToGrid w:val="0"/>
        <w:jc w:val="left"/>
        <w:rPr>
          <w:rFonts w:hint="eastAsia" w:ascii="宋体" w:hAnsi="宋体" w:cs="宋体"/>
          <w:color w:val="auto"/>
          <w:sz w:val="24"/>
          <w:highlight w:val="none"/>
        </w:rPr>
      </w:pPr>
    </w:p>
    <w:p w14:paraId="7E33146D">
      <w:pPr>
        <w:shd w:val="clear"/>
        <w:adjustRightInd w:val="0"/>
        <w:snapToGrid w:val="0"/>
        <w:jc w:val="left"/>
        <w:rPr>
          <w:rFonts w:hint="eastAsia" w:ascii="宋体" w:hAnsi="宋体" w:cs="宋体"/>
          <w:color w:val="auto"/>
          <w:sz w:val="24"/>
          <w:highlight w:val="none"/>
        </w:rPr>
      </w:pPr>
    </w:p>
    <w:p w14:paraId="17F16103">
      <w:pPr>
        <w:pStyle w:val="11"/>
        <w:shd w:val="clear"/>
        <w:adjustRightInd w:val="0"/>
        <w:snapToGrid w:val="0"/>
        <w:spacing w:after="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注：按招标文件第二章</w:t>
      </w:r>
      <w:r>
        <w:rPr>
          <w:rFonts w:hint="eastAsia" w:ascii="宋体" w:hAnsi="宋体" w:cs="宋体"/>
          <w:color w:val="auto"/>
          <w:sz w:val="21"/>
          <w:szCs w:val="21"/>
          <w:highlight w:val="none"/>
          <w:lang w:val="en-US" w:eastAsia="zh-CN"/>
        </w:rPr>
        <w:t>商务</w:t>
      </w:r>
      <w:r>
        <w:rPr>
          <w:rFonts w:hint="eastAsia" w:ascii="宋体" w:hAnsi="宋体" w:cs="宋体"/>
          <w:color w:val="auto"/>
          <w:sz w:val="21"/>
          <w:szCs w:val="21"/>
          <w:highlight w:val="none"/>
        </w:rPr>
        <w:t>要求列表，对照招标文件要求在“偏离情况”栏注明“正偏离”、“负偏离”或“无偏离”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不填写视同无偏离。</w:t>
      </w:r>
    </w:p>
    <w:p w14:paraId="70133375">
      <w:pPr>
        <w:pStyle w:val="11"/>
        <w:shd w:val="clear"/>
        <w:adjustRightInd w:val="0"/>
        <w:snapToGrid w:val="0"/>
        <w:spacing w:after="0"/>
        <w:rPr>
          <w:rFonts w:hint="eastAsia" w:ascii="宋体" w:hAnsi="宋体" w:cs="宋体"/>
          <w:color w:val="auto"/>
          <w:sz w:val="21"/>
          <w:szCs w:val="21"/>
          <w:highlight w:val="none"/>
          <w:lang w:val="en-US" w:eastAsia="zh-CN"/>
        </w:rPr>
      </w:pPr>
    </w:p>
    <w:p w14:paraId="210F1D2F">
      <w:pPr>
        <w:pStyle w:val="11"/>
        <w:shd w:val="clear"/>
        <w:adjustRightInd w:val="0"/>
        <w:snapToGrid w:val="0"/>
        <w:spacing w:after="0"/>
        <w:rPr>
          <w:rFonts w:hint="eastAsia" w:ascii="宋体" w:hAnsi="宋体" w:cs="宋体"/>
          <w:color w:val="auto"/>
          <w:sz w:val="21"/>
          <w:szCs w:val="21"/>
          <w:highlight w:val="none"/>
          <w:lang w:val="en-US" w:eastAsia="zh-CN"/>
        </w:rPr>
      </w:pPr>
    </w:p>
    <w:p w14:paraId="5DF8AE72">
      <w:pPr>
        <w:pStyle w:val="11"/>
        <w:shd w:val="clear"/>
        <w:adjustRightInd w:val="0"/>
        <w:snapToGrid w:val="0"/>
        <w:spacing w:after="0"/>
        <w:rPr>
          <w:rFonts w:hint="eastAsia" w:ascii="宋体" w:hAnsi="宋体" w:cs="宋体"/>
          <w:color w:val="auto"/>
          <w:sz w:val="21"/>
          <w:szCs w:val="21"/>
          <w:highlight w:val="none"/>
          <w:lang w:val="en-US" w:eastAsia="zh-CN"/>
        </w:rPr>
      </w:pPr>
    </w:p>
    <w:p w14:paraId="53897853">
      <w:pPr>
        <w:pStyle w:val="11"/>
        <w:shd w:val="clear"/>
        <w:adjustRightInd w:val="0"/>
        <w:snapToGrid w:val="0"/>
        <w:spacing w:after="0"/>
        <w:rPr>
          <w:rFonts w:hint="eastAsia" w:ascii="宋体" w:hAnsi="宋体" w:cs="宋体"/>
          <w:color w:val="auto"/>
          <w:sz w:val="21"/>
          <w:szCs w:val="21"/>
          <w:highlight w:val="none"/>
          <w:lang w:val="en-US" w:eastAsia="zh-CN"/>
        </w:rPr>
      </w:pPr>
    </w:p>
    <w:p w14:paraId="4287FC0E">
      <w:pPr>
        <w:pStyle w:val="11"/>
        <w:shd w:val="clear"/>
        <w:adjustRightInd w:val="0"/>
        <w:snapToGrid w:val="0"/>
        <w:spacing w:after="0"/>
        <w:rPr>
          <w:rFonts w:hint="eastAsia" w:ascii="宋体" w:hAnsi="宋体" w:cs="宋体"/>
          <w:color w:val="auto"/>
          <w:sz w:val="21"/>
          <w:szCs w:val="21"/>
          <w:highlight w:val="none"/>
          <w:lang w:val="en-US" w:eastAsia="zh-CN"/>
        </w:rPr>
      </w:pPr>
    </w:p>
    <w:p w14:paraId="4E429EB6">
      <w:pPr>
        <w:pStyle w:val="11"/>
        <w:shd w:val="clear"/>
        <w:adjustRightInd w:val="0"/>
        <w:snapToGrid w:val="0"/>
        <w:spacing w:after="0"/>
        <w:rPr>
          <w:rFonts w:hint="eastAsia" w:ascii="宋体" w:hAnsi="宋体" w:cs="宋体"/>
          <w:color w:val="auto"/>
          <w:sz w:val="21"/>
          <w:szCs w:val="21"/>
          <w:highlight w:val="none"/>
          <w:lang w:val="en-US" w:eastAsia="zh-CN"/>
        </w:rPr>
      </w:pPr>
    </w:p>
    <w:p w14:paraId="3204D721">
      <w:pPr>
        <w:pStyle w:val="11"/>
        <w:shd w:val="clear"/>
        <w:adjustRightInd w:val="0"/>
        <w:snapToGrid w:val="0"/>
        <w:spacing w:after="0"/>
        <w:rPr>
          <w:rFonts w:hint="eastAsia" w:ascii="宋体" w:hAnsi="宋体" w:cs="宋体"/>
          <w:color w:val="auto"/>
          <w:sz w:val="21"/>
          <w:szCs w:val="21"/>
          <w:highlight w:val="none"/>
          <w:lang w:val="en-US" w:eastAsia="zh-CN"/>
        </w:rPr>
      </w:pPr>
    </w:p>
    <w:p w14:paraId="25743729">
      <w:pPr>
        <w:pStyle w:val="11"/>
        <w:shd w:val="clear"/>
        <w:adjustRightInd w:val="0"/>
        <w:snapToGrid w:val="0"/>
        <w:spacing w:after="0"/>
        <w:rPr>
          <w:rFonts w:hint="eastAsia" w:ascii="宋体" w:hAnsi="宋体" w:cs="宋体"/>
          <w:color w:val="auto"/>
          <w:sz w:val="21"/>
          <w:szCs w:val="21"/>
          <w:highlight w:val="none"/>
          <w:lang w:val="en-US" w:eastAsia="zh-CN"/>
        </w:rPr>
      </w:pPr>
    </w:p>
    <w:p w14:paraId="2452EE7C">
      <w:pPr>
        <w:pStyle w:val="11"/>
        <w:shd w:val="clear"/>
        <w:adjustRightInd w:val="0"/>
        <w:snapToGrid w:val="0"/>
        <w:spacing w:after="0"/>
        <w:rPr>
          <w:rFonts w:hint="eastAsia" w:ascii="宋体" w:hAnsi="宋体" w:cs="宋体"/>
          <w:color w:val="auto"/>
          <w:sz w:val="21"/>
          <w:szCs w:val="21"/>
          <w:highlight w:val="none"/>
          <w:lang w:val="en-US" w:eastAsia="zh-CN"/>
        </w:rPr>
      </w:pPr>
    </w:p>
    <w:p w14:paraId="2FB66551">
      <w:pPr>
        <w:pStyle w:val="11"/>
        <w:shd w:val="clear"/>
        <w:adjustRightInd w:val="0"/>
        <w:snapToGrid w:val="0"/>
        <w:spacing w:after="0"/>
        <w:rPr>
          <w:rFonts w:hint="eastAsia" w:ascii="宋体" w:hAnsi="宋体" w:cs="宋体"/>
          <w:color w:val="auto"/>
          <w:sz w:val="21"/>
          <w:szCs w:val="21"/>
          <w:highlight w:val="none"/>
          <w:lang w:val="en-US" w:eastAsia="zh-CN"/>
        </w:rPr>
      </w:pPr>
    </w:p>
    <w:p w14:paraId="2A8E1C19">
      <w:pPr>
        <w:pStyle w:val="11"/>
        <w:shd w:val="clear"/>
        <w:adjustRightInd w:val="0"/>
        <w:snapToGrid w:val="0"/>
        <w:spacing w:after="0"/>
        <w:rPr>
          <w:rFonts w:hint="eastAsia" w:ascii="宋体" w:hAnsi="宋体" w:cs="宋体"/>
          <w:color w:val="auto"/>
          <w:sz w:val="21"/>
          <w:szCs w:val="21"/>
          <w:highlight w:val="none"/>
          <w:lang w:val="en-US" w:eastAsia="zh-CN"/>
        </w:rPr>
      </w:pPr>
    </w:p>
    <w:p w14:paraId="0958F0DA">
      <w:pPr>
        <w:pStyle w:val="11"/>
        <w:shd w:val="clear"/>
        <w:adjustRightInd w:val="0"/>
        <w:snapToGrid w:val="0"/>
        <w:spacing w:after="0"/>
        <w:rPr>
          <w:rFonts w:hint="eastAsia" w:ascii="宋体" w:hAnsi="宋体" w:cs="宋体"/>
          <w:color w:val="auto"/>
          <w:sz w:val="21"/>
          <w:szCs w:val="21"/>
          <w:highlight w:val="none"/>
          <w:lang w:val="en-US" w:eastAsia="zh-CN"/>
        </w:rPr>
      </w:pPr>
    </w:p>
    <w:p w14:paraId="52F93268">
      <w:pPr>
        <w:pStyle w:val="11"/>
        <w:shd w:val="clear"/>
        <w:adjustRightInd w:val="0"/>
        <w:snapToGrid w:val="0"/>
        <w:spacing w:after="0"/>
        <w:rPr>
          <w:rFonts w:hint="eastAsia" w:ascii="宋体" w:hAnsi="宋体" w:cs="宋体"/>
          <w:color w:val="auto"/>
          <w:sz w:val="21"/>
          <w:szCs w:val="21"/>
          <w:highlight w:val="none"/>
          <w:lang w:val="en-US" w:eastAsia="zh-CN"/>
        </w:rPr>
      </w:pPr>
    </w:p>
    <w:p w14:paraId="3667D294">
      <w:pPr>
        <w:pStyle w:val="11"/>
        <w:shd w:val="clear"/>
        <w:adjustRightInd w:val="0"/>
        <w:snapToGrid w:val="0"/>
        <w:spacing w:after="0"/>
        <w:rPr>
          <w:rFonts w:hint="eastAsia" w:ascii="宋体" w:hAnsi="宋体" w:cs="宋体"/>
          <w:color w:val="auto"/>
          <w:sz w:val="21"/>
          <w:szCs w:val="21"/>
          <w:highlight w:val="none"/>
          <w:lang w:val="en-US" w:eastAsia="zh-CN"/>
        </w:rPr>
      </w:pPr>
    </w:p>
    <w:p w14:paraId="548A53D8">
      <w:pPr>
        <w:pStyle w:val="11"/>
        <w:shd w:val="clear"/>
        <w:adjustRightInd w:val="0"/>
        <w:snapToGrid w:val="0"/>
        <w:spacing w:after="0"/>
        <w:rPr>
          <w:rFonts w:hint="eastAsia" w:ascii="宋体" w:hAnsi="宋体" w:cs="宋体"/>
          <w:color w:val="auto"/>
          <w:sz w:val="21"/>
          <w:szCs w:val="21"/>
          <w:highlight w:val="none"/>
          <w:lang w:val="en-US" w:eastAsia="zh-CN"/>
        </w:rPr>
      </w:pPr>
    </w:p>
    <w:p w14:paraId="37A60965">
      <w:pPr>
        <w:pStyle w:val="11"/>
        <w:shd w:val="clear"/>
        <w:adjustRightInd w:val="0"/>
        <w:snapToGrid w:val="0"/>
        <w:spacing w:after="0"/>
        <w:rPr>
          <w:rFonts w:hint="eastAsia" w:ascii="宋体" w:hAnsi="宋体" w:cs="宋体"/>
          <w:color w:val="auto"/>
          <w:sz w:val="21"/>
          <w:szCs w:val="21"/>
          <w:highlight w:val="none"/>
          <w:lang w:val="en-US" w:eastAsia="zh-CN"/>
        </w:rPr>
      </w:pPr>
    </w:p>
    <w:p w14:paraId="719A1015">
      <w:pPr>
        <w:pStyle w:val="11"/>
        <w:shd w:val="clear"/>
        <w:adjustRightInd w:val="0"/>
        <w:snapToGrid w:val="0"/>
        <w:spacing w:after="0"/>
        <w:rPr>
          <w:rFonts w:hint="eastAsia" w:ascii="宋体" w:hAnsi="宋体" w:cs="宋体"/>
          <w:color w:val="auto"/>
          <w:sz w:val="21"/>
          <w:szCs w:val="21"/>
          <w:highlight w:val="none"/>
          <w:lang w:val="en-US" w:eastAsia="zh-CN"/>
        </w:rPr>
      </w:pPr>
    </w:p>
    <w:p w14:paraId="72AD897F">
      <w:pPr>
        <w:shd w:val="clear"/>
        <w:adjustRightInd w:val="0"/>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9、技术响应表格式</w:t>
      </w:r>
    </w:p>
    <w:p w14:paraId="473A47B7">
      <w:pPr>
        <w:shd w:val="clear"/>
        <w:adjustRightInd w:val="0"/>
        <w:snapToGrid w:val="0"/>
        <w:rPr>
          <w:rFonts w:hint="eastAsia" w:ascii="宋体" w:hAnsi="宋体" w:cs="宋体"/>
          <w:b/>
          <w:color w:val="auto"/>
          <w:sz w:val="44"/>
          <w:szCs w:val="44"/>
          <w:highlight w:val="none"/>
        </w:rPr>
      </w:pPr>
    </w:p>
    <w:p w14:paraId="71B80E9A">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响应表</w:t>
      </w:r>
    </w:p>
    <w:p w14:paraId="7D715325">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02CD67FA">
      <w:pPr>
        <w:shd w:val="clea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6"/>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204"/>
      </w:tblGrid>
      <w:tr w14:paraId="260D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020" w:type="dxa"/>
            <w:noWrap w:val="0"/>
            <w:vAlign w:val="center"/>
          </w:tcPr>
          <w:p w14:paraId="0A7E1EED">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4043" w:type="dxa"/>
            <w:noWrap w:val="0"/>
            <w:vAlign w:val="center"/>
          </w:tcPr>
          <w:p w14:paraId="79FFADDA">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招标文件要求</w:t>
            </w:r>
          </w:p>
        </w:tc>
        <w:tc>
          <w:tcPr>
            <w:tcW w:w="1265" w:type="dxa"/>
            <w:noWrap w:val="0"/>
            <w:vAlign w:val="center"/>
          </w:tcPr>
          <w:p w14:paraId="722F5101">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是否响应</w:t>
            </w:r>
          </w:p>
        </w:tc>
        <w:tc>
          <w:tcPr>
            <w:tcW w:w="2204" w:type="dxa"/>
            <w:noWrap w:val="0"/>
            <w:vAlign w:val="center"/>
          </w:tcPr>
          <w:p w14:paraId="6EA45681">
            <w:pPr>
              <w:shd w:val="clear"/>
              <w:adjustRightInd w:val="0"/>
              <w:snapToGrid w:val="0"/>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投标人的承诺或说明</w:t>
            </w:r>
          </w:p>
        </w:tc>
      </w:tr>
      <w:tr w14:paraId="1403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7D1FDBAD">
            <w:pPr>
              <w:shd w:val="clear"/>
              <w:adjustRightInd w:val="0"/>
              <w:snapToGrid w:val="0"/>
              <w:rPr>
                <w:rFonts w:ascii="宋体" w:hAnsi="宋体" w:cs="宋体"/>
                <w:b/>
                <w:color w:val="auto"/>
                <w:sz w:val="18"/>
                <w:szCs w:val="18"/>
                <w:highlight w:val="none"/>
              </w:rPr>
            </w:pPr>
          </w:p>
        </w:tc>
        <w:tc>
          <w:tcPr>
            <w:tcW w:w="4043" w:type="dxa"/>
            <w:noWrap w:val="0"/>
            <w:vAlign w:val="center"/>
          </w:tcPr>
          <w:p w14:paraId="508BB2BF">
            <w:pPr>
              <w:shd w:val="clear"/>
              <w:adjustRightInd w:val="0"/>
              <w:snapToGrid w:val="0"/>
              <w:rPr>
                <w:rFonts w:hint="eastAsia" w:ascii="宋体" w:hAnsi="宋体" w:cs="宋体"/>
                <w:color w:val="auto"/>
                <w:sz w:val="18"/>
                <w:szCs w:val="18"/>
                <w:highlight w:val="none"/>
              </w:rPr>
            </w:pPr>
          </w:p>
        </w:tc>
        <w:tc>
          <w:tcPr>
            <w:tcW w:w="1265" w:type="dxa"/>
            <w:noWrap w:val="0"/>
            <w:vAlign w:val="center"/>
          </w:tcPr>
          <w:p w14:paraId="5DF2EE12">
            <w:pPr>
              <w:shd w:val="clear"/>
              <w:adjustRightInd w:val="0"/>
              <w:snapToGrid w:val="0"/>
              <w:spacing w:line="240" w:lineRule="exact"/>
              <w:jc w:val="center"/>
              <w:rPr>
                <w:rFonts w:hint="eastAsia" w:ascii="宋体" w:hAnsi="宋体" w:cs="宋体"/>
                <w:b/>
                <w:color w:val="auto"/>
                <w:sz w:val="18"/>
                <w:szCs w:val="18"/>
                <w:highlight w:val="none"/>
              </w:rPr>
            </w:pPr>
          </w:p>
        </w:tc>
        <w:tc>
          <w:tcPr>
            <w:tcW w:w="2204" w:type="dxa"/>
            <w:noWrap w:val="0"/>
            <w:vAlign w:val="center"/>
          </w:tcPr>
          <w:p w14:paraId="635637C8">
            <w:pPr>
              <w:shd w:val="clear"/>
              <w:adjustRightInd w:val="0"/>
              <w:snapToGrid w:val="0"/>
              <w:spacing w:line="240" w:lineRule="exact"/>
              <w:jc w:val="center"/>
              <w:rPr>
                <w:rFonts w:hint="eastAsia" w:ascii="宋体" w:hAnsi="宋体" w:cs="宋体"/>
                <w:b/>
                <w:color w:val="auto"/>
                <w:sz w:val="18"/>
                <w:szCs w:val="18"/>
                <w:highlight w:val="none"/>
              </w:rPr>
            </w:pPr>
          </w:p>
        </w:tc>
      </w:tr>
      <w:tr w14:paraId="5E5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54EAD9EB">
            <w:pPr>
              <w:shd w:val="clear"/>
              <w:adjustRightInd w:val="0"/>
              <w:snapToGrid w:val="0"/>
              <w:rPr>
                <w:rFonts w:ascii="宋体" w:hAnsi="宋体" w:cs="宋体"/>
                <w:b/>
                <w:color w:val="auto"/>
                <w:sz w:val="18"/>
                <w:szCs w:val="18"/>
                <w:highlight w:val="none"/>
              </w:rPr>
            </w:pPr>
          </w:p>
        </w:tc>
        <w:tc>
          <w:tcPr>
            <w:tcW w:w="4043" w:type="dxa"/>
            <w:noWrap w:val="0"/>
            <w:vAlign w:val="top"/>
          </w:tcPr>
          <w:p w14:paraId="64C31789">
            <w:pPr>
              <w:shd w:val="clear"/>
              <w:adjustRightInd w:val="0"/>
              <w:snapToGrid w:val="0"/>
              <w:ind w:firstLine="360" w:firstLineChars="200"/>
              <w:rPr>
                <w:rFonts w:hint="eastAsia" w:ascii="宋体" w:hAnsi="宋体" w:cs="宋体"/>
                <w:color w:val="auto"/>
                <w:sz w:val="18"/>
                <w:szCs w:val="18"/>
                <w:highlight w:val="none"/>
              </w:rPr>
            </w:pPr>
          </w:p>
        </w:tc>
        <w:tc>
          <w:tcPr>
            <w:tcW w:w="1265" w:type="dxa"/>
            <w:noWrap w:val="0"/>
            <w:vAlign w:val="center"/>
          </w:tcPr>
          <w:p w14:paraId="667E502C">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center"/>
          </w:tcPr>
          <w:p w14:paraId="63E706AC">
            <w:pPr>
              <w:shd w:val="clear"/>
              <w:adjustRightInd w:val="0"/>
              <w:snapToGrid w:val="0"/>
              <w:spacing w:line="240" w:lineRule="exact"/>
              <w:rPr>
                <w:rFonts w:hint="eastAsia" w:ascii="宋体" w:hAnsi="宋体" w:cs="宋体"/>
                <w:color w:val="auto"/>
                <w:sz w:val="18"/>
                <w:szCs w:val="18"/>
                <w:highlight w:val="none"/>
              </w:rPr>
            </w:pPr>
          </w:p>
        </w:tc>
      </w:tr>
      <w:tr w14:paraId="35DE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1A7869A2">
            <w:pPr>
              <w:shd w:val="clear"/>
              <w:adjustRightInd w:val="0"/>
              <w:snapToGrid w:val="0"/>
              <w:rPr>
                <w:rFonts w:hint="eastAsia" w:ascii="宋体" w:hAnsi="宋体" w:cs="宋体"/>
                <w:b/>
                <w:color w:val="auto"/>
                <w:sz w:val="18"/>
                <w:szCs w:val="18"/>
                <w:highlight w:val="none"/>
              </w:rPr>
            </w:pPr>
          </w:p>
        </w:tc>
        <w:tc>
          <w:tcPr>
            <w:tcW w:w="4043" w:type="dxa"/>
            <w:noWrap w:val="0"/>
            <w:vAlign w:val="top"/>
          </w:tcPr>
          <w:p w14:paraId="36EFAB01">
            <w:pPr>
              <w:shd w:val="clear"/>
              <w:adjustRightInd w:val="0"/>
              <w:snapToGrid w:val="0"/>
              <w:rPr>
                <w:rFonts w:hint="eastAsia" w:ascii="宋体" w:hAnsi="宋体" w:cs="宋体"/>
                <w:b/>
                <w:color w:val="auto"/>
                <w:sz w:val="18"/>
                <w:szCs w:val="18"/>
                <w:highlight w:val="none"/>
              </w:rPr>
            </w:pPr>
          </w:p>
        </w:tc>
        <w:tc>
          <w:tcPr>
            <w:tcW w:w="1265" w:type="dxa"/>
            <w:noWrap w:val="0"/>
            <w:vAlign w:val="top"/>
          </w:tcPr>
          <w:p w14:paraId="6A1B1CE5">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122F8F32">
            <w:pPr>
              <w:shd w:val="clear"/>
              <w:adjustRightInd w:val="0"/>
              <w:snapToGrid w:val="0"/>
              <w:spacing w:line="240" w:lineRule="exact"/>
              <w:rPr>
                <w:rFonts w:hint="eastAsia" w:ascii="宋体" w:hAnsi="宋体" w:cs="宋体"/>
                <w:color w:val="auto"/>
                <w:sz w:val="18"/>
                <w:szCs w:val="18"/>
                <w:highlight w:val="none"/>
              </w:rPr>
            </w:pPr>
          </w:p>
        </w:tc>
      </w:tr>
      <w:tr w14:paraId="69D9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00A2CAB1">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60470876">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151AAC7A">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303CA285">
            <w:pPr>
              <w:shd w:val="clear"/>
              <w:adjustRightInd w:val="0"/>
              <w:snapToGrid w:val="0"/>
              <w:spacing w:line="240" w:lineRule="exact"/>
              <w:rPr>
                <w:rFonts w:hint="eastAsia" w:ascii="宋体" w:hAnsi="宋体" w:cs="宋体"/>
                <w:color w:val="auto"/>
                <w:sz w:val="18"/>
                <w:szCs w:val="18"/>
                <w:highlight w:val="none"/>
              </w:rPr>
            </w:pPr>
          </w:p>
        </w:tc>
      </w:tr>
      <w:tr w14:paraId="7C5B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3457C751">
            <w:pPr>
              <w:shd w:val="clear"/>
              <w:adjustRightInd w:val="0"/>
              <w:snapToGrid w:val="0"/>
              <w:jc w:val="center"/>
              <w:rPr>
                <w:rFonts w:hint="eastAsia" w:ascii="宋体" w:hAnsi="宋体" w:cs="宋体"/>
                <w:b/>
                <w:color w:val="auto"/>
                <w:sz w:val="18"/>
                <w:szCs w:val="18"/>
                <w:highlight w:val="none"/>
              </w:rPr>
            </w:pPr>
          </w:p>
        </w:tc>
        <w:tc>
          <w:tcPr>
            <w:tcW w:w="4043" w:type="dxa"/>
            <w:noWrap w:val="0"/>
            <w:vAlign w:val="top"/>
          </w:tcPr>
          <w:p w14:paraId="0D9806D9">
            <w:pPr>
              <w:shd w:val="clear"/>
              <w:autoSpaceDE w:val="0"/>
              <w:autoSpaceDN w:val="0"/>
              <w:adjustRightInd w:val="0"/>
              <w:ind w:right="-100"/>
              <w:jc w:val="left"/>
              <w:rPr>
                <w:rFonts w:hint="eastAsia" w:ascii="宋体" w:hAnsi="宋体" w:cs="宋体"/>
                <w:color w:val="auto"/>
                <w:kern w:val="0"/>
                <w:sz w:val="18"/>
                <w:szCs w:val="18"/>
                <w:highlight w:val="none"/>
              </w:rPr>
            </w:pPr>
          </w:p>
        </w:tc>
        <w:tc>
          <w:tcPr>
            <w:tcW w:w="1265" w:type="dxa"/>
            <w:noWrap w:val="0"/>
            <w:vAlign w:val="top"/>
          </w:tcPr>
          <w:p w14:paraId="616DE7A8">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5258FA83">
            <w:pPr>
              <w:shd w:val="clear"/>
              <w:adjustRightInd w:val="0"/>
              <w:snapToGrid w:val="0"/>
              <w:spacing w:line="240" w:lineRule="exact"/>
              <w:rPr>
                <w:rFonts w:hint="eastAsia" w:ascii="宋体" w:hAnsi="宋体" w:cs="宋体"/>
                <w:color w:val="auto"/>
                <w:sz w:val="18"/>
                <w:szCs w:val="18"/>
                <w:highlight w:val="none"/>
              </w:rPr>
            </w:pPr>
          </w:p>
        </w:tc>
      </w:tr>
      <w:tr w14:paraId="17D8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22F09553">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7B8F1172">
            <w:pPr>
              <w:shd w:val="clear"/>
              <w:adjustRightInd w:val="0"/>
              <w:snapToGrid w:val="0"/>
              <w:rPr>
                <w:rFonts w:hint="eastAsia" w:ascii="宋体" w:hAnsi="宋体" w:cs="宋体"/>
                <w:color w:val="auto"/>
                <w:sz w:val="18"/>
                <w:szCs w:val="18"/>
                <w:highlight w:val="none"/>
              </w:rPr>
            </w:pPr>
          </w:p>
        </w:tc>
        <w:tc>
          <w:tcPr>
            <w:tcW w:w="1265" w:type="dxa"/>
            <w:noWrap w:val="0"/>
            <w:vAlign w:val="top"/>
          </w:tcPr>
          <w:p w14:paraId="12A08B16">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62B003DE">
            <w:pPr>
              <w:shd w:val="clear"/>
              <w:adjustRightInd w:val="0"/>
              <w:snapToGrid w:val="0"/>
              <w:spacing w:line="240" w:lineRule="exact"/>
              <w:rPr>
                <w:rFonts w:hint="eastAsia" w:ascii="宋体" w:hAnsi="宋体" w:cs="宋体"/>
                <w:color w:val="auto"/>
                <w:sz w:val="18"/>
                <w:szCs w:val="18"/>
                <w:highlight w:val="none"/>
              </w:rPr>
            </w:pPr>
          </w:p>
        </w:tc>
      </w:tr>
      <w:tr w14:paraId="2610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0"/>
            <w:vAlign w:val="center"/>
          </w:tcPr>
          <w:p w14:paraId="44A97CDA">
            <w:pPr>
              <w:shd w:val="clear"/>
              <w:adjustRightInd w:val="0"/>
              <w:snapToGrid w:val="0"/>
              <w:jc w:val="center"/>
              <w:rPr>
                <w:rFonts w:hint="eastAsia" w:ascii="宋体" w:hAnsi="宋体" w:cs="宋体"/>
                <w:b/>
                <w:color w:val="auto"/>
                <w:sz w:val="18"/>
                <w:szCs w:val="18"/>
                <w:highlight w:val="none"/>
              </w:rPr>
            </w:pPr>
          </w:p>
        </w:tc>
        <w:tc>
          <w:tcPr>
            <w:tcW w:w="4043" w:type="dxa"/>
            <w:noWrap w:val="0"/>
            <w:vAlign w:val="center"/>
          </w:tcPr>
          <w:p w14:paraId="5A018302">
            <w:pPr>
              <w:shd w:val="clear"/>
              <w:rPr>
                <w:rFonts w:hint="eastAsia" w:ascii="宋体" w:hAnsi="宋体" w:cs="宋体"/>
                <w:color w:val="auto"/>
                <w:sz w:val="18"/>
                <w:szCs w:val="18"/>
                <w:highlight w:val="none"/>
              </w:rPr>
            </w:pPr>
          </w:p>
        </w:tc>
        <w:tc>
          <w:tcPr>
            <w:tcW w:w="1265" w:type="dxa"/>
            <w:noWrap w:val="0"/>
            <w:vAlign w:val="top"/>
          </w:tcPr>
          <w:p w14:paraId="324C720F">
            <w:pPr>
              <w:shd w:val="clear"/>
              <w:adjustRightInd w:val="0"/>
              <w:snapToGrid w:val="0"/>
              <w:spacing w:line="240" w:lineRule="exact"/>
              <w:rPr>
                <w:rFonts w:hint="eastAsia" w:ascii="宋体" w:hAnsi="宋体" w:cs="宋体"/>
                <w:color w:val="auto"/>
                <w:sz w:val="18"/>
                <w:szCs w:val="18"/>
                <w:highlight w:val="none"/>
              </w:rPr>
            </w:pPr>
          </w:p>
        </w:tc>
        <w:tc>
          <w:tcPr>
            <w:tcW w:w="2204" w:type="dxa"/>
            <w:noWrap w:val="0"/>
            <w:vAlign w:val="top"/>
          </w:tcPr>
          <w:p w14:paraId="5AE62D21">
            <w:pPr>
              <w:shd w:val="clear"/>
              <w:adjustRightInd w:val="0"/>
              <w:snapToGrid w:val="0"/>
              <w:spacing w:line="240" w:lineRule="exact"/>
              <w:rPr>
                <w:rFonts w:hint="eastAsia" w:ascii="宋体" w:hAnsi="宋体" w:cs="宋体"/>
                <w:color w:val="auto"/>
                <w:sz w:val="18"/>
                <w:szCs w:val="18"/>
                <w:highlight w:val="none"/>
              </w:rPr>
            </w:pPr>
          </w:p>
        </w:tc>
      </w:tr>
    </w:tbl>
    <w:p w14:paraId="39FA5995">
      <w:pPr>
        <w:shd w:val="clear"/>
        <w:snapToGrid w:val="0"/>
        <w:spacing w:before="50" w:after="50"/>
        <w:rPr>
          <w:rFonts w:hint="eastAsia" w:ascii="宋体" w:hAnsi="宋体" w:cs="宋体"/>
          <w:color w:val="auto"/>
          <w:sz w:val="24"/>
          <w:highlight w:val="none"/>
        </w:rPr>
      </w:pPr>
    </w:p>
    <w:p w14:paraId="2F3F9813">
      <w:pPr>
        <w:shd w:val="clear"/>
        <w:snapToGrid w:val="0"/>
        <w:spacing w:before="50" w:after="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授权代表签名：</w:t>
      </w:r>
      <w:r>
        <w:rPr>
          <w:rFonts w:hint="eastAsia" w:ascii="宋体" w:hAnsi="宋体" w:cs="宋体"/>
          <w:color w:val="auto"/>
          <w:sz w:val="21"/>
          <w:szCs w:val="21"/>
          <w:highlight w:val="none"/>
          <w:u w:val="single"/>
        </w:rPr>
        <w:t xml:space="preserve">        </w:t>
      </w:r>
    </w:p>
    <w:p w14:paraId="418ADBE0">
      <w:pPr>
        <w:pStyle w:val="12"/>
        <w:shd w:val="clear"/>
        <w:snapToGrid w:val="0"/>
        <w:ind w:right="280"/>
        <w:rPr>
          <w:rFonts w:cs="宋体"/>
          <w:color w:val="auto"/>
          <w:sz w:val="21"/>
          <w:szCs w:val="21"/>
          <w:highlight w:val="none"/>
        </w:rPr>
      </w:pPr>
      <w:r>
        <w:rPr>
          <w:rFonts w:cs="宋体"/>
          <w:color w:val="auto"/>
          <w:sz w:val="21"/>
          <w:szCs w:val="21"/>
          <w:highlight w:val="none"/>
        </w:rPr>
        <w:t>投标人全称（盖章）：</w:t>
      </w:r>
      <w:r>
        <w:rPr>
          <w:rFonts w:cs="宋体"/>
          <w:color w:val="auto"/>
          <w:sz w:val="21"/>
          <w:szCs w:val="21"/>
          <w:highlight w:val="none"/>
          <w:u w:val="single"/>
        </w:rPr>
        <w:t xml:space="preserve">               </w:t>
      </w:r>
      <w:r>
        <w:rPr>
          <w:rFonts w:cs="宋体"/>
          <w:color w:val="auto"/>
          <w:sz w:val="21"/>
          <w:szCs w:val="21"/>
          <w:highlight w:val="none"/>
        </w:rPr>
        <w:t xml:space="preserve">              年    月　 日</w:t>
      </w:r>
    </w:p>
    <w:p w14:paraId="70489244">
      <w:pPr>
        <w:shd w:val="clear"/>
        <w:adjustRightInd w:val="0"/>
        <w:snapToGrid w:val="0"/>
        <w:jc w:val="left"/>
        <w:rPr>
          <w:rFonts w:hint="eastAsia" w:ascii="宋体" w:hAnsi="宋体" w:cs="宋体"/>
          <w:color w:val="auto"/>
          <w:sz w:val="24"/>
          <w:highlight w:val="none"/>
        </w:rPr>
      </w:pPr>
    </w:p>
    <w:p w14:paraId="52F7CCA9">
      <w:pPr>
        <w:shd w:val="clear"/>
        <w:adjustRightInd w:val="0"/>
        <w:snapToGrid w:val="0"/>
        <w:jc w:val="left"/>
        <w:rPr>
          <w:rFonts w:hint="eastAsia" w:ascii="宋体" w:hAnsi="宋体" w:cs="宋体"/>
          <w:color w:val="auto"/>
          <w:sz w:val="24"/>
          <w:highlight w:val="none"/>
        </w:rPr>
      </w:pPr>
    </w:p>
    <w:p w14:paraId="5262FC40">
      <w:pPr>
        <w:pStyle w:val="11"/>
        <w:shd w:val="clear"/>
        <w:adjustRightInd w:val="0"/>
        <w:snapToGrid w:val="0"/>
        <w:spacing w:after="0"/>
        <w:rPr>
          <w:rFonts w:hint="default" w:ascii="宋体" w:hAnsi="宋体" w:cs="宋体"/>
          <w:color w:val="auto"/>
          <w:sz w:val="21"/>
          <w:szCs w:val="21"/>
          <w:highlight w:val="none"/>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3" w:charSpace="0"/>
        </w:sectPr>
      </w:pPr>
      <w:r>
        <w:rPr>
          <w:rFonts w:hint="eastAsia" w:ascii="宋体" w:hAnsi="宋体" w:cs="宋体"/>
          <w:color w:val="auto"/>
          <w:sz w:val="21"/>
          <w:szCs w:val="21"/>
          <w:highlight w:val="none"/>
        </w:rPr>
        <w:t>注：按招标文件要求列表，对照招标文件要求在“偏离情况”栏注明“正偏离”、“负偏离”或“无偏离”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不填写视同无偏离。</w:t>
      </w:r>
    </w:p>
    <w:p w14:paraId="6929DAC3">
      <w:pPr>
        <w:shd w:val="clear"/>
        <w:adjustRightInd w:val="0"/>
        <w:snapToGrid w:val="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拟</w:t>
      </w:r>
      <w:r>
        <w:rPr>
          <w:rFonts w:hint="eastAsia" w:ascii="宋体" w:hAnsi="宋体" w:cs="宋体"/>
          <w:color w:val="auto"/>
          <w:sz w:val="24"/>
          <w:highlight w:val="none"/>
        </w:rPr>
        <w:t>投入</w:t>
      </w:r>
      <w:r>
        <w:rPr>
          <w:rFonts w:hint="eastAsia" w:ascii="宋体" w:hAnsi="宋体" w:cs="宋体"/>
          <w:color w:val="auto"/>
          <w:sz w:val="24"/>
          <w:highlight w:val="none"/>
          <w:lang w:val="en-US" w:eastAsia="zh-CN"/>
        </w:rPr>
        <w:t>实施的团队</w:t>
      </w:r>
      <w:r>
        <w:rPr>
          <w:rFonts w:hint="eastAsia" w:ascii="宋体" w:hAnsi="宋体" w:cs="宋体"/>
          <w:color w:val="auto"/>
          <w:sz w:val="24"/>
          <w:highlight w:val="none"/>
        </w:rPr>
        <w:t>人员</w:t>
      </w:r>
      <w:r>
        <w:rPr>
          <w:rFonts w:hint="eastAsia" w:ascii="宋体" w:hAnsi="宋体" w:cs="宋体"/>
          <w:color w:val="auto"/>
          <w:sz w:val="24"/>
          <w:highlight w:val="none"/>
          <w:lang w:val="en-US" w:eastAsia="zh-CN"/>
        </w:rPr>
        <w:t>配置</w:t>
      </w:r>
      <w:r>
        <w:rPr>
          <w:rFonts w:hint="eastAsia" w:ascii="宋体" w:hAnsi="宋体" w:cs="宋体"/>
          <w:color w:val="auto"/>
          <w:sz w:val="24"/>
          <w:highlight w:val="none"/>
        </w:rPr>
        <w:t>表</w:t>
      </w:r>
      <w:r>
        <w:rPr>
          <w:rFonts w:hint="eastAsia" w:ascii="宋体" w:hAnsi="宋体" w:cs="宋体"/>
          <w:color w:val="auto"/>
          <w:sz w:val="24"/>
          <w:highlight w:val="none"/>
          <w:lang w:val="en-US" w:eastAsia="zh-CN"/>
        </w:rPr>
        <w:t>格式</w:t>
      </w:r>
    </w:p>
    <w:p w14:paraId="6A89D802">
      <w:pPr>
        <w:shd w:val="clear"/>
        <w:adjustRightInd w:val="0"/>
        <w:snapToGrid w:val="0"/>
        <w:jc w:val="left"/>
        <w:rPr>
          <w:rFonts w:hint="eastAsia" w:ascii="宋体" w:hAnsi="宋体" w:cs="宋体"/>
          <w:color w:val="auto"/>
          <w:sz w:val="24"/>
          <w:highlight w:val="none"/>
        </w:rPr>
      </w:pPr>
    </w:p>
    <w:p w14:paraId="6D1E127A">
      <w:pPr>
        <w:shd w:val="clear"/>
        <w:adjustRightInd w:val="0"/>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rPr>
        <w:t>拟投</w:t>
      </w:r>
      <w:r>
        <w:rPr>
          <w:rFonts w:hint="eastAsia" w:ascii="宋体" w:hAnsi="宋体" w:eastAsia="宋体" w:cs="宋体"/>
          <w:b/>
          <w:color w:val="auto"/>
          <w:sz w:val="28"/>
          <w:szCs w:val="28"/>
          <w:highlight w:val="none"/>
        </w:rPr>
        <w:t>入实施的团队人员配置表</w:t>
      </w:r>
    </w:p>
    <w:p w14:paraId="65C4EC32">
      <w:pPr>
        <w:shd w:val="clear"/>
        <w:adjustRightInd w:val="0"/>
        <w:snapToGrid w:val="0"/>
        <w:spacing w:line="440" w:lineRule="exact"/>
        <w:jc w:val="center"/>
        <w:rPr>
          <w:rFonts w:hint="eastAsia" w:ascii="宋体" w:hAnsi="宋体" w:cs="宋体"/>
          <w:b/>
          <w:color w:val="auto"/>
          <w:sz w:val="28"/>
          <w:szCs w:val="28"/>
          <w:highlight w:val="none"/>
        </w:rPr>
      </w:pPr>
    </w:p>
    <w:p w14:paraId="39AFC08F">
      <w:pPr>
        <w:shd w:val="clear"/>
        <w:adjustRightInd w:val="0"/>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14:paraId="1E34B22A">
      <w:pPr>
        <w:shd w:val="clear"/>
        <w:adjustRightInd w:val="0"/>
        <w:snapToGrid w:val="0"/>
        <w:spacing w:line="440" w:lineRule="exact"/>
        <w:rPr>
          <w:rFonts w:hint="eastAsia" w:ascii="宋体" w:hAnsi="宋体" w:cs="宋体"/>
          <w:b/>
          <w:color w:val="auto"/>
          <w:sz w:val="28"/>
          <w:szCs w:val="28"/>
          <w:highlight w:val="none"/>
        </w:rPr>
      </w:pPr>
      <w:r>
        <w:rPr>
          <w:rFonts w:hint="eastAsia" w:ascii="宋体" w:hAnsi="宋体" w:cs="宋体"/>
          <w:color w:val="auto"/>
          <w:sz w:val="24"/>
          <w:highlight w:val="none"/>
        </w:rPr>
        <w:t>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13"/>
        <w:gridCol w:w="912"/>
        <w:gridCol w:w="925"/>
        <w:gridCol w:w="763"/>
        <w:gridCol w:w="1300"/>
        <w:gridCol w:w="1566"/>
        <w:gridCol w:w="1232"/>
      </w:tblGrid>
      <w:tr w14:paraId="646E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2B1D58D2">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313" w:type="dxa"/>
            <w:tcBorders>
              <w:top w:val="single" w:color="auto" w:sz="8" w:space="0"/>
              <w:left w:val="single" w:color="auto" w:sz="8" w:space="0"/>
              <w:bottom w:val="single" w:color="auto" w:sz="8" w:space="0"/>
              <w:right w:val="single" w:color="auto" w:sz="8" w:space="0"/>
            </w:tcBorders>
            <w:noWrap w:val="0"/>
            <w:vAlign w:val="center"/>
          </w:tcPr>
          <w:p w14:paraId="5B1FD66F">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本项目拟任</w:t>
            </w:r>
          </w:p>
          <w:p w14:paraId="655AC152">
            <w:pPr>
              <w:shd w:val="clear"/>
              <w:spacing w:line="480" w:lineRule="exact"/>
              <w:ind w:firstLine="210" w:firstLineChars="100"/>
              <w:jc w:val="both"/>
              <w:rPr>
                <w:rFonts w:hint="eastAsia" w:ascii="宋体" w:hAnsi="宋体" w:cs="宋体"/>
                <w:color w:val="auto"/>
                <w:szCs w:val="21"/>
                <w:highlight w:val="none"/>
              </w:rPr>
            </w:pPr>
            <w:r>
              <w:rPr>
                <w:rFonts w:hint="eastAsia" w:ascii="宋体" w:hAnsi="宋体" w:cs="宋体"/>
                <w:color w:val="auto"/>
                <w:szCs w:val="21"/>
                <w:highlight w:val="none"/>
              </w:rPr>
              <w:t>岗  位</w:t>
            </w:r>
          </w:p>
        </w:tc>
        <w:tc>
          <w:tcPr>
            <w:tcW w:w="912" w:type="dxa"/>
            <w:tcBorders>
              <w:top w:val="single" w:color="auto" w:sz="8" w:space="0"/>
              <w:left w:val="single" w:color="auto" w:sz="8" w:space="0"/>
              <w:bottom w:val="single" w:color="auto" w:sz="8" w:space="0"/>
              <w:right w:val="single" w:color="auto" w:sz="8" w:space="0"/>
            </w:tcBorders>
            <w:noWrap w:val="0"/>
            <w:vAlign w:val="center"/>
          </w:tcPr>
          <w:p w14:paraId="0E39C0FB">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925" w:type="dxa"/>
            <w:tcBorders>
              <w:top w:val="single" w:color="auto" w:sz="8" w:space="0"/>
              <w:left w:val="single" w:color="auto" w:sz="8" w:space="0"/>
              <w:bottom w:val="single" w:color="auto" w:sz="8" w:space="0"/>
              <w:right w:val="single" w:color="auto" w:sz="8" w:space="0"/>
            </w:tcBorders>
            <w:noWrap w:val="0"/>
            <w:vAlign w:val="center"/>
          </w:tcPr>
          <w:p w14:paraId="4CB26B00">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763" w:type="dxa"/>
            <w:tcBorders>
              <w:top w:val="single" w:color="auto" w:sz="8" w:space="0"/>
              <w:left w:val="single" w:color="auto" w:sz="8" w:space="0"/>
              <w:bottom w:val="single" w:color="auto" w:sz="8" w:space="0"/>
              <w:right w:val="single" w:color="auto" w:sz="8" w:space="0"/>
            </w:tcBorders>
            <w:noWrap w:val="0"/>
            <w:vAlign w:val="center"/>
          </w:tcPr>
          <w:p w14:paraId="4EE8FDB8">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专 业</w:t>
            </w: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0FC9D15">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职称与证书</w:t>
            </w:r>
          </w:p>
        </w:tc>
        <w:tc>
          <w:tcPr>
            <w:tcW w:w="1566" w:type="dxa"/>
            <w:tcBorders>
              <w:top w:val="single" w:color="auto" w:sz="8" w:space="0"/>
              <w:left w:val="single" w:color="auto" w:sz="8" w:space="0"/>
              <w:bottom w:val="single" w:color="auto" w:sz="8" w:space="0"/>
              <w:right w:val="single" w:color="auto" w:sz="8" w:space="0"/>
            </w:tcBorders>
            <w:noWrap w:val="0"/>
            <w:vAlign w:val="center"/>
          </w:tcPr>
          <w:p w14:paraId="200A62E1">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安排上岗起止时间</w:t>
            </w:r>
          </w:p>
        </w:tc>
        <w:tc>
          <w:tcPr>
            <w:tcW w:w="1232" w:type="dxa"/>
            <w:tcBorders>
              <w:top w:val="single" w:color="auto" w:sz="8" w:space="0"/>
              <w:left w:val="single" w:color="auto" w:sz="8" w:space="0"/>
              <w:bottom w:val="single" w:color="auto" w:sz="8" w:space="0"/>
              <w:right w:val="single" w:color="auto" w:sz="8" w:space="0"/>
            </w:tcBorders>
            <w:noWrap w:val="0"/>
            <w:vAlign w:val="center"/>
          </w:tcPr>
          <w:p w14:paraId="006010B6">
            <w:pPr>
              <w:shd w:val="clea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D24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0EEC6288">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64864CDC">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76400618">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33703524">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5E824761">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7E752A83">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62DDAA26">
            <w:pPr>
              <w:pStyle w:val="18"/>
              <w:shd w:val="clear"/>
              <w:spacing w:line="360" w:lineRule="auto"/>
              <w:ind w:left="5250"/>
              <w:rPr>
                <w:rFonts w:hint="eastAsia" w:ascii="宋体" w:eastAsia="宋体" w:cs="宋体"/>
                <w:color w:val="auto"/>
                <w:sz w:val="21"/>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52883817">
            <w:pPr>
              <w:shd w:val="clear"/>
              <w:spacing w:line="360" w:lineRule="auto"/>
              <w:rPr>
                <w:rFonts w:hint="eastAsia" w:ascii="宋体" w:hAnsi="宋体" w:cs="宋体"/>
                <w:color w:val="auto"/>
                <w:szCs w:val="21"/>
                <w:highlight w:val="none"/>
              </w:rPr>
            </w:pPr>
          </w:p>
        </w:tc>
      </w:tr>
      <w:tr w14:paraId="4A28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626EB739">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19120649">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06EC92DA">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1AC3A1E1">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7E44777A">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C9A5441">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3436DAA5">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053DBF9D">
            <w:pPr>
              <w:shd w:val="clear"/>
              <w:spacing w:line="360" w:lineRule="auto"/>
              <w:rPr>
                <w:rFonts w:hint="eastAsia" w:ascii="宋体" w:hAnsi="宋体" w:cs="宋体"/>
                <w:color w:val="auto"/>
                <w:szCs w:val="21"/>
                <w:highlight w:val="none"/>
              </w:rPr>
            </w:pPr>
          </w:p>
        </w:tc>
      </w:tr>
      <w:tr w14:paraId="1C5B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101200DE">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11EE0D4B">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1AD9BC73">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33C1FD37">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57CDEC74">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0F64060">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3974E00F">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56E6418D">
            <w:pPr>
              <w:shd w:val="clear"/>
              <w:spacing w:line="360" w:lineRule="auto"/>
              <w:rPr>
                <w:rFonts w:hint="eastAsia" w:ascii="宋体" w:hAnsi="宋体" w:cs="宋体"/>
                <w:color w:val="auto"/>
                <w:szCs w:val="21"/>
                <w:highlight w:val="none"/>
              </w:rPr>
            </w:pPr>
          </w:p>
        </w:tc>
      </w:tr>
      <w:tr w14:paraId="6CEE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BB77727">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08ABE7FB">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59FD80D5">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4037522E">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56B8C64F">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555D5B0D">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670EB6FD">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5D63607B">
            <w:pPr>
              <w:shd w:val="clear"/>
              <w:spacing w:line="360" w:lineRule="auto"/>
              <w:rPr>
                <w:rFonts w:hint="eastAsia" w:ascii="宋体" w:hAnsi="宋体" w:cs="宋体"/>
                <w:color w:val="auto"/>
                <w:szCs w:val="21"/>
                <w:highlight w:val="none"/>
              </w:rPr>
            </w:pPr>
          </w:p>
        </w:tc>
      </w:tr>
      <w:tr w14:paraId="4536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701AF3E1">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51CB3CE4">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1F330831">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037D7700">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2BA009EA">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25326C26">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56BDFC6E">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2D4F1542">
            <w:pPr>
              <w:shd w:val="clear"/>
              <w:spacing w:line="360" w:lineRule="auto"/>
              <w:rPr>
                <w:rFonts w:hint="eastAsia" w:ascii="宋体" w:hAnsi="宋体" w:cs="宋体"/>
                <w:color w:val="auto"/>
                <w:szCs w:val="21"/>
                <w:highlight w:val="none"/>
              </w:rPr>
            </w:pPr>
          </w:p>
        </w:tc>
      </w:tr>
      <w:tr w14:paraId="6036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924A1F2">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7CACD529">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1A3678FE">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7BEB035A">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0F18DAFE">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5E65362C">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65568462">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235D7EC0">
            <w:pPr>
              <w:shd w:val="clear"/>
              <w:spacing w:line="360" w:lineRule="auto"/>
              <w:rPr>
                <w:rFonts w:hint="eastAsia" w:ascii="宋体" w:hAnsi="宋体" w:cs="宋体"/>
                <w:color w:val="auto"/>
                <w:szCs w:val="21"/>
                <w:highlight w:val="none"/>
              </w:rPr>
            </w:pPr>
          </w:p>
        </w:tc>
      </w:tr>
      <w:tr w14:paraId="130F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1646049">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5F364EE8">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58850E41">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37A04660">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2FBC7647">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5BB7FE83">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11E3240A">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021B0C42">
            <w:pPr>
              <w:shd w:val="clear"/>
              <w:spacing w:line="360" w:lineRule="auto"/>
              <w:rPr>
                <w:rFonts w:hint="eastAsia" w:ascii="宋体" w:hAnsi="宋体" w:cs="宋体"/>
                <w:color w:val="auto"/>
                <w:szCs w:val="21"/>
                <w:highlight w:val="none"/>
              </w:rPr>
            </w:pPr>
          </w:p>
        </w:tc>
      </w:tr>
      <w:tr w14:paraId="0FDF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4DFA75CA">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4F2F9578">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00297DF7">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4D81AF35">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174D2B8A">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48D3B222">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590D8F89">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10CC7EE5">
            <w:pPr>
              <w:shd w:val="clear"/>
              <w:spacing w:line="360" w:lineRule="auto"/>
              <w:rPr>
                <w:rFonts w:hint="eastAsia" w:ascii="宋体" w:hAnsi="宋体" w:cs="宋体"/>
                <w:color w:val="auto"/>
                <w:szCs w:val="21"/>
                <w:highlight w:val="none"/>
              </w:rPr>
            </w:pPr>
          </w:p>
        </w:tc>
      </w:tr>
      <w:tr w14:paraId="2192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tcBorders>
              <w:top w:val="single" w:color="auto" w:sz="8" w:space="0"/>
              <w:left w:val="single" w:color="auto" w:sz="8" w:space="0"/>
              <w:bottom w:val="single" w:color="auto" w:sz="8" w:space="0"/>
              <w:right w:val="single" w:color="auto" w:sz="8" w:space="0"/>
            </w:tcBorders>
            <w:noWrap w:val="0"/>
            <w:vAlign w:val="center"/>
          </w:tcPr>
          <w:p w14:paraId="38A358F2">
            <w:pPr>
              <w:shd w:val="clear"/>
              <w:spacing w:line="360" w:lineRule="auto"/>
              <w:rPr>
                <w:rFonts w:hint="eastAsia" w:ascii="宋体" w:hAnsi="宋体" w:cs="宋体"/>
                <w:color w:val="auto"/>
                <w:szCs w:val="21"/>
                <w:highlight w:val="none"/>
              </w:rPr>
            </w:pPr>
          </w:p>
        </w:tc>
        <w:tc>
          <w:tcPr>
            <w:tcW w:w="1313" w:type="dxa"/>
            <w:tcBorders>
              <w:top w:val="single" w:color="auto" w:sz="8" w:space="0"/>
              <w:left w:val="single" w:color="auto" w:sz="8" w:space="0"/>
              <w:bottom w:val="single" w:color="auto" w:sz="8" w:space="0"/>
              <w:right w:val="single" w:color="auto" w:sz="8" w:space="0"/>
            </w:tcBorders>
            <w:noWrap w:val="0"/>
            <w:vAlign w:val="center"/>
          </w:tcPr>
          <w:p w14:paraId="1AD8081B">
            <w:pPr>
              <w:shd w:val="clear"/>
              <w:spacing w:line="360" w:lineRule="auto"/>
              <w:rPr>
                <w:rFonts w:hint="eastAsia" w:ascii="宋体" w:hAnsi="宋体" w:cs="宋体"/>
                <w:color w:val="auto"/>
                <w:szCs w:val="21"/>
                <w:highlight w:val="none"/>
              </w:rPr>
            </w:pPr>
          </w:p>
        </w:tc>
        <w:tc>
          <w:tcPr>
            <w:tcW w:w="912" w:type="dxa"/>
            <w:tcBorders>
              <w:top w:val="single" w:color="auto" w:sz="8" w:space="0"/>
              <w:left w:val="single" w:color="auto" w:sz="8" w:space="0"/>
              <w:bottom w:val="single" w:color="auto" w:sz="8" w:space="0"/>
              <w:right w:val="single" w:color="auto" w:sz="8" w:space="0"/>
            </w:tcBorders>
            <w:noWrap w:val="0"/>
            <w:vAlign w:val="center"/>
          </w:tcPr>
          <w:p w14:paraId="7DF24368">
            <w:pPr>
              <w:shd w:val="clear"/>
              <w:spacing w:line="360" w:lineRule="auto"/>
              <w:rPr>
                <w:rFonts w:hint="eastAsia" w:ascii="宋体" w:hAnsi="宋体" w:cs="宋体"/>
                <w:color w:val="auto"/>
                <w:szCs w:val="21"/>
                <w:highlight w:val="none"/>
              </w:rPr>
            </w:pPr>
          </w:p>
        </w:tc>
        <w:tc>
          <w:tcPr>
            <w:tcW w:w="925" w:type="dxa"/>
            <w:tcBorders>
              <w:top w:val="single" w:color="auto" w:sz="8" w:space="0"/>
              <w:left w:val="single" w:color="auto" w:sz="8" w:space="0"/>
              <w:bottom w:val="single" w:color="auto" w:sz="8" w:space="0"/>
              <w:right w:val="single" w:color="auto" w:sz="8" w:space="0"/>
            </w:tcBorders>
            <w:noWrap w:val="0"/>
            <w:vAlign w:val="center"/>
          </w:tcPr>
          <w:p w14:paraId="1A88C5B5">
            <w:pPr>
              <w:shd w:val="clear"/>
              <w:spacing w:line="360" w:lineRule="auto"/>
              <w:rPr>
                <w:rFonts w:hint="eastAsia" w:ascii="宋体" w:hAnsi="宋体" w:cs="宋体"/>
                <w:color w:val="auto"/>
                <w:szCs w:val="21"/>
                <w:highlight w:val="none"/>
              </w:rPr>
            </w:pPr>
          </w:p>
        </w:tc>
        <w:tc>
          <w:tcPr>
            <w:tcW w:w="763" w:type="dxa"/>
            <w:tcBorders>
              <w:top w:val="single" w:color="auto" w:sz="8" w:space="0"/>
              <w:left w:val="single" w:color="auto" w:sz="8" w:space="0"/>
              <w:bottom w:val="single" w:color="auto" w:sz="8" w:space="0"/>
              <w:right w:val="single" w:color="auto" w:sz="8" w:space="0"/>
            </w:tcBorders>
            <w:noWrap w:val="0"/>
            <w:vAlign w:val="center"/>
          </w:tcPr>
          <w:p w14:paraId="78B27D79">
            <w:pPr>
              <w:shd w:val="clear"/>
              <w:spacing w:line="360" w:lineRule="auto"/>
              <w:rPr>
                <w:rFonts w:hint="eastAsia" w:ascii="宋体" w:hAnsi="宋体" w:cs="宋体"/>
                <w:color w:val="auto"/>
                <w:szCs w:val="21"/>
                <w:highlight w:val="none"/>
              </w:rPr>
            </w:pPr>
          </w:p>
        </w:tc>
        <w:tc>
          <w:tcPr>
            <w:tcW w:w="1300" w:type="dxa"/>
            <w:tcBorders>
              <w:top w:val="single" w:color="auto" w:sz="8" w:space="0"/>
              <w:left w:val="single" w:color="auto" w:sz="8" w:space="0"/>
              <w:bottom w:val="single" w:color="auto" w:sz="8" w:space="0"/>
              <w:right w:val="single" w:color="auto" w:sz="8" w:space="0"/>
            </w:tcBorders>
            <w:noWrap w:val="0"/>
            <w:vAlign w:val="center"/>
          </w:tcPr>
          <w:p w14:paraId="1BC8938B">
            <w:pPr>
              <w:shd w:val="clear"/>
              <w:spacing w:line="360" w:lineRule="auto"/>
              <w:rPr>
                <w:rFonts w:hint="eastAsia" w:ascii="宋体" w:hAnsi="宋体" w:cs="宋体"/>
                <w:color w:val="auto"/>
                <w:szCs w:val="21"/>
                <w:highlight w:val="none"/>
              </w:rPr>
            </w:pPr>
          </w:p>
        </w:tc>
        <w:tc>
          <w:tcPr>
            <w:tcW w:w="1566" w:type="dxa"/>
            <w:tcBorders>
              <w:top w:val="single" w:color="auto" w:sz="8" w:space="0"/>
              <w:left w:val="single" w:color="auto" w:sz="8" w:space="0"/>
              <w:bottom w:val="single" w:color="auto" w:sz="8" w:space="0"/>
              <w:right w:val="single" w:color="auto" w:sz="8" w:space="0"/>
            </w:tcBorders>
            <w:noWrap w:val="0"/>
            <w:vAlign w:val="center"/>
          </w:tcPr>
          <w:p w14:paraId="5E5BE556">
            <w:pPr>
              <w:shd w:val="clear"/>
              <w:spacing w:line="360" w:lineRule="auto"/>
              <w:rPr>
                <w:rFonts w:hint="eastAsia" w:ascii="宋体" w:hAnsi="宋体" w:cs="宋体"/>
                <w:color w:val="auto"/>
                <w:szCs w:val="21"/>
                <w:highlight w:val="none"/>
              </w:rPr>
            </w:pPr>
          </w:p>
        </w:tc>
        <w:tc>
          <w:tcPr>
            <w:tcW w:w="1232" w:type="dxa"/>
            <w:tcBorders>
              <w:top w:val="single" w:color="auto" w:sz="8" w:space="0"/>
              <w:left w:val="single" w:color="auto" w:sz="8" w:space="0"/>
              <w:bottom w:val="single" w:color="auto" w:sz="8" w:space="0"/>
              <w:right w:val="single" w:color="auto" w:sz="8" w:space="0"/>
            </w:tcBorders>
            <w:noWrap w:val="0"/>
            <w:vAlign w:val="center"/>
          </w:tcPr>
          <w:p w14:paraId="2407A88B">
            <w:pPr>
              <w:shd w:val="clear"/>
              <w:spacing w:line="360" w:lineRule="auto"/>
              <w:rPr>
                <w:rFonts w:hint="eastAsia" w:ascii="宋体" w:hAnsi="宋体" w:cs="宋体"/>
                <w:color w:val="auto"/>
                <w:szCs w:val="21"/>
                <w:highlight w:val="none"/>
              </w:rPr>
            </w:pPr>
          </w:p>
        </w:tc>
      </w:tr>
      <w:tr w14:paraId="3422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59" w:type="dxa"/>
            <w:gridSpan w:val="8"/>
            <w:tcBorders>
              <w:top w:val="single" w:color="auto" w:sz="8" w:space="0"/>
              <w:left w:val="single" w:color="auto" w:sz="8" w:space="0"/>
              <w:bottom w:val="single" w:color="auto" w:sz="8" w:space="0"/>
              <w:right w:val="single" w:color="auto" w:sz="8" w:space="0"/>
            </w:tcBorders>
            <w:noWrap w:val="0"/>
            <w:vAlign w:val="center"/>
          </w:tcPr>
          <w:p w14:paraId="64B588D9">
            <w:pPr>
              <w:shd w:val="clea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tc>
      </w:tr>
    </w:tbl>
    <w:p w14:paraId="3AA46F03">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21F31749">
      <w:pPr>
        <w:pStyle w:val="1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C79D469">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56FF43D6">
      <w:pPr>
        <w:shd w:val="clear"/>
        <w:adjustRightInd w:val="0"/>
        <w:snapToGrid w:val="0"/>
        <w:spacing w:line="440" w:lineRule="exact"/>
        <w:rPr>
          <w:rFonts w:hint="eastAsia" w:ascii="宋体" w:hAnsi="宋体" w:cs="宋体"/>
          <w:bCs/>
          <w:color w:val="auto"/>
          <w:szCs w:val="21"/>
          <w:highlight w:val="none"/>
        </w:rPr>
      </w:pPr>
    </w:p>
    <w:p w14:paraId="53EE9F85">
      <w:pPr>
        <w:shd w:val="clea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注：按评分标准细则提供。</w:t>
      </w:r>
    </w:p>
    <w:p w14:paraId="49CF8D26">
      <w:pPr>
        <w:shd w:val="clear"/>
        <w:ind w:firstLine="482" w:firstLineChars="200"/>
        <w:rPr>
          <w:rFonts w:hint="eastAsia" w:ascii="宋体" w:hAnsi="宋体" w:cs="宋体"/>
          <w:b/>
          <w:color w:val="auto"/>
          <w:sz w:val="24"/>
          <w:highlight w:val="none"/>
          <w:shd w:val="clear" w:color="auto" w:fill="FFFF00"/>
        </w:rPr>
      </w:pPr>
    </w:p>
    <w:p w14:paraId="5B376034">
      <w:pPr>
        <w:shd w:val="clear"/>
        <w:ind w:firstLine="482" w:firstLineChars="200"/>
        <w:rPr>
          <w:rFonts w:hint="eastAsia" w:ascii="宋体" w:hAnsi="宋体" w:cs="宋体"/>
          <w:b/>
          <w:color w:val="auto"/>
          <w:sz w:val="24"/>
          <w:highlight w:val="none"/>
          <w:shd w:val="clear" w:color="auto" w:fill="FFFF00"/>
        </w:rPr>
      </w:pPr>
    </w:p>
    <w:p w14:paraId="35EA5072">
      <w:pPr>
        <w:shd w:val="clear"/>
        <w:ind w:firstLine="482" w:firstLineChars="200"/>
        <w:rPr>
          <w:rFonts w:hint="eastAsia" w:ascii="宋体" w:hAnsi="宋体" w:cs="宋体"/>
          <w:b/>
          <w:color w:val="auto"/>
          <w:sz w:val="24"/>
          <w:highlight w:val="none"/>
          <w:shd w:val="clear" w:color="auto" w:fill="FFFF00"/>
        </w:rPr>
      </w:pPr>
    </w:p>
    <w:p w14:paraId="470F54B9">
      <w:pPr>
        <w:shd w:val="clear"/>
        <w:ind w:firstLine="482" w:firstLineChars="200"/>
        <w:rPr>
          <w:rFonts w:hint="eastAsia" w:ascii="宋体" w:hAnsi="宋体" w:cs="宋体"/>
          <w:b/>
          <w:color w:val="auto"/>
          <w:sz w:val="24"/>
          <w:highlight w:val="none"/>
          <w:shd w:val="clear" w:color="auto" w:fill="FFFF00"/>
        </w:rPr>
      </w:pPr>
    </w:p>
    <w:p w14:paraId="388C5FB4">
      <w:pPr>
        <w:shd w:val="clear"/>
        <w:adjustRightInd w:val="0"/>
        <w:snapToGrid w:val="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、项目负责人一览表</w:t>
      </w:r>
    </w:p>
    <w:p w14:paraId="0549B2C2">
      <w:pPr>
        <w:shd w:val="clear"/>
        <w:adjustRightInd w:val="0"/>
        <w:snapToGrid w:val="0"/>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项目负责人一览表</w:t>
      </w:r>
    </w:p>
    <w:p w14:paraId="3562523B">
      <w:pPr>
        <w:shd w:val="clear"/>
        <w:spacing w:line="360" w:lineRule="auto"/>
        <w:ind w:right="658"/>
        <w:rPr>
          <w:rFonts w:hint="eastAsia" w:ascii="宋体" w:hAnsi="宋体" w:cs="宋体"/>
          <w:color w:val="auto"/>
          <w:sz w:val="24"/>
          <w:highlight w:val="none"/>
        </w:rPr>
      </w:pPr>
    </w:p>
    <w:p w14:paraId="5446B5E0">
      <w:pPr>
        <w:shd w:val="clear"/>
        <w:spacing w:line="360" w:lineRule="auto"/>
        <w:ind w:right="658"/>
        <w:rPr>
          <w:rFonts w:hint="eastAsia" w:ascii="宋体" w:hAnsi="宋体" w:cs="宋体"/>
          <w:color w:val="auto"/>
          <w:sz w:val="24"/>
          <w:highlight w:val="none"/>
          <w:u w:val="single"/>
        </w:rPr>
      </w:pPr>
      <w:r>
        <w:rPr>
          <w:rFonts w:hint="eastAsia" w:ascii="宋体" w:hAnsi="宋体" w:cs="宋体"/>
          <w:color w:val="auto"/>
          <w:sz w:val="24"/>
          <w:highlight w:val="none"/>
        </w:rPr>
        <w:t>项目名称：                项目编号：</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1934"/>
        <w:gridCol w:w="15"/>
      </w:tblGrid>
      <w:tr w14:paraId="38CE6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121655BD">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0"/>
            <w:vAlign w:val="center"/>
          </w:tcPr>
          <w:p w14:paraId="16843B2E">
            <w:pPr>
              <w:shd w:val="clear"/>
              <w:jc w:val="center"/>
              <w:rPr>
                <w:rFonts w:hint="eastAsia" w:ascii="宋体" w:hAnsi="宋体" w:cs="宋体"/>
                <w:color w:val="auto"/>
                <w:sz w:val="21"/>
                <w:szCs w:val="21"/>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46B7E95B">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380CFAAD">
            <w:pPr>
              <w:shd w:val="clear"/>
              <w:jc w:val="center"/>
              <w:rPr>
                <w:rFonts w:hint="eastAsia" w:ascii="宋体" w:hAnsi="宋体" w:cs="宋体"/>
                <w:color w:val="auto"/>
                <w:sz w:val="21"/>
                <w:szCs w:val="21"/>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04B159C0">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年龄</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7E0CE788">
            <w:pPr>
              <w:shd w:val="clear"/>
              <w:jc w:val="center"/>
              <w:rPr>
                <w:rFonts w:hint="eastAsia" w:ascii="宋体" w:hAnsi="宋体" w:cs="宋体"/>
                <w:color w:val="auto"/>
                <w:sz w:val="21"/>
                <w:szCs w:val="21"/>
                <w:highlight w:val="none"/>
              </w:rPr>
            </w:pPr>
          </w:p>
        </w:tc>
      </w:tr>
      <w:tr w14:paraId="6764F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4BB35195">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0"/>
            <w:vAlign w:val="center"/>
          </w:tcPr>
          <w:p w14:paraId="0A6DA3B2">
            <w:pPr>
              <w:shd w:val="clear"/>
              <w:jc w:val="center"/>
              <w:rPr>
                <w:rFonts w:hint="eastAsia" w:ascii="宋体" w:hAnsi="宋体" w:cs="宋体"/>
                <w:color w:val="auto"/>
                <w:sz w:val="21"/>
                <w:szCs w:val="21"/>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0BC831BE">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28DF0D9A">
            <w:pPr>
              <w:shd w:val="clear"/>
              <w:jc w:val="center"/>
              <w:rPr>
                <w:rFonts w:hint="eastAsia" w:ascii="宋体" w:hAnsi="宋体" w:cs="宋体"/>
                <w:color w:val="auto"/>
                <w:sz w:val="21"/>
                <w:szCs w:val="21"/>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2F8AEC6E">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学历</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27C3F42B">
            <w:pPr>
              <w:shd w:val="clear"/>
              <w:jc w:val="center"/>
              <w:rPr>
                <w:rFonts w:hint="eastAsia" w:ascii="宋体" w:hAnsi="宋体" w:cs="宋体"/>
                <w:color w:val="auto"/>
                <w:sz w:val="21"/>
                <w:szCs w:val="21"/>
                <w:highlight w:val="none"/>
              </w:rPr>
            </w:pPr>
          </w:p>
        </w:tc>
      </w:tr>
      <w:tr w14:paraId="731F6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0"/>
            <w:vAlign w:val="center"/>
          </w:tcPr>
          <w:p w14:paraId="02A38A90">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0"/>
            <w:vAlign w:val="center"/>
          </w:tcPr>
          <w:p w14:paraId="5642A65D">
            <w:pPr>
              <w:shd w:val="clear"/>
              <w:jc w:val="center"/>
              <w:rPr>
                <w:rFonts w:hint="eastAsia" w:ascii="宋体" w:hAnsi="宋体" w:cs="宋体"/>
                <w:color w:val="auto"/>
                <w:sz w:val="21"/>
                <w:szCs w:val="21"/>
                <w:highlight w:val="none"/>
              </w:rPr>
            </w:pPr>
          </w:p>
        </w:tc>
        <w:tc>
          <w:tcPr>
            <w:tcW w:w="2370" w:type="dxa"/>
            <w:gridSpan w:val="3"/>
            <w:tcBorders>
              <w:top w:val="single" w:color="auto" w:sz="4" w:space="0"/>
              <w:left w:val="single" w:color="auto" w:sz="4" w:space="0"/>
              <w:bottom w:val="single" w:color="auto" w:sz="4" w:space="0"/>
              <w:right w:val="single" w:color="auto" w:sz="4" w:space="0"/>
            </w:tcBorders>
            <w:noWrap w:val="0"/>
            <w:vAlign w:val="center"/>
          </w:tcPr>
          <w:p w14:paraId="2A8CD578">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担任项目负责人年限</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291F0E85">
            <w:pPr>
              <w:shd w:val="clear"/>
              <w:jc w:val="center"/>
              <w:rPr>
                <w:rFonts w:hint="eastAsia" w:ascii="宋体" w:hAnsi="宋体" w:cs="宋体"/>
                <w:color w:val="auto"/>
                <w:sz w:val="21"/>
                <w:szCs w:val="21"/>
                <w:highlight w:val="none"/>
              </w:rPr>
            </w:pPr>
          </w:p>
        </w:tc>
      </w:tr>
      <w:tr w14:paraId="05F8A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0"/>
            <w:vAlign w:val="center"/>
          </w:tcPr>
          <w:p w14:paraId="22905D16">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资格证书名称、编号</w:t>
            </w:r>
          </w:p>
        </w:tc>
        <w:tc>
          <w:tcPr>
            <w:tcW w:w="6112" w:type="dxa"/>
            <w:gridSpan w:val="8"/>
            <w:tcBorders>
              <w:top w:val="single" w:color="auto" w:sz="4" w:space="0"/>
              <w:left w:val="single" w:color="auto" w:sz="4" w:space="0"/>
              <w:bottom w:val="single" w:color="auto" w:sz="4" w:space="0"/>
              <w:right w:val="single" w:color="auto" w:sz="4" w:space="0"/>
            </w:tcBorders>
            <w:noWrap w:val="0"/>
            <w:vAlign w:val="center"/>
          </w:tcPr>
          <w:p w14:paraId="03D9DBC6">
            <w:pPr>
              <w:shd w:val="clear"/>
              <w:jc w:val="center"/>
              <w:rPr>
                <w:rFonts w:hint="eastAsia" w:ascii="宋体" w:hAnsi="宋体" w:cs="宋体"/>
                <w:color w:val="auto"/>
                <w:sz w:val="21"/>
                <w:szCs w:val="21"/>
                <w:highlight w:val="none"/>
              </w:rPr>
            </w:pPr>
          </w:p>
        </w:tc>
      </w:tr>
      <w:tr w14:paraId="09B33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1"/>
            <w:tcBorders>
              <w:top w:val="single" w:color="auto" w:sz="4" w:space="0"/>
              <w:left w:val="single" w:color="auto" w:sz="4" w:space="0"/>
              <w:bottom w:val="single" w:color="auto" w:sz="4" w:space="0"/>
              <w:right w:val="single" w:color="auto" w:sz="4" w:space="0"/>
            </w:tcBorders>
            <w:noWrap w:val="0"/>
            <w:vAlign w:val="center"/>
          </w:tcPr>
          <w:p w14:paraId="7C0915B0">
            <w:pPr>
              <w:shd w:val="clear"/>
              <w:jc w:val="center"/>
              <w:rPr>
                <w:rFonts w:ascii="宋体" w:hAnsi="宋体" w:cs="宋体"/>
                <w:color w:val="auto"/>
                <w:sz w:val="21"/>
                <w:szCs w:val="21"/>
                <w:highlight w:val="none"/>
              </w:rPr>
            </w:pPr>
            <w:r>
              <w:rPr>
                <w:rFonts w:hint="eastAsia" w:ascii="宋体" w:hAnsi="宋体" w:cs="宋体"/>
                <w:color w:val="auto"/>
                <w:sz w:val="21"/>
                <w:szCs w:val="21"/>
                <w:highlight w:val="none"/>
              </w:rPr>
              <w:t>同类项目业绩情况</w:t>
            </w:r>
          </w:p>
        </w:tc>
      </w:tr>
      <w:tr w14:paraId="25AB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24D4BCD8">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业主</w:t>
            </w:r>
            <w:r>
              <w:rPr>
                <w:rFonts w:hint="eastAsia" w:ascii="宋体" w:hAnsi="宋体" w:cs="宋体"/>
                <w:color w:val="auto"/>
                <w:sz w:val="21"/>
                <w:szCs w:val="21"/>
                <w:highlight w:val="none"/>
              </w:rPr>
              <w:t>单位</w:t>
            </w: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12593285">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0EFB2435">
            <w:pPr>
              <w:shd w:val="clea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0EFF51E9">
            <w:pPr>
              <w:shd w:val="clea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4E14A297">
            <w:pPr>
              <w:shd w:val="clea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备注</w:t>
            </w:r>
          </w:p>
        </w:tc>
      </w:tr>
      <w:tr w14:paraId="241D2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4B38DBBB">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7FAAEE5D">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6CA6223D">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01A21825">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51C5D798">
            <w:pPr>
              <w:shd w:val="clear"/>
              <w:jc w:val="center"/>
              <w:rPr>
                <w:rFonts w:hint="eastAsia" w:ascii="宋体" w:hAnsi="宋体" w:cs="宋体"/>
                <w:color w:val="auto"/>
                <w:sz w:val="21"/>
                <w:szCs w:val="21"/>
                <w:highlight w:val="none"/>
              </w:rPr>
            </w:pPr>
          </w:p>
        </w:tc>
      </w:tr>
      <w:tr w14:paraId="47BC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30F40318">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4497C369">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0406A4AF">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675535C4">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2CB3697E">
            <w:pPr>
              <w:shd w:val="clear"/>
              <w:jc w:val="center"/>
              <w:rPr>
                <w:rFonts w:hint="eastAsia" w:ascii="宋体" w:hAnsi="宋体" w:cs="宋体"/>
                <w:color w:val="auto"/>
                <w:sz w:val="21"/>
                <w:szCs w:val="21"/>
                <w:highlight w:val="none"/>
              </w:rPr>
            </w:pPr>
          </w:p>
        </w:tc>
      </w:tr>
      <w:tr w14:paraId="4B961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040AA83D">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4DA9F5DC">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3B85493B">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66255127">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0DA899B4">
            <w:pPr>
              <w:shd w:val="clear"/>
              <w:jc w:val="center"/>
              <w:rPr>
                <w:rFonts w:hint="eastAsia" w:ascii="宋体" w:hAnsi="宋体" w:cs="宋体"/>
                <w:color w:val="auto"/>
                <w:sz w:val="21"/>
                <w:szCs w:val="21"/>
                <w:highlight w:val="none"/>
              </w:rPr>
            </w:pPr>
          </w:p>
        </w:tc>
      </w:tr>
      <w:tr w14:paraId="1B301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6A79447B">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3382C6E5">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5BD17532">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6BE09B65">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1BE7D3A3">
            <w:pPr>
              <w:shd w:val="clear"/>
              <w:jc w:val="center"/>
              <w:rPr>
                <w:rFonts w:hint="eastAsia" w:ascii="宋体" w:hAnsi="宋体" w:cs="宋体"/>
                <w:color w:val="auto"/>
                <w:sz w:val="21"/>
                <w:szCs w:val="21"/>
                <w:highlight w:val="none"/>
              </w:rPr>
            </w:pPr>
          </w:p>
        </w:tc>
      </w:tr>
      <w:tr w14:paraId="62325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78B6B64F">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6948A7CD">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5BA1E9AC">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3374CC4D">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088E9BD9">
            <w:pPr>
              <w:shd w:val="clear"/>
              <w:jc w:val="center"/>
              <w:rPr>
                <w:rFonts w:hint="eastAsia" w:ascii="宋体" w:hAnsi="宋体" w:cs="宋体"/>
                <w:color w:val="auto"/>
                <w:sz w:val="21"/>
                <w:szCs w:val="21"/>
                <w:highlight w:val="none"/>
              </w:rPr>
            </w:pPr>
          </w:p>
        </w:tc>
      </w:tr>
      <w:tr w14:paraId="36D60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2EB3708C">
            <w:pPr>
              <w:shd w:val="clear"/>
              <w:jc w:val="center"/>
              <w:rPr>
                <w:rFonts w:hint="eastAsia" w:ascii="宋体" w:hAnsi="宋体" w:cs="宋体"/>
                <w:color w:val="auto"/>
                <w:sz w:val="21"/>
                <w:szCs w:val="21"/>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0"/>
            <w:vAlign w:val="center"/>
          </w:tcPr>
          <w:p w14:paraId="4A11C23F">
            <w:pPr>
              <w:shd w:val="clear"/>
              <w:jc w:val="center"/>
              <w:rPr>
                <w:rFonts w:hint="eastAsia" w:ascii="宋体" w:hAnsi="宋体" w:cs="宋体"/>
                <w:color w:val="auto"/>
                <w:sz w:val="21"/>
                <w:szCs w:val="21"/>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0"/>
            <w:vAlign w:val="center"/>
          </w:tcPr>
          <w:p w14:paraId="0323A144">
            <w:pPr>
              <w:shd w:val="clear"/>
              <w:jc w:val="center"/>
              <w:rPr>
                <w:rFonts w:hint="eastAsia" w:ascii="宋体" w:hAnsi="宋体" w:cs="宋体"/>
                <w:color w:val="auto"/>
                <w:sz w:val="21"/>
                <w:szCs w:val="21"/>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14:paraId="0534BE4A">
            <w:pPr>
              <w:shd w:val="clear"/>
              <w:jc w:val="center"/>
              <w:rPr>
                <w:rFonts w:hint="eastAsia" w:ascii="宋体" w:hAnsi="宋体" w:cs="宋体"/>
                <w:color w:val="auto"/>
                <w:sz w:val="21"/>
                <w:szCs w:val="21"/>
                <w:highlight w:val="none"/>
              </w:rPr>
            </w:pP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14:paraId="32FA654C">
            <w:pPr>
              <w:shd w:val="clear"/>
              <w:jc w:val="center"/>
              <w:rPr>
                <w:rFonts w:hint="eastAsia" w:ascii="宋体" w:hAnsi="宋体" w:cs="宋体"/>
                <w:color w:val="auto"/>
                <w:sz w:val="21"/>
                <w:szCs w:val="21"/>
                <w:highlight w:val="none"/>
              </w:rPr>
            </w:pPr>
          </w:p>
        </w:tc>
      </w:tr>
    </w:tbl>
    <w:p w14:paraId="59EC1259">
      <w:pPr>
        <w:shd w:val="clear"/>
        <w:snapToGrid w:val="0"/>
        <w:spacing w:line="440" w:lineRule="exact"/>
        <w:rPr>
          <w:rFonts w:hint="eastAsia" w:ascii="宋体" w:hAnsi="宋体" w:cs="宋体"/>
          <w:color w:val="auto"/>
          <w:szCs w:val="21"/>
          <w:highlight w:val="none"/>
        </w:rPr>
      </w:pPr>
    </w:p>
    <w:p w14:paraId="14F94BD2">
      <w:pPr>
        <w:shd w:val="clea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授权代表签名：</w:t>
      </w:r>
      <w:r>
        <w:rPr>
          <w:rFonts w:hint="eastAsia" w:ascii="宋体" w:hAnsi="宋体" w:cs="宋体"/>
          <w:color w:val="auto"/>
          <w:szCs w:val="21"/>
          <w:highlight w:val="none"/>
          <w:u w:val="single"/>
        </w:rPr>
        <w:t xml:space="preserve">             </w:t>
      </w:r>
    </w:p>
    <w:p w14:paraId="3BD9520A">
      <w:pPr>
        <w:pStyle w:val="12"/>
        <w:shd w:val="clear"/>
        <w:adjustRightInd w:val="0"/>
        <w:snapToGrid w:val="0"/>
        <w:spacing w:after="0" w:line="440" w:lineRule="exact"/>
        <w:rPr>
          <w:rFonts w:hint="eastAsia" w:ascii="宋体" w:hAnsi="宋体" w:cs="宋体"/>
          <w:color w:val="auto"/>
          <w:szCs w:val="21"/>
          <w:highlight w:val="none"/>
        </w:rPr>
      </w:pPr>
      <w:r>
        <w:rPr>
          <w:rFonts w:hint="eastAsia" w:ascii="宋体" w:hAnsi="宋体" w:cs="宋体"/>
          <w:color w:val="auto"/>
          <w:szCs w:val="21"/>
          <w:highlight w:val="none"/>
        </w:rPr>
        <w:t>投标人盖章：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C0F8BA">
      <w:pPr>
        <w:shd w:val="clear"/>
        <w:adjustRightInd w:val="0"/>
        <w:snapToGrid w:val="0"/>
        <w:spacing w:line="440" w:lineRule="exact"/>
        <w:rPr>
          <w:rFonts w:hint="eastAsia"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78625B76">
      <w:pPr>
        <w:shd w:val="clear"/>
        <w:adjustRightInd w:val="0"/>
        <w:snapToGrid w:val="0"/>
        <w:spacing w:line="440" w:lineRule="exact"/>
        <w:rPr>
          <w:rFonts w:hint="eastAsia" w:ascii="宋体" w:hAnsi="宋体" w:cs="宋体"/>
          <w:bCs/>
          <w:color w:val="auto"/>
          <w:szCs w:val="21"/>
          <w:highlight w:val="none"/>
        </w:rPr>
      </w:pPr>
    </w:p>
    <w:p w14:paraId="4C776AD0">
      <w:pPr>
        <w:shd w:val="clea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注：按评分要求提供。</w:t>
      </w:r>
    </w:p>
    <w:p w14:paraId="2DEF6C82">
      <w:pPr>
        <w:pStyle w:val="63"/>
        <w:shd w:val="clear"/>
        <w:rPr>
          <w:rFonts w:hint="eastAsia" w:ascii="宋体" w:hAnsi="宋体" w:cs="宋体"/>
          <w:color w:val="auto"/>
          <w:sz w:val="24"/>
          <w:highlight w:val="none"/>
        </w:rPr>
      </w:pPr>
    </w:p>
    <w:p w14:paraId="46B1EFAE">
      <w:pPr>
        <w:pStyle w:val="63"/>
        <w:shd w:val="clear"/>
        <w:rPr>
          <w:rFonts w:hint="eastAsia" w:ascii="宋体" w:hAnsi="宋体" w:cs="宋体"/>
          <w:color w:val="auto"/>
          <w:sz w:val="24"/>
          <w:highlight w:val="none"/>
        </w:rPr>
      </w:pPr>
    </w:p>
    <w:p w14:paraId="1315AC5C">
      <w:pPr>
        <w:pStyle w:val="63"/>
        <w:shd w:val="clear"/>
        <w:rPr>
          <w:rFonts w:hint="eastAsia" w:ascii="宋体" w:hAnsi="宋体" w:cs="宋体"/>
          <w:color w:val="auto"/>
          <w:sz w:val="24"/>
          <w:highlight w:val="none"/>
        </w:rPr>
      </w:pPr>
    </w:p>
    <w:p w14:paraId="56C328BA">
      <w:pPr>
        <w:pStyle w:val="63"/>
        <w:shd w:val="clear"/>
        <w:rPr>
          <w:rFonts w:hint="eastAsia" w:ascii="宋体" w:hAnsi="宋体" w:cs="宋体"/>
          <w:color w:val="auto"/>
          <w:sz w:val="24"/>
          <w:highlight w:val="none"/>
        </w:rPr>
      </w:pPr>
    </w:p>
    <w:p w14:paraId="28AD5E81">
      <w:pPr>
        <w:pStyle w:val="63"/>
        <w:shd w:val="clear"/>
        <w:rPr>
          <w:rFonts w:hint="eastAsia" w:ascii="宋体" w:hAnsi="宋体" w:cs="宋体"/>
          <w:color w:val="auto"/>
          <w:sz w:val="24"/>
          <w:highlight w:val="none"/>
        </w:rPr>
      </w:pPr>
    </w:p>
    <w:p w14:paraId="0129BAC4">
      <w:pPr>
        <w:shd w:val="clear"/>
        <w:adjustRightInd w:val="0"/>
        <w:snapToGrid w:val="0"/>
        <w:jc w:val="left"/>
        <w:rPr>
          <w:rFonts w:hint="eastAsia" w:ascii="宋体" w:hAnsi="宋体" w:cs="宋体"/>
          <w:color w:val="auto"/>
          <w:sz w:val="24"/>
          <w:highlight w:val="none"/>
        </w:rPr>
      </w:pPr>
    </w:p>
    <w:p w14:paraId="6CDDD8E1">
      <w:pPr>
        <w:shd w:val="clear"/>
        <w:adjustRightInd w:val="0"/>
        <w:snapToGrid w:val="0"/>
        <w:jc w:val="left"/>
        <w:rPr>
          <w:rFonts w:hint="eastAsia" w:ascii="宋体" w:hAnsi="宋体" w:cs="宋体"/>
          <w:color w:val="auto"/>
          <w:sz w:val="24"/>
          <w:highlight w:val="none"/>
        </w:rPr>
      </w:pPr>
    </w:p>
    <w:p w14:paraId="034ADBF4">
      <w:pPr>
        <w:pStyle w:val="5"/>
        <w:shd w:val="clear"/>
        <w:jc w:val="center"/>
        <w:rPr>
          <w:rFonts w:hint="eastAsia" w:ascii="宋体" w:hAnsi="宋体" w:eastAsia="宋体" w:cs="宋体"/>
          <w:color w:val="auto"/>
          <w:sz w:val="28"/>
          <w:szCs w:val="28"/>
          <w:highlight w:val="none"/>
        </w:rPr>
      </w:pPr>
      <w:bookmarkStart w:id="204" w:name="_Toc30195"/>
      <w:bookmarkStart w:id="205" w:name="_Toc95211199"/>
      <w:bookmarkStart w:id="206" w:name="_Toc13626"/>
      <w:bookmarkStart w:id="207" w:name="_Toc5232"/>
      <w:bookmarkStart w:id="208" w:name="_Toc4910"/>
      <w:bookmarkStart w:id="209" w:name="_Toc14504"/>
      <w:bookmarkStart w:id="210" w:name="_Toc15923"/>
      <w:r>
        <w:rPr>
          <w:rFonts w:hint="eastAsia" w:ascii="宋体" w:hAnsi="宋体" w:eastAsia="宋体" w:cs="宋体"/>
          <w:color w:val="auto"/>
          <w:sz w:val="28"/>
          <w:szCs w:val="28"/>
          <w:highlight w:val="none"/>
        </w:rPr>
        <w:t>三、报价文件格式</w:t>
      </w:r>
      <w:bookmarkEnd w:id="204"/>
      <w:bookmarkEnd w:id="205"/>
      <w:bookmarkEnd w:id="206"/>
      <w:bookmarkEnd w:id="207"/>
      <w:bookmarkEnd w:id="208"/>
      <w:bookmarkEnd w:id="209"/>
      <w:bookmarkEnd w:id="210"/>
    </w:p>
    <w:p w14:paraId="61A4D32F">
      <w:pPr>
        <w:shd w:val="clear"/>
        <w:adjustRightInd w:val="0"/>
        <w:snapToGrid w:val="0"/>
        <w:rPr>
          <w:rFonts w:hint="eastAsia" w:ascii="宋体" w:hAnsi="宋体" w:cs="宋体"/>
          <w:bCs/>
          <w:color w:val="auto"/>
          <w:sz w:val="24"/>
          <w:highlight w:val="none"/>
        </w:rPr>
      </w:pPr>
    </w:p>
    <w:p w14:paraId="53F38DEB">
      <w:pPr>
        <w:shd w:val="clear"/>
        <w:adjustRightInd w:val="0"/>
        <w:snapToGrid w:val="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报价文件封面格式</w:t>
      </w:r>
    </w:p>
    <w:p w14:paraId="411774E0">
      <w:pPr>
        <w:shd w:val="clear"/>
        <w:adjustRightInd w:val="0"/>
        <w:snapToGrid w:val="0"/>
        <w:rPr>
          <w:rFonts w:hint="eastAsia" w:ascii="宋体" w:hAnsi="宋体" w:cs="宋体"/>
          <w:b/>
          <w:bCs/>
          <w:color w:val="auto"/>
          <w:sz w:val="24"/>
          <w:highlight w:val="none"/>
        </w:rPr>
      </w:pPr>
      <w:r>
        <w:rPr>
          <w:rFonts w:hint="eastAsia" w:ascii="宋体" w:hAnsi="宋体" w:cs="宋体"/>
          <w:color w:val="auto"/>
          <w:sz w:val="24"/>
          <w:highlight w:val="none"/>
        </w:rPr>
        <w:t xml:space="preserve">                                                         </w:t>
      </w:r>
    </w:p>
    <w:p w14:paraId="437782A8">
      <w:pPr>
        <w:shd w:val="clear"/>
        <w:adjustRightInd w:val="0"/>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×××（投标人名称）</w:t>
      </w:r>
    </w:p>
    <w:p w14:paraId="25B7D244">
      <w:pPr>
        <w:shd w:val="clear"/>
        <w:adjustRightInd w:val="0"/>
        <w:snapToGrid w:val="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报价文件</w:t>
      </w:r>
    </w:p>
    <w:p w14:paraId="412F415A">
      <w:pPr>
        <w:shd w:val="clear"/>
        <w:adjustRightInd w:val="0"/>
        <w:snapToGrid w:val="0"/>
        <w:ind w:left="2245" w:leftChars="513" w:hanging="1168" w:hangingChars="487"/>
        <w:rPr>
          <w:rFonts w:hint="eastAsia" w:ascii="宋体" w:hAnsi="宋体" w:cs="宋体"/>
          <w:bCs/>
          <w:color w:val="auto"/>
          <w:sz w:val="24"/>
          <w:highlight w:val="none"/>
        </w:rPr>
      </w:pPr>
      <w:r>
        <w:rPr>
          <w:rFonts w:hint="eastAsia" w:ascii="宋体" w:hAnsi="宋体" w:cs="宋体"/>
          <w:bCs/>
          <w:color w:val="auto"/>
          <w:sz w:val="24"/>
          <w:highlight w:val="none"/>
        </w:rPr>
        <w:t xml:space="preserve">项目名称： </w:t>
      </w:r>
    </w:p>
    <w:p w14:paraId="1DF2DAAA">
      <w:pPr>
        <w:shd w:val="clear"/>
        <w:adjustRightInd w:val="0"/>
        <w:snapToGrid w:val="0"/>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项目编号： </w:t>
      </w:r>
    </w:p>
    <w:p w14:paraId="0586F264">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58F8EE50">
      <w:pPr>
        <w:shd w:val="clear"/>
        <w:adjustRightInd w:val="0"/>
        <w:snapToGrid w:val="0"/>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投标人地址：</w:t>
      </w:r>
    </w:p>
    <w:p w14:paraId="11364A7C">
      <w:pPr>
        <w:shd w:val="clear"/>
        <w:adjustRightInd w:val="0"/>
        <w:snapToGrid w:val="0"/>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授权代表签名或盖章：</w:t>
      </w:r>
    </w:p>
    <w:p w14:paraId="543B7F01">
      <w:pPr>
        <w:shd w:val="clear"/>
        <w:adjustRightInd w:val="0"/>
        <w:snapToGrid w:val="0"/>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36F3A08">
      <w:pPr>
        <w:shd w:val="clear"/>
        <w:spacing w:line="540" w:lineRule="exact"/>
        <w:rPr>
          <w:rFonts w:hint="eastAsia" w:ascii="宋体" w:hAnsi="宋体" w:cs="宋体"/>
          <w:color w:val="auto"/>
          <w:sz w:val="32"/>
          <w:szCs w:val="32"/>
          <w:highlight w:val="none"/>
        </w:rPr>
      </w:pPr>
    </w:p>
    <w:p w14:paraId="5CEF66C4">
      <w:pPr>
        <w:shd w:val="clear"/>
        <w:adjustRightInd w:val="0"/>
        <w:snapToGrid w:val="0"/>
        <w:rPr>
          <w:rFonts w:hint="eastAsia" w:ascii="宋体" w:hAnsi="宋体" w:cs="宋体"/>
          <w:color w:val="auto"/>
          <w:sz w:val="24"/>
          <w:highlight w:val="none"/>
        </w:rPr>
      </w:pPr>
    </w:p>
    <w:p w14:paraId="188DD3A8">
      <w:pPr>
        <w:shd w:val="clear"/>
        <w:adjustRightInd w:val="0"/>
        <w:snapToGrid w:val="0"/>
        <w:rPr>
          <w:rFonts w:hint="eastAsia" w:ascii="宋体" w:hAnsi="宋体" w:cs="宋体"/>
          <w:color w:val="auto"/>
          <w:sz w:val="24"/>
          <w:highlight w:val="none"/>
        </w:rPr>
      </w:pPr>
    </w:p>
    <w:p w14:paraId="1AA9E539">
      <w:pPr>
        <w:shd w:val="clear"/>
        <w:adjustRightInd w:val="0"/>
        <w:snapToGrid w:val="0"/>
        <w:rPr>
          <w:rFonts w:hint="eastAsia" w:ascii="宋体" w:hAnsi="宋体" w:cs="宋体"/>
          <w:color w:val="auto"/>
          <w:sz w:val="24"/>
          <w:highlight w:val="none"/>
        </w:rPr>
      </w:pPr>
    </w:p>
    <w:p w14:paraId="433BE44E">
      <w:pPr>
        <w:shd w:val="clear"/>
        <w:adjustRightInd w:val="0"/>
        <w:snapToGrid w:val="0"/>
        <w:rPr>
          <w:rFonts w:hint="eastAsia" w:ascii="宋体" w:hAnsi="宋体" w:cs="宋体"/>
          <w:color w:val="auto"/>
          <w:sz w:val="24"/>
          <w:highlight w:val="none"/>
        </w:rPr>
      </w:pPr>
    </w:p>
    <w:p w14:paraId="0B19CF73">
      <w:pPr>
        <w:shd w:val="clear"/>
        <w:adjustRightInd w:val="0"/>
        <w:snapToGrid w:val="0"/>
        <w:rPr>
          <w:rFonts w:hint="eastAsia" w:ascii="宋体" w:hAnsi="宋体" w:cs="宋体"/>
          <w:color w:val="auto"/>
          <w:sz w:val="24"/>
          <w:highlight w:val="none"/>
        </w:rPr>
      </w:pPr>
    </w:p>
    <w:p w14:paraId="61310F1C">
      <w:pPr>
        <w:shd w:val="clea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2、目录</w:t>
      </w:r>
    </w:p>
    <w:p w14:paraId="14965473">
      <w:pPr>
        <w:shd w:val="clea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报价文件：</w:t>
      </w:r>
    </w:p>
    <w:p w14:paraId="060625C5">
      <w:pPr>
        <w:numPr>
          <w:ilvl w:val="0"/>
          <w:numId w:val="6"/>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开标一览表</w:t>
      </w:r>
      <w:r>
        <w:rPr>
          <w:rFonts w:hint="eastAsia" w:ascii="宋体" w:hAnsi="宋体" w:cs="宋体"/>
          <w:szCs w:val="21"/>
          <w:highlight w:val="none"/>
          <w:lang w:eastAsia="zh-CN"/>
        </w:rPr>
        <w:t>（</w:t>
      </w:r>
      <w:r>
        <w:rPr>
          <w:rFonts w:hint="eastAsia" w:ascii="宋体" w:hAnsi="宋体" w:cs="宋体"/>
          <w:szCs w:val="21"/>
          <w:highlight w:val="none"/>
          <w:lang w:val="en-US" w:eastAsia="zh-CN"/>
        </w:rPr>
        <w:t>格式见附件</w:t>
      </w:r>
      <w:r>
        <w:rPr>
          <w:rFonts w:hint="eastAsia" w:ascii="宋体" w:hAnsi="宋体" w:cs="宋体"/>
          <w:szCs w:val="21"/>
          <w:highlight w:val="none"/>
          <w:lang w:eastAsia="zh-CN"/>
        </w:rPr>
        <w:t>）</w:t>
      </w:r>
      <w:r>
        <w:rPr>
          <w:rFonts w:hint="eastAsia" w:ascii="宋体" w:hAnsi="宋体" w:eastAsia="宋体" w:cs="宋体"/>
          <w:szCs w:val="21"/>
          <w:highlight w:val="none"/>
        </w:rPr>
        <w:t>；</w:t>
      </w:r>
    </w:p>
    <w:p w14:paraId="459599EC">
      <w:pPr>
        <w:numPr>
          <w:ilvl w:val="0"/>
          <w:numId w:val="6"/>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cs="宋体"/>
          <w:color w:val="auto"/>
          <w:szCs w:val="21"/>
          <w:highlight w:val="none"/>
        </w:rPr>
        <w:t>报价明细表</w:t>
      </w:r>
      <w:r>
        <w:rPr>
          <w:rFonts w:hint="eastAsia" w:ascii="宋体" w:hAnsi="宋体" w:cs="宋体"/>
          <w:szCs w:val="21"/>
          <w:highlight w:val="none"/>
          <w:lang w:eastAsia="zh-CN"/>
        </w:rPr>
        <w:t>（</w:t>
      </w:r>
      <w:r>
        <w:rPr>
          <w:rFonts w:hint="eastAsia" w:ascii="宋体" w:hAnsi="宋体" w:cs="宋体"/>
          <w:szCs w:val="21"/>
          <w:highlight w:val="none"/>
          <w:lang w:val="en-US" w:eastAsia="zh-CN"/>
        </w:rPr>
        <w:t>格式见附件</w:t>
      </w:r>
      <w:r>
        <w:rPr>
          <w:rFonts w:hint="eastAsia" w:ascii="宋体" w:hAnsi="宋体" w:cs="宋体"/>
          <w:szCs w:val="21"/>
          <w:highlight w:val="none"/>
          <w:lang w:eastAsia="zh-CN"/>
        </w:rPr>
        <w:t>）</w:t>
      </w:r>
      <w:r>
        <w:rPr>
          <w:rFonts w:hint="eastAsia" w:ascii="宋体" w:hAnsi="宋体" w:eastAsia="宋体" w:cs="宋体"/>
          <w:szCs w:val="21"/>
          <w:highlight w:val="none"/>
        </w:rPr>
        <w:t>；</w:t>
      </w:r>
    </w:p>
    <w:p w14:paraId="3C7A914A">
      <w:pPr>
        <w:numPr>
          <w:ilvl w:val="0"/>
          <w:numId w:val="6"/>
        </w:numPr>
        <w:shd w:val="clear"/>
        <w:adjustRightInd w:val="0"/>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投标人针对报价的说明或证明材料。</w:t>
      </w:r>
    </w:p>
    <w:p w14:paraId="71AFE994">
      <w:pPr>
        <w:pStyle w:val="17"/>
        <w:shd w:val="clear"/>
        <w:rPr>
          <w:rFonts w:hint="eastAsia"/>
          <w:highlight w:val="none"/>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3" w:charSpace="0"/>
        </w:sectPr>
      </w:pPr>
    </w:p>
    <w:p w14:paraId="7A77C35E">
      <w:pPr>
        <w:shd w:val="clear"/>
        <w:spacing w:line="520" w:lineRule="exact"/>
        <w:rPr>
          <w:rFonts w:hint="eastAsia" w:ascii="宋体" w:hAnsi="宋体" w:cs="宋体"/>
          <w:color w:val="auto"/>
          <w:sz w:val="24"/>
          <w:highlight w:val="none"/>
        </w:rPr>
      </w:pPr>
      <w:r>
        <w:rPr>
          <w:rFonts w:hint="eastAsia" w:ascii="宋体" w:hAnsi="宋体" w:cs="宋体"/>
          <w:color w:val="auto"/>
          <w:sz w:val="24"/>
          <w:highlight w:val="none"/>
        </w:rPr>
        <w:t>3、开标一览表格式</w:t>
      </w:r>
    </w:p>
    <w:p w14:paraId="53DF2601">
      <w:pPr>
        <w:shd w:val="clear"/>
        <w:spacing w:line="400" w:lineRule="exact"/>
        <w:jc w:val="center"/>
        <w:rPr>
          <w:rFonts w:hint="eastAsia" w:ascii="Times New Roman" w:hAnsi="宋体" w:eastAsia="宋体" w:cs="宋体"/>
          <w:color w:val="auto"/>
          <w:sz w:val="30"/>
          <w:szCs w:val="30"/>
          <w:highlight w:val="none"/>
        </w:rPr>
      </w:pPr>
      <w:r>
        <w:rPr>
          <w:rFonts w:hint="eastAsia" w:ascii="Times New Roman" w:hAnsi="宋体" w:eastAsia="宋体" w:cs="宋体"/>
          <w:color w:val="auto"/>
          <w:sz w:val="30"/>
          <w:szCs w:val="30"/>
          <w:highlight w:val="none"/>
        </w:rPr>
        <w:t>开标一览表</w:t>
      </w:r>
    </w:p>
    <w:p w14:paraId="46A36354">
      <w:pPr>
        <w:pStyle w:val="6"/>
        <w:shd w:val="clear"/>
        <w:tabs>
          <w:tab w:val="left" w:pos="4477"/>
        </w:tabs>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 xml:space="preserve">     </w:t>
      </w:r>
    </w:p>
    <w:p w14:paraId="21913F52">
      <w:pPr>
        <w:pStyle w:val="6"/>
        <w:shd w:val="clear"/>
        <w:tabs>
          <w:tab w:val="left" w:pos="4477"/>
        </w:tabs>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金额单位：元      </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342"/>
        <w:gridCol w:w="2120"/>
        <w:gridCol w:w="1713"/>
        <w:gridCol w:w="2925"/>
      </w:tblGrid>
      <w:tr w14:paraId="6F6C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81" w:type="dxa"/>
            <w:noWrap w:val="0"/>
            <w:vAlign w:val="center"/>
          </w:tcPr>
          <w:p w14:paraId="13EC4E09">
            <w:pPr>
              <w:spacing w:line="36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3462" w:type="dxa"/>
            <w:gridSpan w:val="2"/>
            <w:noWrap w:val="0"/>
            <w:vAlign w:val="center"/>
          </w:tcPr>
          <w:p w14:paraId="1E3FCBA7">
            <w:pPr>
              <w:spacing w:line="360" w:lineRule="exact"/>
              <w:jc w:val="center"/>
              <w:rPr>
                <w:rFonts w:hint="eastAsia" w:ascii="宋体" w:hAnsi="宋体"/>
                <w:color w:val="auto"/>
                <w:szCs w:val="21"/>
                <w:highlight w:val="none"/>
              </w:rPr>
            </w:pPr>
            <w:r>
              <w:rPr>
                <w:rFonts w:hint="eastAsia" w:ascii="宋体" w:hAnsi="宋体"/>
                <w:color w:val="auto"/>
                <w:szCs w:val="21"/>
                <w:highlight w:val="none"/>
              </w:rPr>
              <w:t>服务名称</w:t>
            </w:r>
          </w:p>
        </w:tc>
        <w:tc>
          <w:tcPr>
            <w:tcW w:w="1713" w:type="dxa"/>
            <w:noWrap w:val="0"/>
            <w:vAlign w:val="center"/>
          </w:tcPr>
          <w:p w14:paraId="09C4454B">
            <w:pPr>
              <w:snapToGrid w:val="0"/>
              <w:spacing w:line="34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2925" w:type="dxa"/>
            <w:noWrap w:val="0"/>
            <w:vAlign w:val="center"/>
          </w:tcPr>
          <w:p w14:paraId="5807FEF1">
            <w:pPr>
              <w:spacing w:line="360" w:lineRule="exact"/>
              <w:jc w:val="center"/>
              <w:rPr>
                <w:rFonts w:hint="eastAsia" w:ascii="宋体" w:hAnsi="宋体"/>
                <w:color w:val="auto"/>
                <w:szCs w:val="21"/>
                <w:highlight w:val="none"/>
              </w:rPr>
            </w:pPr>
            <w:r>
              <w:rPr>
                <w:rFonts w:hint="eastAsia" w:ascii="宋体" w:hAnsi="宋体"/>
                <w:color w:val="auto"/>
                <w:szCs w:val="21"/>
                <w:highlight w:val="none"/>
              </w:rPr>
              <w:t>项目负责人</w:t>
            </w:r>
          </w:p>
        </w:tc>
      </w:tr>
      <w:tr w14:paraId="49D2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81" w:type="dxa"/>
            <w:noWrap w:val="0"/>
            <w:vAlign w:val="center"/>
          </w:tcPr>
          <w:p w14:paraId="239CF2D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3462" w:type="dxa"/>
            <w:gridSpan w:val="2"/>
            <w:noWrap w:val="0"/>
            <w:vAlign w:val="center"/>
          </w:tcPr>
          <w:p w14:paraId="126B2E6D">
            <w:pPr>
              <w:spacing w:line="36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2024年度第二批未来社区创建实施方案编制服务采购项目</w:t>
            </w:r>
          </w:p>
        </w:tc>
        <w:tc>
          <w:tcPr>
            <w:tcW w:w="1713" w:type="dxa"/>
            <w:noWrap w:val="0"/>
            <w:vAlign w:val="center"/>
          </w:tcPr>
          <w:p w14:paraId="7E95D45E">
            <w:pPr>
              <w:spacing w:line="3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1项</w:t>
            </w:r>
          </w:p>
        </w:tc>
        <w:tc>
          <w:tcPr>
            <w:tcW w:w="2925" w:type="dxa"/>
            <w:noWrap w:val="0"/>
            <w:vAlign w:val="center"/>
          </w:tcPr>
          <w:p w14:paraId="31E83D54">
            <w:pPr>
              <w:spacing w:line="360" w:lineRule="exact"/>
              <w:jc w:val="center"/>
              <w:rPr>
                <w:rFonts w:hint="eastAsia" w:ascii="宋体" w:hAnsi="宋体"/>
                <w:color w:val="auto"/>
                <w:szCs w:val="21"/>
                <w:highlight w:val="none"/>
              </w:rPr>
            </w:pPr>
          </w:p>
        </w:tc>
      </w:tr>
      <w:tr w14:paraId="4707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323" w:type="dxa"/>
            <w:gridSpan w:val="2"/>
            <w:noWrap w:val="0"/>
            <w:vAlign w:val="center"/>
          </w:tcPr>
          <w:p w14:paraId="0AE182AE">
            <w:pPr>
              <w:spacing w:line="360" w:lineRule="exact"/>
              <w:jc w:val="center"/>
              <w:rPr>
                <w:rFonts w:hint="eastAsia" w:ascii="宋体" w:hAnsi="宋体"/>
                <w:color w:val="auto"/>
                <w:szCs w:val="21"/>
                <w:highlight w:val="none"/>
              </w:rPr>
            </w:pPr>
            <w:r>
              <w:rPr>
                <w:rFonts w:hint="eastAsia" w:ascii="宋体" w:hAnsi="宋体"/>
                <w:color w:val="auto"/>
                <w:szCs w:val="21"/>
                <w:highlight w:val="none"/>
              </w:rPr>
              <w:t>投标报价</w:t>
            </w:r>
          </w:p>
        </w:tc>
        <w:tc>
          <w:tcPr>
            <w:tcW w:w="6758" w:type="dxa"/>
            <w:gridSpan w:val="3"/>
            <w:noWrap w:val="0"/>
            <w:vAlign w:val="center"/>
          </w:tcPr>
          <w:p w14:paraId="3F12D5FF">
            <w:pPr>
              <w:spacing w:line="360" w:lineRule="exact"/>
              <w:rPr>
                <w:rFonts w:hint="eastAsia" w:ascii="宋体" w:hAnsi="宋体"/>
                <w:color w:val="auto"/>
                <w:szCs w:val="21"/>
                <w:highlight w:val="none"/>
              </w:rPr>
            </w:pPr>
            <w:r>
              <w:rPr>
                <w:rFonts w:hint="eastAsia" w:ascii="宋体" w:hAnsi="宋体"/>
                <w:color w:val="auto"/>
                <w:szCs w:val="21"/>
                <w:highlight w:val="none"/>
              </w:rPr>
              <w:t>大写：</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人民币</w:t>
            </w:r>
          </w:p>
          <w:p w14:paraId="7F6318CC">
            <w:pPr>
              <w:spacing w:line="360" w:lineRule="exact"/>
              <w:rPr>
                <w:rFonts w:hint="eastAsia" w:ascii="宋体" w:hAnsi="宋体"/>
                <w:color w:val="auto"/>
                <w:szCs w:val="21"/>
                <w:highlight w:val="none"/>
              </w:rPr>
            </w:pPr>
            <w:r>
              <w:rPr>
                <w:rFonts w:hint="eastAsia" w:ascii="宋体" w:hAnsi="宋体"/>
                <w:color w:val="auto"/>
                <w:szCs w:val="21"/>
                <w:highlight w:val="none"/>
              </w:rPr>
              <w:t xml:space="preserve">小写：￥                                  </w:t>
            </w:r>
          </w:p>
        </w:tc>
      </w:tr>
    </w:tbl>
    <w:p w14:paraId="46E96C30">
      <w:pPr>
        <w:pStyle w:val="6"/>
        <w:shd w:val="clear"/>
        <w:tabs>
          <w:tab w:val="left" w:pos="4477"/>
        </w:tabs>
        <w:spacing w:line="400" w:lineRule="exact"/>
        <w:ind w:firstLine="0"/>
        <w:rPr>
          <w:rFonts w:hint="eastAsia" w:ascii="宋体" w:hAnsi="宋体" w:cs="宋体"/>
          <w:color w:val="auto"/>
          <w:szCs w:val="21"/>
          <w:highlight w:val="none"/>
        </w:rPr>
      </w:pPr>
    </w:p>
    <w:p w14:paraId="35DAE132">
      <w:pPr>
        <w:pStyle w:val="17"/>
        <w:widowControl/>
        <w:numPr>
          <w:ilvl w:val="0"/>
          <w:numId w:val="7"/>
        </w:numPr>
        <w:shd w:val="clear"/>
        <w:spacing w:before="0" w:beforeLines="0" w:after="0" w:afterLines="0" w:line="460" w:lineRule="atLeast"/>
        <w:jc w:val="left"/>
        <w:rPr>
          <w:rFonts w:hint="eastAsia" w:hAnsi="宋体" w:cs="宋体"/>
          <w:b/>
          <w:color w:val="auto"/>
          <w:sz w:val="21"/>
          <w:szCs w:val="21"/>
          <w:highlight w:val="none"/>
        </w:rPr>
      </w:pPr>
      <w:r>
        <w:rPr>
          <w:rFonts w:hint="eastAsia" w:hAnsi="宋体" w:cs="宋体"/>
          <w:b/>
          <w:color w:val="auto"/>
          <w:sz w:val="21"/>
          <w:szCs w:val="21"/>
          <w:highlight w:val="none"/>
        </w:rPr>
        <w:t>说明：</w:t>
      </w:r>
    </w:p>
    <w:p w14:paraId="20A64507">
      <w:pPr>
        <w:pStyle w:val="17"/>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rPr>
        <w:t>1、报价总价是履行合同的最终价格。</w:t>
      </w:r>
    </w:p>
    <w:p w14:paraId="0BA07041">
      <w:pPr>
        <w:pStyle w:val="17"/>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rPr>
        <w:t>2、本表格的总价应与《报价明细表》的总价相一致。</w:t>
      </w:r>
    </w:p>
    <w:p w14:paraId="0F1673F6">
      <w:pPr>
        <w:pStyle w:val="17"/>
        <w:spacing w:before="120" w:after="120" w:line="240" w:lineRule="exact"/>
        <w:rPr>
          <w:rFonts w:hint="eastAsia" w:hAnsi="宋体" w:cs="宋体"/>
          <w:b/>
          <w:color w:val="auto"/>
          <w:sz w:val="21"/>
          <w:szCs w:val="21"/>
          <w:highlight w:val="none"/>
        </w:rPr>
      </w:pPr>
      <w:r>
        <w:rPr>
          <w:rFonts w:hint="eastAsia" w:hAnsi="宋体" w:cs="宋体"/>
          <w:b/>
          <w:color w:val="auto"/>
          <w:sz w:val="21"/>
          <w:szCs w:val="21"/>
          <w:highlight w:val="none"/>
        </w:rPr>
        <w:t>▲3、投标文件只允许有一个报价，有选择的报价将不予接受。</w:t>
      </w:r>
    </w:p>
    <w:p w14:paraId="4ABC6013">
      <w:pPr>
        <w:pStyle w:val="17"/>
        <w:shd w:val="clear"/>
        <w:spacing w:before="120" w:after="120" w:line="240" w:lineRule="exact"/>
        <w:rPr>
          <w:rFonts w:hint="eastAsia" w:hAnsi="宋体" w:cs="宋体"/>
          <w:b/>
          <w:color w:val="auto"/>
          <w:sz w:val="21"/>
          <w:szCs w:val="21"/>
          <w:highlight w:val="none"/>
        </w:rPr>
      </w:pPr>
    </w:p>
    <w:p w14:paraId="006C3269">
      <w:pPr>
        <w:pStyle w:val="17"/>
        <w:shd w:val="clear"/>
        <w:spacing w:before="120" w:after="120" w:line="240" w:lineRule="exact"/>
        <w:rPr>
          <w:rFonts w:hint="eastAsia" w:hAnsi="宋体" w:cs="宋体"/>
          <w:b/>
          <w:color w:val="auto"/>
          <w:sz w:val="21"/>
          <w:szCs w:val="21"/>
          <w:highlight w:val="none"/>
        </w:rPr>
      </w:pPr>
    </w:p>
    <w:p w14:paraId="4BE406B5">
      <w:pPr>
        <w:widowControl/>
        <w:shd w:val="clear"/>
        <w:spacing w:line="460" w:lineRule="atLeast"/>
        <w:ind w:right="660" w:firstLine="5880" w:firstLineChars="2800"/>
        <w:rPr>
          <w:rFonts w:hint="eastAsia" w:ascii="宋体" w:hAnsi="宋体" w:cs="宋体"/>
          <w:color w:val="auto"/>
          <w:szCs w:val="21"/>
          <w:highlight w:val="none"/>
        </w:rPr>
      </w:pPr>
      <w:r>
        <w:rPr>
          <w:rFonts w:hint="eastAsia" w:ascii="宋体" w:hAnsi="宋体" w:cs="宋体"/>
          <w:color w:val="auto"/>
          <w:szCs w:val="21"/>
          <w:highlight w:val="none"/>
        </w:rPr>
        <w:t>投标人全称：（盖章）</w:t>
      </w:r>
    </w:p>
    <w:p w14:paraId="4B0CBB81">
      <w:pPr>
        <w:widowControl/>
        <w:shd w:val="clear"/>
        <w:spacing w:line="460" w:lineRule="atLeast"/>
        <w:ind w:right="44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授权代表：（签字）</w:t>
      </w:r>
    </w:p>
    <w:p w14:paraId="5EB1B764">
      <w:pPr>
        <w:shd w:val="clea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bookmarkEnd w:id="183"/>
    <w:bookmarkEnd w:id="184"/>
    <w:p w14:paraId="2998656F">
      <w:pPr>
        <w:shd w:val="clear"/>
        <w:spacing w:line="520" w:lineRule="exact"/>
        <w:rPr>
          <w:rFonts w:hint="eastAsia" w:ascii="宋体" w:hAnsi="宋体" w:cs="宋体"/>
          <w:color w:val="auto"/>
          <w:szCs w:val="21"/>
          <w:highlight w:val="none"/>
        </w:rPr>
      </w:pPr>
      <w:bookmarkStart w:id="211" w:name="_Toc17729"/>
      <w:bookmarkStart w:id="212" w:name="_Toc2464"/>
    </w:p>
    <w:p w14:paraId="25FB717E">
      <w:pPr>
        <w:pStyle w:val="63"/>
        <w:shd w:val="clear"/>
        <w:rPr>
          <w:rFonts w:hint="eastAsia" w:ascii="宋体" w:hAnsi="宋体" w:cs="宋体"/>
          <w:color w:val="auto"/>
          <w:szCs w:val="21"/>
          <w:highlight w:val="none"/>
        </w:rPr>
      </w:pPr>
    </w:p>
    <w:p w14:paraId="3E9AA788">
      <w:pPr>
        <w:shd w:val="clear"/>
        <w:spacing w:line="520" w:lineRule="exact"/>
        <w:rPr>
          <w:rFonts w:hint="eastAsia" w:ascii="宋体" w:hAnsi="宋体" w:cs="宋体"/>
          <w:color w:val="auto"/>
          <w:sz w:val="24"/>
          <w:highlight w:val="none"/>
        </w:rPr>
      </w:pPr>
      <w:bookmarkStart w:id="213" w:name="_Toc31956"/>
      <w:bookmarkStart w:id="214" w:name="_Toc526960898"/>
      <w:bookmarkStart w:id="215" w:name="_Toc530041770"/>
      <w:bookmarkStart w:id="216" w:name="_Toc27716"/>
      <w:bookmarkStart w:id="217" w:name="_Toc8807242"/>
    </w:p>
    <w:p w14:paraId="773E9585">
      <w:pPr>
        <w:shd w:val="clear"/>
        <w:spacing w:line="520" w:lineRule="exact"/>
        <w:rPr>
          <w:rFonts w:hint="eastAsia" w:ascii="宋体" w:hAnsi="宋体" w:cs="宋体"/>
          <w:color w:val="auto"/>
          <w:sz w:val="24"/>
          <w:highlight w:val="none"/>
        </w:rPr>
      </w:pPr>
    </w:p>
    <w:p w14:paraId="3E8A4D85">
      <w:pPr>
        <w:shd w:val="clear"/>
        <w:spacing w:line="520" w:lineRule="exact"/>
        <w:rPr>
          <w:rFonts w:hint="eastAsia" w:ascii="宋体" w:hAnsi="宋体" w:cs="宋体"/>
          <w:color w:val="auto"/>
          <w:sz w:val="24"/>
          <w:highlight w:val="none"/>
        </w:rPr>
      </w:pPr>
    </w:p>
    <w:p w14:paraId="12AAFCE5">
      <w:pPr>
        <w:shd w:val="clear"/>
        <w:spacing w:line="520" w:lineRule="exact"/>
        <w:rPr>
          <w:rFonts w:hint="eastAsia" w:ascii="宋体" w:hAnsi="宋体" w:cs="宋体"/>
          <w:color w:val="auto"/>
          <w:sz w:val="24"/>
          <w:highlight w:val="none"/>
        </w:rPr>
      </w:pPr>
    </w:p>
    <w:p w14:paraId="73D49755">
      <w:pPr>
        <w:shd w:val="clear"/>
        <w:spacing w:line="520" w:lineRule="exact"/>
        <w:rPr>
          <w:rFonts w:hint="eastAsia" w:ascii="宋体" w:hAnsi="宋体" w:cs="宋体"/>
          <w:color w:val="auto"/>
          <w:sz w:val="24"/>
          <w:highlight w:val="none"/>
        </w:rPr>
      </w:pPr>
    </w:p>
    <w:p w14:paraId="6A0B3EA4">
      <w:pPr>
        <w:shd w:val="clear"/>
        <w:spacing w:line="520" w:lineRule="exact"/>
        <w:rPr>
          <w:rFonts w:hint="eastAsia" w:ascii="宋体" w:hAnsi="宋体" w:cs="宋体"/>
          <w:color w:val="auto"/>
          <w:sz w:val="24"/>
          <w:highlight w:val="none"/>
        </w:rPr>
      </w:pPr>
    </w:p>
    <w:bookmarkEnd w:id="213"/>
    <w:bookmarkEnd w:id="214"/>
    <w:bookmarkEnd w:id="215"/>
    <w:bookmarkEnd w:id="216"/>
    <w:bookmarkEnd w:id="217"/>
    <w:p w14:paraId="74CC281B">
      <w:pPr>
        <w:shd w:val="clear"/>
        <w:spacing w:line="400" w:lineRule="exact"/>
        <w:rPr>
          <w:rFonts w:hint="eastAsia" w:hAnsi="宋体" w:cs="宋体"/>
          <w:color w:val="auto"/>
          <w:sz w:val="30"/>
          <w:szCs w:val="30"/>
          <w:highlight w:val="none"/>
        </w:rPr>
      </w:pPr>
      <w:bookmarkStart w:id="218" w:name="_Toc95211200"/>
      <w:bookmarkStart w:id="219" w:name="_Toc2949"/>
      <w:bookmarkStart w:id="220" w:name="_Toc74166648"/>
      <w:bookmarkStart w:id="221" w:name="_Toc21964"/>
      <w:bookmarkStart w:id="222" w:name="_Toc73085486"/>
      <w:bookmarkStart w:id="223" w:name="_Toc18526"/>
      <w:bookmarkStart w:id="224" w:name="_Toc6565"/>
    </w:p>
    <w:p w14:paraId="66B2F711">
      <w:pPr>
        <w:shd w:val="clear"/>
        <w:spacing w:line="400" w:lineRule="exact"/>
        <w:rPr>
          <w:rFonts w:hint="eastAsia" w:hAnsi="宋体" w:cs="宋体"/>
          <w:color w:val="auto"/>
          <w:sz w:val="30"/>
          <w:szCs w:val="30"/>
          <w:highlight w:val="none"/>
        </w:rPr>
      </w:pPr>
    </w:p>
    <w:p w14:paraId="7B5EF5FB">
      <w:pPr>
        <w:shd w:val="clear"/>
        <w:spacing w:line="400" w:lineRule="exact"/>
        <w:rPr>
          <w:rFonts w:hint="eastAsia" w:hAnsi="宋体" w:cs="宋体"/>
          <w:color w:val="auto"/>
          <w:sz w:val="30"/>
          <w:szCs w:val="30"/>
          <w:highlight w:val="none"/>
        </w:rPr>
      </w:pPr>
    </w:p>
    <w:p w14:paraId="249796EC">
      <w:pPr>
        <w:shd w:val="clear"/>
        <w:spacing w:line="400" w:lineRule="exact"/>
        <w:rPr>
          <w:rFonts w:hint="eastAsia" w:hAnsi="宋体" w:cs="宋体"/>
          <w:color w:val="auto"/>
          <w:sz w:val="30"/>
          <w:szCs w:val="30"/>
          <w:highlight w:val="none"/>
        </w:rPr>
      </w:pPr>
    </w:p>
    <w:p w14:paraId="002FFD9E">
      <w:pPr>
        <w:spacing w:line="520" w:lineRule="exact"/>
        <w:rPr>
          <w:rFonts w:hint="eastAsia" w:ascii="宋体" w:hAnsi="宋体" w:cs="宋体"/>
          <w:color w:val="auto"/>
          <w:sz w:val="24"/>
          <w:highlight w:val="none"/>
        </w:rPr>
      </w:pPr>
      <w:r>
        <w:rPr>
          <w:rFonts w:hint="eastAsia" w:ascii="宋体" w:hAnsi="宋体" w:cs="宋体"/>
          <w:color w:val="auto"/>
          <w:sz w:val="24"/>
          <w:highlight w:val="none"/>
        </w:rPr>
        <w:t>4、报价明细表</w:t>
      </w:r>
    </w:p>
    <w:p w14:paraId="0533F9F9">
      <w:pPr>
        <w:shd w:val="clear"/>
        <w:spacing w:line="400" w:lineRule="exact"/>
        <w:jc w:val="center"/>
        <w:rPr>
          <w:rFonts w:hint="eastAsia" w:hAnsi="宋体" w:cs="宋体"/>
          <w:color w:val="auto"/>
          <w:sz w:val="30"/>
          <w:szCs w:val="30"/>
          <w:highlight w:val="none"/>
        </w:rPr>
      </w:pPr>
      <w:r>
        <w:rPr>
          <w:rFonts w:hint="eastAsia" w:hAnsi="宋体" w:cs="宋体"/>
          <w:color w:val="auto"/>
          <w:sz w:val="30"/>
          <w:szCs w:val="30"/>
          <w:highlight w:val="none"/>
        </w:rPr>
        <w:t>报价明细表</w:t>
      </w:r>
      <w:bookmarkEnd w:id="218"/>
      <w:bookmarkEnd w:id="219"/>
      <w:bookmarkEnd w:id="220"/>
      <w:bookmarkEnd w:id="221"/>
      <w:bookmarkEnd w:id="222"/>
      <w:bookmarkEnd w:id="223"/>
      <w:bookmarkEnd w:id="224"/>
    </w:p>
    <w:p w14:paraId="49010EF9">
      <w:pPr>
        <w:pStyle w:val="13"/>
        <w:rPr>
          <w:rFonts w:hint="eastAsia"/>
          <w:highlight w:val="none"/>
        </w:rPr>
      </w:pPr>
    </w:p>
    <w:p w14:paraId="6E246F8F">
      <w:pPr>
        <w:pStyle w:val="6"/>
        <w:spacing w:line="400" w:lineRule="exact"/>
        <w:ind w:firstLine="0"/>
        <w:rPr>
          <w:rFonts w:hint="eastAsia" w:ascii="宋体" w:hAnsi="宋体" w:cs="宋体"/>
          <w:color w:val="auto"/>
          <w:szCs w:val="21"/>
          <w:highlight w:val="none"/>
        </w:rPr>
      </w:pPr>
      <w:r>
        <w:rPr>
          <w:rFonts w:hint="eastAsia" w:ascii="宋体" w:hAnsi="宋体" w:cs="宋体"/>
          <w:color w:val="auto"/>
          <w:szCs w:val="21"/>
          <w:highlight w:val="none"/>
        </w:rPr>
        <w:t xml:space="preserve">项目名称：                             项目编号：    </w:t>
      </w:r>
    </w:p>
    <w:tbl>
      <w:tblPr>
        <w:tblStyle w:val="36"/>
        <w:tblW w:w="9075" w:type="dxa"/>
        <w:tblInd w:w="125" w:type="dxa"/>
        <w:tblLayout w:type="fixed"/>
        <w:tblCellMar>
          <w:top w:w="0" w:type="dxa"/>
          <w:left w:w="108" w:type="dxa"/>
          <w:bottom w:w="0" w:type="dxa"/>
          <w:right w:w="108" w:type="dxa"/>
        </w:tblCellMar>
      </w:tblPr>
      <w:tblGrid>
        <w:gridCol w:w="1056"/>
        <w:gridCol w:w="3180"/>
        <w:gridCol w:w="1559"/>
        <w:gridCol w:w="1250"/>
        <w:gridCol w:w="2030"/>
      </w:tblGrid>
      <w:tr w14:paraId="79FD079E">
        <w:tblPrEx>
          <w:tblCellMar>
            <w:top w:w="0" w:type="dxa"/>
            <w:left w:w="108" w:type="dxa"/>
            <w:bottom w:w="0" w:type="dxa"/>
            <w:right w:w="108" w:type="dxa"/>
          </w:tblCellMar>
        </w:tblPrEx>
        <w:trPr>
          <w:trHeight w:val="632"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7023965A">
            <w:pPr>
              <w:spacing w:line="48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3180" w:type="dxa"/>
            <w:tcBorders>
              <w:top w:val="single" w:color="auto" w:sz="4" w:space="0"/>
              <w:left w:val="single" w:color="auto" w:sz="4" w:space="0"/>
              <w:bottom w:val="single" w:color="auto" w:sz="4" w:space="0"/>
              <w:right w:val="single" w:color="auto" w:sz="4" w:space="0"/>
            </w:tcBorders>
            <w:noWrap w:val="0"/>
            <w:vAlign w:val="top"/>
          </w:tcPr>
          <w:p w14:paraId="154F10E0">
            <w:pPr>
              <w:spacing w:line="480" w:lineRule="exact"/>
              <w:jc w:val="center"/>
              <w:rPr>
                <w:rFonts w:hint="eastAsia" w:ascii="宋体" w:hAnsi="宋体"/>
                <w:color w:val="auto"/>
                <w:szCs w:val="21"/>
                <w:highlight w:val="none"/>
              </w:rPr>
            </w:pPr>
            <w:r>
              <w:rPr>
                <w:rFonts w:hint="eastAsia" w:ascii="宋体" w:hAnsi="宋体"/>
                <w:color w:val="auto"/>
                <w:szCs w:val="21"/>
                <w:highlight w:val="none"/>
              </w:rPr>
              <w:t>内容</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17B81D81">
            <w:pPr>
              <w:spacing w:line="480" w:lineRule="exact"/>
              <w:jc w:val="center"/>
              <w:rPr>
                <w:rFonts w:hint="eastAsia" w:ascii="宋体" w:hAnsi="宋体"/>
                <w:color w:val="auto"/>
                <w:szCs w:val="21"/>
                <w:highlight w:val="none"/>
              </w:rPr>
            </w:pPr>
            <w:r>
              <w:rPr>
                <w:rFonts w:hint="eastAsia" w:ascii="宋体" w:hAnsi="宋体"/>
                <w:color w:val="auto"/>
                <w:szCs w:val="21"/>
                <w:highlight w:val="none"/>
              </w:rPr>
              <w:t>单位及数量</w:t>
            </w:r>
          </w:p>
        </w:tc>
        <w:tc>
          <w:tcPr>
            <w:tcW w:w="1250" w:type="dxa"/>
            <w:tcBorders>
              <w:top w:val="single" w:color="auto" w:sz="4" w:space="0"/>
              <w:left w:val="single" w:color="auto" w:sz="4" w:space="0"/>
              <w:bottom w:val="single" w:color="auto" w:sz="4" w:space="0"/>
              <w:right w:val="single" w:color="auto" w:sz="4" w:space="0"/>
            </w:tcBorders>
            <w:noWrap w:val="0"/>
            <w:vAlign w:val="top"/>
          </w:tcPr>
          <w:p w14:paraId="2B5D4F60">
            <w:pPr>
              <w:spacing w:line="4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2030" w:type="dxa"/>
            <w:tcBorders>
              <w:top w:val="single" w:color="auto" w:sz="4" w:space="0"/>
              <w:left w:val="single" w:color="auto" w:sz="4" w:space="0"/>
              <w:bottom w:val="single" w:color="auto" w:sz="4" w:space="0"/>
              <w:right w:val="single" w:color="auto" w:sz="4" w:space="0"/>
            </w:tcBorders>
            <w:noWrap w:val="0"/>
            <w:vAlign w:val="top"/>
          </w:tcPr>
          <w:p w14:paraId="06B053FC">
            <w:pPr>
              <w:spacing w:line="480" w:lineRule="exact"/>
              <w:jc w:val="center"/>
              <w:rPr>
                <w:rFonts w:hint="eastAsia" w:ascii="宋体" w:hAnsi="宋体"/>
                <w:color w:val="auto"/>
                <w:szCs w:val="21"/>
                <w:highlight w:val="none"/>
              </w:rPr>
            </w:pPr>
            <w:r>
              <w:rPr>
                <w:rFonts w:hint="eastAsia" w:ascii="宋体" w:hAnsi="宋体"/>
                <w:color w:val="auto"/>
                <w:szCs w:val="21"/>
                <w:highlight w:val="none"/>
              </w:rPr>
              <w:t>金额</w:t>
            </w:r>
          </w:p>
        </w:tc>
      </w:tr>
      <w:tr w14:paraId="6A0E9E53">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28281BE2">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4F45D89E">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55433CA">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71225D7C">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17919AB6">
            <w:pPr>
              <w:spacing w:line="480" w:lineRule="exact"/>
              <w:rPr>
                <w:rFonts w:hint="eastAsia" w:ascii="宋体" w:hAnsi="宋体"/>
                <w:color w:val="auto"/>
                <w:szCs w:val="21"/>
                <w:highlight w:val="none"/>
              </w:rPr>
            </w:pPr>
          </w:p>
        </w:tc>
      </w:tr>
      <w:tr w14:paraId="7FBEC56B">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1CFAE37A">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692E6FA3">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4424E95">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31769A77">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26C331D2">
            <w:pPr>
              <w:spacing w:line="480" w:lineRule="exact"/>
              <w:rPr>
                <w:rFonts w:hint="eastAsia" w:ascii="宋体" w:hAnsi="宋体"/>
                <w:color w:val="auto"/>
                <w:szCs w:val="21"/>
                <w:highlight w:val="none"/>
              </w:rPr>
            </w:pPr>
          </w:p>
        </w:tc>
      </w:tr>
      <w:tr w14:paraId="78B357E6">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11425AB7">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57110266">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0849780">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559FFD0A">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59B984E9">
            <w:pPr>
              <w:spacing w:line="480" w:lineRule="exact"/>
              <w:rPr>
                <w:rFonts w:hint="eastAsia" w:ascii="宋体" w:hAnsi="宋体"/>
                <w:color w:val="auto"/>
                <w:szCs w:val="21"/>
                <w:highlight w:val="none"/>
              </w:rPr>
            </w:pPr>
          </w:p>
        </w:tc>
      </w:tr>
      <w:tr w14:paraId="522D3214">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5A0AF8CE">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6B25FA33">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026EF24F">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53510831">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5C821554">
            <w:pPr>
              <w:spacing w:line="480" w:lineRule="exact"/>
              <w:rPr>
                <w:rFonts w:hint="eastAsia" w:ascii="宋体" w:hAnsi="宋体"/>
                <w:color w:val="auto"/>
                <w:szCs w:val="21"/>
                <w:highlight w:val="none"/>
              </w:rPr>
            </w:pPr>
          </w:p>
        </w:tc>
      </w:tr>
      <w:tr w14:paraId="38F33C37">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44276D4A">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2FF3C4B0">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8B01AB1">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0FB13201">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5CE5DB58">
            <w:pPr>
              <w:spacing w:line="480" w:lineRule="exact"/>
              <w:rPr>
                <w:rFonts w:hint="eastAsia" w:ascii="宋体" w:hAnsi="宋体"/>
                <w:color w:val="auto"/>
                <w:szCs w:val="21"/>
                <w:highlight w:val="none"/>
              </w:rPr>
            </w:pPr>
          </w:p>
        </w:tc>
      </w:tr>
      <w:tr w14:paraId="2260F37B">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26833732">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7F280CCA">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B089330">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339D0AD9">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4F41DABD">
            <w:pPr>
              <w:spacing w:line="480" w:lineRule="exact"/>
              <w:rPr>
                <w:rFonts w:hint="eastAsia" w:ascii="宋体" w:hAnsi="宋体"/>
                <w:color w:val="auto"/>
                <w:szCs w:val="21"/>
                <w:highlight w:val="none"/>
              </w:rPr>
            </w:pPr>
          </w:p>
        </w:tc>
      </w:tr>
      <w:tr w14:paraId="34E9873D">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3A5FCF4E">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5951F519">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67733EF">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2BB7794B">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18A1B16E">
            <w:pPr>
              <w:spacing w:line="480" w:lineRule="exact"/>
              <w:rPr>
                <w:rFonts w:hint="eastAsia" w:ascii="宋体" w:hAnsi="宋体"/>
                <w:color w:val="auto"/>
                <w:szCs w:val="21"/>
                <w:highlight w:val="none"/>
              </w:rPr>
            </w:pPr>
          </w:p>
        </w:tc>
      </w:tr>
      <w:tr w14:paraId="2352219F">
        <w:tblPrEx>
          <w:tblCellMar>
            <w:top w:w="0" w:type="dxa"/>
            <w:left w:w="108" w:type="dxa"/>
            <w:bottom w:w="0" w:type="dxa"/>
            <w:right w:w="108" w:type="dxa"/>
          </w:tblCellMar>
        </w:tblPrEx>
        <w:trPr>
          <w:trHeight w:val="546" w:hRule="atLeast"/>
        </w:trPr>
        <w:tc>
          <w:tcPr>
            <w:tcW w:w="1056" w:type="dxa"/>
            <w:tcBorders>
              <w:top w:val="single" w:color="auto" w:sz="4" w:space="0"/>
              <w:left w:val="single" w:color="auto" w:sz="4" w:space="0"/>
              <w:bottom w:val="single" w:color="auto" w:sz="4" w:space="0"/>
              <w:right w:val="single" w:color="auto" w:sz="4" w:space="0"/>
            </w:tcBorders>
            <w:noWrap w:val="0"/>
            <w:vAlign w:val="top"/>
          </w:tcPr>
          <w:p w14:paraId="4ED6ED12">
            <w:pPr>
              <w:spacing w:line="480" w:lineRule="exact"/>
              <w:rPr>
                <w:rFonts w:hint="eastAsia" w:ascii="宋体" w:hAnsi="宋体"/>
                <w:color w:val="auto"/>
                <w:szCs w:val="21"/>
                <w:highlight w:val="none"/>
              </w:rPr>
            </w:pPr>
          </w:p>
        </w:tc>
        <w:tc>
          <w:tcPr>
            <w:tcW w:w="3180" w:type="dxa"/>
            <w:tcBorders>
              <w:top w:val="single" w:color="auto" w:sz="4" w:space="0"/>
              <w:left w:val="single" w:color="auto" w:sz="4" w:space="0"/>
              <w:bottom w:val="single" w:color="auto" w:sz="4" w:space="0"/>
              <w:right w:val="single" w:color="auto" w:sz="4" w:space="0"/>
            </w:tcBorders>
            <w:noWrap w:val="0"/>
            <w:vAlign w:val="top"/>
          </w:tcPr>
          <w:p w14:paraId="42EB9986">
            <w:pPr>
              <w:spacing w:line="480" w:lineRule="exact"/>
              <w:rPr>
                <w:rFonts w:hint="eastAsia"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164120F">
            <w:pPr>
              <w:spacing w:line="480" w:lineRule="exact"/>
              <w:rPr>
                <w:rFonts w:hint="eastAsia"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top"/>
          </w:tcPr>
          <w:p w14:paraId="7FC14A30">
            <w:pPr>
              <w:spacing w:line="480" w:lineRule="exact"/>
              <w:rPr>
                <w:rFonts w:hint="eastAsia" w:ascii="宋体" w:hAnsi="宋体"/>
                <w:color w:val="auto"/>
                <w:szCs w:val="21"/>
                <w:highlight w:val="none"/>
              </w:rPr>
            </w:pPr>
          </w:p>
        </w:tc>
        <w:tc>
          <w:tcPr>
            <w:tcW w:w="2030" w:type="dxa"/>
            <w:tcBorders>
              <w:top w:val="single" w:color="auto" w:sz="4" w:space="0"/>
              <w:left w:val="single" w:color="auto" w:sz="4" w:space="0"/>
              <w:bottom w:val="single" w:color="auto" w:sz="4" w:space="0"/>
              <w:right w:val="single" w:color="auto" w:sz="4" w:space="0"/>
            </w:tcBorders>
            <w:noWrap w:val="0"/>
            <w:vAlign w:val="top"/>
          </w:tcPr>
          <w:p w14:paraId="7FE7585A">
            <w:pPr>
              <w:spacing w:line="480" w:lineRule="exact"/>
              <w:rPr>
                <w:rFonts w:hint="eastAsia" w:ascii="宋体" w:hAnsi="宋体"/>
                <w:color w:val="auto"/>
                <w:szCs w:val="21"/>
                <w:highlight w:val="none"/>
              </w:rPr>
            </w:pPr>
          </w:p>
        </w:tc>
      </w:tr>
      <w:tr w14:paraId="5263C3F4">
        <w:tblPrEx>
          <w:tblCellMar>
            <w:top w:w="0" w:type="dxa"/>
            <w:left w:w="108" w:type="dxa"/>
            <w:bottom w:w="0" w:type="dxa"/>
            <w:right w:w="108" w:type="dxa"/>
          </w:tblCellMar>
        </w:tblPrEx>
        <w:trPr>
          <w:trHeight w:val="563" w:hRule="atLeast"/>
        </w:trPr>
        <w:tc>
          <w:tcPr>
            <w:tcW w:w="7045" w:type="dxa"/>
            <w:gridSpan w:val="4"/>
            <w:tcBorders>
              <w:top w:val="single" w:color="auto" w:sz="4" w:space="0"/>
              <w:left w:val="single" w:color="auto" w:sz="4" w:space="0"/>
              <w:bottom w:val="single" w:color="auto" w:sz="4" w:space="0"/>
              <w:right w:val="single" w:color="auto" w:sz="4" w:space="0"/>
            </w:tcBorders>
            <w:noWrap w:val="0"/>
            <w:vAlign w:val="top"/>
          </w:tcPr>
          <w:p w14:paraId="58373BDE">
            <w:pPr>
              <w:spacing w:line="480" w:lineRule="exact"/>
              <w:rPr>
                <w:rFonts w:hint="eastAsia" w:ascii="宋体" w:hAnsi="宋体"/>
                <w:color w:val="auto"/>
                <w:szCs w:val="21"/>
                <w:highlight w:val="none"/>
              </w:rPr>
            </w:pPr>
            <w:r>
              <w:rPr>
                <w:rFonts w:hint="eastAsia" w:ascii="宋体" w:hAnsi="宋体"/>
                <w:color w:val="auto"/>
                <w:szCs w:val="21"/>
                <w:highlight w:val="none"/>
              </w:rPr>
              <w:t>合计金额（应与开标一览表总价相一致）</w:t>
            </w:r>
          </w:p>
        </w:tc>
        <w:tc>
          <w:tcPr>
            <w:tcW w:w="2030" w:type="dxa"/>
            <w:tcBorders>
              <w:top w:val="single" w:color="auto" w:sz="4" w:space="0"/>
              <w:left w:val="single" w:color="auto" w:sz="4" w:space="0"/>
              <w:bottom w:val="single" w:color="auto" w:sz="4" w:space="0"/>
              <w:right w:val="single" w:color="auto" w:sz="4" w:space="0"/>
            </w:tcBorders>
            <w:noWrap w:val="0"/>
            <w:vAlign w:val="top"/>
          </w:tcPr>
          <w:p w14:paraId="3A40C7F1">
            <w:pPr>
              <w:spacing w:line="480" w:lineRule="exact"/>
              <w:rPr>
                <w:rFonts w:hint="eastAsia" w:ascii="宋体" w:hAnsi="宋体"/>
                <w:color w:val="auto"/>
                <w:szCs w:val="21"/>
                <w:highlight w:val="none"/>
              </w:rPr>
            </w:pPr>
          </w:p>
        </w:tc>
      </w:tr>
    </w:tbl>
    <w:p w14:paraId="2685F08C">
      <w:pPr>
        <w:pStyle w:val="6"/>
        <w:spacing w:line="400" w:lineRule="exact"/>
        <w:ind w:firstLine="0"/>
        <w:rPr>
          <w:rFonts w:hint="eastAsia" w:ascii="宋体" w:hAnsi="宋体" w:cs="宋体"/>
          <w:color w:val="auto"/>
          <w:szCs w:val="21"/>
          <w:highlight w:val="none"/>
        </w:rPr>
      </w:pPr>
    </w:p>
    <w:p w14:paraId="3F0AC31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投标人（盖章）：</w:t>
      </w:r>
    </w:p>
    <w:p w14:paraId="706EBD5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授权代表（签字）：</w:t>
      </w:r>
    </w:p>
    <w:p w14:paraId="200E67E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62EA3577">
      <w:pPr>
        <w:spacing w:line="320" w:lineRule="exact"/>
        <w:rPr>
          <w:rFonts w:hint="eastAsia" w:ascii="宋体" w:hAnsi="宋体" w:cs="宋体"/>
          <w:b/>
          <w:color w:val="auto"/>
          <w:szCs w:val="21"/>
          <w:highlight w:val="none"/>
        </w:rPr>
      </w:pPr>
      <w:r>
        <w:rPr>
          <w:rFonts w:hint="eastAsia" w:ascii="宋体" w:hAnsi="宋体" w:cs="宋体"/>
          <w:b/>
          <w:color w:val="auto"/>
          <w:szCs w:val="21"/>
          <w:highlight w:val="none"/>
        </w:rPr>
        <w:t>注：1、本表格仅提供了样表格式，投标人应根据实际情况自行编制；</w:t>
      </w:r>
    </w:p>
    <w:p w14:paraId="49D6E16B">
      <w:pPr>
        <w:pStyle w:val="13"/>
        <w:rPr>
          <w:rFonts w:hint="eastAsia"/>
          <w:highlight w:val="none"/>
        </w:rPr>
      </w:pPr>
      <w:r>
        <w:rPr>
          <w:rFonts w:hint="eastAsia" w:ascii="宋体" w:hAnsi="宋体" w:cs="宋体"/>
          <w:b/>
          <w:color w:val="auto"/>
          <w:szCs w:val="21"/>
          <w:highlight w:val="none"/>
        </w:rPr>
        <w:t>2、最终合计金额必须包括实施本项目所需的一切费用，并与开标一览表中总价相一致。</w:t>
      </w:r>
    </w:p>
    <w:p w14:paraId="5247FE6D">
      <w:pPr>
        <w:shd w:val="clear"/>
        <w:adjustRightInd w:val="0"/>
        <w:snapToGrid w:val="0"/>
        <w:jc w:val="center"/>
        <w:rPr>
          <w:rFonts w:hint="eastAsia" w:ascii="宋体" w:hAnsi="宋体" w:cs="宋体"/>
          <w:b/>
          <w:color w:val="auto"/>
          <w:sz w:val="44"/>
          <w:szCs w:val="44"/>
          <w:highlight w:val="none"/>
        </w:rPr>
      </w:pPr>
    </w:p>
    <w:p w14:paraId="6A7422F7">
      <w:pPr>
        <w:shd w:val="clear"/>
        <w:adjustRightInd w:val="0"/>
        <w:snapToGrid w:val="0"/>
        <w:jc w:val="center"/>
        <w:rPr>
          <w:rFonts w:hint="eastAsia" w:ascii="宋体" w:hAnsi="宋体" w:cs="宋体"/>
          <w:b/>
          <w:color w:val="auto"/>
          <w:sz w:val="44"/>
          <w:szCs w:val="44"/>
          <w:highlight w:val="none"/>
        </w:rPr>
      </w:pPr>
    </w:p>
    <w:p w14:paraId="1BC40D99">
      <w:pPr>
        <w:shd w:val="clear"/>
        <w:adjustRightInd w:val="0"/>
        <w:snapToGrid w:val="0"/>
        <w:jc w:val="center"/>
        <w:rPr>
          <w:rFonts w:hint="eastAsia" w:ascii="宋体" w:hAnsi="宋体" w:cs="宋体"/>
          <w:b/>
          <w:color w:val="auto"/>
          <w:sz w:val="44"/>
          <w:szCs w:val="44"/>
          <w:highlight w:val="none"/>
        </w:rPr>
      </w:pPr>
    </w:p>
    <w:p w14:paraId="42E2541F">
      <w:pPr>
        <w:pStyle w:val="12"/>
        <w:rPr>
          <w:rFonts w:hint="eastAsia" w:ascii="宋体" w:hAnsi="宋体" w:cs="宋体"/>
          <w:b/>
          <w:color w:val="auto"/>
          <w:sz w:val="44"/>
          <w:szCs w:val="44"/>
          <w:highlight w:val="none"/>
        </w:rPr>
      </w:pPr>
    </w:p>
    <w:p w14:paraId="6014E48C">
      <w:pPr>
        <w:pStyle w:val="13"/>
        <w:rPr>
          <w:rFonts w:hint="eastAsia"/>
        </w:rPr>
      </w:pPr>
    </w:p>
    <w:p w14:paraId="7ECB91CE">
      <w:pPr>
        <w:shd w:val="clear"/>
        <w:adjustRightInd w:val="0"/>
        <w:snapToGrid w:val="0"/>
        <w:jc w:val="center"/>
        <w:rPr>
          <w:rFonts w:hint="eastAsia" w:ascii="宋体" w:hAnsi="宋体" w:cs="宋体"/>
          <w:b/>
          <w:color w:val="auto"/>
          <w:sz w:val="44"/>
          <w:szCs w:val="44"/>
          <w:highlight w:val="none"/>
        </w:rPr>
      </w:pPr>
    </w:p>
    <w:p w14:paraId="6479C6FA">
      <w:pPr>
        <w:shd w:val="clear"/>
        <w:adjustRightInd w:val="0"/>
        <w:snapToGrid w:val="0"/>
        <w:jc w:val="center"/>
        <w:rPr>
          <w:rFonts w:hint="eastAsia" w:ascii="宋体" w:hAnsi="宋体" w:cs="宋体"/>
          <w:b/>
          <w:color w:val="auto"/>
          <w:sz w:val="44"/>
          <w:szCs w:val="44"/>
          <w:highlight w:val="none"/>
        </w:rPr>
      </w:pPr>
    </w:p>
    <w:p w14:paraId="03DDD6BA">
      <w:pPr>
        <w:shd w:val="clear"/>
        <w:adjustRightInd w:val="0"/>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五、其他文书、文件格式</w:t>
      </w:r>
    </w:p>
    <w:p w14:paraId="41FB73D9">
      <w:pPr>
        <w:shd w:val="clear"/>
        <w:rPr>
          <w:rFonts w:hint="eastAsia" w:ascii="宋体" w:hAnsi="宋体" w:cs="宋体"/>
          <w:color w:val="auto"/>
          <w:szCs w:val="21"/>
          <w:highlight w:val="none"/>
        </w:rPr>
      </w:pPr>
    </w:p>
    <w:p w14:paraId="6C27BE81">
      <w:pPr>
        <w:shd w:val="clear"/>
        <w:rPr>
          <w:rFonts w:hint="eastAsia" w:ascii="宋体" w:hAnsi="宋体" w:cs="宋体"/>
          <w:color w:val="auto"/>
          <w:szCs w:val="21"/>
          <w:highlight w:val="none"/>
        </w:rPr>
      </w:pPr>
      <w:r>
        <w:rPr>
          <w:rFonts w:hint="eastAsia" w:ascii="宋体" w:hAnsi="宋体" w:cs="宋体"/>
          <w:color w:val="auto"/>
          <w:szCs w:val="21"/>
          <w:highlight w:val="none"/>
        </w:rPr>
        <w:t>评分表格式（评分内容参见第四章）</w:t>
      </w:r>
    </w:p>
    <w:p w14:paraId="6119D57D">
      <w:pPr>
        <w:shd w:val="clea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采购项目评分表</w:t>
      </w:r>
    </w:p>
    <w:p w14:paraId="49DD4C10">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投标人名称： </w:t>
      </w:r>
    </w:p>
    <w:p w14:paraId="03FD289B">
      <w:pPr>
        <w:shd w:val="clear"/>
        <w:rPr>
          <w:rFonts w:hint="eastAsia" w:ascii="宋体" w:hAnsi="宋体" w:cs="宋体"/>
          <w:color w:val="auto"/>
          <w:szCs w:val="21"/>
          <w:highlight w:val="none"/>
        </w:rPr>
      </w:pPr>
      <w:r>
        <w:rPr>
          <w:rFonts w:hint="eastAsia" w:ascii="宋体" w:hAnsi="宋体" w:cs="宋体"/>
          <w:color w:val="auto"/>
          <w:szCs w:val="21"/>
          <w:highlight w:val="none"/>
        </w:rPr>
        <w:t xml:space="preserve">项目编号：  </w:t>
      </w:r>
    </w:p>
    <w:tbl>
      <w:tblPr>
        <w:tblStyle w:val="36"/>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76A8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D565647">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0"/>
            <w:vAlign w:val="center"/>
          </w:tcPr>
          <w:p w14:paraId="29D709BA">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0"/>
            <w:vAlign w:val="center"/>
          </w:tcPr>
          <w:p w14:paraId="60B24760">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专家评定栏</w:t>
            </w:r>
          </w:p>
        </w:tc>
      </w:tr>
      <w:tr w14:paraId="3933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58EDF2D">
            <w:pPr>
              <w:shd w:val="clear"/>
              <w:ind w:firstLine="420" w:firstLineChars="200"/>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7976524">
            <w:pPr>
              <w:shd w:val="clear"/>
              <w:rPr>
                <w:rFonts w:hint="eastAsia" w:ascii="宋体" w:hAnsi="宋体" w:cs="宋体"/>
                <w:color w:val="auto"/>
                <w:szCs w:val="21"/>
                <w:highlight w:val="none"/>
              </w:rPr>
            </w:pPr>
            <w:r>
              <w:rPr>
                <w:rFonts w:hint="eastAsia" w:ascii="宋体" w:hAnsi="宋体" w:cs="宋体"/>
                <w:color w:val="auto"/>
                <w:szCs w:val="21"/>
                <w:highlight w:val="none"/>
              </w:rPr>
              <w:t>响应</w:t>
            </w:r>
          </w:p>
          <w:p w14:paraId="3620D353">
            <w:pPr>
              <w:shd w:val="clear"/>
              <w:rPr>
                <w:rFonts w:hint="eastAsia" w:ascii="宋体" w:hAnsi="宋体" w:cs="宋体"/>
                <w:color w:val="auto"/>
                <w:szCs w:val="21"/>
                <w:highlight w:val="none"/>
              </w:rPr>
            </w:pPr>
            <w:r>
              <w:rPr>
                <w:rFonts w:hint="eastAsia" w:ascii="宋体" w:hAnsi="宋体" w:cs="宋体"/>
                <w:color w:val="auto"/>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21EA52F2">
            <w:pPr>
              <w:shd w:val="clear"/>
              <w:rPr>
                <w:rFonts w:hint="eastAsia" w:ascii="宋体" w:hAnsi="宋体" w:cs="宋体"/>
                <w:color w:val="auto"/>
                <w:szCs w:val="21"/>
                <w:highlight w:val="none"/>
              </w:rPr>
            </w:pPr>
            <w:r>
              <w:rPr>
                <w:rFonts w:hint="eastAsia" w:ascii="宋体" w:hAnsi="宋体" w:cs="宋体"/>
                <w:color w:val="auto"/>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5AA7C4">
            <w:pPr>
              <w:shd w:val="clear"/>
              <w:rPr>
                <w:rFonts w:hint="eastAsia" w:ascii="宋体" w:hAnsi="宋体" w:cs="宋体"/>
                <w:color w:val="auto"/>
                <w:szCs w:val="21"/>
                <w:highlight w:val="none"/>
              </w:rPr>
            </w:pPr>
            <w:r>
              <w:rPr>
                <w:rFonts w:hint="eastAsia" w:ascii="宋体" w:hAnsi="宋体" w:cs="宋体"/>
                <w:color w:val="auto"/>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371B4F88">
            <w:pPr>
              <w:shd w:val="clear"/>
              <w:rPr>
                <w:rFonts w:hint="eastAsia" w:ascii="宋体" w:hAnsi="宋体" w:cs="宋体"/>
                <w:color w:val="auto"/>
                <w:szCs w:val="21"/>
                <w:highlight w:val="none"/>
              </w:rPr>
            </w:pPr>
            <w:r>
              <w:rPr>
                <w:rFonts w:hint="eastAsia" w:ascii="宋体" w:hAnsi="宋体" w:cs="宋体"/>
                <w:color w:val="auto"/>
                <w:szCs w:val="21"/>
                <w:highlight w:val="none"/>
              </w:rPr>
              <w:t>专家</w:t>
            </w:r>
          </w:p>
          <w:p w14:paraId="5E1DE68F">
            <w:pPr>
              <w:shd w:val="clear"/>
              <w:rPr>
                <w:rFonts w:hint="eastAsia" w:ascii="宋体" w:hAnsi="宋体" w:cs="宋体"/>
                <w:color w:val="auto"/>
                <w:szCs w:val="21"/>
                <w:highlight w:val="none"/>
              </w:rPr>
            </w:pPr>
            <w:r>
              <w:rPr>
                <w:rFonts w:hint="eastAsia" w:ascii="宋体" w:hAnsi="宋体" w:cs="宋体"/>
                <w:color w:val="auto"/>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15D31EA">
            <w:pPr>
              <w:shd w:val="clear"/>
              <w:rPr>
                <w:rFonts w:hint="eastAsia" w:ascii="宋体" w:hAnsi="宋体" w:cs="宋体"/>
                <w:color w:val="auto"/>
                <w:szCs w:val="21"/>
                <w:highlight w:val="none"/>
              </w:rPr>
            </w:pPr>
            <w:r>
              <w:rPr>
                <w:rFonts w:hint="eastAsia" w:ascii="宋体" w:hAnsi="宋体" w:cs="宋体"/>
                <w:color w:val="auto"/>
                <w:szCs w:val="21"/>
                <w:highlight w:val="none"/>
              </w:rPr>
              <w:t>偏离</w:t>
            </w:r>
          </w:p>
          <w:p w14:paraId="2AD4B5B2">
            <w:pPr>
              <w:shd w:val="clear"/>
              <w:rPr>
                <w:rFonts w:hint="eastAsia" w:ascii="宋体" w:hAnsi="宋体" w:cs="宋体"/>
                <w:color w:val="auto"/>
                <w:szCs w:val="21"/>
                <w:highlight w:val="none"/>
              </w:rPr>
            </w:pPr>
            <w:r>
              <w:rPr>
                <w:rFonts w:hint="eastAsia" w:ascii="宋体" w:hAnsi="宋体" w:cs="宋体"/>
                <w:color w:val="auto"/>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0"/>
            <w:vAlign w:val="center"/>
          </w:tcPr>
          <w:p w14:paraId="3428A679">
            <w:pPr>
              <w:shd w:val="clear"/>
              <w:rPr>
                <w:rFonts w:hint="eastAsia" w:ascii="宋体" w:hAnsi="宋体" w:cs="宋体"/>
                <w:color w:val="auto"/>
                <w:szCs w:val="21"/>
                <w:highlight w:val="none"/>
              </w:rPr>
            </w:pPr>
            <w:r>
              <w:rPr>
                <w:rFonts w:hint="eastAsia" w:ascii="宋体" w:hAnsi="宋体" w:cs="宋体"/>
                <w:color w:val="auto"/>
                <w:szCs w:val="21"/>
                <w:highlight w:val="none"/>
              </w:rPr>
              <w:t>扣分</w:t>
            </w:r>
          </w:p>
          <w:p w14:paraId="3B43B60D">
            <w:pPr>
              <w:shd w:val="clear"/>
              <w:rPr>
                <w:rFonts w:hint="eastAsia" w:ascii="宋体" w:hAnsi="宋体" w:cs="宋体"/>
                <w:color w:val="auto"/>
                <w:szCs w:val="21"/>
                <w:highlight w:val="none"/>
              </w:rPr>
            </w:pPr>
            <w:r>
              <w:rPr>
                <w:rFonts w:hint="eastAsia" w:ascii="宋体" w:hAnsi="宋体" w:cs="宋体"/>
                <w:color w:val="auto"/>
                <w:szCs w:val="21"/>
                <w:highlight w:val="none"/>
              </w:rPr>
              <w:t>理由</w:t>
            </w:r>
          </w:p>
        </w:tc>
      </w:tr>
      <w:tr w14:paraId="38F7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208B81A8">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8089C9D">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345FF445">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9110359">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E52C433">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0EAF993">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68D7676D">
            <w:pPr>
              <w:shd w:val="clear"/>
              <w:ind w:firstLine="420" w:firstLineChars="200"/>
              <w:rPr>
                <w:rFonts w:hint="eastAsia" w:ascii="宋体" w:hAnsi="宋体" w:cs="宋体"/>
                <w:color w:val="auto"/>
                <w:szCs w:val="21"/>
                <w:highlight w:val="none"/>
              </w:rPr>
            </w:pPr>
          </w:p>
        </w:tc>
      </w:tr>
      <w:tr w14:paraId="7144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0"/>
            <w:vAlign w:val="center"/>
          </w:tcPr>
          <w:p w14:paraId="38FD892D">
            <w:pPr>
              <w:shd w:val="clear"/>
              <w:jc w:val="center"/>
              <w:rPr>
                <w:rFonts w:hint="eastAsia" w:ascii="宋体" w:hAnsi="宋体" w:cs="宋体"/>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2B5E5B5A">
            <w:pPr>
              <w:shd w:val="clear"/>
              <w:ind w:left="16" w:hanging="16"/>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4D3E8BC">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33E352D">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165E25D3">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6CA819A5">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C498D82">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32DD303">
            <w:pPr>
              <w:shd w:val="clear"/>
              <w:ind w:firstLine="420" w:firstLineChars="200"/>
              <w:rPr>
                <w:rFonts w:hint="eastAsia" w:ascii="宋体" w:hAnsi="宋体" w:cs="宋体"/>
                <w:color w:val="auto"/>
                <w:szCs w:val="21"/>
                <w:highlight w:val="none"/>
              </w:rPr>
            </w:pPr>
          </w:p>
        </w:tc>
      </w:tr>
      <w:tr w14:paraId="4F15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28" w:type="dxa"/>
            <w:vMerge w:val="continue"/>
            <w:tcBorders>
              <w:left w:val="single" w:color="auto" w:sz="4" w:space="0"/>
              <w:right w:val="single" w:color="auto" w:sz="4" w:space="0"/>
            </w:tcBorders>
            <w:noWrap w:val="0"/>
            <w:vAlign w:val="center"/>
          </w:tcPr>
          <w:p w14:paraId="17BC58F3">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BEDCE6C">
            <w:pPr>
              <w:shd w:val="clear"/>
              <w:adjustRightInd w:val="0"/>
              <w:spacing w:before="120" w:beforeLines="50" w:after="120" w:afterLines="50"/>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3902B17">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74056E32">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6C5B9F1D">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640832B0">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40A8494">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0"/>
            <w:vAlign w:val="center"/>
          </w:tcPr>
          <w:p w14:paraId="1340D4AE">
            <w:pPr>
              <w:shd w:val="clear"/>
              <w:ind w:firstLine="420" w:firstLineChars="200"/>
              <w:rPr>
                <w:rFonts w:hint="eastAsia" w:ascii="宋体" w:hAnsi="宋体" w:cs="宋体"/>
                <w:color w:val="auto"/>
                <w:szCs w:val="21"/>
                <w:highlight w:val="none"/>
              </w:rPr>
            </w:pPr>
          </w:p>
        </w:tc>
      </w:tr>
      <w:tr w14:paraId="0195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0"/>
            <w:vAlign w:val="center"/>
          </w:tcPr>
          <w:p w14:paraId="666845BD">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3EA07541">
            <w:pPr>
              <w:shd w:val="clear"/>
              <w:adjustRightInd w:val="0"/>
              <w:spacing w:before="120" w:beforeLines="50" w:after="120" w:afterLines="50"/>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6DE1D0C3">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62C3DC28">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027A34CC">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2BDDD3FF">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72530E95">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4C381C1D">
            <w:pPr>
              <w:shd w:val="clear"/>
              <w:ind w:firstLine="420" w:firstLineChars="200"/>
              <w:rPr>
                <w:rFonts w:hint="eastAsia" w:ascii="宋体" w:hAnsi="宋体" w:cs="宋体"/>
                <w:color w:val="auto"/>
                <w:szCs w:val="21"/>
                <w:highlight w:val="none"/>
              </w:rPr>
            </w:pPr>
          </w:p>
        </w:tc>
      </w:tr>
      <w:tr w14:paraId="175C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28" w:type="dxa"/>
            <w:vMerge w:val="restart"/>
            <w:tcBorders>
              <w:left w:val="single" w:color="auto" w:sz="4" w:space="0"/>
              <w:right w:val="single" w:color="auto" w:sz="4" w:space="0"/>
            </w:tcBorders>
            <w:noWrap w:val="0"/>
            <w:vAlign w:val="center"/>
          </w:tcPr>
          <w:p w14:paraId="73381942">
            <w:pPr>
              <w:shd w:val="clear"/>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46BB7129">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1D87B905">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11C05015">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4294093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6704359F">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3901CB8D">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7C9114C7">
            <w:pPr>
              <w:shd w:val="clear"/>
              <w:ind w:firstLine="420" w:firstLineChars="200"/>
              <w:rPr>
                <w:rFonts w:hint="eastAsia" w:ascii="宋体" w:hAnsi="宋体" w:cs="宋体"/>
                <w:color w:val="auto"/>
                <w:szCs w:val="21"/>
                <w:highlight w:val="none"/>
              </w:rPr>
            </w:pPr>
          </w:p>
        </w:tc>
      </w:tr>
      <w:tr w14:paraId="05CF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0"/>
            <w:vAlign w:val="center"/>
          </w:tcPr>
          <w:p w14:paraId="72D2E912">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394195FB">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74A31FD2">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2431B77C">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1582A96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40EE5656">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511FA595">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151FB38">
            <w:pPr>
              <w:shd w:val="clear"/>
              <w:ind w:firstLine="420" w:firstLineChars="200"/>
              <w:rPr>
                <w:rFonts w:hint="eastAsia" w:ascii="宋体" w:hAnsi="宋体" w:cs="宋体"/>
                <w:color w:val="auto"/>
                <w:szCs w:val="21"/>
                <w:highlight w:val="none"/>
              </w:rPr>
            </w:pPr>
          </w:p>
        </w:tc>
      </w:tr>
      <w:tr w14:paraId="7D47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0"/>
            <w:vAlign w:val="center"/>
          </w:tcPr>
          <w:p w14:paraId="7E365E7B">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55F51ED9">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6926872A">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0D0F94F1">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5397752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2D1CBEBD">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02DC0306">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51AF0B73">
            <w:pPr>
              <w:shd w:val="clear"/>
              <w:ind w:firstLine="420" w:firstLineChars="200"/>
              <w:rPr>
                <w:rFonts w:hint="eastAsia" w:ascii="宋体" w:hAnsi="宋体" w:cs="宋体"/>
                <w:color w:val="auto"/>
                <w:szCs w:val="21"/>
                <w:highlight w:val="none"/>
              </w:rPr>
            </w:pPr>
          </w:p>
        </w:tc>
      </w:tr>
      <w:tr w14:paraId="7E2B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0"/>
            <w:vAlign w:val="center"/>
          </w:tcPr>
          <w:p w14:paraId="42374ED2">
            <w:pPr>
              <w:shd w:val="clear"/>
              <w:ind w:firstLine="420" w:firstLineChars="200"/>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64C121BF">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7BAD3098">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13363B70">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31851CFF">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77713662">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140B1266">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6FDCF8C">
            <w:pPr>
              <w:shd w:val="clear"/>
              <w:ind w:firstLine="420" w:firstLineChars="200"/>
              <w:rPr>
                <w:rFonts w:hint="eastAsia" w:ascii="宋体" w:hAnsi="宋体" w:cs="宋体"/>
                <w:color w:val="auto"/>
                <w:szCs w:val="21"/>
                <w:highlight w:val="none"/>
              </w:rPr>
            </w:pPr>
          </w:p>
        </w:tc>
      </w:tr>
      <w:tr w14:paraId="37AF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0"/>
            <w:vAlign w:val="center"/>
          </w:tcPr>
          <w:p w14:paraId="47DE2CA9">
            <w:pPr>
              <w:shd w:val="clear"/>
              <w:jc w:val="center"/>
              <w:rPr>
                <w:rFonts w:hint="eastAsia" w:ascii="宋体" w:hAnsi="宋体" w:cs="宋体"/>
                <w:color w:val="auto"/>
                <w:szCs w:val="21"/>
                <w:highlight w:val="none"/>
              </w:rPr>
            </w:pPr>
          </w:p>
        </w:tc>
        <w:tc>
          <w:tcPr>
            <w:tcW w:w="3060" w:type="dxa"/>
            <w:tcBorders>
              <w:top w:val="single" w:color="auto" w:sz="4" w:space="0"/>
              <w:left w:val="single" w:color="auto" w:sz="4" w:space="0"/>
              <w:right w:val="single" w:color="auto" w:sz="4" w:space="0"/>
            </w:tcBorders>
            <w:noWrap w:val="0"/>
            <w:vAlign w:val="center"/>
          </w:tcPr>
          <w:p w14:paraId="29462BC4">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16C70B35">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2C66D2FC">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2FB66318">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01D93AEC">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59DC6133">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46B62B38">
            <w:pPr>
              <w:shd w:val="clear"/>
              <w:ind w:firstLine="420" w:firstLineChars="200"/>
              <w:rPr>
                <w:rFonts w:hint="eastAsia" w:ascii="宋体" w:hAnsi="宋体" w:cs="宋体"/>
                <w:color w:val="auto"/>
                <w:szCs w:val="21"/>
                <w:highlight w:val="none"/>
              </w:rPr>
            </w:pPr>
          </w:p>
        </w:tc>
      </w:tr>
      <w:tr w14:paraId="4108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8" w:type="dxa"/>
            <w:vMerge w:val="continue"/>
            <w:tcBorders>
              <w:left w:val="single" w:color="auto" w:sz="4" w:space="0"/>
              <w:right w:val="single" w:color="auto" w:sz="4" w:space="0"/>
            </w:tcBorders>
            <w:noWrap w:val="0"/>
            <w:vAlign w:val="center"/>
          </w:tcPr>
          <w:p w14:paraId="04C51C2B">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2F37B06C">
            <w:pPr>
              <w:shd w:val="clear"/>
              <w:adjustRightInd w:val="0"/>
              <w:spacing w:before="120" w:beforeLines="50" w:after="120" w:afterLines="50"/>
              <w:jc w:val="center"/>
              <w:textAlignment w:val="baseline"/>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6EB007B9">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098922E7">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3ACF0165">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0C1DC9B3">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2F5E6597">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27D7E5CE">
            <w:pPr>
              <w:shd w:val="clear"/>
              <w:ind w:firstLine="420" w:firstLineChars="200"/>
              <w:rPr>
                <w:rFonts w:hint="eastAsia" w:ascii="宋体" w:hAnsi="宋体" w:cs="宋体"/>
                <w:color w:val="auto"/>
                <w:szCs w:val="21"/>
                <w:highlight w:val="none"/>
              </w:rPr>
            </w:pPr>
          </w:p>
        </w:tc>
      </w:tr>
      <w:tr w14:paraId="5138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vMerge w:val="continue"/>
            <w:tcBorders>
              <w:left w:val="single" w:color="auto" w:sz="4" w:space="0"/>
              <w:right w:val="single" w:color="auto" w:sz="4" w:space="0"/>
            </w:tcBorders>
            <w:noWrap w:val="0"/>
            <w:vAlign w:val="center"/>
          </w:tcPr>
          <w:p w14:paraId="59E841D8">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2ED4FE94">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3EC18AE2">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61A76A87">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0B069913">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4C59CEDC">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3DEFE260">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0D1B0BB6">
            <w:pPr>
              <w:shd w:val="clear"/>
              <w:ind w:firstLine="420" w:firstLineChars="200"/>
              <w:rPr>
                <w:rFonts w:hint="eastAsia" w:ascii="宋体" w:hAnsi="宋体" w:cs="宋体"/>
                <w:color w:val="auto"/>
                <w:szCs w:val="21"/>
                <w:highlight w:val="none"/>
              </w:rPr>
            </w:pPr>
          </w:p>
        </w:tc>
      </w:tr>
      <w:tr w14:paraId="76D4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vMerge w:val="restart"/>
            <w:tcBorders>
              <w:left w:val="single" w:color="auto" w:sz="4" w:space="0"/>
              <w:right w:val="single" w:color="auto" w:sz="4" w:space="0"/>
            </w:tcBorders>
            <w:noWrap w:val="0"/>
            <w:vAlign w:val="center"/>
          </w:tcPr>
          <w:p w14:paraId="710A3857">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7CCAD595">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47F19795">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7D23CEC9">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1822CB5F">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5A37501B">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722E520D">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084AB7AA">
            <w:pPr>
              <w:shd w:val="clear"/>
              <w:ind w:firstLine="420" w:firstLineChars="200"/>
              <w:rPr>
                <w:rFonts w:hint="eastAsia" w:ascii="宋体" w:hAnsi="宋体" w:cs="宋体"/>
                <w:color w:val="auto"/>
                <w:szCs w:val="21"/>
                <w:highlight w:val="none"/>
              </w:rPr>
            </w:pPr>
          </w:p>
        </w:tc>
      </w:tr>
      <w:tr w14:paraId="6241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0"/>
            <w:vAlign w:val="center"/>
          </w:tcPr>
          <w:p w14:paraId="2D500B98">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0A6F96BB">
            <w:pPr>
              <w:shd w:val="clea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5B509A4D">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341801BF">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4E2C2F39">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57E96F69">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512661ED">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91D9EAC">
            <w:pPr>
              <w:shd w:val="clear"/>
              <w:ind w:firstLine="420" w:firstLineChars="200"/>
              <w:rPr>
                <w:rFonts w:hint="eastAsia" w:ascii="宋体" w:hAnsi="宋体" w:cs="宋体"/>
                <w:color w:val="auto"/>
                <w:szCs w:val="21"/>
                <w:highlight w:val="none"/>
              </w:rPr>
            </w:pPr>
          </w:p>
        </w:tc>
      </w:tr>
      <w:tr w14:paraId="626E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vMerge w:val="continue"/>
            <w:tcBorders>
              <w:left w:val="single" w:color="auto" w:sz="4" w:space="0"/>
              <w:right w:val="single" w:color="auto" w:sz="4" w:space="0"/>
            </w:tcBorders>
            <w:noWrap w:val="0"/>
            <w:vAlign w:val="center"/>
          </w:tcPr>
          <w:p w14:paraId="7E97641F">
            <w:pPr>
              <w:shd w:val="clear"/>
              <w:rPr>
                <w:rFonts w:hint="eastAsia" w:ascii="宋体" w:hAnsi="宋体" w:cs="宋体"/>
                <w:color w:val="auto"/>
                <w:kern w:val="0"/>
                <w:szCs w:val="21"/>
                <w:highlight w:val="none"/>
              </w:rPr>
            </w:pPr>
          </w:p>
        </w:tc>
        <w:tc>
          <w:tcPr>
            <w:tcW w:w="3060" w:type="dxa"/>
            <w:tcBorders>
              <w:top w:val="single" w:color="auto" w:sz="4" w:space="0"/>
              <w:left w:val="single" w:color="auto" w:sz="4" w:space="0"/>
              <w:right w:val="single" w:color="auto" w:sz="4" w:space="0"/>
            </w:tcBorders>
            <w:noWrap w:val="0"/>
            <w:vAlign w:val="center"/>
          </w:tcPr>
          <w:p w14:paraId="79F518D2">
            <w:pPr>
              <w:shd w:val="clear"/>
              <w:jc w:val="center"/>
              <w:rPr>
                <w:rFonts w:hint="eastAsia" w:ascii="宋体" w:hAnsi="宋体" w:cs="宋体"/>
                <w:color w:val="auto"/>
                <w:szCs w:val="21"/>
                <w:highlight w:val="none"/>
              </w:rPr>
            </w:pPr>
          </w:p>
        </w:tc>
        <w:tc>
          <w:tcPr>
            <w:tcW w:w="846" w:type="dxa"/>
            <w:tcBorders>
              <w:top w:val="single" w:color="auto" w:sz="4" w:space="0"/>
              <w:left w:val="single" w:color="auto" w:sz="4" w:space="0"/>
              <w:right w:val="single" w:color="auto" w:sz="4" w:space="0"/>
            </w:tcBorders>
            <w:noWrap w:val="0"/>
            <w:vAlign w:val="center"/>
          </w:tcPr>
          <w:p w14:paraId="334BDAA7">
            <w:pPr>
              <w:shd w:val="clear"/>
              <w:ind w:firstLine="420" w:firstLineChars="200"/>
              <w:rPr>
                <w:rFonts w:hint="eastAsia" w:ascii="宋体" w:hAnsi="宋体" w:cs="宋体"/>
                <w:color w:val="auto"/>
                <w:szCs w:val="21"/>
                <w:highlight w:val="none"/>
              </w:rPr>
            </w:pPr>
          </w:p>
        </w:tc>
        <w:tc>
          <w:tcPr>
            <w:tcW w:w="954" w:type="dxa"/>
            <w:tcBorders>
              <w:top w:val="single" w:color="auto" w:sz="4" w:space="0"/>
              <w:left w:val="single" w:color="auto" w:sz="4" w:space="0"/>
              <w:right w:val="single" w:color="auto" w:sz="4" w:space="0"/>
            </w:tcBorders>
            <w:noWrap w:val="0"/>
            <w:vAlign w:val="center"/>
          </w:tcPr>
          <w:p w14:paraId="75EE1B36">
            <w:pPr>
              <w:shd w:val="clear"/>
              <w:ind w:firstLine="420" w:firstLineChars="200"/>
              <w:rPr>
                <w:rFonts w:hint="eastAsia" w:ascii="宋体" w:hAnsi="宋体" w:cs="宋体"/>
                <w:color w:val="auto"/>
                <w:szCs w:val="21"/>
                <w:highlight w:val="none"/>
              </w:rPr>
            </w:pPr>
          </w:p>
        </w:tc>
        <w:tc>
          <w:tcPr>
            <w:tcW w:w="816" w:type="dxa"/>
            <w:tcBorders>
              <w:top w:val="single" w:color="auto" w:sz="4" w:space="0"/>
              <w:left w:val="single" w:color="auto" w:sz="4" w:space="0"/>
              <w:right w:val="single" w:color="auto" w:sz="4" w:space="0"/>
            </w:tcBorders>
            <w:noWrap w:val="0"/>
            <w:vAlign w:val="center"/>
          </w:tcPr>
          <w:p w14:paraId="389707FB">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right w:val="single" w:color="auto" w:sz="4" w:space="0"/>
            </w:tcBorders>
            <w:noWrap w:val="0"/>
            <w:vAlign w:val="center"/>
          </w:tcPr>
          <w:p w14:paraId="453DA2A2">
            <w:pPr>
              <w:shd w:val="clear"/>
              <w:ind w:firstLine="420" w:firstLineChars="200"/>
              <w:rPr>
                <w:rFonts w:hint="eastAsia" w:ascii="宋体" w:hAnsi="宋体" w:cs="宋体"/>
                <w:color w:val="auto"/>
                <w:szCs w:val="21"/>
                <w:highlight w:val="none"/>
              </w:rPr>
            </w:pPr>
          </w:p>
        </w:tc>
        <w:tc>
          <w:tcPr>
            <w:tcW w:w="900" w:type="dxa"/>
            <w:tcBorders>
              <w:top w:val="single" w:color="auto" w:sz="4" w:space="0"/>
              <w:left w:val="single" w:color="auto" w:sz="4" w:space="0"/>
              <w:right w:val="single" w:color="auto" w:sz="4" w:space="0"/>
            </w:tcBorders>
            <w:noWrap w:val="0"/>
            <w:vAlign w:val="center"/>
          </w:tcPr>
          <w:p w14:paraId="101B8208">
            <w:pPr>
              <w:shd w:val="clear"/>
              <w:ind w:firstLine="420" w:firstLineChars="200"/>
              <w:rPr>
                <w:rFonts w:hint="eastAsia" w:ascii="宋体" w:hAnsi="宋体" w:cs="宋体"/>
                <w:color w:val="auto"/>
                <w:szCs w:val="21"/>
                <w:highlight w:val="none"/>
              </w:rPr>
            </w:pPr>
          </w:p>
        </w:tc>
        <w:tc>
          <w:tcPr>
            <w:tcW w:w="926" w:type="dxa"/>
            <w:tcBorders>
              <w:top w:val="single" w:color="auto" w:sz="4" w:space="0"/>
              <w:left w:val="single" w:color="auto" w:sz="4" w:space="0"/>
              <w:right w:val="single" w:color="auto" w:sz="4" w:space="0"/>
            </w:tcBorders>
            <w:noWrap w:val="0"/>
            <w:vAlign w:val="center"/>
          </w:tcPr>
          <w:p w14:paraId="6BC93DE7">
            <w:pPr>
              <w:shd w:val="clear"/>
              <w:ind w:firstLine="420" w:firstLineChars="200"/>
              <w:rPr>
                <w:rFonts w:hint="eastAsia" w:ascii="宋体" w:hAnsi="宋体" w:cs="宋体"/>
                <w:color w:val="auto"/>
                <w:szCs w:val="21"/>
                <w:highlight w:val="none"/>
              </w:rPr>
            </w:pPr>
          </w:p>
        </w:tc>
      </w:tr>
      <w:tr w14:paraId="1971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756106CC">
            <w:pPr>
              <w:shd w:val="clea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49EC1E8">
            <w:pPr>
              <w:shd w:val="clear"/>
              <w:ind w:firstLine="420" w:firstLineChars="200"/>
              <w:rPr>
                <w:rFonts w:hint="eastAsia" w:ascii="宋体" w:hAnsi="宋体" w:cs="宋体"/>
                <w:color w:val="auto"/>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12C87AAB">
            <w:pPr>
              <w:shd w:val="clear"/>
              <w:ind w:firstLine="420" w:firstLineChars="200"/>
              <w:rPr>
                <w:rFonts w:hint="eastAsia" w:ascii="宋体" w:hAnsi="宋体" w:cs="宋体"/>
                <w:color w:val="auto"/>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0"/>
            <w:vAlign w:val="center"/>
          </w:tcPr>
          <w:p w14:paraId="26D34BD3">
            <w:pPr>
              <w:shd w:val="clear"/>
              <w:ind w:firstLine="420" w:firstLineChars="200"/>
              <w:rPr>
                <w:rFonts w:hint="eastAsia" w:ascii="宋体" w:hAnsi="宋体" w:cs="宋体"/>
                <w:color w:val="auto"/>
                <w:szCs w:val="21"/>
                <w:highlight w:val="none"/>
              </w:rPr>
            </w:pPr>
          </w:p>
        </w:tc>
      </w:tr>
      <w:bookmarkEnd w:id="211"/>
      <w:bookmarkEnd w:id="212"/>
    </w:tbl>
    <w:p w14:paraId="3BE0D6B9">
      <w:pPr>
        <w:shd w:val="clear"/>
        <w:snapToGrid w:val="0"/>
        <w:spacing w:before="50" w:after="50"/>
        <w:ind w:right="-817" w:rightChars="-389"/>
        <w:rPr>
          <w:rFonts w:hint="eastAsia" w:ascii="宋体" w:hAnsi="宋体" w:cs="宋体"/>
          <w:color w:val="auto"/>
          <w:highlight w:val="none"/>
        </w:rPr>
      </w:pPr>
    </w:p>
    <w:p w14:paraId="5BB9E61E">
      <w:pPr>
        <w:shd w:val="clear"/>
        <w:adjustRightInd w:val="0"/>
        <w:snapToGrid w:val="0"/>
        <w:spacing w:line="360" w:lineRule="auto"/>
        <w:ind w:firstLine="482" w:firstLineChars="200"/>
        <w:jc w:val="left"/>
        <w:rPr>
          <w:rFonts w:hint="default"/>
          <w:highlight w:val="none"/>
          <w:lang w:val="en-US" w:eastAsia="zh-CN"/>
        </w:rPr>
      </w:pPr>
      <w:r>
        <w:rPr>
          <w:rFonts w:hint="eastAsia" w:ascii="宋体" w:hAnsi="宋体" w:cs="宋体"/>
          <w:b/>
          <w:bCs/>
          <w:i/>
          <w:iCs/>
          <w:color w:val="auto"/>
          <w:sz w:val="24"/>
          <w:highlight w:val="none"/>
        </w:rPr>
        <w:t>招标文件无格式但需要提供的资料或者影响投标人得分以及资格认定的资料请投标人另行自拟添加</w:t>
      </w:r>
    </w:p>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676D">
    <w:pPr>
      <w:pStyle w:val="21"/>
      <w:pBdr>
        <w:top w:val="single" w:color="auto" w:sz="4" w:space="1"/>
      </w:pBdr>
      <w:ind w:right="360"/>
      <w:jc w:val="both"/>
      <w:rPr>
        <w:rFonts w:hint="eastAsia" w:eastAsia="宋体"/>
        <w:i/>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F2A34A">
                          <w:pPr>
                            <w:pStyle w:val="21"/>
                            <w:rPr>
                              <w:rStyle w:val="40"/>
                            </w:rPr>
                          </w:pPr>
                          <w:r>
                            <w:fldChar w:fldCharType="begin"/>
                          </w:r>
                          <w:r>
                            <w:rPr>
                              <w:rStyle w:val="40"/>
                            </w:rPr>
                            <w:instrText xml:space="preserve">PAGE  </w:instrText>
                          </w:r>
                          <w:r>
                            <w:fldChar w:fldCharType="separate"/>
                          </w:r>
                          <w:r>
                            <w:rPr>
                              <w:rStyle w:val="40"/>
                            </w:rPr>
                            <w:t>54</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14:paraId="6AF2A34A">
                    <w:pPr>
                      <w:pStyle w:val="21"/>
                      <w:rPr>
                        <w:rStyle w:val="40"/>
                      </w:rPr>
                    </w:pPr>
                    <w:r>
                      <w:fldChar w:fldCharType="begin"/>
                    </w:r>
                    <w:r>
                      <w:rPr>
                        <w:rStyle w:val="40"/>
                      </w:rPr>
                      <w:instrText xml:space="preserve">PAGE  </w:instrText>
                    </w:r>
                    <w:r>
                      <w:fldChar w:fldCharType="separate"/>
                    </w:r>
                    <w:r>
                      <w:rPr>
                        <w:rStyle w:val="40"/>
                      </w:rPr>
                      <w:t>54</w:t>
                    </w:r>
                    <w:r>
                      <w:fldChar w:fldCharType="end"/>
                    </w:r>
                  </w:p>
                </w:txbxContent>
              </v:textbox>
            </v:shape>
          </w:pict>
        </mc:Fallback>
      </mc:AlternateContent>
    </w:r>
    <w:r>
      <w:rPr>
        <w:rFonts w:hint="eastAsia"/>
        <w:i/>
        <w:lang w:eastAsia="zh-CN"/>
      </w:rPr>
      <w:t>湖州盛远招标代理有限公司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F9FC">
    <w:pPr>
      <w:pStyle w:val="21"/>
      <w:framePr w:wrap="around" w:vAnchor="text" w:hAnchor="margin" w:xAlign="right" w:y="1"/>
      <w:rPr>
        <w:rStyle w:val="40"/>
      </w:rPr>
    </w:pPr>
    <w:r>
      <w:fldChar w:fldCharType="begin"/>
    </w:r>
    <w:r>
      <w:rPr>
        <w:rStyle w:val="40"/>
      </w:rPr>
      <w:instrText xml:space="preserve">PAGE  </w:instrText>
    </w:r>
    <w:r>
      <w:fldChar w:fldCharType="separate"/>
    </w:r>
    <w:r>
      <w:fldChar w:fldCharType="end"/>
    </w:r>
  </w:p>
  <w:p w14:paraId="5568B753">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D5A17">
    <w:pPr>
      <w:pStyle w:val="23"/>
      <w:pBdr>
        <w:bottom w:val="none" w:color="auto" w:sz="0" w:space="1"/>
      </w:pBdr>
      <w:jc w:val="right"/>
      <w:rPr>
        <w:rFonts w:hint="default" w:eastAsia="宋体"/>
        <w:i/>
        <w:iCs/>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7306">
    <w:pPr>
      <w:pStyle w:val="23"/>
      <w:jc w:val="right"/>
      <w:rPr>
        <w:rFonts w:hint="eastAsia"/>
      </w:rPr>
    </w:pPr>
    <w:r>
      <w:rPr>
        <w:rFonts w:hint="eastAsia"/>
        <w:lang w:val="en-US" w:eastAsia="zh-CN"/>
      </w:rPr>
      <w:t xml:space="preserve">                        </w:t>
    </w:r>
    <w:r>
      <w:rPr>
        <w:rFonts w:hint="eastAsia"/>
        <w:i/>
        <w:iCs/>
        <w:lang w:eastAsia="zh-CN"/>
      </w:rPr>
      <w:t>2024年度第二批未来社区创建实施方案编制服务采购项目</w:t>
    </w:r>
    <w:r>
      <w:rPr>
        <w:rFonts w:hint="eastAsia"/>
        <w:i/>
        <w:iCs/>
        <w:lang w:val="en-US" w:eastAsia="zh-CN"/>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rPr>
        <w:rFonts w:ascii="宋体" w:hAnsi="宋体" w:eastAsia="宋体"/>
      </w:r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35D8231"/>
    <w:multiLevelType w:val="singleLevel"/>
    <w:tmpl w:val="135D8231"/>
    <w:lvl w:ilvl="0" w:tentative="0">
      <w:start w:val="1"/>
      <w:numFmt w:val="chineseCounting"/>
      <w:suff w:val="nothing"/>
      <w:lvlText w:val="（%1）"/>
      <w:lvlJc w:val="left"/>
      <w:pPr>
        <w:ind w:left="0" w:firstLine="420"/>
      </w:pPr>
      <w:rPr>
        <w:rFonts w:hint="eastAsia"/>
      </w:rPr>
    </w:lvl>
  </w:abstractNum>
  <w:abstractNum w:abstractNumId="3">
    <w:nsid w:val="15A44B75"/>
    <w:multiLevelType w:val="singleLevel"/>
    <w:tmpl w:val="15A44B75"/>
    <w:lvl w:ilvl="0" w:tentative="0">
      <w:start w:val="2"/>
      <w:numFmt w:val="chineseCounting"/>
      <w:suff w:val="nothing"/>
      <w:lvlText w:val="（%1）"/>
      <w:lvlJc w:val="left"/>
      <w:rPr>
        <w:rFonts w:hint="eastAsia"/>
      </w:rPr>
    </w:lvl>
  </w:abstractNum>
  <w:abstractNum w:abstractNumId="4">
    <w:nsid w:val="39D9AAFC"/>
    <w:multiLevelType w:val="multilevel"/>
    <w:tmpl w:val="39D9AAF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D7508F"/>
    <w:multiLevelType w:val="singleLevel"/>
    <w:tmpl w:val="59D7508F"/>
    <w:lvl w:ilvl="0" w:tentative="0">
      <w:start w:val="1"/>
      <w:numFmt w:val="chineseCounting"/>
      <w:suff w:val="nothing"/>
      <w:lvlText w:val="（%1）"/>
      <w:lvlJc w:val="left"/>
    </w:lvl>
  </w:abstractNum>
  <w:abstractNum w:abstractNumId="6">
    <w:nsid w:val="59D83E1D"/>
    <w:multiLevelType w:val="singleLevel"/>
    <w:tmpl w:val="59D83E1D"/>
    <w:lvl w:ilvl="0" w:tentative="0">
      <w:start w:val="1"/>
      <w:numFmt w:val="decimal"/>
      <w:suff w:val="nothing"/>
      <w:lvlText w:val="%1、"/>
      <w:lvlJc w:val="left"/>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mE0OWRkZGEzYzg2ZDkzMTI2OTQ0M2IxMmY2MWUifQ=="/>
  </w:docVars>
  <w:rsids>
    <w:rsidRoot w:val="00454DFB"/>
    <w:rsid w:val="00003F5D"/>
    <w:rsid w:val="000112D2"/>
    <w:rsid w:val="00011DA8"/>
    <w:rsid w:val="000122A5"/>
    <w:rsid w:val="00012D74"/>
    <w:rsid w:val="0001398D"/>
    <w:rsid w:val="000167D7"/>
    <w:rsid w:val="00016A12"/>
    <w:rsid w:val="00016AB6"/>
    <w:rsid w:val="0001789A"/>
    <w:rsid w:val="00022722"/>
    <w:rsid w:val="00022CF5"/>
    <w:rsid w:val="0002548B"/>
    <w:rsid w:val="000277F4"/>
    <w:rsid w:val="00031520"/>
    <w:rsid w:val="0003263C"/>
    <w:rsid w:val="000337E4"/>
    <w:rsid w:val="000340DE"/>
    <w:rsid w:val="0003428E"/>
    <w:rsid w:val="00034EBB"/>
    <w:rsid w:val="0004164E"/>
    <w:rsid w:val="00042FA1"/>
    <w:rsid w:val="000433DF"/>
    <w:rsid w:val="000434FF"/>
    <w:rsid w:val="00043718"/>
    <w:rsid w:val="0004403E"/>
    <w:rsid w:val="0004540F"/>
    <w:rsid w:val="0005069A"/>
    <w:rsid w:val="00056385"/>
    <w:rsid w:val="00057520"/>
    <w:rsid w:val="000603B0"/>
    <w:rsid w:val="00061878"/>
    <w:rsid w:val="000619C7"/>
    <w:rsid w:val="000735B4"/>
    <w:rsid w:val="000807FB"/>
    <w:rsid w:val="0008082E"/>
    <w:rsid w:val="00081789"/>
    <w:rsid w:val="00081F3C"/>
    <w:rsid w:val="00082FAE"/>
    <w:rsid w:val="00084809"/>
    <w:rsid w:val="00084E5F"/>
    <w:rsid w:val="00085CE0"/>
    <w:rsid w:val="0009024E"/>
    <w:rsid w:val="000906B0"/>
    <w:rsid w:val="00091812"/>
    <w:rsid w:val="00091973"/>
    <w:rsid w:val="00093DA8"/>
    <w:rsid w:val="00095D37"/>
    <w:rsid w:val="00096140"/>
    <w:rsid w:val="00096AC3"/>
    <w:rsid w:val="00097AD6"/>
    <w:rsid w:val="000A2126"/>
    <w:rsid w:val="000A34F0"/>
    <w:rsid w:val="000A5237"/>
    <w:rsid w:val="000A66CD"/>
    <w:rsid w:val="000A7C44"/>
    <w:rsid w:val="000B2082"/>
    <w:rsid w:val="000B692C"/>
    <w:rsid w:val="000C048A"/>
    <w:rsid w:val="000C23B6"/>
    <w:rsid w:val="000C24BD"/>
    <w:rsid w:val="000C50FB"/>
    <w:rsid w:val="000C72A6"/>
    <w:rsid w:val="000C753D"/>
    <w:rsid w:val="000D01A0"/>
    <w:rsid w:val="000D46E3"/>
    <w:rsid w:val="000D4700"/>
    <w:rsid w:val="000D6BC0"/>
    <w:rsid w:val="000E1160"/>
    <w:rsid w:val="000E43B3"/>
    <w:rsid w:val="000E72EE"/>
    <w:rsid w:val="000F375B"/>
    <w:rsid w:val="000F70A3"/>
    <w:rsid w:val="00104108"/>
    <w:rsid w:val="00106596"/>
    <w:rsid w:val="0011072F"/>
    <w:rsid w:val="00110EED"/>
    <w:rsid w:val="00111090"/>
    <w:rsid w:val="00112DA4"/>
    <w:rsid w:val="0012246A"/>
    <w:rsid w:val="00126C7B"/>
    <w:rsid w:val="00132B89"/>
    <w:rsid w:val="00137D1D"/>
    <w:rsid w:val="001409D0"/>
    <w:rsid w:val="00141ABE"/>
    <w:rsid w:val="00142522"/>
    <w:rsid w:val="00143E7C"/>
    <w:rsid w:val="001443F1"/>
    <w:rsid w:val="00144DD6"/>
    <w:rsid w:val="00146A04"/>
    <w:rsid w:val="001471FA"/>
    <w:rsid w:val="00151137"/>
    <w:rsid w:val="00152A68"/>
    <w:rsid w:val="001539B0"/>
    <w:rsid w:val="00154F97"/>
    <w:rsid w:val="001573BA"/>
    <w:rsid w:val="00157932"/>
    <w:rsid w:val="00157B02"/>
    <w:rsid w:val="00160830"/>
    <w:rsid w:val="00162CFC"/>
    <w:rsid w:val="00164839"/>
    <w:rsid w:val="00165921"/>
    <w:rsid w:val="00165FB2"/>
    <w:rsid w:val="001667FF"/>
    <w:rsid w:val="00174D1A"/>
    <w:rsid w:val="001756C5"/>
    <w:rsid w:val="00175A7B"/>
    <w:rsid w:val="00175BBF"/>
    <w:rsid w:val="001764EA"/>
    <w:rsid w:val="0017767B"/>
    <w:rsid w:val="00180631"/>
    <w:rsid w:val="001816BE"/>
    <w:rsid w:val="00182D9F"/>
    <w:rsid w:val="00185F28"/>
    <w:rsid w:val="001879E2"/>
    <w:rsid w:val="00190614"/>
    <w:rsid w:val="00191532"/>
    <w:rsid w:val="001915B1"/>
    <w:rsid w:val="001917F9"/>
    <w:rsid w:val="00192CF8"/>
    <w:rsid w:val="001A2711"/>
    <w:rsid w:val="001A5670"/>
    <w:rsid w:val="001B0455"/>
    <w:rsid w:val="001B10B8"/>
    <w:rsid w:val="001B1C63"/>
    <w:rsid w:val="001B3011"/>
    <w:rsid w:val="001B5328"/>
    <w:rsid w:val="001C1C6A"/>
    <w:rsid w:val="001C1E55"/>
    <w:rsid w:val="001C2B93"/>
    <w:rsid w:val="001C39EC"/>
    <w:rsid w:val="001C5413"/>
    <w:rsid w:val="001D271D"/>
    <w:rsid w:val="001D3418"/>
    <w:rsid w:val="001D353D"/>
    <w:rsid w:val="001D5E26"/>
    <w:rsid w:val="001D79FC"/>
    <w:rsid w:val="001E02EA"/>
    <w:rsid w:val="001E26C8"/>
    <w:rsid w:val="001E4D6B"/>
    <w:rsid w:val="001E4F91"/>
    <w:rsid w:val="001E514C"/>
    <w:rsid w:val="001E64AC"/>
    <w:rsid w:val="001E6B19"/>
    <w:rsid w:val="001F1137"/>
    <w:rsid w:val="001F3B19"/>
    <w:rsid w:val="001F50DA"/>
    <w:rsid w:val="001F52F0"/>
    <w:rsid w:val="00201690"/>
    <w:rsid w:val="00201F22"/>
    <w:rsid w:val="00206B2E"/>
    <w:rsid w:val="00207516"/>
    <w:rsid w:val="00207A62"/>
    <w:rsid w:val="0021133F"/>
    <w:rsid w:val="00211568"/>
    <w:rsid w:val="002160A9"/>
    <w:rsid w:val="00216BC4"/>
    <w:rsid w:val="00216CE6"/>
    <w:rsid w:val="00220A12"/>
    <w:rsid w:val="00222200"/>
    <w:rsid w:val="002228D1"/>
    <w:rsid w:val="00224D9F"/>
    <w:rsid w:val="00226D94"/>
    <w:rsid w:val="00230148"/>
    <w:rsid w:val="00230173"/>
    <w:rsid w:val="002327AD"/>
    <w:rsid w:val="002357E5"/>
    <w:rsid w:val="002375D2"/>
    <w:rsid w:val="0024607E"/>
    <w:rsid w:val="00247B69"/>
    <w:rsid w:val="00250EC8"/>
    <w:rsid w:val="00251C0B"/>
    <w:rsid w:val="00253D71"/>
    <w:rsid w:val="002566A5"/>
    <w:rsid w:val="00261275"/>
    <w:rsid w:val="00264938"/>
    <w:rsid w:val="002657AD"/>
    <w:rsid w:val="00267348"/>
    <w:rsid w:val="002673DA"/>
    <w:rsid w:val="00267D39"/>
    <w:rsid w:val="00267EB2"/>
    <w:rsid w:val="00272A90"/>
    <w:rsid w:val="00273A61"/>
    <w:rsid w:val="00275F1D"/>
    <w:rsid w:val="00281A80"/>
    <w:rsid w:val="0028494C"/>
    <w:rsid w:val="00284C4D"/>
    <w:rsid w:val="00284F58"/>
    <w:rsid w:val="00285F02"/>
    <w:rsid w:val="002862C8"/>
    <w:rsid w:val="00287FBF"/>
    <w:rsid w:val="002918B7"/>
    <w:rsid w:val="002A28DD"/>
    <w:rsid w:val="002A5D2E"/>
    <w:rsid w:val="002A67A5"/>
    <w:rsid w:val="002A6857"/>
    <w:rsid w:val="002A7FFE"/>
    <w:rsid w:val="002B1A8F"/>
    <w:rsid w:val="002B5F1C"/>
    <w:rsid w:val="002B6CE5"/>
    <w:rsid w:val="002C3FDC"/>
    <w:rsid w:val="002C4E51"/>
    <w:rsid w:val="002C5B07"/>
    <w:rsid w:val="002C7A0D"/>
    <w:rsid w:val="002D1D25"/>
    <w:rsid w:val="002D2228"/>
    <w:rsid w:val="002D2712"/>
    <w:rsid w:val="002D3A62"/>
    <w:rsid w:val="002D6360"/>
    <w:rsid w:val="002D669D"/>
    <w:rsid w:val="002D6DE4"/>
    <w:rsid w:val="002E1CD4"/>
    <w:rsid w:val="002E7C84"/>
    <w:rsid w:val="002F1355"/>
    <w:rsid w:val="002F19C5"/>
    <w:rsid w:val="002F460E"/>
    <w:rsid w:val="002F63B5"/>
    <w:rsid w:val="00301217"/>
    <w:rsid w:val="0030400E"/>
    <w:rsid w:val="00310DA4"/>
    <w:rsid w:val="003150AA"/>
    <w:rsid w:val="0031622F"/>
    <w:rsid w:val="0031690E"/>
    <w:rsid w:val="003177CB"/>
    <w:rsid w:val="00317DD6"/>
    <w:rsid w:val="0032120B"/>
    <w:rsid w:val="00322338"/>
    <w:rsid w:val="0032288B"/>
    <w:rsid w:val="00323AE1"/>
    <w:rsid w:val="00324EF4"/>
    <w:rsid w:val="0032608A"/>
    <w:rsid w:val="00327347"/>
    <w:rsid w:val="00330422"/>
    <w:rsid w:val="00333478"/>
    <w:rsid w:val="00333D81"/>
    <w:rsid w:val="00337344"/>
    <w:rsid w:val="003426B7"/>
    <w:rsid w:val="0034583C"/>
    <w:rsid w:val="0035231A"/>
    <w:rsid w:val="003541CE"/>
    <w:rsid w:val="0035467E"/>
    <w:rsid w:val="003549D1"/>
    <w:rsid w:val="003556F9"/>
    <w:rsid w:val="00355E24"/>
    <w:rsid w:val="00356321"/>
    <w:rsid w:val="0035782B"/>
    <w:rsid w:val="003622F7"/>
    <w:rsid w:val="00363229"/>
    <w:rsid w:val="00370C8F"/>
    <w:rsid w:val="00371DAF"/>
    <w:rsid w:val="0037576B"/>
    <w:rsid w:val="00376841"/>
    <w:rsid w:val="00380347"/>
    <w:rsid w:val="00383EA9"/>
    <w:rsid w:val="00383FB7"/>
    <w:rsid w:val="0038571F"/>
    <w:rsid w:val="00390468"/>
    <w:rsid w:val="00396070"/>
    <w:rsid w:val="003A0198"/>
    <w:rsid w:val="003A092F"/>
    <w:rsid w:val="003A0FE8"/>
    <w:rsid w:val="003A1D86"/>
    <w:rsid w:val="003A33CD"/>
    <w:rsid w:val="003A5799"/>
    <w:rsid w:val="003A643C"/>
    <w:rsid w:val="003A74B5"/>
    <w:rsid w:val="003B050A"/>
    <w:rsid w:val="003B15D9"/>
    <w:rsid w:val="003B1FD8"/>
    <w:rsid w:val="003B2FFE"/>
    <w:rsid w:val="003B3D50"/>
    <w:rsid w:val="003C011D"/>
    <w:rsid w:val="003C532D"/>
    <w:rsid w:val="003C71AD"/>
    <w:rsid w:val="003C75EC"/>
    <w:rsid w:val="003D075B"/>
    <w:rsid w:val="003D17BD"/>
    <w:rsid w:val="003D21E3"/>
    <w:rsid w:val="003E1BD1"/>
    <w:rsid w:val="003E261D"/>
    <w:rsid w:val="003E46AD"/>
    <w:rsid w:val="003F097E"/>
    <w:rsid w:val="003F1DAE"/>
    <w:rsid w:val="00403AAD"/>
    <w:rsid w:val="00403FE4"/>
    <w:rsid w:val="00404499"/>
    <w:rsid w:val="00407135"/>
    <w:rsid w:val="004077E7"/>
    <w:rsid w:val="00407992"/>
    <w:rsid w:val="00412EC6"/>
    <w:rsid w:val="00420D7A"/>
    <w:rsid w:val="00430600"/>
    <w:rsid w:val="004323B4"/>
    <w:rsid w:val="00432F3C"/>
    <w:rsid w:val="00434B15"/>
    <w:rsid w:val="004372FD"/>
    <w:rsid w:val="00440BC5"/>
    <w:rsid w:val="0044381E"/>
    <w:rsid w:val="004443CC"/>
    <w:rsid w:val="00445DC0"/>
    <w:rsid w:val="00446877"/>
    <w:rsid w:val="00446C4B"/>
    <w:rsid w:val="00450F8E"/>
    <w:rsid w:val="0045130C"/>
    <w:rsid w:val="00451A86"/>
    <w:rsid w:val="00452E22"/>
    <w:rsid w:val="0045480B"/>
    <w:rsid w:val="00454DFB"/>
    <w:rsid w:val="004579AE"/>
    <w:rsid w:val="00460AC0"/>
    <w:rsid w:val="00464B00"/>
    <w:rsid w:val="00466734"/>
    <w:rsid w:val="004715FF"/>
    <w:rsid w:val="00472C46"/>
    <w:rsid w:val="004760C1"/>
    <w:rsid w:val="00476EF8"/>
    <w:rsid w:val="00477094"/>
    <w:rsid w:val="00477F59"/>
    <w:rsid w:val="00481184"/>
    <w:rsid w:val="0048187A"/>
    <w:rsid w:val="00482CC2"/>
    <w:rsid w:val="0048376B"/>
    <w:rsid w:val="00483EF6"/>
    <w:rsid w:val="00484CAC"/>
    <w:rsid w:val="004864C4"/>
    <w:rsid w:val="00486D0B"/>
    <w:rsid w:val="004873EF"/>
    <w:rsid w:val="00490281"/>
    <w:rsid w:val="00492DE3"/>
    <w:rsid w:val="00494A7E"/>
    <w:rsid w:val="00495E54"/>
    <w:rsid w:val="004972F8"/>
    <w:rsid w:val="00497A5A"/>
    <w:rsid w:val="004A04DE"/>
    <w:rsid w:val="004A0F59"/>
    <w:rsid w:val="004A29DF"/>
    <w:rsid w:val="004A5811"/>
    <w:rsid w:val="004B4DFB"/>
    <w:rsid w:val="004B79B4"/>
    <w:rsid w:val="004C365A"/>
    <w:rsid w:val="004C449C"/>
    <w:rsid w:val="004C4EF1"/>
    <w:rsid w:val="004C5D50"/>
    <w:rsid w:val="004C6022"/>
    <w:rsid w:val="004D42A5"/>
    <w:rsid w:val="004D6190"/>
    <w:rsid w:val="004E01B1"/>
    <w:rsid w:val="004E2567"/>
    <w:rsid w:val="004E3477"/>
    <w:rsid w:val="004E415B"/>
    <w:rsid w:val="004E540D"/>
    <w:rsid w:val="004E57AC"/>
    <w:rsid w:val="004E5D33"/>
    <w:rsid w:val="004F0C8F"/>
    <w:rsid w:val="004F2BCE"/>
    <w:rsid w:val="004F4EE5"/>
    <w:rsid w:val="004F7133"/>
    <w:rsid w:val="005028E0"/>
    <w:rsid w:val="00504E66"/>
    <w:rsid w:val="00506EEE"/>
    <w:rsid w:val="005101FA"/>
    <w:rsid w:val="00510B1A"/>
    <w:rsid w:val="00512D74"/>
    <w:rsid w:val="00513D27"/>
    <w:rsid w:val="005150D4"/>
    <w:rsid w:val="005173F9"/>
    <w:rsid w:val="00520106"/>
    <w:rsid w:val="00522148"/>
    <w:rsid w:val="005227D4"/>
    <w:rsid w:val="00524E7A"/>
    <w:rsid w:val="00524FAF"/>
    <w:rsid w:val="00526603"/>
    <w:rsid w:val="00530ECC"/>
    <w:rsid w:val="005328D7"/>
    <w:rsid w:val="005338D7"/>
    <w:rsid w:val="005340BD"/>
    <w:rsid w:val="005353BD"/>
    <w:rsid w:val="0054453B"/>
    <w:rsid w:val="00544543"/>
    <w:rsid w:val="00544848"/>
    <w:rsid w:val="005451BB"/>
    <w:rsid w:val="00546DA2"/>
    <w:rsid w:val="00550891"/>
    <w:rsid w:val="00554299"/>
    <w:rsid w:val="005545A7"/>
    <w:rsid w:val="005569C2"/>
    <w:rsid w:val="00557164"/>
    <w:rsid w:val="00557D62"/>
    <w:rsid w:val="00557F5E"/>
    <w:rsid w:val="00560A96"/>
    <w:rsid w:val="00560E7C"/>
    <w:rsid w:val="00562A16"/>
    <w:rsid w:val="00563EA6"/>
    <w:rsid w:val="005658D9"/>
    <w:rsid w:val="0056647E"/>
    <w:rsid w:val="005669A5"/>
    <w:rsid w:val="00566FAE"/>
    <w:rsid w:val="00567924"/>
    <w:rsid w:val="00570343"/>
    <w:rsid w:val="00570EC1"/>
    <w:rsid w:val="00572C48"/>
    <w:rsid w:val="0057386D"/>
    <w:rsid w:val="00576BFD"/>
    <w:rsid w:val="00577455"/>
    <w:rsid w:val="00581646"/>
    <w:rsid w:val="00581CD3"/>
    <w:rsid w:val="0058318E"/>
    <w:rsid w:val="00586433"/>
    <w:rsid w:val="005865CF"/>
    <w:rsid w:val="0058777B"/>
    <w:rsid w:val="00587B50"/>
    <w:rsid w:val="005916FF"/>
    <w:rsid w:val="005933B2"/>
    <w:rsid w:val="00595A84"/>
    <w:rsid w:val="005963AA"/>
    <w:rsid w:val="005A1AFB"/>
    <w:rsid w:val="005A1F30"/>
    <w:rsid w:val="005A2246"/>
    <w:rsid w:val="005A34B2"/>
    <w:rsid w:val="005A3BC6"/>
    <w:rsid w:val="005A54EA"/>
    <w:rsid w:val="005B1C3A"/>
    <w:rsid w:val="005B377C"/>
    <w:rsid w:val="005B79DD"/>
    <w:rsid w:val="005C040E"/>
    <w:rsid w:val="005C4E0F"/>
    <w:rsid w:val="005C5115"/>
    <w:rsid w:val="005C54E2"/>
    <w:rsid w:val="005D1CE9"/>
    <w:rsid w:val="005D27A2"/>
    <w:rsid w:val="005D6417"/>
    <w:rsid w:val="005D73FA"/>
    <w:rsid w:val="005E05E1"/>
    <w:rsid w:val="005E18BA"/>
    <w:rsid w:val="005E2F2C"/>
    <w:rsid w:val="005E47D1"/>
    <w:rsid w:val="005E4BE7"/>
    <w:rsid w:val="005E5A3B"/>
    <w:rsid w:val="005E5AE4"/>
    <w:rsid w:val="005E7106"/>
    <w:rsid w:val="005F2E23"/>
    <w:rsid w:val="005F3CE7"/>
    <w:rsid w:val="005F6149"/>
    <w:rsid w:val="005F6988"/>
    <w:rsid w:val="006003C1"/>
    <w:rsid w:val="00600BEC"/>
    <w:rsid w:val="00600FA1"/>
    <w:rsid w:val="00602C5B"/>
    <w:rsid w:val="00602D7E"/>
    <w:rsid w:val="00603DBA"/>
    <w:rsid w:val="00606454"/>
    <w:rsid w:val="00607C18"/>
    <w:rsid w:val="00610049"/>
    <w:rsid w:val="00613040"/>
    <w:rsid w:val="00613A75"/>
    <w:rsid w:val="00620F0B"/>
    <w:rsid w:val="00621064"/>
    <w:rsid w:val="006238B2"/>
    <w:rsid w:val="00630363"/>
    <w:rsid w:val="006315BC"/>
    <w:rsid w:val="006322DF"/>
    <w:rsid w:val="00633974"/>
    <w:rsid w:val="00636E61"/>
    <w:rsid w:val="00636FF6"/>
    <w:rsid w:val="00644358"/>
    <w:rsid w:val="00644A43"/>
    <w:rsid w:val="0064500E"/>
    <w:rsid w:val="0064642D"/>
    <w:rsid w:val="00647973"/>
    <w:rsid w:val="00651B4F"/>
    <w:rsid w:val="00652B1C"/>
    <w:rsid w:val="0065572A"/>
    <w:rsid w:val="00660567"/>
    <w:rsid w:val="006629D7"/>
    <w:rsid w:val="00663E29"/>
    <w:rsid w:val="00663FF4"/>
    <w:rsid w:val="006653ED"/>
    <w:rsid w:val="00673126"/>
    <w:rsid w:val="00674C5C"/>
    <w:rsid w:val="006764DC"/>
    <w:rsid w:val="006816F2"/>
    <w:rsid w:val="00682453"/>
    <w:rsid w:val="006826FB"/>
    <w:rsid w:val="006839C2"/>
    <w:rsid w:val="00684238"/>
    <w:rsid w:val="00684423"/>
    <w:rsid w:val="00684D0F"/>
    <w:rsid w:val="00685808"/>
    <w:rsid w:val="006878CC"/>
    <w:rsid w:val="00691840"/>
    <w:rsid w:val="0069274C"/>
    <w:rsid w:val="00692C47"/>
    <w:rsid w:val="00692F34"/>
    <w:rsid w:val="00693039"/>
    <w:rsid w:val="006939C2"/>
    <w:rsid w:val="006965D0"/>
    <w:rsid w:val="0069771C"/>
    <w:rsid w:val="006A0BEB"/>
    <w:rsid w:val="006A256E"/>
    <w:rsid w:val="006A4699"/>
    <w:rsid w:val="006A69AC"/>
    <w:rsid w:val="006A754B"/>
    <w:rsid w:val="006B2D86"/>
    <w:rsid w:val="006B3135"/>
    <w:rsid w:val="006B3FA6"/>
    <w:rsid w:val="006B41CD"/>
    <w:rsid w:val="006B41F5"/>
    <w:rsid w:val="006B4D75"/>
    <w:rsid w:val="006B74BC"/>
    <w:rsid w:val="006C0D94"/>
    <w:rsid w:val="006C0E42"/>
    <w:rsid w:val="006C375D"/>
    <w:rsid w:val="006C3D79"/>
    <w:rsid w:val="006C3E3B"/>
    <w:rsid w:val="006D0A29"/>
    <w:rsid w:val="006D3BD3"/>
    <w:rsid w:val="006D6A64"/>
    <w:rsid w:val="006E014A"/>
    <w:rsid w:val="006E2DC5"/>
    <w:rsid w:val="006E474B"/>
    <w:rsid w:val="006E50F9"/>
    <w:rsid w:val="006E617C"/>
    <w:rsid w:val="006F2735"/>
    <w:rsid w:val="006F3F43"/>
    <w:rsid w:val="006F4F07"/>
    <w:rsid w:val="006F5065"/>
    <w:rsid w:val="006F6CC8"/>
    <w:rsid w:val="006F709F"/>
    <w:rsid w:val="007005C6"/>
    <w:rsid w:val="00701244"/>
    <w:rsid w:val="00701E3D"/>
    <w:rsid w:val="0070312B"/>
    <w:rsid w:val="0070420D"/>
    <w:rsid w:val="00706B77"/>
    <w:rsid w:val="007072B9"/>
    <w:rsid w:val="00707ACB"/>
    <w:rsid w:val="00707BFA"/>
    <w:rsid w:val="007116C5"/>
    <w:rsid w:val="00712389"/>
    <w:rsid w:val="00713177"/>
    <w:rsid w:val="007137B0"/>
    <w:rsid w:val="00714735"/>
    <w:rsid w:val="007147AF"/>
    <w:rsid w:val="00715873"/>
    <w:rsid w:val="00716040"/>
    <w:rsid w:val="00716664"/>
    <w:rsid w:val="007169F0"/>
    <w:rsid w:val="0071727A"/>
    <w:rsid w:val="00717432"/>
    <w:rsid w:val="00717DC9"/>
    <w:rsid w:val="00726797"/>
    <w:rsid w:val="007306F9"/>
    <w:rsid w:val="00730E9B"/>
    <w:rsid w:val="007314FD"/>
    <w:rsid w:val="00731823"/>
    <w:rsid w:val="0073438D"/>
    <w:rsid w:val="0073444E"/>
    <w:rsid w:val="007405DC"/>
    <w:rsid w:val="00744FC7"/>
    <w:rsid w:val="007454A7"/>
    <w:rsid w:val="00745CBC"/>
    <w:rsid w:val="00747877"/>
    <w:rsid w:val="00751C31"/>
    <w:rsid w:val="00752A07"/>
    <w:rsid w:val="007531C5"/>
    <w:rsid w:val="00753A89"/>
    <w:rsid w:val="00754178"/>
    <w:rsid w:val="00754597"/>
    <w:rsid w:val="007548CE"/>
    <w:rsid w:val="007548F6"/>
    <w:rsid w:val="00756700"/>
    <w:rsid w:val="00757A9C"/>
    <w:rsid w:val="00761995"/>
    <w:rsid w:val="0076242F"/>
    <w:rsid w:val="0076265D"/>
    <w:rsid w:val="007701D6"/>
    <w:rsid w:val="00771D50"/>
    <w:rsid w:val="00772195"/>
    <w:rsid w:val="00773CB7"/>
    <w:rsid w:val="0077580A"/>
    <w:rsid w:val="00776D4F"/>
    <w:rsid w:val="007771EC"/>
    <w:rsid w:val="00777692"/>
    <w:rsid w:val="00780817"/>
    <w:rsid w:val="007809A3"/>
    <w:rsid w:val="00781027"/>
    <w:rsid w:val="007836E9"/>
    <w:rsid w:val="00785659"/>
    <w:rsid w:val="00786FB9"/>
    <w:rsid w:val="00793D8E"/>
    <w:rsid w:val="00794219"/>
    <w:rsid w:val="00794E50"/>
    <w:rsid w:val="00797965"/>
    <w:rsid w:val="007A19AD"/>
    <w:rsid w:val="007A3D6F"/>
    <w:rsid w:val="007A4980"/>
    <w:rsid w:val="007A6163"/>
    <w:rsid w:val="007A62D7"/>
    <w:rsid w:val="007A6832"/>
    <w:rsid w:val="007B29CE"/>
    <w:rsid w:val="007B4D68"/>
    <w:rsid w:val="007B52D9"/>
    <w:rsid w:val="007B60E6"/>
    <w:rsid w:val="007B7603"/>
    <w:rsid w:val="007D1326"/>
    <w:rsid w:val="007D2C9F"/>
    <w:rsid w:val="007D3FA2"/>
    <w:rsid w:val="007D5403"/>
    <w:rsid w:val="007D6834"/>
    <w:rsid w:val="007E11E9"/>
    <w:rsid w:val="007E120C"/>
    <w:rsid w:val="007E160A"/>
    <w:rsid w:val="007E5964"/>
    <w:rsid w:val="007E689C"/>
    <w:rsid w:val="007F01CA"/>
    <w:rsid w:val="007F1D3B"/>
    <w:rsid w:val="007F3B1B"/>
    <w:rsid w:val="007F4574"/>
    <w:rsid w:val="007F75D2"/>
    <w:rsid w:val="00804BDC"/>
    <w:rsid w:val="00813929"/>
    <w:rsid w:val="00814952"/>
    <w:rsid w:val="0081625A"/>
    <w:rsid w:val="00824652"/>
    <w:rsid w:val="00824BA6"/>
    <w:rsid w:val="0082625C"/>
    <w:rsid w:val="00827168"/>
    <w:rsid w:val="008273B1"/>
    <w:rsid w:val="00830963"/>
    <w:rsid w:val="00830BCA"/>
    <w:rsid w:val="00830CB9"/>
    <w:rsid w:val="0083360D"/>
    <w:rsid w:val="00833DAD"/>
    <w:rsid w:val="00834425"/>
    <w:rsid w:val="00836C63"/>
    <w:rsid w:val="008405F5"/>
    <w:rsid w:val="00850B23"/>
    <w:rsid w:val="00853D6B"/>
    <w:rsid w:val="00854E6F"/>
    <w:rsid w:val="00854F0C"/>
    <w:rsid w:val="00855DF5"/>
    <w:rsid w:val="0085676C"/>
    <w:rsid w:val="00861CC9"/>
    <w:rsid w:val="00861E69"/>
    <w:rsid w:val="008620D1"/>
    <w:rsid w:val="00862F06"/>
    <w:rsid w:val="00866944"/>
    <w:rsid w:val="008700CE"/>
    <w:rsid w:val="00870E73"/>
    <w:rsid w:val="008713F9"/>
    <w:rsid w:val="00871940"/>
    <w:rsid w:val="00871F32"/>
    <w:rsid w:val="00872982"/>
    <w:rsid w:val="00877696"/>
    <w:rsid w:val="00877B83"/>
    <w:rsid w:val="00877DCF"/>
    <w:rsid w:val="00877FE8"/>
    <w:rsid w:val="00880D4F"/>
    <w:rsid w:val="008840E4"/>
    <w:rsid w:val="008848CB"/>
    <w:rsid w:val="0088652F"/>
    <w:rsid w:val="008877E3"/>
    <w:rsid w:val="008905B6"/>
    <w:rsid w:val="0089410A"/>
    <w:rsid w:val="008957E7"/>
    <w:rsid w:val="008974A8"/>
    <w:rsid w:val="008976E6"/>
    <w:rsid w:val="008A0818"/>
    <w:rsid w:val="008A0B18"/>
    <w:rsid w:val="008A3EE0"/>
    <w:rsid w:val="008A529C"/>
    <w:rsid w:val="008A74FF"/>
    <w:rsid w:val="008B37EE"/>
    <w:rsid w:val="008B5631"/>
    <w:rsid w:val="008B7EA9"/>
    <w:rsid w:val="008B7FD2"/>
    <w:rsid w:val="008C084A"/>
    <w:rsid w:val="008C0B0D"/>
    <w:rsid w:val="008C0FC9"/>
    <w:rsid w:val="008C11F5"/>
    <w:rsid w:val="008C61DF"/>
    <w:rsid w:val="008C639B"/>
    <w:rsid w:val="008C74C4"/>
    <w:rsid w:val="008D142F"/>
    <w:rsid w:val="008D3D03"/>
    <w:rsid w:val="008D528B"/>
    <w:rsid w:val="008E3214"/>
    <w:rsid w:val="008E4328"/>
    <w:rsid w:val="008F4D0C"/>
    <w:rsid w:val="008F63EA"/>
    <w:rsid w:val="008F6C6D"/>
    <w:rsid w:val="00902870"/>
    <w:rsid w:val="009039E2"/>
    <w:rsid w:val="0091071C"/>
    <w:rsid w:val="00910BE4"/>
    <w:rsid w:val="009145E4"/>
    <w:rsid w:val="0092227D"/>
    <w:rsid w:val="009228AE"/>
    <w:rsid w:val="00927E16"/>
    <w:rsid w:val="00930851"/>
    <w:rsid w:val="009332B6"/>
    <w:rsid w:val="009335D1"/>
    <w:rsid w:val="00933771"/>
    <w:rsid w:val="009363A8"/>
    <w:rsid w:val="00936C83"/>
    <w:rsid w:val="00937DD8"/>
    <w:rsid w:val="00940B0B"/>
    <w:rsid w:val="0094347D"/>
    <w:rsid w:val="009454CA"/>
    <w:rsid w:val="00952D00"/>
    <w:rsid w:val="009536FB"/>
    <w:rsid w:val="00954245"/>
    <w:rsid w:val="009552B6"/>
    <w:rsid w:val="00955462"/>
    <w:rsid w:val="009564A2"/>
    <w:rsid w:val="00956F91"/>
    <w:rsid w:val="00964AFC"/>
    <w:rsid w:val="00972044"/>
    <w:rsid w:val="00976B2E"/>
    <w:rsid w:val="00981742"/>
    <w:rsid w:val="00981E2C"/>
    <w:rsid w:val="00986459"/>
    <w:rsid w:val="0099022A"/>
    <w:rsid w:val="0099056F"/>
    <w:rsid w:val="00990736"/>
    <w:rsid w:val="00990B48"/>
    <w:rsid w:val="00991279"/>
    <w:rsid w:val="00994072"/>
    <w:rsid w:val="00994812"/>
    <w:rsid w:val="00995E97"/>
    <w:rsid w:val="00996F69"/>
    <w:rsid w:val="009979B0"/>
    <w:rsid w:val="00997E7E"/>
    <w:rsid w:val="009A163F"/>
    <w:rsid w:val="009A612E"/>
    <w:rsid w:val="009A621A"/>
    <w:rsid w:val="009A72B4"/>
    <w:rsid w:val="009A7768"/>
    <w:rsid w:val="009A7858"/>
    <w:rsid w:val="009B0C14"/>
    <w:rsid w:val="009B2851"/>
    <w:rsid w:val="009B35CE"/>
    <w:rsid w:val="009B379B"/>
    <w:rsid w:val="009B3F23"/>
    <w:rsid w:val="009B5319"/>
    <w:rsid w:val="009B6BDA"/>
    <w:rsid w:val="009B759A"/>
    <w:rsid w:val="009B7971"/>
    <w:rsid w:val="009B7983"/>
    <w:rsid w:val="009C19B8"/>
    <w:rsid w:val="009C38FB"/>
    <w:rsid w:val="009C3BF3"/>
    <w:rsid w:val="009C7980"/>
    <w:rsid w:val="009D03FA"/>
    <w:rsid w:val="009D0AAB"/>
    <w:rsid w:val="009D2D8A"/>
    <w:rsid w:val="009D387A"/>
    <w:rsid w:val="009E4582"/>
    <w:rsid w:val="009E578B"/>
    <w:rsid w:val="009F037D"/>
    <w:rsid w:val="009F05F5"/>
    <w:rsid w:val="009F0972"/>
    <w:rsid w:val="009F42D9"/>
    <w:rsid w:val="009F46BA"/>
    <w:rsid w:val="009F522E"/>
    <w:rsid w:val="00A0199C"/>
    <w:rsid w:val="00A020BC"/>
    <w:rsid w:val="00A02FF9"/>
    <w:rsid w:val="00A0309F"/>
    <w:rsid w:val="00A155DB"/>
    <w:rsid w:val="00A17649"/>
    <w:rsid w:val="00A20550"/>
    <w:rsid w:val="00A20EDE"/>
    <w:rsid w:val="00A218E3"/>
    <w:rsid w:val="00A23FB6"/>
    <w:rsid w:val="00A23FDD"/>
    <w:rsid w:val="00A2454A"/>
    <w:rsid w:val="00A24616"/>
    <w:rsid w:val="00A26134"/>
    <w:rsid w:val="00A27D83"/>
    <w:rsid w:val="00A27E6A"/>
    <w:rsid w:val="00A307E2"/>
    <w:rsid w:val="00A332AE"/>
    <w:rsid w:val="00A3369F"/>
    <w:rsid w:val="00A33AD0"/>
    <w:rsid w:val="00A33E9B"/>
    <w:rsid w:val="00A36B29"/>
    <w:rsid w:val="00A376A2"/>
    <w:rsid w:val="00A4004E"/>
    <w:rsid w:val="00A40963"/>
    <w:rsid w:val="00A41F4D"/>
    <w:rsid w:val="00A43276"/>
    <w:rsid w:val="00A4425F"/>
    <w:rsid w:val="00A44E99"/>
    <w:rsid w:val="00A4728F"/>
    <w:rsid w:val="00A53CD8"/>
    <w:rsid w:val="00A56C4B"/>
    <w:rsid w:val="00A576CA"/>
    <w:rsid w:val="00A61FDA"/>
    <w:rsid w:val="00A63E77"/>
    <w:rsid w:val="00A641DF"/>
    <w:rsid w:val="00A64C19"/>
    <w:rsid w:val="00A65683"/>
    <w:rsid w:val="00A739BD"/>
    <w:rsid w:val="00A74977"/>
    <w:rsid w:val="00A751FF"/>
    <w:rsid w:val="00A76C57"/>
    <w:rsid w:val="00A82A0C"/>
    <w:rsid w:val="00A84A97"/>
    <w:rsid w:val="00A860D9"/>
    <w:rsid w:val="00A9026A"/>
    <w:rsid w:val="00A90D60"/>
    <w:rsid w:val="00A90E96"/>
    <w:rsid w:val="00A93595"/>
    <w:rsid w:val="00A95FE4"/>
    <w:rsid w:val="00A9746B"/>
    <w:rsid w:val="00AA03D8"/>
    <w:rsid w:val="00AA2C6E"/>
    <w:rsid w:val="00AA4C83"/>
    <w:rsid w:val="00AB4083"/>
    <w:rsid w:val="00AB41A4"/>
    <w:rsid w:val="00AB5700"/>
    <w:rsid w:val="00AC0FA7"/>
    <w:rsid w:val="00AC4A30"/>
    <w:rsid w:val="00AD05D5"/>
    <w:rsid w:val="00AD548B"/>
    <w:rsid w:val="00AD7D30"/>
    <w:rsid w:val="00AE0636"/>
    <w:rsid w:val="00AE278D"/>
    <w:rsid w:val="00AE4937"/>
    <w:rsid w:val="00AE4C98"/>
    <w:rsid w:val="00AE55F4"/>
    <w:rsid w:val="00AE5CEA"/>
    <w:rsid w:val="00AF08A5"/>
    <w:rsid w:val="00AF2E2D"/>
    <w:rsid w:val="00AF52B0"/>
    <w:rsid w:val="00AF6EF2"/>
    <w:rsid w:val="00AF7DD6"/>
    <w:rsid w:val="00B000A9"/>
    <w:rsid w:val="00B002F2"/>
    <w:rsid w:val="00B01961"/>
    <w:rsid w:val="00B067B6"/>
    <w:rsid w:val="00B1194A"/>
    <w:rsid w:val="00B13406"/>
    <w:rsid w:val="00B14D81"/>
    <w:rsid w:val="00B14F61"/>
    <w:rsid w:val="00B150D8"/>
    <w:rsid w:val="00B16DEA"/>
    <w:rsid w:val="00B17451"/>
    <w:rsid w:val="00B238E9"/>
    <w:rsid w:val="00B25315"/>
    <w:rsid w:val="00B275AC"/>
    <w:rsid w:val="00B32A4B"/>
    <w:rsid w:val="00B32EF1"/>
    <w:rsid w:val="00B34ACC"/>
    <w:rsid w:val="00B34BC9"/>
    <w:rsid w:val="00B35807"/>
    <w:rsid w:val="00B35DC1"/>
    <w:rsid w:val="00B37CE8"/>
    <w:rsid w:val="00B37ECC"/>
    <w:rsid w:val="00B37F37"/>
    <w:rsid w:val="00B406CE"/>
    <w:rsid w:val="00B434CA"/>
    <w:rsid w:val="00B43BD6"/>
    <w:rsid w:val="00B44513"/>
    <w:rsid w:val="00B45415"/>
    <w:rsid w:val="00B46357"/>
    <w:rsid w:val="00B523E2"/>
    <w:rsid w:val="00B5530A"/>
    <w:rsid w:val="00B5573B"/>
    <w:rsid w:val="00B56471"/>
    <w:rsid w:val="00B64963"/>
    <w:rsid w:val="00B7025D"/>
    <w:rsid w:val="00B710DF"/>
    <w:rsid w:val="00B71FD5"/>
    <w:rsid w:val="00B82978"/>
    <w:rsid w:val="00B8683E"/>
    <w:rsid w:val="00B87174"/>
    <w:rsid w:val="00B9466E"/>
    <w:rsid w:val="00B96A9E"/>
    <w:rsid w:val="00B9764E"/>
    <w:rsid w:val="00BA2A3D"/>
    <w:rsid w:val="00BA395F"/>
    <w:rsid w:val="00BA39AC"/>
    <w:rsid w:val="00BA3FCD"/>
    <w:rsid w:val="00BA427A"/>
    <w:rsid w:val="00BA51D5"/>
    <w:rsid w:val="00BA5F14"/>
    <w:rsid w:val="00BA7AA0"/>
    <w:rsid w:val="00BB07C9"/>
    <w:rsid w:val="00BC1B45"/>
    <w:rsid w:val="00BC3328"/>
    <w:rsid w:val="00BC7858"/>
    <w:rsid w:val="00BD3E00"/>
    <w:rsid w:val="00BD41F4"/>
    <w:rsid w:val="00BE1A9B"/>
    <w:rsid w:val="00BE1F13"/>
    <w:rsid w:val="00BE2FCB"/>
    <w:rsid w:val="00BE3EA0"/>
    <w:rsid w:val="00BE65D2"/>
    <w:rsid w:val="00BE7E42"/>
    <w:rsid w:val="00BF0598"/>
    <w:rsid w:val="00BF0D54"/>
    <w:rsid w:val="00BF0E5C"/>
    <w:rsid w:val="00BF11D6"/>
    <w:rsid w:val="00BF149F"/>
    <w:rsid w:val="00BF179D"/>
    <w:rsid w:val="00BF23A9"/>
    <w:rsid w:val="00BF3C5E"/>
    <w:rsid w:val="00BF60FA"/>
    <w:rsid w:val="00BF68CB"/>
    <w:rsid w:val="00BF6A2F"/>
    <w:rsid w:val="00BF77F2"/>
    <w:rsid w:val="00C02FF1"/>
    <w:rsid w:val="00C03BB3"/>
    <w:rsid w:val="00C0489F"/>
    <w:rsid w:val="00C0608E"/>
    <w:rsid w:val="00C130D2"/>
    <w:rsid w:val="00C13B32"/>
    <w:rsid w:val="00C13F44"/>
    <w:rsid w:val="00C1419D"/>
    <w:rsid w:val="00C14BC0"/>
    <w:rsid w:val="00C151F5"/>
    <w:rsid w:val="00C15A45"/>
    <w:rsid w:val="00C1675D"/>
    <w:rsid w:val="00C201EA"/>
    <w:rsid w:val="00C213EB"/>
    <w:rsid w:val="00C21520"/>
    <w:rsid w:val="00C2586B"/>
    <w:rsid w:val="00C25AD5"/>
    <w:rsid w:val="00C261F7"/>
    <w:rsid w:val="00C26A96"/>
    <w:rsid w:val="00C26E8B"/>
    <w:rsid w:val="00C335DF"/>
    <w:rsid w:val="00C33AFB"/>
    <w:rsid w:val="00C372C2"/>
    <w:rsid w:val="00C375BE"/>
    <w:rsid w:val="00C45469"/>
    <w:rsid w:val="00C4556F"/>
    <w:rsid w:val="00C52357"/>
    <w:rsid w:val="00C526B5"/>
    <w:rsid w:val="00C52CEC"/>
    <w:rsid w:val="00C607FC"/>
    <w:rsid w:val="00C623F9"/>
    <w:rsid w:val="00C628FC"/>
    <w:rsid w:val="00C64071"/>
    <w:rsid w:val="00C65037"/>
    <w:rsid w:val="00C6568A"/>
    <w:rsid w:val="00C65C10"/>
    <w:rsid w:val="00C66AD2"/>
    <w:rsid w:val="00C71634"/>
    <w:rsid w:val="00C729CF"/>
    <w:rsid w:val="00C730BA"/>
    <w:rsid w:val="00C73CEE"/>
    <w:rsid w:val="00C73DB6"/>
    <w:rsid w:val="00C770F9"/>
    <w:rsid w:val="00C811D3"/>
    <w:rsid w:val="00C82461"/>
    <w:rsid w:val="00C84518"/>
    <w:rsid w:val="00C84607"/>
    <w:rsid w:val="00C84984"/>
    <w:rsid w:val="00C85030"/>
    <w:rsid w:val="00C8682B"/>
    <w:rsid w:val="00C86E30"/>
    <w:rsid w:val="00C87404"/>
    <w:rsid w:val="00C93DBF"/>
    <w:rsid w:val="00C93E11"/>
    <w:rsid w:val="00C9427D"/>
    <w:rsid w:val="00C9490E"/>
    <w:rsid w:val="00C94D88"/>
    <w:rsid w:val="00C97FF6"/>
    <w:rsid w:val="00CA0E52"/>
    <w:rsid w:val="00CA6BB2"/>
    <w:rsid w:val="00CA7D53"/>
    <w:rsid w:val="00CB3D42"/>
    <w:rsid w:val="00CB4788"/>
    <w:rsid w:val="00CB5D09"/>
    <w:rsid w:val="00CB64E4"/>
    <w:rsid w:val="00CB6CA0"/>
    <w:rsid w:val="00CB7C40"/>
    <w:rsid w:val="00CC19F7"/>
    <w:rsid w:val="00CC4701"/>
    <w:rsid w:val="00CC4797"/>
    <w:rsid w:val="00CC6134"/>
    <w:rsid w:val="00CC699F"/>
    <w:rsid w:val="00CC71AB"/>
    <w:rsid w:val="00CD1349"/>
    <w:rsid w:val="00CD2758"/>
    <w:rsid w:val="00CD4516"/>
    <w:rsid w:val="00CD6666"/>
    <w:rsid w:val="00CE5BF0"/>
    <w:rsid w:val="00CE61EA"/>
    <w:rsid w:val="00CE6B1A"/>
    <w:rsid w:val="00CE7448"/>
    <w:rsid w:val="00CE7887"/>
    <w:rsid w:val="00CF3D94"/>
    <w:rsid w:val="00CF59A9"/>
    <w:rsid w:val="00D01F38"/>
    <w:rsid w:val="00D03C6A"/>
    <w:rsid w:val="00D0468D"/>
    <w:rsid w:val="00D04D3B"/>
    <w:rsid w:val="00D055DD"/>
    <w:rsid w:val="00D07F2D"/>
    <w:rsid w:val="00D10748"/>
    <w:rsid w:val="00D12576"/>
    <w:rsid w:val="00D223C7"/>
    <w:rsid w:val="00D22B3B"/>
    <w:rsid w:val="00D267C3"/>
    <w:rsid w:val="00D30267"/>
    <w:rsid w:val="00D31094"/>
    <w:rsid w:val="00D31C69"/>
    <w:rsid w:val="00D36771"/>
    <w:rsid w:val="00D367F9"/>
    <w:rsid w:val="00D4086C"/>
    <w:rsid w:val="00D411C6"/>
    <w:rsid w:val="00D413F5"/>
    <w:rsid w:val="00D42050"/>
    <w:rsid w:val="00D4414F"/>
    <w:rsid w:val="00D50EDE"/>
    <w:rsid w:val="00D52210"/>
    <w:rsid w:val="00D52DBD"/>
    <w:rsid w:val="00D57515"/>
    <w:rsid w:val="00D62014"/>
    <w:rsid w:val="00D63B03"/>
    <w:rsid w:val="00D6674B"/>
    <w:rsid w:val="00D70E8E"/>
    <w:rsid w:val="00D733AD"/>
    <w:rsid w:val="00D74586"/>
    <w:rsid w:val="00D80331"/>
    <w:rsid w:val="00D81DDC"/>
    <w:rsid w:val="00D821C5"/>
    <w:rsid w:val="00D83812"/>
    <w:rsid w:val="00D83C01"/>
    <w:rsid w:val="00D857C2"/>
    <w:rsid w:val="00D859C3"/>
    <w:rsid w:val="00D86AE9"/>
    <w:rsid w:val="00D930D8"/>
    <w:rsid w:val="00D9363C"/>
    <w:rsid w:val="00D95B0B"/>
    <w:rsid w:val="00DA26D3"/>
    <w:rsid w:val="00DA5B5D"/>
    <w:rsid w:val="00DA7048"/>
    <w:rsid w:val="00DB2CBF"/>
    <w:rsid w:val="00DB3045"/>
    <w:rsid w:val="00DB3433"/>
    <w:rsid w:val="00DB4D6B"/>
    <w:rsid w:val="00DB4F8E"/>
    <w:rsid w:val="00DB5882"/>
    <w:rsid w:val="00DB6ACF"/>
    <w:rsid w:val="00DB77DA"/>
    <w:rsid w:val="00DC1270"/>
    <w:rsid w:val="00DC5018"/>
    <w:rsid w:val="00DD0057"/>
    <w:rsid w:val="00DD25AB"/>
    <w:rsid w:val="00DD39B7"/>
    <w:rsid w:val="00DD45F8"/>
    <w:rsid w:val="00DD583E"/>
    <w:rsid w:val="00DD76D7"/>
    <w:rsid w:val="00DE0346"/>
    <w:rsid w:val="00DE1DAD"/>
    <w:rsid w:val="00DE5FBC"/>
    <w:rsid w:val="00DF4469"/>
    <w:rsid w:val="00DF4A54"/>
    <w:rsid w:val="00DF4E7F"/>
    <w:rsid w:val="00DF5186"/>
    <w:rsid w:val="00DF6EA1"/>
    <w:rsid w:val="00E014F6"/>
    <w:rsid w:val="00E04566"/>
    <w:rsid w:val="00E04AB2"/>
    <w:rsid w:val="00E06FF9"/>
    <w:rsid w:val="00E0785E"/>
    <w:rsid w:val="00E125C8"/>
    <w:rsid w:val="00E125E3"/>
    <w:rsid w:val="00E148D8"/>
    <w:rsid w:val="00E15EE5"/>
    <w:rsid w:val="00E17875"/>
    <w:rsid w:val="00E20531"/>
    <w:rsid w:val="00E21543"/>
    <w:rsid w:val="00E2348E"/>
    <w:rsid w:val="00E23A2E"/>
    <w:rsid w:val="00E24F74"/>
    <w:rsid w:val="00E263AC"/>
    <w:rsid w:val="00E265B8"/>
    <w:rsid w:val="00E30B65"/>
    <w:rsid w:val="00E32A25"/>
    <w:rsid w:val="00E339C0"/>
    <w:rsid w:val="00E354D1"/>
    <w:rsid w:val="00E43178"/>
    <w:rsid w:val="00E43B59"/>
    <w:rsid w:val="00E444A3"/>
    <w:rsid w:val="00E4568C"/>
    <w:rsid w:val="00E47E89"/>
    <w:rsid w:val="00E509E8"/>
    <w:rsid w:val="00E5492F"/>
    <w:rsid w:val="00E56BBE"/>
    <w:rsid w:val="00E57630"/>
    <w:rsid w:val="00E62686"/>
    <w:rsid w:val="00E64E3A"/>
    <w:rsid w:val="00E66A70"/>
    <w:rsid w:val="00E67612"/>
    <w:rsid w:val="00E714F5"/>
    <w:rsid w:val="00E82154"/>
    <w:rsid w:val="00E85454"/>
    <w:rsid w:val="00E87D02"/>
    <w:rsid w:val="00E900D8"/>
    <w:rsid w:val="00E93B45"/>
    <w:rsid w:val="00E94FCF"/>
    <w:rsid w:val="00E95C5F"/>
    <w:rsid w:val="00EA154B"/>
    <w:rsid w:val="00EA2976"/>
    <w:rsid w:val="00EA40B8"/>
    <w:rsid w:val="00EA46BB"/>
    <w:rsid w:val="00EA5619"/>
    <w:rsid w:val="00EB0044"/>
    <w:rsid w:val="00EB2DE2"/>
    <w:rsid w:val="00EB3186"/>
    <w:rsid w:val="00EB5E96"/>
    <w:rsid w:val="00EC15B5"/>
    <w:rsid w:val="00EC4B5D"/>
    <w:rsid w:val="00EC5805"/>
    <w:rsid w:val="00EC6E15"/>
    <w:rsid w:val="00ED06DA"/>
    <w:rsid w:val="00ED1D08"/>
    <w:rsid w:val="00ED4617"/>
    <w:rsid w:val="00EE0A0F"/>
    <w:rsid w:val="00EE2D63"/>
    <w:rsid w:val="00EE4E3C"/>
    <w:rsid w:val="00EE5429"/>
    <w:rsid w:val="00EE5ADB"/>
    <w:rsid w:val="00EF044D"/>
    <w:rsid w:val="00EF059C"/>
    <w:rsid w:val="00EF3962"/>
    <w:rsid w:val="00EF5A8F"/>
    <w:rsid w:val="00EF73BE"/>
    <w:rsid w:val="00F00F74"/>
    <w:rsid w:val="00F01887"/>
    <w:rsid w:val="00F02500"/>
    <w:rsid w:val="00F068DF"/>
    <w:rsid w:val="00F107FF"/>
    <w:rsid w:val="00F1176D"/>
    <w:rsid w:val="00F12069"/>
    <w:rsid w:val="00F12D2A"/>
    <w:rsid w:val="00F17B9F"/>
    <w:rsid w:val="00F204E0"/>
    <w:rsid w:val="00F215DF"/>
    <w:rsid w:val="00F2202D"/>
    <w:rsid w:val="00F22C99"/>
    <w:rsid w:val="00F230A5"/>
    <w:rsid w:val="00F274DD"/>
    <w:rsid w:val="00F27FBF"/>
    <w:rsid w:val="00F30CC4"/>
    <w:rsid w:val="00F31196"/>
    <w:rsid w:val="00F33B48"/>
    <w:rsid w:val="00F34006"/>
    <w:rsid w:val="00F34B0A"/>
    <w:rsid w:val="00F4526C"/>
    <w:rsid w:val="00F50DDD"/>
    <w:rsid w:val="00F52C01"/>
    <w:rsid w:val="00F53089"/>
    <w:rsid w:val="00F540F8"/>
    <w:rsid w:val="00F56B98"/>
    <w:rsid w:val="00F61692"/>
    <w:rsid w:val="00F654C5"/>
    <w:rsid w:val="00F66E7E"/>
    <w:rsid w:val="00F67206"/>
    <w:rsid w:val="00F70B95"/>
    <w:rsid w:val="00F715DE"/>
    <w:rsid w:val="00F72B23"/>
    <w:rsid w:val="00F73CBB"/>
    <w:rsid w:val="00F761DA"/>
    <w:rsid w:val="00F82521"/>
    <w:rsid w:val="00F84125"/>
    <w:rsid w:val="00F85039"/>
    <w:rsid w:val="00F85F70"/>
    <w:rsid w:val="00F8763D"/>
    <w:rsid w:val="00F87B91"/>
    <w:rsid w:val="00F9169A"/>
    <w:rsid w:val="00F9424E"/>
    <w:rsid w:val="00F94EC5"/>
    <w:rsid w:val="00F9670F"/>
    <w:rsid w:val="00FA03D6"/>
    <w:rsid w:val="00FA06AF"/>
    <w:rsid w:val="00FA09B5"/>
    <w:rsid w:val="00FA1B6C"/>
    <w:rsid w:val="00FA1D3A"/>
    <w:rsid w:val="00FA6653"/>
    <w:rsid w:val="00FA68DB"/>
    <w:rsid w:val="00FA6A62"/>
    <w:rsid w:val="00FA7430"/>
    <w:rsid w:val="00FB0518"/>
    <w:rsid w:val="00FB1D7D"/>
    <w:rsid w:val="00FB210F"/>
    <w:rsid w:val="00FB4E9F"/>
    <w:rsid w:val="00FB60A1"/>
    <w:rsid w:val="00FC4ACF"/>
    <w:rsid w:val="00FC6387"/>
    <w:rsid w:val="00FC63E0"/>
    <w:rsid w:val="00FD3F4A"/>
    <w:rsid w:val="00FE0707"/>
    <w:rsid w:val="00FE173E"/>
    <w:rsid w:val="00FE37E5"/>
    <w:rsid w:val="00FE4F38"/>
    <w:rsid w:val="00FE6077"/>
    <w:rsid w:val="00FE7CDA"/>
    <w:rsid w:val="00FF2342"/>
    <w:rsid w:val="00FF314A"/>
    <w:rsid w:val="00FF3702"/>
    <w:rsid w:val="00FF42D4"/>
    <w:rsid w:val="00FF5E4D"/>
    <w:rsid w:val="01095331"/>
    <w:rsid w:val="01581382"/>
    <w:rsid w:val="01BF37C7"/>
    <w:rsid w:val="01D40725"/>
    <w:rsid w:val="02095E20"/>
    <w:rsid w:val="02380465"/>
    <w:rsid w:val="024E1C49"/>
    <w:rsid w:val="028405DB"/>
    <w:rsid w:val="02941E14"/>
    <w:rsid w:val="02D51B92"/>
    <w:rsid w:val="03104DE5"/>
    <w:rsid w:val="03295D70"/>
    <w:rsid w:val="032B03AA"/>
    <w:rsid w:val="032F3FB0"/>
    <w:rsid w:val="033D69F6"/>
    <w:rsid w:val="037E2B67"/>
    <w:rsid w:val="03B56F7B"/>
    <w:rsid w:val="03ED3296"/>
    <w:rsid w:val="04243DB5"/>
    <w:rsid w:val="047665CE"/>
    <w:rsid w:val="047678D3"/>
    <w:rsid w:val="04E836BF"/>
    <w:rsid w:val="0500243F"/>
    <w:rsid w:val="05123C0E"/>
    <w:rsid w:val="05964C1A"/>
    <w:rsid w:val="05AC22B4"/>
    <w:rsid w:val="05B1203A"/>
    <w:rsid w:val="05B44CC5"/>
    <w:rsid w:val="06033DBD"/>
    <w:rsid w:val="06224621"/>
    <w:rsid w:val="0624301F"/>
    <w:rsid w:val="06940C00"/>
    <w:rsid w:val="06B07C43"/>
    <w:rsid w:val="06B43D3B"/>
    <w:rsid w:val="06DF5D71"/>
    <w:rsid w:val="073E101F"/>
    <w:rsid w:val="0768187A"/>
    <w:rsid w:val="07750162"/>
    <w:rsid w:val="07992EBD"/>
    <w:rsid w:val="07C24B61"/>
    <w:rsid w:val="07E15B19"/>
    <w:rsid w:val="080261BB"/>
    <w:rsid w:val="08391A75"/>
    <w:rsid w:val="08971324"/>
    <w:rsid w:val="08EA46D7"/>
    <w:rsid w:val="091E280E"/>
    <w:rsid w:val="092A2235"/>
    <w:rsid w:val="09737190"/>
    <w:rsid w:val="098B0432"/>
    <w:rsid w:val="0A184F25"/>
    <w:rsid w:val="0A260878"/>
    <w:rsid w:val="0A346E2E"/>
    <w:rsid w:val="0A3E0FFB"/>
    <w:rsid w:val="0A4B5D00"/>
    <w:rsid w:val="0A5344BA"/>
    <w:rsid w:val="0A6766AF"/>
    <w:rsid w:val="0A852BD8"/>
    <w:rsid w:val="0A9617D5"/>
    <w:rsid w:val="0A9D178C"/>
    <w:rsid w:val="0AAC468F"/>
    <w:rsid w:val="0AB55B02"/>
    <w:rsid w:val="0AE207F3"/>
    <w:rsid w:val="0B1A4C9E"/>
    <w:rsid w:val="0B3041F8"/>
    <w:rsid w:val="0B4E35E4"/>
    <w:rsid w:val="0B607895"/>
    <w:rsid w:val="0B67306F"/>
    <w:rsid w:val="0B8F5F21"/>
    <w:rsid w:val="0BAA07F8"/>
    <w:rsid w:val="0BE46D1C"/>
    <w:rsid w:val="0BFA2E04"/>
    <w:rsid w:val="0C0777A4"/>
    <w:rsid w:val="0C2A689B"/>
    <w:rsid w:val="0C3A7B8A"/>
    <w:rsid w:val="0C45039E"/>
    <w:rsid w:val="0CB24DFF"/>
    <w:rsid w:val="0CC3182D"/>
    <w:rsid w:val="0CEC12E3"/>
    <w:rsid w:val="0D024C2F"/>
    <w:rsid w:val="0D12204A"/>
    <w:rsid w:val="0D28248F"/>
    <w:rsid w:val="0D345D6D"/>
    <w:rsid w:val="0D56313D"/>
    <w:rsid w:val="0DAF0F48"/>
    <w:rsid w:val="0DB326EE"/>
    <w:rsid w:val="0DCC5911"/>
    <w:rsid w:val="0DDA46B8"/>
    <w:rsid w:val="0E1D392E"/>
    <w:rsid w:val="0E3328EC"/>
    <w:rsid w:val="0E58556F"/>
    <w:rsid w:val="0E5D5C97"/>
    <w:rsid w:val="0E71704F"/>
    <w:rsid w:val="0EB82814"/>
    <w:rsid w:val="0EBE12D0"/>
    <w:rsid w:val="0EDE2272"/>
    <w:rsid w:val="0EE271CE"/>
    <w:rsid w:val="0EE718F2"/>
    <w:rsid w:val="0EE85525"/>
    <w:rsid w:val="0F3454AB"/>
    <w:rsid w:val="0F3C590C"/>
    <w:rsid w:val="0F3F73F8"/>
    <w:rsid w:val="0F6459AD"/>
    <w:rsid w:val="0FC539CE"/>
    <w:rsid w:val="0FF0196A"/>
    <w:rsid w:val="102B64CB"/>
    <w:rsid w:val="1076786C"/>
    <w:rsid w:val="109776BD"/>
    <w:rsid w:val="10C66B57"/>
    <w:rsid w:val="10D170B5"/>
    <w:rsid w:val="10FB5145"/>
    <w:rsid w:val="110209FE"/>
    <w:rsid w:val="11365752"/>
    <w:rsid w:val="113C1628"/>
    <w:rsid w:val="11781C6F"/>
    <w:rsid w:val="11967E55"/>
    <w:rsid w:val="11CC7BA9"/>
    <w:rsid w:val="120A2D88"/>
    <w:rsid w:val="12274CAA"/>
    <w:rsid w:val="125260A5"/>
    <w:rsid w:val="12E02245"/>
    <w:rsid w:val="12F75ED3"/>
    <w:rsid w:val="135C6647"/>
    <w:rsid w:val="13646829"/>
    <w:rsid w:val="13975173"/>
    <w:rsid w:val="13D73B59"/>
    <w:rsid w:val="13EC3F5B"/>
    <w:rsid w:val="14033E0B"/>
    <w:rsid w:val="143A33DE"/>
    <w:rsid w:val="14432DC0"/>
    <w:rsid w:val="14667CCC"/>
    <w:rsid w:val="14A723DA"/>
    <w:rsid w:val="14AB122D"/>
    <w:rsid w:val="14BB0146"/>
    <w:rsid w:val="14F27922"/>
    <w:rsid w:val="150051B7"/>
    <w:rsid w:val="15267261"/>
    <w:rsid w:val="15281012"/>
    <w:rsid w:val="155679FC"/>
    <w:rsid w:val="15957341"/>
    <w:rsid w:val="15D45280"/>
    <w:rsid w:val="15DA2C2F"/>
    <w:rsid w:val="15E763F1"/>
    <w:rsid w:val="160B51EB"/>
    <w:rsid w:val="163216E5"/>
    <w:rsid w:val="16322A61"/>
    <w:rsid w:val="1634549E"/>
    <w:rsid w:val="164241DC"/>
    <w:rsid w:val="166074CF"/>
    <w:rsid w:val="16724385"/>
    <w:rsid w:val="169F1963"/>
    <w:rsid w:val="16D059F9"/>
    <w:rsid w:val="17093E3E"/>
    <w:rsid w:val="171F4E51"/>
    <w:rsid w:val="17201E62"/>
    <w:rsid w:val="1730359D"/>
    <w:rsid w:val="179010B4"/>
    <w:rsid w:val="179E1DFC"/>
    <w:rsid w:val="17B03722"/>
    <w:rsid w:val="18080F1C"/>
    <w:rsid w:val="180D1D92"/>
    <w:rsid w:val="1822695F"/>
    <w:rsid w:val="1825592A"/>
    <w:rsid w:val="186A0B1C"/>
    <w:rsid w:val="18735801"/>
    <w:rsid w:val="18771F0A"/>
    <w:rsid w:val="187D0551"/>
    <w:rsid w:val="189D2F93"/>
    <w:rsid w:val="18B6361D"/>
    <w:rsid w:val="18D92132"/>
    <w:rsid w:val="18F77D70"/>
    <w:rsid w:val="192B66E0"/>
    <w:rsid w:val="1940466F"/>
    <w:rsid w:val="19444E7F"/>
    <w:rsid w:val="19543A50"/>
    <w:rsid w:val="19882298"/>
    <w:rsid w:val="1992367A"/>
    <w:rsid w:val="19B25CF0"/>
    <w:rsid w:val="1A19513A"/>
    <w:rsid w:val="1A2A0944"/>
    <w:rsid w:val="1A9E62E4"/>
    <w:rsid w:val="1AB2048F"/>
    <w:rsid w:val="1AB4284F"/>
    <w:rsid w:val="1ABD5BF3"/>
    <w:rsid w:val="1AC2469F"/>
    <w:rsid w:val="1AD94183"/>
    <w:rsid w:val="1AE74CC7"/>
    <w:rsid w:val="1AFC4046"/>
    <w:rsid w:val="1B010DD9"/>
    <w:rsid w:val="1B0B77EF"/>
    <w:rsid w:val="1B191A0B"/>
    <w:rsid w:val="1B423185"/>
    <w:rsid w:val="1B4B6052"/>
    <w:rsid w:val="1B525516"/>
    <w:rsid w:val="1B5E2EB1"/>
    <w:rsid w:val="1B73519C"/>
    <w:rsid w:val="1B825F57"/>
    <w:rsid w:val="1BF4231A"/>
    <w:rsid w:val="1C1D15B8"/>
    <w:rsid w:val="1C2F1CC9"/>
    <w:rsid w:val="1C317102"/>
    <w:rsid w:val="1C836361"/>
    <w:rsid w:val="1D0A0E86"/>
    <w:rsid w:val="1D0B31A8"/>
    <w:rsid w:val="1D2D7843"/>
    <w:rsid w:val="1D3B5FC4"/>
    <w:rsid w:val="1D792862"/>
    <w:rsid w:val="1D924BBF"/>
    <w:rsid w:val="1DA17927"/>
    <w:rsid w:val="1DD92D2D"/>
    <w:rsid w:val="1E1046B9"/>
    <w:rsid w:val="1E176B13"/>
    <w:rsid w:val="1E502A69"/>
    <w:rsid w:val="1E79436E"/>
    <w:rsid w:val="1E7A4DD3"/>
    <w:rsid w:val="1ECE699F"/>
    <w:rsid w:val="1ED330D2"/>
    <w:rsid w:val="1EEF63C6"/>
    <w:rsid w:val="1F471356"/>
    <w:rsid w:val="1F4F15DD"/>
    <w:rsid w:val="1F5573F2"/>
    <w:rsid w:val="1F79664A"/>
    <w:rsid w:val="1F933359"/>
    <w:rsid w:val="1FAB3DD0"/>
    <w:rsid w:val="1FCD6933"/>
    <w:rsid w:val="200B7434"/>
    <w:rsid w:val="201C32D6"/>
    <w:rsid w:val="2028357B"/>
    <w:rsid w:val="202E0A8E"/>
    <w:rsid w:val="205067D8"/>
    <w:rsid w:val="20621A95"/>
    <w:rsid w:val="2066788B"/>
    <w:rsid w:val="206770AC"/>
    <w:rsid w:val="208C5578"/>
    <w:rsid w:val="208F56BE"/>
    <w:rsid w:val="20906700"/>
    <w:rsid w:val="20944476"/>
    <w:rsid w:val="20A12D3B"/>
    <w:rsid w:val="20D0351D"/>
    <w:rsid w:val="20F737F8"/>
    <w:rsid w:val="21066A5F"/>
    <w:rsid w:val="21181965"/>
    <w:rsid w:val="21273848"/>
    <w:rsid w:val="213265D5"/>
    <w:rsid w:val="214166E3"/>
    <w:rsid w:val="21625A6F"/>
    <w:rsid w:val="21855FAA"/>
    <w:rsid w:val="21BA1B37"/>
    <w:rsid w:val="21BE40CD"/>
    <w:rsid w:val="21C0176E"/>
    <w:rsid w:val="21CC3D6A"/>
    <w:rsid w:val="21DF189B"/>
    <w:rsid w:val="22547E7D"/>
    <w:rsid w:val="22D54A6B"/>
    <w:rsid w:val="231554EA"/>
    <w:rsid w:val="23234FAA"/>
    <w:rsid w:val="232B2B18"/>
    <w:rsid w:val="238268AD"/>
    <w:rsid w:val="23914D68"/>
    <w:rsid w:val="23993E44"/>
    <w:rsid w:val="23BE0CF5"/>
    <w:rsid w:val="24265CA2"/>
    <w:rsid w:val="243700D6"/>
    <w:rsid w:val="24486A01"/>
    <w:rsid w:val="24551B60"/>
    <w:rsid w:val="246C2373"/>
    <w:rsid w:val="24701DEC"/>
    <w:rsid w:val="24940E97"/>
    <w:rsid w:val="249A3483"/>
    <w:rsid w:val="249C1ECC"/>
    <w:rsid w:val="24AC2CED"/>
    <w:rsid w:val="24B569F7"/>
    <w:rsid w:val="24F66C29"/>
    <w:rsid w:val="24FB50A0"/>
    <w:rsid w:val="25075C04"/>
    <w:rsid w:val="2564491D"/>
    <w:rsid w:val="25E113EC"/>
    <w:rsid w:val="25F32882"/>
    <w:rsid w:val="25F541FF"/>
    <w:rsid w:val="26307F8F"/>
    <w:rsid w:val="263140CA"/>
    <w:rsid w:val="26955EA5"/>
    <w:rsid w:val="269C60F7"/>
    <w:rsid w:val="26B94FF3"/>
    <w:rsid w:val="26EA03F9"/>
    <w:rsid w:val="26FC1914"/>
    <w:rsid w:val="27050C9F"/>
    <w:rsid w:val="27166E63"/>
    <w:rsid w:val="273121C1"/>
    <w:rsid w:val="27544917"/>
    <w:rsid w:val="27A843BF"/>
    <w:rsid w:val="27D265D2"/>
    <w:rsid w:val="27E464C3"/>
    <w:rsid w:val="27E910AC"/>
    <w:rsid w:val="28101DD7"/>
    <w:rsid w:val="281C4C20"/>
    <w:rsid w:val="28293FE4"/>
    <w:rsid w:val="282F2A46"/>
    <w:rsid w:val="2833632A"/>
    <w:rsid w:val="286200A6"/>
    <w:rsid w:val="28A0483A"/>
    <w:rsid w:val="28C05AEF"/>
    <w:rsid w:val="290F369C"/>
    <w:rsid w:val="295121A9"/>
    <w:rsid w:val="295835B7"/>
    <w:rsid w:val="296C3109"/>
    <w:rsid w:val="29B53680"/>
    <w:rsid w:val="29CC6825"/>
    <w:rsid w:val="29EC1600"/>
    <w:rsid w:val="2A281D7C"/>
    <w:rsid w:val="2A5957DE"/>
    <w:rsid w:val="2A6D05AD"/>
    <w:rsid w:val="2AB40D52"/>
    <w:rsid w:val="2AC34F8C"/>
    <w:rsid w:val="2ACB35CE"/>
    <w:rsid w:val="2AFE23B7"/>
    <w:rsid w:val="2B253984"/>
    <w:rsid w:val="2B727682"/>
    <w:rsid w:val="2B9E3452"/>
    <w:rsid w:val="2BB63891"/>
    <w:rsid w:val="2BBE6DB4"/>
    <w:rsid w:val="2BCC070B"/>
    <w:rsid w:val="2C026E71"/>
    <w:rsid w:val="2C30136E"/>
    <w:rsid w:val="2C5E18F7"/>
    <w:rsid w:val="2C6B2637"/>
    <w:rsid w:val="2C812F9A"/>
    <w:rsid w:val="2C8404E8"/>
    <w:rsid w:val="2CEA730C"/>
    <w:rsid w:val="2CF746D8"/>
    <w:rsid w:val="2D2623AD"/>
    <w:rsid w:val="2D3D1CAD"/>
    <w:rsid w:val="2D467E5C"/>
    <w:rsid w:val="2D795461"/>
    <w:rsid w:val="2D9751F3"/>
    <w:rsid w:val="2DB36189"/>
    <w:rsid w:val="2DDA1BF0"/>
    <w:rsid w:val="2E0E4E35"/>
    <w:rsid w:val="2E1E7787"/>
    <w:rsid w:val="2E297AA0"/>
    <w:rsid w:val="2E901143"/>
    <w:rsid w:val="2EA4496D"/>
    <w:rsid w:val="2ECA747A"/>
    <w:rsid w:val="2EF51D26"/>
    <w:rsid w:val="2F0B779C"/>
    <w:rsid w:val="2F2525D7"/>
    <w:rsid w:val="2F344F3F"/>
    <w:rsid w:val="2F4C4F8C"/>
    <w:rsid w:val="2F506315"/>
    <w:rsid w:val="2F740752"/>
    <w:rsid w:val="2FA92457"/>
    <w:rsid w:val="2FD4628A"/>
    <w:rsid w:val="2FD858D0"/>
    <w:rsid w:val="2FE46E29"/>
    <w:rsid w:val="2FEB14C9"/>
    <w:rsid w:val="30170D3F"/>
    <w:rsid w:val="302C0736"/>
    <w:rsid w:val="303E59B5"/>
    <w:rsid w:val="304116E3"/>
    <w:rsid w:val="30422C9D"/>
    <w:rsid w:val="30532C89"/>
    <w:rsid w:val="308070A0"/>
    <w:rsid w:val="308E2E9C"/>
    <w:rsid w:val="310E1ED0"/>
    <w:rsid w:val="31132910"/>
    <w:rsid w:val="312824B9"/>
    <w:rsid w:val="313145EE"/>
    <w:rsid w:val="3132639B"/>
    <w:rsid w:val="31436989"/>
    <w:rsid w:val="31841037"/>
    <w:rsid w:val="31BF5D2C"/>
    <w:rsid w:val="31F1336E"/>
    <w:rsid w:val="31F83313"/>
    <w:rsid w:val="31F8762B"/>
    <w:rsid w:val="326136CC"/>
    <w:rsid w:val="32897912"/>
    <w:rsid w:val="32BA118F"/>
    <w:rsid w:val="32D63C1D"/>
    <w:rsid w:val="330E785B"/>
    <w:rsid w:val="33377124"/>
    <w:rsid w:val="33476306"/>
    <w:rsid w:val="334A0B80"/>
    <w:rsid w:val="336D4FD3"/>
    <w:rsid w:val="33756463"/>
    <w:rsid w:val="33AB0D7B"/>
    <w:rsid w:val="33B864AF"/>
    <w:rsid w:val="33BE1416"/>
    <w:rsid w:val="34324D15"/>
    <w:rsid w:val="34634F0C"/>
    <w:rsid w:val="34897C8A"/>
    <w:rsid w:val="349473BB"/>
    <w:rsid w:val="34AE1AED"/>
    <w:rsid w:val="34BA1658"/>
    <w:rsid w:val="34CA00E8"/>
    <w:rsid w:val="3514040E"/>
    <w:rsid w:val="351A75D6"/>
    <w:rsid w:val="352875CB"/>
    <w:rsid w:val="353C140A"/>
    <w:rsid w:val="35943A4E"/>
    <w:rsid w:val="35B018F6"/>
    <w:rsid w:val="35C7294F"/>
    <w:rsid w:val="35CD752C"/>
    <w:rsid w:val="363A05FC"/>
    <w:rsid w:val="364957D6"/>
    <w:rsid w:val="366014A2"/>
    <w:rsid w:val="366062BE"/>
    <w:rsid w:val="366318CF"/>
    <w:rsid w:val="369C240F"/>
    <w:rsid w:val="36B427C0"/>
    <w:rsid w:val="36CF5BB1"/>
    <w:rsid w:val="36E310FD"/>
    <w:rsid w:val="371C4BFF"/>
    <w:rsid w:val="37D35CA7"/>
    <w:rsid w:val="37EA25B2"/>
    <w:rsid w:val="381074A3"/>
    <w:rsid w:val="382A33BD"/>
    <w:rsid w:val="382A633D"/>
    <w:rsid w:val="386447B5"/>
    <w:rsid w:val="38731D6E"/>
    <w:rsid w:val="38756853"/>
    <w:rsid w:val="389F0D87"/>
    <w:rsid w:val="38B35E5F"/>
    <w:rsid w:val="38C61663"/>
    <w:rsid w:val="38D41721"/>
    <w:rsid w:val="38D87A7A"/>
    <w:rsid w:val="38F126CB"/>
    <w:rsid w:val="390E689F"/>
    <w:rsid w:val="39111DB4"/>
    <w:rsid w:val="39B30B81"/>
    <w:rsid w:val="39BB580B"/>
    <w:rsid w:val="3A4B17A5"/>
    <w:rsid w:val="3A5E2E76"/>
    <w:rsid w:val="3A960061"/>
    <w:rsid w:val="3AB35415"/>
    <w:rsid w:val="3ACA58E5"/>
    <w:rsid w:val="3B021405"/>
    <w:rsid w:val="3B0767A9"/>
    <w:rsid w:val="3B0B1E52"/>
    <w:rsid w:val="3B106D64"/>
    <w:rsid w:val="3B563116"/>
    <w:rsid w:val="3B7C5965"/>
    <w:rsid w:val="3BC36384"/>
    <w:rsid w:val="3BF1098B"/>
    <w:rsid w:val="3BFC1957"/>
    <w:rsid w:val="3C0015B6"/>
    <w:rsid w:val="3C4B11D8"/>
    <w:rsid w:val="3C4F122C"/>
    <w:rsid w:val="3C7B1161"/>
    <w:rsid w:val="3C7E28AD"/>
    <w:rsid w:val="3CB567B0"/>
    <w:rsid w:val="3CCF022F"/>
    <w:rsid w:val="3CF35416"/>
    <w:rsid w:val="3CFF77CB"/>
    <w:rsid w:val="3D5C53E6"/>
    <w:rsid w:val="3D840E45"/>
    <w:rsid w:val="3D8E349F"/>
    <w:rsid w:val="3E4D64A9"/>
    <w:rsid w:val="3E536041"/>
    <w:rsid w:val="3E764C79"/>
    <w:rsid w:val="3EA42AF4"/>
    <w:rsid w:val="3EA712B7"/>
    <w:rsid w:val="3F004CA8"/>
    <w:rsid w:val="3F022049"/>
    <w:rsid w:val="3F0B1507"/>
    <w:rsid w:val="3F212D1C"/>
    <w:rsid w:val="3F5335B0"/>
    <w:rsid w:val="3F84587D"/>
    <w:rsid w:val="3F8459E8"/>
    <w:rsid w:val="3FA93B90"/>
    <w:rsid w:val="3FAD774D"/>
    <w:rsid w:val="3FCA2EBD"/>
    <w:rsid w:val="3FD31D82"/>
    <w:rsid w:val="40180EB2"/>
    <w:rsid w:val="401D28BB"/>
    <w:rsid w:val="402913AD"/>
    <w:rsid w:val="402E2B3B"/>
    <w:rsid w:val="4044340A"/>
    <w:rsid w:val="40495DFF"/>
    <w:rsid w:val="40687B3F"/>
    <w:rsid w:val="406958C9"/>
    <w:rsid w:val="40AC2B09"/>
    <w:rsid w:val="40AF7D31"/>
    <w:rsid w:val="40B01FE0"/>
    <w:rsid w:val="40EA07A3"/>
    <w:rsid w:val="40EA7508"/>
    <w:rsid w:val="41150A6D"/>
    <w:rsid w:val="412D7108"/>
    <w:rsid w:val="41375C29"/>
    <w:rsid w:val="413A30A7"/>
    <w:rsid w:val="416A4A30"/>
    <w:rsid w:val="419F292A"/>
    <w:rsid w:val="41B0093E"/>
    <w:rsid w:val="41B11ADD"/>
    <w:rsid w:val="41C04416"/>
    <w:rsid w:val="426C699A"/>
    <w:rsid w:val="42EA4097"/>
    <w:rsid w:val="42EB7271"/>
    <w:rsid w:val="433371AF"/>
    <w:rsid w:val="43523DC4"/>
    <w:rsid w:val="43D555FF"/>
    <w:rsid w:val="43D73A2F"/>
    <w:rsid w:val="440062D4"/>
    <w:rsid w:val="44693B5C"/>
    <w:rsid w:val="44AC7321"/>
    <w:rsid w:val="44BB2CD2"/>
    <w:rsid w:val="44D70D31"/>
    <w:rsid w:val="45331A53"/>
    <w:rsid w:val="45390C72"/>
    <w:rsid w:val="453B2488"/>
    <w:rsid w:val="454C5B47"/>
    <w:rsid w:val="454E7F1F"/>
    <w:rsid w:val="457559B9"/>
    <w:rsid w:val="457C79AC"/>
    <w:rsid w:val="45B1654F"/>
    <w:rsid w:val="45B66F29"/>
    <w:rsid w:val="45DD6B66"/>
    <w:rsid w:val="46166234"/>
    <w:rsid w:val="461838FB"/>
    <w:rsid w:val="462F1BFA"/>
    <w:rsid w:val="46906A76"/>
    <w:rsid w:val="46A8181B"/>
    <w:rsid w:val="46E53A1A"/>
    <w:rsid w:val="47611E4F"/>
    <w:rsid w:val="477300A6"/>
    <w:rsid w:val="47BC7378"/>
    <w:rsid w:val="47DC26E0"/>
    <w:rsid w:val="47DD6325"/>
    <w:rsid w:val="4857239F"/>
    <w:rsid w:val="487716D6"/>
    <w:rsid w:val="48B36F8C"/>
    <w:rsid w:val="49045F3B"/>
    <w:rsid w:val="49226A06"/>
    <w:rsid w:val="49383D0D"/>
    <w:rsid w:val="4940230C"/>
    <w:rsid w:val="498C4204"/>
    <w:rsid w:val="49A402E9"/>
    <w:rsid w:val="49F556AA"/>
    <w:rsid w:val="49F63603"/>
    <w:rsid w:val="4A2067EE"/>
    <w:rsid w:val="4A850B95"/>
    <w:rsid w:val="4A970F3D"/>
    <w:rsid w:val="4AC45B10"/>
    <w:rsid w:val="4B113BF2"/>
    <w:rsid w:val="4B255AB1"/>
    <w:rsid w:val="4B2B3929"/>
    <w:rsid w:val="4B511371"/>
    <w:rsid w:val="4B652F13"/>
    <w:rsid w:val="4B9C55AC"/>
    <w:rsid w:val="4BA9280D"/>
    <w:rsid w:val="4BA9394F"/>
    <w:rsid w:val="4BB275BF"/>
    <w:rsid w:val="4BC33909"/>
    <w:rsid w:val="4BC72FCF"/>
    <w:rsid w:val="4BEA6D44"/>
    <w:rsid w:val="4BF86C6F"/>
    <w:rsid w:val="4C07336D"/>
    <w:rsid w:val="4C0741DA"/>
    <w:rsid w:val="4C4A3527"/>
    <w:rsid w:val="4C5D11DF"/>
    <w:rsid w:val="4C83437C"/>
    <w:rsid w:val="4D4B73D8"/>
    <w:rsid w:val="4D502AF2"/>
    <w:rsid w:val="4D5213E4"/>
    <w:rsid w:val="4D741B0F"/>
    <w:rsid w:val="4DA32533"/>
    <w:rsid w:val="4E8B1E12"/>
    <w:rsid w:val="4EFD6647"/>
    <w:rsid w:val="4F127306"/>
    <w:rsid w:val="4F142F0B"/>
    <w:rsid w:val="4F15796C"/>
    <w:rsid w:val="4F244AC7"/>
    <w:rsid w:val="4F3605B7"/>
    <w:rsid w:val="4F553EFF"/>
    <w:rsid w:val="4F9671EF"/>
    <w:rsid w:val="4FB629B4"/>
    <w:rsid w:val="4FC5352D"/>
    <w:rsid w:val="4FE90329"/>
    <w:rsid w:val="4FF210FB"/>
    <w:rsid w:val="50235261"/>
    <w:rsid w:val="503111D0"/>
    <w:rsid w:val="50367EF2"/>
    <w:rsid w:val="50431DDF"/>
    <w:rsid w:val="50A33261"/>
    <w:rsid w:val="50C02F04"/>
    <w:rsid w:val="50C86E43"/>
    <w:rsid w:val="50EE4E6D"/>
    <w:rsid w:val="510258D9"/>
    <w:rsid w:val="51081D45"/>
    <w:rsid w:val="512C0F74"/>
    <w:rsid w:val="514F4A5B"/>
    <w:rsid w:val="5173722C"/>
    <w:rsid w:val="51964F16"/>
    <w:rsid w:val="51CB36BA"/>
    <w:rsid w:val="52352C15"/>
    <w:rsid w:val="529251C4"/>
    <w:rsid w:val="529831E5"/>
    <w:rsid w:val="52A36FA3"/>
    <w:rsid w:val="52C01722"/>
    <w:rsid w:val="52CF05DB"/>
    <w:rsid w:val="52FE4006"/>
    <w:rsid w:val="52FF0427"/>
    <w:rsid w:val="53194663"/>
    <w:rsid w:val="533C5323"/>
    <w:rsid w:val="534554F2"/>
    <w:rsid w:val="534678A8"/>
    <w:rsid w:val="534B47C5"/>
    <w:rsid w:val="53A44F5A"/>
    <w:rsid w:val="53BB6724"/>
    <w:rsid w:val="53F73946"/>
    <w:rsid w:val="5422307A"/>
    <w:rsid w:val="543028D1"/>
    <w:rsid w:val="5439457B"/>
    <w:rsid w:val="545B590E"/>
    <w:rsid w:val="546F0026"/>
    <w:rsid w:val="547C44B5"/>
    <w:rsid w:val="54815C8D"/>
    <w:rsid w:val="549078B3"/>
    <w:rsid w:val="54AA1E56"/>
    <w:rsid w:val="54B86B27"/>
    <w:rsid w:val="54C33BA9"/>
    <w:rsid w:val="54C77C41"/>
    <w:rsid w:val="54D57048"/>
    <w:rsid w:val="54E45B41"/>
    <w:rsid w:val="55271749"/>
    <w:rsid w:val="556A1333"/>
    <w:rsid w:val="55AB2E37"/>
    <w:rsid w:val="55F43034"/>
    <w:rsid w:val="56187267"/>
    <w:rsid w:val="564F5B2A"/>
    <w:rsid w:val="566B176B"/>
    <w:rsid w:val="56B00F0F"/>
    <w:rsid w:val="56DB6758"/>
    <w:rsid w:val="56F13A1F"/>
    <w:rsid w:val="570A2411"/>
    <w:rsid w:val="57336E13"/>
    <w:rsid w:val="577C037B"/>
    <w:rsid w:val="57830F51"/>
    <w:rsid w:val="579876DC"/>
    <w:rsid w:val="57B70730"/>
    <w:rsid w:val="57CA6432"/>
    <w:rsid w:val="57D912C4"/>
    <w:rsid w:val="57EA1C17"/>
    <w:rsid w:val="57FF756F"/>
    <w:rsid w:val="582A4940"/>
    <w:rsid w:val="582B14B5"/>
    <w:rsid w:val="583938B0"/>
    <w:rsid w:val="58501654"/>
    <w:rsid w:val="5892714A"/>
    <w:rsid w:val="589E610E"/>
    <w:rsid w:val="58C70972"/>
    <w:rsid w:val="58E1406B"/>
    <w:rsid w:val="58E37BA2"/>
    <w:rsid w:val="58EA5F3F"/>
    <w:rsid w:val="59145347"/>
    <w:rsid w:val="591A3FB4"/>
    <w:rsid w:val="591B41E6"/>
    <w:rsid w:val="59441031"/>
    <w:rsid w:val="597B1175"/>
    <w:rsid w:val="597C16EE"/>
    <w:rsid w:val="59D10BED"/>
    <w:rsid w:val="59D36626"/>
    <w:rsid w:val="59DD570D"/>
    <w:rsid w:val="59E303F0"/>
    <w:rsid w:val="59EA1B83"/>
    <w:rsid w:val="5A2B3678"/>
    <w:rsid w:val="5A4E2167"/>
    <w:rsid w:val="5A5C4C66"/>
    <w:rsid w:val="5A804B5B"/>
    <w:rsid w:val="5AC129EF"/>
    <w:rsid w:val="5AD7118D"/>
    <w:rsid w:val="5ADE1B0D"/>
    <w:rsid w:val="5AFA24ED"/>
    <w:rsid w:val="5B0E7850"/>
    <w:rsid w:val="5B304098"/>
    <w:rsid w:val="5B351ABB"/>
    <w:rsid w:val="5B761A84"/>
    <w:rsid w:val="5B8B515E"/>
    <w:rsid w:val="5B917B28"/>
    <w:rsid w:val="5BBF3119"/>
    <w:rsid w:val="5BEF4F47"/>
    <w:rsid w:val="5BF01C38"/>
    <w:rsid w:val="5C143DAB"/>
    <w:rsid w:val="5C172FBA"/>
    <w:rsid w:val="5C1812C0"/>
    <w:rsid w:val="5C1D436E"/>
    <w:rsid w:val="5C38391D"/>
    <w:rsid w:val="5C426374"/>
    <w:rsid w:val="5CA42280"/>
    <w:rsid w:val="5D4D56DA"/>
    <w:rsid w:val="5D787895"/>
    <w:rsid w:val="5DE5477B"/>
    <w:rsid w:val="5DF72805"/>
    <w:rsid w:val="5E295146"/>
    <w:rsid w:val="5E3124BD"/>
    <w:rsid w:val="5E3B66CA"/>
    <w:rsid w:val="5E5C15ED"/>
    <w:rsid w:val="5E5C45B3"/>
    <w:rsid w:val="5EAA4A39"/>
    <w:rsid w:val="5EB46155"/>
    <w:rsid w:val="5EF23EE8"/>
    <w:rsid w:val="5EFA55C1"/>
    <w:rsid w:val="5F1B2CDF"/>
    <w:rsid w:val="5F2D4F70"/>
    <w:rsid w:val="5F3B74A2"/>
    <w:rsid w:val="5F637D2F"/>
    <w:rsid w:val="5F7628F6"/>
    <w:rsid w:val="5FCC5B31"/>
    <w:rsid w:val="604008D3"/>
    <w:rsid w:val="604F12F6"/>
    <w:rsid w:val="606C77EB"/>
    <w:rsid w:val="608C4842"/>
    <w:rsid w:val="60C364C4"/>
    <w:rsid w:val="60CB090D"/>
    <w:rsid w:val="60E71377"/>
    <w:rsid w:val="614038BA"/>
    <w:rsid w:val="61573ED9"/>
    <w:rsid w:val="6158030E"/>
    <w:rsid w:val="618B1AD4"/>
    <w:rsid w:val="61EC2A01"/>
    <w:rsid w:val="61F2446A"/>
    <w:rsid w:val="622D15EE"/>
    <w:rsid w:val="62587B5C"/>
    <w:rsid w:val="626223DA"/>
    <w:rsid w:val="62642845"/>
    <w:rsid w:val="62976520"/>
    <w:rsid w:val="62F43E72"/>
    <w:rsid w:val="62F907EA"/>
    <w:rsid w:val="634828BA"/>
    <w:rsid w:val="634C21F2"/>
    <w:rsid w:val="63530C1E"/>
    <w:rsid w:val="63D26477"/>
    <w:rsid w:val="63D370A6"/>
    <w:rsid w:val="640D4647"/>
    <w:rsid w:val="64477400"/>
    <w:rsid w:val="644D60AC"/>
    <w:rsid w:val="645A6E63"/>
    <w:rsid w:val="647257B0"/>
    <w:rsid w:val="6477459F"/>
    <w:rsid w:val="6481764F"/>
    <w:rsid w:val="649467B0"/>
    <w:rsid w:val="64954921"/>
    <w:rsid w:val="64D56159"/>
    <w:rsid w:val="64D854B8"/>
    <w:rsid w:val="64E16774"/>
    <w:rsid w:val="64ED1273"/>
    <w:rsid w:val="650C48DD"/>
    <w:rsid w:val="651E708C"/>
    <w:rsid w:val="653B7602"/>
    <w:rsid w:val="654076EC"/>
    <w:rsid w:val="6566441C"/>
    <w:rsid w:val="656D5A1D"/>
    <w:rsid w:val="65B72FB4"/>
    <w:rsid w:val="65D874ED"/>
    <w:rsid w:val="65DD1ED5"/>
    <w:rsid w:val="65E46075"/>
    <w:rsid w:val="6624206B"/>
    <w:rsid w:val="6642143C"/>
    <w:rsid w:val="665B13C5"/>
    <w:rsid w:val="668325F8"/>
    <w:rsid w:val="66ED4352"/>
    <w:rsid w:val="66F84133"/>
    <w:rsid w:val="671B1104"/>
    <w:rsid w:val="672238D8"/>
    <w:rsid w:val="676E2090"/>
    <w:rsid w:val="67951345"/>
    <w:rsid w:val="67E70585"/>
    <w:rsid w:val="67EB1F53"/>
    <w:rsid w:val="6819065B"/>
    <w:rsid w:val="68314D7E"/>
    <w:rsid w:val="68853EFE"/>
    <w:rsid w:val="689067FA"/>
    <w:rsid w:val="68E32614"/>
    <w:rsid w:val="698379D1"/>
    <w:rsid w:val="6A0F4F53"/>
    <w:rsid w:val="6A392864"/>
    <w:rsid w:val="6A3E6605"/>
    <w:rsid w:val="6A5357C2"/>
    <w:rsid w:val="6A5400BE"/>
    <w:rsid w:val="6A6B1E68"/>
    <w:rsid w:val="6A873B01"/>
    <w:rsid w:val="6AB409F6"/>
    <w:rsid w:val="6ACA3980"/>
    <w:rsid w:val="6AEF43E2"/>
    <w:rsid w:val="6B1F3D3B"/>
    <w:rsid w:val="6B311331"/>
    <w:rsid w:val="6B47519F"/>
    <w:rsid w:val="6B58619F"/>
    <w:rsid w:val="6B6B117E"/>
    <w:rsid w:val="6BAC0DAC"/>
    <w:rsid w:val="6BAC47D7"/>
    <w:rsid w:val="6BF8364A"/>
    <w:rsid w:val="6C0512FC"/>
    <w:rsid w:val="6C1D0840"/>
    <w:rsid w:val="6C430A2F"/>
    <w:rsid w:val="6C8960A3"/>
    <w:rsid w:val="6C901E89"/>
    <w:rsid w:val="6CBE332D"/>
    <w:rsid w:val="6CD940F9"/>
    <w:rsid w:val="6CDD5127"/>
    <w:rsid w:val="6CDF61DC"/>
    <w:rsid w:val="6CEC2FC6"/>
    <w:rsid w:val="6D282CEC"/>
    <w:rsid w:val="6D703CD5"/>
    <w:rsid w:val="6D866588"/>
    <w:rsid w:val="6DB25791"/>
    <w:rsid w:val="6DC02D4B"/>
    <w:rsid w:val="6DC56975"/>
    <w:rsid w:val="6DF469D6"/>
    <w:rsid w:val="6E0D7A82"/>
    <w:rsid w:val="6E590D98"/>
    <w:rsid w:val="6ED73C06"/>
    <w:rsid w:val="6EE04D35"/>
    <w:rsid w:val="6EE07455"/>
    <w:rsid w:val="6F282B2F"/>
    <w:rsid w:val="6F3B7F09"/>
    <w:rsid w:val="6F3C288E"/>
    <w:rsid w:val="6F3E2352"/>
    <w:rsid w:val="6F6618A9"/>
    <w:rsid w:val="6F7536BF"/>
    <w:rsid w:val="6F812B02"/>
    <w:rsid w:val="6FD91A8A"/>
    <w:rsid w:val="6FE02EE2"/>
    <w:rsid w:val="70556126"/>
    <w:rsid w:val="70661D48"/>
    <w:rsid w:val="70BD4A19"/>
    <w:rsid w:val="70C86C1F"/>
    <w:rsid w:val="70D638A5"/>
    <w:rsid w:val="70FD3989"/>
    <w:rsid w:val="710B2708"/>
    <w:rsid w:val="71325EE7"/>
    <w:rsid w:val="713D310E"/>
    <w:rsid w:val="71511E10"/>
    <w:rsid w:val="727C1001"/>
    <w:rsid w:val="72964253"/>
    <w:rsid w:val="729E195F"/>
    <w:rsid w:val="730065DA"/>
    <w:rsid w:val="73244934"/>
    <w:rsid w:val="73EA2BB4"/>
    <w:rsid w:val="73EA2D3E"/>
    <w:rsid w:val="73F66817"/>
    <w:rsid w:val="741246D7"/>
    <w:rsid w:val="744B7032"/>
    <w:rsid w:val="74640D85"/>
    <w:rsid w:val="746E5488"/>
    <w:rsid w:val="74A868DA"/>
    <w:rsid w:val="74F27E04"/>
    <w:rsid w:val="75045B10"/>
    <w:rsid w:val="752957D6"/>
    <w:rsid w:val="753349CF"/>
    <w:rsid w:val="7573643C"/>
    <w:rsid w:val="758518F0"/>
    <w:rsid w:val="75A571F4"/>
    <w:rsid w:val="75E61424"/>
    <w:rsid w:val="761D45F9"/>
    <w:rsid w:val="762B48DE"/>
    <w:rsid w:val="763D775A"/>
    <w:rsid w:val="76484B73"/>
    <w:rsid w:val="764D1ECA"/>
    <w:rsid w:val="76664D73"/>
    <w:rsid w:val="76E96C0C"/>
    <w:rsid w:val="76EF6EBD"/>
    <w:rsid w:val="7706418A"/>
    <w:rsid w:val="771114D8"/>
    <w:rsid w:val="780026F1"/>
    <w:rsid w:val="78537E3E"/>
    <w:rsid w:val="785A0829"/>
    <w:rsid w:val="7879089F"/>
    <w:rsid w:val="78A0407E"/>
    <w:rsid w:val="78C8198A"/>
    <w:rsid w:val="78D678A0"/>
    <w:rsid w:val="78F366A1"/>
    <w:rsid w:val="78FD327E"/>
    <w:rsid w:val="78FF6981"/>
    <w:rsid w:val="79275EA1"/>
    <w:rsid w:val="79973769"/>
    <w:rsid w:val="79C17A1C"/>
    <w:rsid w:val="7A5B64AE"/>
    <w:rsid w:val="7AB901A0"/>
    <w:rsid w:val="7ABB200E"/>
    <w:rsid w:val="7AF661D7"/>
    <w:rsid w:val="7B0C0CDF"/>
    <w:rsid w:val="7B1328AB"/>
    <w:rsid w:val="7B623910"/>
    <w:rsid w:val="7B937ECA"/>
    <w:rsid w:val="7BA31B33"/>
    <w:rsid w:val="7BB3322A"/>
    <w:rsid w:val="7C11714A"/>
    <w:rsid w:val="7C4A52B3"/>
    <w:rsid w:val="7C647170"/>
    <w:rsid w:val="7C700E7C"/>
    <w:rsid w:val="7C741FFA"/>
    <w:rsid w:val="7CB650A7"/>
    <w:rsid w:val="7CBB01A1"/>
    <w:rsid w:val="7CC7751F"/>
    <w:rsid w:val="7CCB5D73"/>
    <w:rsid w:val="7CEC69AD"/>
    <w:rsid w:val="7D0160A8"/>
    <w:rsid w:val="7D0C4C05"/>
    <w:rsid w:val="7D0D09C9"/>
    <w:rsid w:val="7D0F35BE"/>
    <w:rsid w:val="7D341239"/>
    <w:rsid w:val="7D6273C4"/>
    <w:rsid w:val="7D6B2CF5"/>
    <w:rsid w:val="7D8D5C57"/>
    <w:rsid w:val="7DB45956"/>
    <w:rsid w:val="7DDB1B00"/>
    <w:rsid w:val="7DFD162B"/>
    <w:rsid w:val="7E241953"/>
    <w:rsid w:val="7E3A7951"/>
    <w:rsid w:val="7E8F5479"/>
    <w:rsid w:val="7EB11EEF"/>
    <w:rsid w:val="7EB629DA"/>
    <w:rsid w:val="7EB82636"/>
    <w:rsid w:val="7EDA4F01"/>
    <w:rsid w:val="7EE6724D"/>
    <w:rsid w:val="7F0F39F3"/>
    <w:rsid w:val="7F2168FD"/>
    <w:rsid w:val="7F2F03F6"/>
    <w:rsid w:val="7F875650"/>
    <w:rsid w:val="7F9107F1"/>
    <w:rsid w:val="7FAA46E9"/>
    <w:rsid w:val="7FC81373"/>
    <w:rsid w:val="7FFF07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autoRedefine/>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6"/>
    <w:link w:val="46"/>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38">
    <w:name w:val="Default Paragraph Font"/>
    <w:autoRedefine/>
    <w:semiHidden/>
    <w:qFormat/>
    <w:uiPriority w:val="0"/>
  </w:style>
  <w:style w:type="table" w:default="1" w:styleId="36">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3"/>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39"/>
    <w:pPr>
      <w:ind w:left="840" w:leftChars="400"/>
    </w:pPr>
  </w:style>
  <w:style w:type="paragraph" w:styleId="6">
    <w:name w:val="Normal Indent"/>
    <w:basedOn w:val="1"/>
    <w:link w:val="47"/>
    <w:autoRedefine/>
    <w:qFormat/>
    <w:uiPriority w:val="0"/>
    <w:pPr>
      <w:ind w:firstLine="420"/>
    </w:pPr>
    <w:rPr>
      <w:rFonts w:eastAsia="宋体"/>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autoRedefine/>
    <w:semiHidden/>
    <w:qFormat/>
    <w:uiPriority w:val="0"/>
    <w:pPr>
      <w:jc w:val="left"/>
    </w:pPr>
  </w:style>
  <w:style w:type="paragraph" w:styleId="11">
    <w:name w:val="Body Text 3"/>
    <w:basedOn w:val="1"/>
    <w:autoRedefine/>
    <w:qFormat/>
    <w:uiPriority w:val="0"/>
    <w:pPr>
      <w:spacing w:after="120" w:afterLines="0"/>
    </w:pPr>
    <w:rPr>
      <w:sz w:val="16"/>
      <w:szCs w:val="16"/>
    </w:rPr>
  </w:style>
  <w:style w:type="paragraph" w:styleId="12">
    <w:name w:val="Body Text"/>
    <w:basedOn w:val="1"/>
    <w:next w:val="13"/>
    <w:autoRedefine/>
    <w:qFormat/>
    <w:uiPriority w:val="0"/>
    <w:pPr>
      <w:spacing w:after="120"/>
    </w:pPr>
  </w:style>
  <w:style w:type="paragraph" w:styleId="13">
    <w:name w:val="Body Text First Indent"/>
    <w:basedOn w:val="12"/>
    <w:autoRedefine/>
    <w:qFormat/>
    <w:uiPriority w:val="0"/>
    <w:pPr>
      <w:autoSpaceDE/>
      <w:autoSpaceDN/>
      <w:adjustRightInd/>
      <w:spacing w:after="120" w:line="240" w:lineRule="auto"/>
      <w:ind w:firstLine="420" w:firstLineChars="100"/>
      <w:jc w:val="both"/>
    </w:pPr>
    <w:rPr>
      <w:kern w:val="2"/>
      <w:sz w:val="21"/>
    </w:rPr>
  </w:style>
  <w:style w:type="paragraph" w:styleId="14">
    <w:name w:val="Body Text Indent"/>
    <w:basedOn w:val="1"/>
    <w:link w:val="48"/>
    <w:autoRedefine/>
    <w:qFormat/>
    <w:uiPriority w:val="0"/>
    <w:pPr>
      <w:spacing w:line="360" w:lineRule="auto"/>
      <w:ind w:firstLine="600" w:firstLineChars="200"/>
    </w:pPr>
    <w:rPr>
      <w:rFonts w:ascii="仿宋_GB2312" w:hAnsi="宋体" w:eastAsia="仿宋_GB2312"/>
      <w:sz w:val="30"/>
    </w:rPr>
  </w:style>
  <w:style w:type="paragraph" w:styleId="15">
    <w:name w:val="List 2"/>
    <w:basedOn w:val="1"/>
    <w:autoRedefine/>
    <w:qFormat/>
    <w:uiPriority w:val="0"/>
    <w:pPr>
      <w:ind w:left="100" w:leftChars="200" w:hanging="200" w:hangingChars="200"/>
    </w:pPr>
    <w:rPr>
      <w:rFonts w:ascii="Times New Roman" w:hAnsi="Times New Roman"/>
    </w:rPr>
  </w:style>
  <w:style w:type="paragraph" w:styleId="16">
    <w:name w:val="Block Text"/>
    <w:basedOn w:val="1"/>
    <w:autoRedefine/>
    <w:unhideWhenUsed/>
    <w:qFormat/>
    <w:uiPriority w:val="99"/>
    <w:pPr>
      <w:ind w:left="-718" w:leftChars="-342" w:right="-512" w:rightChars="-244" w:firstLine="560" w:firstLineChars="200"/>
    </w:pPr>
    <w:rPr>
      <w:sz w:val="28"/>
    </w:rPr>
  </w:style>
  <w:style w:type="paragraph" w:styleId="17">
    <w:name w:val="Plain Text"/>
    <w:basedOn w:val="1"/>
    <w:next w:val="18"/>
    <w:link w:val="49"/>
    <w:autoRedefine/>
    <w:qFormat/>
    <w:uiPriority w:val="0"/>
    <w:pPr>
      <w:spacing w:before="156" w:beforeLines="50" w:after="156" w:afterLines="50" w:line="400" w:lineRule="exact"/>
    </w:pPr>
    <w:rPr>
      <w:rFonts w:ascii="宋体" w:hAnsi="Courier New" w:eastAsia="宋体"/>
      <w:sz w:val="24"/>
    </w:rPr>
  </w:style>
  <w:style w:type="paragraph" w:styleId="18">
    <w:name w:val="Date"/>
    <w:basedOn w:val="1"/>
    <w:next w:val="1"/>
    <w:link w:val="50"/>
    <w:autoRedefine/>
    <w:qFormat/>
    <w:uiPriority w:val="0"/>
    <w:pPr>
      <w:ind w:left="100" w:leftChars="2500"/>
    </w:pPr>
    <w:rPr>
      <w:rFonts w:ascii="仿宋_GB2312" w:hAnsi="宋体" w:eastAsia="仿宋_GB2312"/>
      <w:sz w:val="30"/>
    </w:rPr>
  </w:style>
  <w:style w:type="paragraph" w:styleId="19">
    <w:name w:val="Body Text Indent 2"/>
    <w:basedOn w:val="1"/>
    <w:autoRedefine/>
    <w:qFormat/>
    <w:uiPriority w:val="0"/>
    <w:pPr>
      <w:spacing w:after="120" w:line="480" w:lineRule="auto"/>
      <w:ind w:left="420" w:leftChars="200"/>
    </w:pPr>
  </w:style>
  <w:style w:type="paragraph" w:styleId="20">
    <w:name w:val="Balloon Text"/>
    <w:basedOn w:val="1"/>
    <w:autoRedefine/>
    <w:semiHidden/>
    <w:qFormat/>
    <w:uiPriority w:val="0"/>
    <w:rPr>
      <w:sz w:val="18"/>
      <w:szCs w:val="18"/>
    </w:rPr>
  </w:style>
  <w:style w:type="paragraph" w:styleId="21">
    <w:name w:val="footer"/>
    <w:basedOn w:val="1"/>
    <w:link w:val="51"/>
    <w:autoRedefine/>
    <w:qFormat/>
    <w:uiPriority w:val="99"/>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toc 4"/>
    <w:basedOn w:val="1"/>
    <w:next w:val="1"/>
    <w:autoRedefine/>
    <w:qFormat/>
    <w:uiPriority w:val="39"/>
    <w:pPr>
      <w:widowControl w:val="0"/>
      <w:ind w:left="420"/>
    </w:pPr>
    <w:rPr>
      <w:rFonts w:ascii="Calibri" w:hAnsi="Calibri" w:cs="Calibri"/>
      <w:kern w:val="2"/>
      <w:sz w:val="20"/>
      <w:szCs w:val="20"/>
    </w:rPr>
  </w:style>
  <w:style w:type="paragraph" w:styleId="26">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7">
    <w:name w:val="Body Text Indent 3"/>
    <w:basedOn w:val="1"/>
    <w:link w:val="52"/>
    <w:autoRedefine/>
    <w:qFormat/>
    <w:uiPriority w:val="0"/>
    <w:pPr>
      <w:spacing w:after="120"/>
      <w:ind w:left="420" w:leftChars="200"/>
    </w:pPr>
    <w:rPr>
      <w:sz w:val="16"/>
      <w:szCs w:val="16"/>
    </w:rPr>
  </w:style>
  <w:style w:type="paragraph" w:styleId="28">
    <w:name w:val="toc 2"/>
    <w:basedOn w:val="1"/>
    <w:next w:val="1"/>
    <w:autoRedefine/>
    <w:qFormat/>
    <w:uiPriority w:val="39"/>
    <w:pPr>
      <w:ind w:left="420" w:leftChars="200"/>
    </w:pPr>
  </w:style>
  <w:style w:type="paragraph" w:styleId="29">
    <w:name w:val="Body Text 2"/>
    <w:basedOn w:val="1"/>
    <w:qFormat/>
    <w:uiPriority w:val="0"/>
    <w:pPr>
      <w:spacing w:after="120" w:line="480" w:lineRule="auto"/>
    </w:pPr>
  </w:style>
  <w:style w:type="paragraph" w:styleId="30">
    <w:name w:val="List 4"/>
    <w:basedOn w:val="1"/>
    <w:autoRedefine/>
    <w:qFormat/>
    <w:uiPriority w:val="0"/>
    <w:pPr>
      <w:ind w:left="100" w:leftChars="600" w:hanging="200" w:hangingChars="200"/>
    </w:pPr>
  </w:style>
  <w:style w:type="paragraph" w:styleId="3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3">
    <w:name w:val="Title"/>
    <w:basedOn w:val="1"/>
    <w:next w:val="1"/>
    <w:link w:val="53"/>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34">
    <w:name w:val="annotation subject"/>
    <w:basedOn w:val="10"/>
    <w:next w:val="10"/>
    <w:autoRedefine/>
    <w:semiHidden/>
    <w:qFormat/>
    <w:uiPriority w:val="0"/>
    <w:rPr>
      <w:b/>
      <w:bCs/>
    </w:rPr>
  </w:style>
  <w:style w:type="paragraph" w:styleId="35">
    <w:name w:val="Body Text First Indent 2"/>
    <w:basedOn w:val="14"/>
    <w:next w:val="1"/>
    <w:link w:val="54"/>
    <w:autoRedefine/>
    <w:qFormat/>
    <w:uiPriority w:val="0"/>
    <w:pPr>
      <w:spacing w:after="120" w:line="240" w:lineRule="auto"/>
      <w:ind w:left="420" w:leftChars="200" w:firstLine="420"/>
    </w:pPr>
    <w:rPr>
      <w:rFonts w:ascii="Times New Roman" w:hAnsi="Times New Roman" w:eastAsia="宋体"/>
      <w:sz w:val="21"/>
    </w:rPr>
  </w:style>
  <w:style w:type="table" w:styleId="37">
    <w:name w:val="Table Grid"/>
    <w:basedOn w:val="3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Emphasis"/>
    <w:basedOn w:val="38"/>
    <w:autoRedefine/>
    <w:qFormat/>
    <w:uiPriority w:val="0"/>
    <w:rPr>
      <w:i/>
    </w:rPr>
  </w:style>
  <w:style w:type="character" w:styleId="42">
    <w:name w:val="Hyperlink"/>
    <w:autoRedefine/>
    <w:qFormat/>
    <w:uiPriority w:val="0"/>
    <w:rPr>
      <w:color w:val="0000FF"/>
      <w:u w:val="single"/>
    </w:rPr>
  </w:style>
  <w:style w:type="character" w:styleId="43">
    <w:name w:val="annotation reference"/>
    <w:autoRedefine/>
    <w:semiHidden/>
    <w:qFormat/>
    <w:uiPriority w:val="0"/>
    <w:rPr>
      <w:sz w:val="21"/>
      <w:szCs w:val="21"/>
    </w:rPr>
  </w:style>
  <w:style w:type="paragraph" w:customStyle="1" w:styleId="44">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customStyle="1" w:styleId="45">
    <w:name w:val="标题 1 Char"/>
    <w:link w:val="4"/>
    <w:autoRedefine/>
    <w:qFormat/>
    <w:uiPriority w:val="0"/>
    <w:rPr>
      <w:b/>
      <w:bCs/>
      <w:kern w:val="44"/>
      <w:sz w:val="44"/>
      <w:szCs w:val="44"/>
    </w:rPr>
  </w:style>
  <w:style w:type="character" w:customStyle="1" w:styleId="46">
    <w:name w:val="标题 2 Char"/>
    <w:link w:val="5"/>
    <w:autoRedefine/>
    <w:qFormat/>
    <w:uiPriority w:val="0"/>
    <w:rPr>
      <w:rFonts w:ascii="Arial" w:hAnsi="Arial" w:eastAsia="黑体"/>
      <w:b/>
      <w:bCs/>
      <w:kern w:val="2"/>
      <w:sz w:val="32"/>
      <w:szCs w:val="32"/>
    </w:rPr>
  </w:style>
  <w:style w:type="character" w:customStyle="1" w:styleId="47">
    <w:name w:val="正文缩进 Char"/>
    <w:link w:val="6"/>
    <w:autoRedefine/>
    <w:qFormat/>
    <w:uiPriority w:val="0"/>
    <w:rPr>
      <w:rFonts w:eastAsia="宋体"/>
      <w:kern w:val="2"/>
      <w:sz w:val="21"/>
      <w:lang w:val="en-US" w:eastAsia="zh-CN" w:bidi="ar-SA"/>
    </w:rPr>
  </w:style>
  <w:style w:type="character" w:customStyle="1" w:styleId="48">
    <w:name w:val="正文文本缩进 Char"/>
    <w:link w:val="14"/>
    <w:autoRedefine/>
    <w:qFormat/>
    <w:uiPriority w:val="0"/>
    <w:rPr>
      <w:rFonts w:ascii="仿宋_GB2312" w:hAnsi="宋体" w:eastAsia="仿宋_GB2312"/>
      <w:kern w:val="2"/>
      <w:sz w:val="30"/>
      <w:szCs w:val="24"/>
    </w:rPr>
  </w:style>
  <w:style w:type="character" w:customStyle="1" w:styleId="49">
    <w:name w:val="纯文本 Char"/>
    <w:link w:val="17"/>
    <w:autoRedefine/>
    <w:qFormat/>
    <w:uiPriority w:val="0"/>
    <w:rPr>
      <w:rFonts w:ascii="宋体" w:hAnsi="Courier New" w:eastAsia="宋体"/>
      <w:kern w:val="2"/>
      <w:sz w:val="24"/>
      <w:szCs w:val="24"/>
      <w:lang w:val="en-US" w:eastAsia="zh-CN" w:bidi="ar-SA"/>
    </w:rPr>
  </w:style>
  <w:style w:type="character" w:customStyle="1" w:styleId="50">
    <w:name w:val="日期 Char"/>
    <w:link w:val="18"/>
    <w:autoRedefine/>
    <w:qFormat/>
    <w:uiPriority w:val="0"/>
    <w:rPr>
      <w:rFonts w:ascii="仿宋_GB2312" w:hAnsi="宋体" w:eastAsia="仿宋_GB2312"/>
      <w:kern w:val="2"/>
      <w:sz w:val="30"/>
      <w:szCs w:val="24"/>
    </w:rPr>
  </w:style>
  <w:style w:type="character" w:customStyle="1" w:styleId="51">
    <w:name w:val="页脚 Char"/>
    <w:link w:val="21"/>
    <w:autoRedefine/>
    <w:qFormat/>
    <w:uiPriority w:val="99"/>
    <w:rPr>
      <w:kern w:val="2"/>
      <w:sz w:val="18"/>
      <w:szCs w:val="18"/>
    </w:rPr>
  </w:style>
  <w:style w:type="character" w:customStyle="1" w:styleId="52">
    <w:name w:val="正文文本缩进 3 Char"/>
    <w:link w:val="27"/>
    <w:autoRedefine/>
    <w:qFormat/>
    <w:uiPriority w:val="0"/>
    <w:rPr>
      <w:kern w:val="2"/>
      <w:sz w:val="16"/>
      <w:szCs w:val="16"/>
    </w:rPr>
  </w:style>
  <w:style w:type="character" w:customStyle="1" w:styleId="53">
    <w:name w:val="标题 Char"/>
    <w:link w:val="33"/>
    <w:autoRedefine/>
    <w:qFormat/>
    <w:uiPriority w:val="0"/>
    <w:rPr>
      <w:b/>
      <w:sz w:val="24"/>
      <w:lang w:val="en-GB"/>
    </w:rPr>
  </w:style>
  <w:style w:type="character" w:customStyle="1" w:styleId="54">
    <w:name w:val="正文首行缩进 2 Char"/>
    <w:link w:val="35"/>
    <w:autoRedefine/>
    <w:qFormat/>
    <w:uiPriority w:val="0"/>
    <w:rPr>
      <w:rFonts w:ascii="仿宋_GB2312" w:hAnsi="宋体" w:eastAsia="仿宋_GB2312"/>
      <w:kern w:val="2"/>
      <w:sz w:val="21"/>
      <w:szCs w:val="24"/>
    </w:rPr>
  </w:style>
  <w:style w:type="paragraph" w:customStyle="1" w:styleId="55">
    <w:name w:val="表格文字"/>
    <w:basedOn w:val="17"/>
    <w:next w:val="12"/>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56">
    <w:name w:val="15"/>
    <w:autoRedefine/>
    <w:qFormat/>
    <w:uiPriority w:val="0"/>
    <w:rPr>
      <w:rFonts w:hint="default" w:ascii="Times New Roman" w:hAnsi="Times New Roman" w:cs="Times New Roman"/>
    </w:rPr>
  </w:style>
  <w:style w:type="character" w:customStyle="1" w:styleId="57">
    <w:name w:val="纯文本 Char1"/>
    <w:autoRedefine/>
    <w:qFormat/>
    <w:uiPriority w:val="0"/>
    <w:rPr>
      <w:rFonts w:ascii="宋体" w:hAnsi="Courier New" w:eastAsia="宋体"/>
      <w:kern w:val="2"/>
      <w:sz w:val="24"/>
      <w:szCs w:val="24"/>
      <w:lang w:val="en-US" w:eastAsia="zh-CN" w:bidi="ar-SA"/>
    </w:rPr>
  </w:style>
  <w:style w:type="character" w:customStyle="1" w:styleId="58">
    <w:name w:val="font11"/>
    <w:basedOn w:val="38"/>
    <w:autoRedefine/>
    <w:qFormat/>
    <w:uiPriority w:val="0"/>
    <w:rPr>
      <w:rFonts w:hint="eastAsia" w:ascii="宋体" w:hAnsi="宋体" w:eastAsia="宋体" w:cs="宋体"/>
      <w:color w:val="000000"/>
      <w:sz w:val="20"/>
      <w:szCs w:val="20"/>
      <w:u w:val="none"/>
    </w:rPr>
  </w:style>
  <w:style w:type="character" w:customStyle="1" w:styleId="59">
    <w:name w:val="ca-4"/>
    <w:autoRedefine/>
    <w:qFormat/>
    <w:uiPriority w:val="0"/>
  </w:style>
  <w:style w:type="character" w:customStyle="1" w:styleId="60">
    <w:name w:val="newsitemtext1"/>
    <w:autoRedefine/>
    <w:qFormat/>
    <w:uiPriority w:val="0"/>
    <w:rPr>
      <w:color w:val="000000"/>
      <w:spacing w:val="320"/>
      <w:sz w:val="21"/>
      <w:szCs w:val="21"/>
    </w:rPr>
  </w:style>
  <w:style w:type="character" w:customStyle="1" w:styleId="61">
    <w:name w:val="font31"/>
    <w:basedOn w:val="38"/>
    <w:autoRedefine/>
    <w:qFormat/>
    <w:uiPriority w:val="0"/>
    <w:rPr>
      <w:rFonts w:hint="eastAsia" w:ascii="宋体" w:hAnsi="宋体" w:eastAsia="宋体" w:cs="宋体"/>
      <w:b/>
      <w:bCs/>
      <w:color w:val="000000"/>
      <w:sz w:val="20"/>
      <w:szCs w:val="20"/>
      <w:u w:val="none"/>
    </w:rPr>
  </w:style>
  <w:style w:type="paragraph" w:styleId="62">
    <w:name w:val="Intense Quote"/>
    <w:basedOn w:val="1"/>
    <w:next w:val="1"/>
    <w:autoRedefine/>
    <w:qFormat/>
    <w:uiPriority w:val="0"/>
    <w:pPr>
      <w:wordWrap w:val="0"/>
      <w:spacing w:before="360" w:after="360" w:line="240" w:lineRule="auto"/>
      <w:ind w:left="950" w:right="950"/>
      <w:jc w:val="center"/>
    </w:pPr>
    <w:rPr>
      <w:rFonts w:ascii="Times New Roman" w:hAnsi="Times New Roman" w:eastAsia="宋体" w:cs="Times New Roman"/>
      <w:i/>
      <w:sz w:val="21"/>
    </w:rPr>
  </w:style>
  <w:style w:type="paragraph" w:customStyle="1" w:styleId="63">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64">
    <w:name w:val="List Paragraph"/>
    <w:basedOn w:val="1"/>
    <w:autoRedefine/>
    <w:qFormat/>
    <w:uiPriority w:val="34"/>
    <w:pPr>
      <w:ind w:firstLine="420" w:firstLineChars="200"/>
    </w:pPr>
  </w:style>
  <w:style w:type="paragraph" w:customStyle="1" w:styleId="65">
    <w:name w:val="Default"/>
    <w:next w:val="62"/>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6">
    <w:name w:val="正文2"/>
    <w:basedOn w:val="1"/>
    <w:autoRedefine/>
    <w:qFormat/>
    <w:uiPriority w:val="0"/>
    <w:pPr>
      <w:spacing w:before="156" w:line="360" w:lineRule="auto"/>
      <w:ind w:firstLine="510" w:firstLineChars="200"/>
    </w:pPr>
    <w:rPr>
      <w:color w:val="auto"/>
      <w:szCs w:val="20"/>
    </w:rPr>
  </w:style>
  <w:style w:type="paragraph" w:customStyle="1" w:styleId="67">
    <w:name w:val="列出段落1"/>
    <w:basedOn w:val="1"/>
    <w:autoRedefine/>
    <w:qFormat/>
    <w:uiPriority w:val="34"/>
    <w:pPr>
      <w:ind w:firstLine="420" w:firstLineChars="200"/>
    </w:pPr>
    <w:rPr>
      <w:rFonts w:ascii="Times New Roman" w:hAnsi="Times New Roman" w:eastAsia="宋体" w:cs="Times New Roman"/>
      <w:sz w:val="28"/>
      <w:szCs w:val="20"/>
    </w:rPr>
  </w:style>
  <w:style w:type="paragraph" w:customStyle="1" w:styleId="68">
    <w:name w:val="正文 A"/>
    <w:basedOn w:val="1"/>
    <w:autoRedefine/>
    <w:qFormat/>
    <w:uiPriority w:val="0"/>
    <w:rPr>
      <w:rFonts w:eastAsia="Arial Unicode MS" w:cs="Arial Unicode MS"/>
      <w:color w:val="000000"/>
      <w:szCs w:val="21"/>
    </w:rPr>
  </w:style>
  <w:style w:type="paragraph" w:customStyle="1" w:styleId="69">
    <w:name w:val="章正文"/>
    <w:basedOn w:val="1"/>
    <w:autoRedefine/>
    <w:qFormat/>
    <w:uiPriority w:val="0"/>
    <w:pPr>
      <w:spacing w:before="156" w:beforeLines="50" w:after="120" w:afterLines="0" w:line="300" w:lineRule="auto"/>
      <w:ind w:firstLine="480"/>
    </w:pPr>
    <w:rPr>
      <w:rFonts w:ascii="Helvetica" w:hAnsi="Helvetica"/>
      <w:kern w:val="0"/>
      <w:sz w:val="24"/>
    </w:rPr>
  </w:style>
  <w:style w:type="paragraph" w:customStyle="1" w:styleId="70">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71">
    <w:name w:val="_Style 1"/>
    <w:basedOn w:val="1"/>
    <w:autoRedefine/>
    <w:qFormat/>
    <w:uiPriority w:val="0"/>
    <w:pPr>
      <w:ind w:firstLine="420" w:firstLineChars="200"/>
    </w:pPr>
    <w:rPr>
      <w:rFonts w:ascii="Calibri" w:hAnsi="Calibri"/>
      <w:szCs w:val="22"/>
    </w:rPr>
  </w:style>
  <w:style w:type="paragraph" w:customStyle="1" w:styleId="7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3">
    <w:name w:val="pa-122"/>
    <w:basedOn w:val="1"/>
    <w:autoRedefine/>
    <w:qFormat/>
    <w:uiPriority w:val="0"/>
    <w:pPr>
      <w:widowControl/>
      <w:spacing w:before="150" w:after="150"/>
      <w:jc w:val="left"/>
    </w:pPr>
    <w:rPr>
      <w:rFonts w:ascii="宋体" w:hAnsi="宋体" w:cs="宋体"/>
      <w:kern w:val="0"/>
      <w:sz w:val="24"/>
    </w:rPr>
  </w:style>
  <w:style w:type="paragraph" w:customStyle="1" w:styleId="74">
    <w:name w:val="_Style 6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0~投标正文"/>
    <w:basedOn w:val="1"/>
    <w:autoRedefine/>
    <w:qFormat/>
    <w:uiPriority w:val="0"/>
    <w:pPr>
      <w:widowControl/>
      <w:ind w:firstLine="200" w:firstLineChars="200"/>
      <w:jc w:val="left"/>
    </w:pPr>
    <w:rPr>
      <w:rFonts w:ascii="宋体" w:hAnsi="宋体" w:cs="宋体"/>
      <w:kern w:val="0"/>
      <w:szCs w:val="24"/>
    </w:rPr>
  </w:style>
  <w:style w:type="paragraph" w:customStyle="1" w:styleId="76">
    <w:name w:val="初设正文"/>
    <w:basedOn w:val="1"/>
    <w:autoRedefine/>
    <w:qFormat/>
    <w:uiPriority w:val="0"/>
    <w:pPr>
      <w:spacing w:line="360" w:lineRule="auto"/>
      <w:ind w:firstLine="200" w:firstLineChars="200"/>
    </w:pPr>
  </w:style>
  <w:style w:type="character" w:customStyle="1" w:styleId="77">
    <w:name w:val="font171"/>
    <w:basedOn w:val="38"/>
    <w:autoRedefine/>
    <w:qFormat/>
    <w:uiPriority w:val="0"/>
    <w:rPr>
      <w:rFonts w:ascii="Symbol" w:hAnsi="Symbol" w:cs="Symbol"/>
      <w:color w:val="000000"/>
      <w:sz w:val="22"/>
      <w:szCs w:val="22"/>
      <w:u w:val="none"/>
    </w:rPr>
  </w:style>
  <w:style w:type="paragraph" w:customStyle="1" w:styleId="78">
    <w:name w:val="Normal"/>
    <w:basedOn w:val="1"/>
    <w:autoRedefine/>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79">
    <w:name w:val="font21"/>
    <w:basedOn w:val="38"/>
    <w:autoRedefine/>
    <w:qFormat/>
    <w:uiPriority w:val="0"/>
    <w:rPr>
      <w:rFonts w:hint="eastAsia" w:ascii="微软雅黑" w:hAnsi="微软雅黑" w:eastAsia="微软雅黑" w:cs="微软雅黑"/>
      <w:color w:val="000000"/>
      <w:sz w:val="16"/>
      <w:szCs w:val="16"/>
      <w:u w:val="none"/>
    </w:rPr>
  </w:style>
  <w:style w:type="paragraph" w:customStyle="1" w:styleId="80">
    <w:name w:val="LS-表格正文"/>
    <w:basedOn w:val="1"/>
    <w:autoRedefine/>
    <w:qFormat/>
    <w:uiPriority w:val="0"/>
    <w:pPr>
      <w:tabs>
        <w:tab w:val="left" w:pos="560"/>
      </w:tabs>
      <w:spacing w:before="100" w:beforeAutospacing="1" w:after="100" w:afterAutospacing="1"/>
      <w:jc w:val="center"/>
    </w:pPr>
    <w:rPr>
      <w:rFonts w:hint="eastAsia" w:ascii="Calibri" w:hAnsi="Calibri"/>
      <w:szCs w:val="22"/>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4941</Words>
  <Characters>5466</Characters>
  <Lines>285</Lines>
  <Paragraphs>80</Paragraphs>
  <TotalTime>15</TotalTime>
  <ScaleCrop>false</ScaleCrop>
  <LinksUpToDate>false</LinksUpToDate>
  <CharactersWithSpaces>5608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2021-04-12T12:22:00Z</dcterms:created>
  <dc:creator>鹧鸪天</dc:creator>
  <cp:lastModifiedBy>Forest</cp:lastModifiedBy>
  <cp:lastPrinted>2021-09-23T07:47:00Z</cp:lastPrinted>
  <dcterms:modified xsi:type="dcterms:W3CDTF">2024-09-30T07:00:44Z</dcterms:modified>
  <dc:title>2018-2019年度安吉县县级以上公路日常养护服务政府采购项目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EFDD6F34758B4174AD0794358453D99D_13</vt:lpwstr>
  </property>
</Properties>
</file>