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snapToGrid w:val="0"/>
        <w:spacing w:line="360" w:lineRule="auto"/>
        <w:jc w:val="center"/>
        <w:rPr>
          <w:rFonts w:ascii="宋体" w:hAnsi="宋体" w:cs="宋体"/>
          <w:b/>
          <w:bCs/>
          <w:sz w:val="44"/>
          <w:szCs w:val="44"/>
        </w:rPr>
      </w:pPr>
      <w:r>
        <w:rPr>
          <w:rFonts w:hint="eastAsia" w:ascii="宋体" w:hAnsi="宋体" w:cs="宋体"/>
          <w:b/>
          <w:bCs/>
          <w:sz w:val="44"/>
          <w:szCs w:val="44"/>
        </w:rPr>
        <w:t>长兴县教育信息技术中心“学在长兴”智慧教育平台采购项目</w:t>
      </w: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b/>
          <w:bCs/>
          <w:sz w:val="44"/>
          <w:szCs w:val="44"/>
        </w:rPr>
      </w:pPr>
      <w:r>
        <w:rPr>
          <w:rFonts w:hint="eastAsia" w:ascii="宋体" w:hAnsi="宋体" w:cs="宋体"/>
          <w:b/>
          <w:bCs/>
          <w:sz w:val="44"/>
          <w:szCs w:val="44"/>
        </w:rPr>
        <w:t xml:space="preserve">招标文件 </w:t>
      </w:r>
    </w:p>
    <w:p>
      <w:pPr>
        <w:snapToGrid w:val="0"/>
        <w:spacing w:line="360" w:lineRule="auto"/>
        <w:jc w:val="center"/>
        <w:rPr>
          <w:rFonts w:ascii="宋体" w:hAnsi="宋体" w:cs="宋体"/>
          <w:sz w:val="32"/>
          <w:szCs w:val="32"/>
        </w:rPr>
      </w:pPr>
    </w:p>
    <w:p>
      <w:pPr>
        <w:pStyle w:val="7"/>
        <w:rPr>
          <w:rFonts w:hAnsi="宋体" w:cs="宋体"/>
          <w:sz w:val="32"/>
          <w:szCs w:val="32"/>
        </w:rPr>
      </w:pPr>
    </w:p>
    <w:p>
      <w:pPr>
        <w:pStyle w:val="9"/>
      </w:pPr>
    </w:p>
    <w:p>
      <w:pPr>
        <w:snapToGrid w:val="0"/>
        <w:spacing w:line="360" w:lineRule="auto"/>
        <w:jc w:val="center"/>
        <w:rPr>
          <w:rFonts w:ascii="宋体" w:hAnsi="宋体" w:cs="宋体"/>
          <w:sz w:val="32"/>
          <w:szCs w:val="32"/>
        </w:rPr>
      </w:pPr>
      <w:r>
        <w:rPr>
          <w:rFonts w:hint="eastAsia" w:ascii="宋体" w:hAnsi="宋体" w:cs="宋体"/>
          <w:sz w:val="32"/>
          <w:szCs w:val="32"/>
        </w:rPr>
        <w:t xml:space="preserve"> （电子招投标）</w:t>
      </w:r>
    </w:p>
    <w:p>
      <w:pPr>
        <w:snapToGrid w:val="0"/>
        <w:spacing w:line="360" w:lineRule="auto"/>
        <w:jc w:val="center"/>
        <w:rPr>
          <w:rFonts w:ascii="宋体" w:hAnsi="宋体" w:cs="宋体"/>
          <w:sz w:val="32"/>
          <w:szCs w:val="32"/>
        </w:rPr>
      </w:pPr>
      <w:r>
        <w:rPr>
          <w:rFonts w:hint="eastAsia" w:ascii="宋体" w:hAnsi="宋体" w:cs="宋体"/>
          <w:sz w:val="32"/>
          <w:szCs w:val="32"/>
        </w:rPr>
        <w:t>编号:HZJZCG-2024(002)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7"/>
        <w:rPr>
          <w:rFonts w:hAnsi="宋体" w:cs="宋体"/>
        </w:rPr>
      </w:pPr>
    </w:p>
    <w:p>
      <w:pPr>
        <w:pStyle w:val="9"/>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长兴县教育信息技术中心</w:t>
      </w:r>
    </w:p>
    <w:p>
      <w:pPr>
        <w:snapToGrid w:val="0"/>
        <w:spacing w:line="360" w:lineRule="auto"/>
        <w:jc w:val="center"/>
        <w:rPr>
          <w:rFonts w:ascii="宋体" w:hAnsi="宋体" w:cs="宋体"/>
          <w:bCs/>
          <w:sz w:val="32"/>
          <w:szCs w:val="32"/>
        </w:rPr>
      </w:pPr>
      <w:r>
        <w:rPr>
          <w:rFonts w:hint="eastAsia" w:ascii="宋体" w:hAnsi="宋体" w:cs="宋体"/>
          <w:bCs/>
          <w:sz w:val="32"/>
          <w:szCs w:val="32"/>
        </w:rPr>
        <w:t>湖州建致招标代理有限公司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六</w:t>
      </w:r>
      <w:r>
        <w:rPr>
          <w:rFonts w:hint="eastAsia" w:ascii="宋体" w:hAnsi="宋体" w:cs="宋体"/>
          <w:bCs/>
          <w:sz w:val="32"/>
          <w:szCs w:val="32"/>
        </w:rPr>
        <w:t>月</w:t>
      </w:r>
    </w:p>
    <w:p>
      <w:pPr>
        <w:spacing w:line="360" w:lineRule="auto"/>
        <w:jc w:val="center"/>
        <w:rPr>
          <w:rFonts w:ascii="宋体" w:hAnsi="宋体" w:cs="宋体"/>
          <w:sz w:val="24"/>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linePitch="312" w:charSpace="0"/>
        </w:sectPr>
      </w:pPr>
    </w:p>
    <w:p>
      <w:pPr>
        <w:pStyle w:val="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widowControl/>
        <w:adjustRightInd/>
        <w:jc w:val="left"/>
        <w:rPr>
          <w:rFonts w:ascii="宋体" w:hAnsi="宋体" w:cs="宋体"/>
          <w:sz w:val="24"/>
        </w:rPr>
      </w:pPr>
      <w:r>
        <w:rPr>
          <w:rFonts w:ascii="宋体" w:hAnsi="宋体" w:cs="宋体"/>
          <w:sz w:val="24"/>
        </w:rPr>
        <w:br w:type="page"/>
      </w:r>
    </w:p>
    <w:bookmarkEnd w:id="1"/>
    <w:p>
      <w:pPr>
        <w:adjustRightInd/>
        <w:spacing w:line="360" w:lineRule="auto"/>
        <w:ind w:firstLine="723"/>
        <w:jc w:val="center"/>
        <w:outlineLvl w:val="0"/>
        <w:rPr>
          <w:rFonts w:ascii="宋体" w:hAnsi="宋体" w:cs="宋体"/>
          <w:b/>
          <w:sz w:val="36"/>
          <w:szCs w:val="20"/>
        </w:rPr>
      </w:pPr>
      <w:bookmarkStart w:id="2" w:name="第二部分"/>
      <w:bookmarkStart w:id="3" w:name="_Toc91899870"/>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u w:val="single"/>
        </w:rPr>
      </w:pPr>
      <w:r>
        <w:rPr>
          <w:rFonts w:hint="eastAsia" w:ascii="宋体" w:hAnsi="宋体" w:cs="仿宋_GB2312"/>
          <w:sz w:val="24"/>
          <w:u w:val="single"/>
        </w:rPr>
        <w:t>长兴县教育信息技术中心“学在长兴”智慧教育平台采购项目</w:t>
      </w:r>
      <w:r>
        <w:rPr>
          <w:rFonts w:hint="eastAsia" w:ascii="宋体" w:hAnsi="宋体"/>
          <w:sz w:val="24"/>
        </w:rPr>
        <w:t>招标项目的潜在投标人应在政采云平台（</w:t>
      </w:r>
      <w:r>
        <w:fldChar w:fldCharType="begin"/>
      </w:r>
      <w:r>
        <w:instrText xml:space="preserve"> HYPERLINK "https://www.zcygov.cn/）获取（下载）招标文件，并于2024年5月28日14点00分00秒" </w:instrText>
      </w:r>
      <w:r>
        <w:fldChar w:fldCharType="separate"/>
      </w:r>
      <w:r>
        <w:rPr>
          <w:rStyle w:val="24"/>
          <w:rFonts w:ascii="宋体" w:hAnsi="宋体" w:eastAsia="宋体"/>
          <w:color w:val="auto"/>
          <w:sz w:val="24"/>
        </w:rPr>
        <w:t>https://www.zcygov.cn/）获取（下载）招标文件，并于</w:t>
      </w:r>
      <w:r>
        <w:rPr>
          <w:rStyle w:val="24"/>
          <w:rFonts w:hint="eastAsia" w:asciiTheme="majorEastAsia" w:hAnsiTheme="majorEastAsia" w:eastAsiaTheme="majorEastAsia"/>
          <w:b/>
          <w:bCs/>
          <w:color w:val="auto"/>
          <w:sz w:val="24"/>
        </w:rPr>
        <w:t>2024年</w:t>
      </w:r>
      <w:r>
        <w:rPr>
          <w:rStyle w:val="24"/>
          <w:rFonts w:hint="eastAsia" w:asciiTheme="majorEastAsia" w:hAnsiTheme="majorEastAsia" w:eastAsiaTheme="majorEastAsia"/>
          <w:b/>
          <w:bCs/>
          <w:color w:val="auto"/>
          <w:sz w:val="24"/>
          <w:lang w:eastAsia="zh-CN"/>
        </w:rPr>
        <w:t>6月27日</w:t>
      </w:r>
      <w:r>
        <w:rPr>
          <w:rStyle w:val="24"/>
          <w:rFonts w:hint="eastAsia" w:asciiTheme="majorEastAsia" w:hAnsiTheme="majorEastAsia" w:eastAsiaTheme="majorEastAsia"/>
          <w:b/>
          <w:bCs/>
          <w:color w:val="auto"/>
          <w:sz w:val="24"/>
          <w:lang w:val="en-US" w:eastAsia="zh-CN"/>
        </w:rPr>
        <w:t>09</w:t>
      </w:r>
      <w:r>
        <w:rPr>
          <w:rStyle w:val="24"/>
          <w:rFonts w:hint="eastAsia" w:asciiTheme="majorEastAsia" w:hAnsiTheme="majorEastAsia" w:eastAsiaTheme="majorEastAsia"/>
          <w:b/>
          <w:bCs/>
          <w:color w:val="auto"/>
          <w:sz w:val="24"/>
        </w:rPr>
        <w:t>点</w:t>
      </w:r>
      <w:r>
        <w:rPr>
          <w:rStyle w:val="24"/>
          <w:rFonts w:asciiTheme="majorEastAsia" w:hAnsiTheme="majorEastAsia" w:eastAsiaTheme="majorEastAsia"/>
          <w:b/>
          <w:bCs/>
          <w:color w:val="auto"/>
          <w:sz w:val="24"/>
        </w:rPr>
        <w:t>00</w:t>
      </w:r>
      <w:r>
        <w:rPr>
          <w:rStyle w:val="24"/>
          <w:rFonts w:hint="eastAsia" w:asciiTheme="majorEastAsia" w:hAnsiTheme="majorEastAsia" w:eastAsiaTheme="majorEastAsia"/>
          <w:b/>
          <w:bCs/>
          <w:color w:val="auto"/>
          <w:sz w:val="24"/>
        </w:rPr>
        <w:t>分00秒</w:t>
      </w:r>
      <w:r>
        <w:rPr>
          <w:rStyle w:val="24"/>
          <w:rFonts w:hint="eastAsia" w:asciiTheme="majorEastAsia" w:hAnsiTheme="majorEastAsia" w:eastAsiaTheme="majorEastAsia"/>
          <w:b/>
          <w:bCs/>
          <w:color w:val="auto"/>
          <w:sz w:val="24"/>
        </w:rPr>
        <w:fldChar w:fldCharType="end"/>
      </w:r>
      <w:r>
        <w:rPr>
          <w:rFonts w:hint="eastAsia" w:ascii="宋体" w:hAnsi="宋体"/>
          <w:bCs/>
          <w:sz w:val="24"/>
        </w:rPr>
        <w:t>（北京时间）前</w:t>
      </w:r>
      <w:r>
        <w:rPr>
          <w:rFonts w:hint="eastAsia" w:ascii="宋体" w:hAnsi="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HZJZCG-2024(002)</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长兴县教育信息技术中心“学在长兴”智慧教育平台采购项目</w:t>
      </w:r>
    </w:p>
    <w:p>
      <w:pPr>
        <w:spacing w:line="360" w:lineRule="auto"/>
        <w:ind w:firstLine="482"/>
        <w:rPr>
          <w:rFonts w:ascii="宋体" w:hAnsi="宋体" w:cs="宋体"/>
          <w:b/>
          <w:bCs w:val="0"/>
          <w:sz w:val="24"/>
        </w:rPr>
      </w:pPr>
      <w:r>
        <w:rPr>
          <w:rFonts w:hint="eastAsia" w:ascii="宋体" w:hAnsi="宋体" w:cs="宋体"/>
          <w:b/>
          <w:bCs w:val="0"/>
          <w:sz w:val="24"/>
        </w:rPr>
        <w:t>预算金额（元）：</w:t>
      </w:r>
      <w:r>
        <w:rPr>
          <w:rFonts w:hint="eastAsia"/>
          <w:b/>
          <w:bCs w:val="0"/>
          <w:sz w:val="27"/>
          <w:szCs w:val="27"/>
        </w:rPr>
        <w:t>2700000</w:t>
      </w:r>
    </w:p>
    <w:p>
      <w:pPr>
        <w:spacing w:line="360" w:lineRule="auto"/>
        <w:ind w:firstLine="482"/>
        <w:rPr>
          <w:rFonts w:ascii="宋体" w:hAnsi="宋体" w:cs="宋体"/>
          <w:b/>
          <w:bCs/>
          <w:sz w:val="24"/>
        </w:rPr>
      </w:pPr>
      <w:r>
        <w:rPr>
          <w:rFonts w:hint="eastAsia" w:ascii="宋体" w:hAnsi="宋体" w:cs="宋体"/>
          <w:b/>
          <w:bCs/>
          <w:sz w:val="24"/>
        </w:rPr>
        <w:t>最高限价（元）：</w:t>
      </w:r>
      <w:r>
        <w:rPr>
          <w:rFonts w:hint="eastAsia"/>
          <w:b/>
          <w:bCs/>
          <w:sz w:val="27"/>
          <w:szCs w:val="27"/>
        </w:rPr>
        <w:t>2700000</w:t>
      </w:r>
    </w:p>
    <w:p>
      <w:pPr>
        <w:spacing w:line="360" w:lineRule="auto"/>
        <w:ind w:firstLine="482" w:firstLineChars="200"/>
        <w:rPr>
          <w:rFonts w:hAnsi="宋体" w:cs="宋体"/>
          <w:bCs/>
          <w:sz w:val="24"/>
        </w:rPr>
      </w:pPr>
      <w:r>
        <w:rPr>
          <w:rFonts w:hint="eastAsia" w:hAnsi="宋体" w:cs="宋体"/>
          <w:b/>
          <w:sz w:val="24"/>
        </w:rPr>
        <w:t>采购需求：</w:t>
      </w:r>
      <w:r>
        <w:rPr>
          <w:rFonts w:hAnsi="宋体" w:cs="宋体"/>
          <w:bCs/>
          <w:sz w:val="24"/>
        </w:rPr>
        <w:t> </w:t>
      </w:r>
    </w:p>
    <w:p>
      <w:pPr>
        <w:snapToGrid w:val="0"/>
        <w:spacing w:line="360" w:lineRule="auto"/>
        <w:ind w:firstLine="480" w:firstLineChars="200"/>
        <w:rPr>
          <w:rFonts w:ascii="宋体" w:hAnsi="宋体" w:cs="宋体"/>
          <w:sz w:val="24"/>
        </w:rPr>
      </w:pPr>
      <w:r>
        <w:rPr>
          <w:rFonts w:ascii="宋体" w:hAnsi="宋体" w:cs="宋体"/>
          <w:sz w:val="24"/>
        </w:rPr>
        <w:t>建设长兴县智慧教育应用，平台主要涵盖</w:t>
      </w:r>
      <w:r>
        <w:rPr>
          <w:rFonts w:hint="eastAsia" w:ascii="宋体" w:hAnsi="宋体" w:cs="宋体"/>
          <w:sz w:val="24"/>
          <w:lang w:val="en-US" w:eastAsia="zh-CN"/>
        </w:rPr>
        <w:t>学在长兴应用、</w:t>
      </w:r>
      <w:r>
        <w:rPr>
          <w:rFonts w:ascii="宋体" w:hAnsi="宋体" w:cs="宋体"/>
          <w:sz w:val="24"/>
        </w:rPr>
        <w:t>中小学生综合素质评价应用，心理健康管理应用、体育中考管理应用、智慧人事应用等，实现局校联动，通过数据的共享交换，管理者、教师、学生、家长等可便捷的使用数字化应用，构建可视化、多样化“学在长兴”智慧教育平台。</w:t>
      </w:r>
    </w:p>
    <w:p>
      <w:pPr>
        <w:snapToGrid w:val="0"/>
        <w:spacing w:line="360" w:lineRule="auto"/>
        <w:ind w:firstLine="480" w:firstLineChars="200"/>
        <w:rPr>
          <w:rFonts w:ascii="宋体" w:hAnsi="宋体" w:cs="宋体"/>
          <w:sz w:val="24"/>
          <w:highlight w:val="none"/>
        </w:rPr>
      </w:pPr>
      <w:r>
        <w:rPr>
          <w:rFonts w:hint="eastAsia" w:ascii="宋体" w:hAnsi="宋体" w:cs="宋体"/>
          <w:sz w:val="24"/>
        </w:rPr>
        <w:t>平台打造丰富的学习资源，整合教育魔方、之江汇、浙里问学、浙江智慧教育平台、</w:t>
      </w:r>
      <w:r>
        <w:rPr>
          <w:rFonts w:hint="eastAsia" w:ascii="宋体" w:hAnsi="宋体" w:cs="宋体"/>
          <w:sz w:val="24"/>
          <w:highlight w:val="none"/>
        </w:rPr>
        <w:t>省开放大学等省级体系化资源。无缝衔接“学在浙江”数字化平台，实现平台间的无缝对接贯通，确保“学在长兴”用户能够在“学在浙江”系列站点间畅通漫游，查找所需内容。</w:t>
      </w:r>
    </w:p>
    <w:p>
      <w:pPr>
        <w:pStyle w:val="28"/>
        <w:ind w:firstLine="482"/>
        <w:outlineLvl w:val="2"/>
        <w:rPr>
          <w:rFonts w:ascii="宋体" w:hAnsi="宋体" w:cs="宋体"/>
          <w:highlight w:val="none"/>
        </w:rPr>
      </w:pPr>
      <w:r>
        <w:rPr>
          <w:rFonts w:hint="eastAsia" w:ascii="宋体" w:hAnsi="宋体" w:cs="宋体"/>
          <w:b/>
          <w:highlight w:val="none"/>
        </w:rPr>
        <w:t>服务期：</w:t>
      </w:r>
      <w:r>
        <w:rPr>
          <w:rFonts w:hint="eastAsia" w:ascii="宋体" w:hAnsi="宋体" w:cs="宋体"/>
          <w:kern w:val="44"/>
          <w:sz w:val="24"/>
          <w:highlight w:val="none"/>
          <w:lang w:val="en-US" w:eastAsia="zh-CN"/>
        </w:rPr>
        <w:t>2024年7月30日前</w:t>
      </w:r>
      <w:r>
        <w:rPr>
          <w:rFonts w:hint="eastAsia" w:ascii="宋体" w:hAnsi="宋体" w:cs="宋体"/>
          <w:kern w:val="44"/>
          <w:sz w:val="24"/>
          <w:highlight w:val="none"/>
        </w:rPr>
        <w:t>（具体时间按合同签订为准。其中含完成设备供货、安装及内容系统的部署等，经测试运行及培训，并通过甲方组织验收合格，正式交付使用</w:t>
      </w:r>
      <w:r>
        <w:rPr>
          <w:rFonts w:hint="eastAsia" w:ascii="宋体" w:hAnsi="宋体" w:cs="宋体"/>
          <w:b/>
          <w:bCs/>
          <w:kern w:val="44"/>
          <w:sz w:val="24"/>
          <w:highlight w:val="none"/>
        </w:rPr>
        <w:t>）。</w:t>
      </w:r>
    </w:p>
    <w:p>
      <w:pPr>
        <w:pStyle w:val="4"/>
        <w:spacing w:line="360" w:lineRule="auto"/>
        <w:ind w:firstLine="482"/>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4" w:name="_Hlk101132948"/>
      <w:r>
        <w:rPr>
          <w:rFonts w:hint="eastAsia" w:ascii="宋体" w:hAnsi="宋体" w:cs="宋体"/>
          <w:b/>
          <w:sz w:val="24"/>
          <w:highlight w:val="none"/>
        </w:rPr>
        <w:t>申请人的资格要求</w:t>
      </w:r>
      <w:bookmarkEnd w:id="4"/>
      <w:r>
        <w:rPr>
          <w:rFonts w:hint="eastAsia" w:ascii="宋体" w:hAnsi="宋体" w:cs="宋体"/>
          <w:b/>
          <w:sz w:val="24"/>
          <w:highlight w:val="none"/>
        </w:rPr>
        <w:t>：</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kern w:val="28"/>
          <w:sz w:val="24"/>
          <w:szCs w:val="20"/>
        </w:rPr>
        <w:t>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2.具有独立承担民事责任的能力；具有有效的企业营业执照或事业单位法人证书;</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3.</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4.落实政府采购政策需满足的资格要求：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5188757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703274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701274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5.本项目的特定资格</w:t>
      </w:r>
      <w:r>
        <w:rPr>
          <w:rFonts w:hint="eastAsia" w:cs="宋体" w:asciiTheme="minorEastAsia" w:hAnsiTheme="minorEastAsia" w:eastAsiaTheme="minorEastAsia"/>
          <w:spacing w:val="8"/>
          <w:kern w:val="0"/>
          <w:sz w:val="24"/>
        </w:rPr>
        <w:t>要求：无</w:t>
      </w:r>
      <w:r>
        <w:rPr>
          <w:rFonts w:hint="eastAsia" w:cs="宋体" w:asciiTheme="minorEastAsia" w:hAnsiTheme="minorEastAsia" w:eastAsiaTheme="minorEastAsia"/>
          <w:spacing w:val="8"/>
          <w:kern w:val="0"/>
          <w:sz w:val="24"/>
          <w:lang w:val="zh-CN"/>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b/>
          <w:bCs/>
          <w:sz w:val="24"/>
          <w:u w:val="single"/>
        </w:rPr>
        <w:t>2024年</w:t>
      </w:r>
      <w:r>
        <w:rPr>
          <w:rFonts w:hint="eastAsia" w:ascii="宋体" w:hAnsi="宋体" w:cs="宋体"/>
          <w:b/>
          <w:bCs/>
          <w:sz w:val="24"/>
          <w:u w:val="single"/>
          <w:lang w:eastAsia="zh-CN"/>
        </w:rPr>
        <w:t>6月</w:t>
      </w:r>
      <w:r>
        <w:rPr>
          <w:rFonts w:hint="eastAsia" w:ascii="宋体" w:hAnsi="宋体" w:cs="宋体"/>
          <w:b/>
          <w:bCs/>
          <w:sz w:val="24"/>
          <w:u w:val="single"/>
          <w:lang w:val="en-US" w:eastAsia="zh-CN"/>
        </w:rPr>
        <w:t>06</w:t>
      </w:r>
      <w:r>
        <w:rPr>
          <w:rFonts w:hint="eastAsia" w:ascii="宋体" w:hAnsi="宋体" w:cs="宋体"/>
          <w:b/>
          <w:bCs/>
          <w:sz w:val="24"/>
          <w:u w:val="single"/>
          <w:lang w:eastAsia="zh-CN"/>
        </w:rPr>
        <w:t>日</w:t>
      </w:r>
      <w:r>
        <w:rPr>
          <w:rFonts w:hint="eastAsia" w:ascii="宋体" w:hAnsi="宋体" w:cs="宋体"/>
          <w:sz w:val="24"/>
        </w:rPr>
        <w:t>至</w:t>
      </w:r>
      <w:r>
        <w:rPr>
          <w:rFonts w:hint="eastAsia" w:ascii="宋体" w:hAnsi="宋体" w:cs="宋体"/>
          <w:b/>
          <w:bCs/>
          <w:sz w:val="24"/>
          <w:u w:val="single"/>
        </w:rPr>
        <w:t>2024年</w:t>
      </w:r>
      <w:r>
        <w:rPr>
          <w:rFonts w:hint="eastAsia" w:ascii="宋体" w:hAnsi="宋体" w:cs="宋体"/>
          <w:b/>
          <w:bCs/>
          <w:sz w:val="24"/>
          <w:u w:val="single"/>
          <w:lang w:eastAsia="zh-CN"/>
        </w:rPr>
        <w:t>6月27日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sz w:val="24"/>
          <w:highlight w:val="none"/>
          <w:u w:val="single"/>
        </w:rPr>
        <w:t>2024年</w:t>
      </w:r>
      <w:r>
        <w:rPr>
          <w:rFonts w:hint="eastAsia" w:ascii="宋体" w:hAnsi="宋体" w:cs="宋体"/>
          <w:b/>
          <w:bCs/>
          <w:sz w:val="24"/>
          <w:highlight w:val="none"/>
          <w:u w:val="single"/>
          <w:lang w:eastAsia="zh-CN"/>
        </w:rPr>
        <w:t>6月27日</w:t>
      </w:r>
      <w:r>
        <w:rPr>
          <w:rFonts w:hint="eastAsia" w:ascii="宋体" w:hAnsi="宋体" w:cs="宋体"/>
          <w:b/>
          <w:bCs/>
          <w:sz w:val="24"/>
          <w:highlight w:val="none"/>
          <w:u w:val="single"/>
          <w:lang w:val="en-US" w:eastAsia="zh-CN"/>
        </w:rPr>
        <w:t>09</w:t>
      </w:r>
      <w:r>
        <w:rPr>
          <w:rFonts w:hint="eastAsia" w:ascii="宋体" w:hAnsi="宋体" w:cs="宋体"/>
          <w:b/>
          <w:bCs/>
          <w:sz w:val="24"/>
          <w:highlight w:val="none"/>
          <w:u w:val="single"/>
        </w:rPr>
        <w:t>点</w:t>
      </w:r>
      <w:r>
        <w:rPr>
          <w:rFonts w:ascii="宋体" w:hAnsi="宋体" w:cs="宋体"/>
          <w:b/>
          <w:bCs/>
          <w:sz w:val="24"/>
          <w:highlight w:val="none"/>
          <w:u w:val="single"/>
        </w:rPr>
        <w:t>00</w:t>
      </w:r>
      <w:r>
        <w:rPr>
          <w:rFonts w:hint="eastAsia" w:ascii="宋体" w:hAnsi="宋体" w:cs="宋体"/>
          <w:b/>
          <w:bCs/>
          <w:sz w:val="24"/>
          <w:highlight w:val="none"/>
          <w:u w:val="single"/>
        </w:rPr>
        <w:t>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sz w:val="24"/>
          <w:highlight w:val="none"/>
          <w:u w:val="single"/>
        </w:rPr>
        <w:t>2024年</w:t>
      </w:r>
      <w:r>
        <w:rPr>
          <w:rFonts w:hint="eastAsia" w:ascii="宋体" w:hAnsi="宋体" w:cs="宋体"/>
          <w:b/>
          <w:bCs/>
          <w:sz w:val="24"/>
          <w:highlight w:val="none"/>
          <w:u w:val="single"/>
          <w:lang w:eastAsia="zh-CN"/>
        </w:rPr>
        <w:t>6月27日</w:t>
      </w:r>
      <w:r>
        <w:rPr>
          <w:rFonts w:hint="eastAsia" w:ascii="宋体" w:hAnsi="宋体" w:cs="宋体"/>
          <w:b/>
          <w:bCs/>
          <w:sz w:val="24"/>
          <w:highlight w:val="none"/>
          <w:u w:val="single"/>
          <w:lang w:val="en-US" w:eastAsia="zh-CN"/>
        </w:rPr>
        <w:t>09</w:t>
      </w:r>
      <w:r>
        <w:rPr>
          <w:rFonts w:hint="eastAsia" w:ascii="宋体" w:hAnsi="宋体" w:cs="宋体"/>
          <w:b/>
          <w:bCs/>
          <w:sz w:val="24"/>
          <w:highlight w:val="none"/>
          <w:u w:val="single"/>
        </w:rPr>
        <w:t>点</w:t>
      </w:r>
      <w:r>
        <w:rPr>
          <w:rFonts w:ascii="宋体" w:hAnsi="宋体" w:cs="宋体"/>
          <w:b/>
          <w:bCs/>
          <w:sz w:val="24"/>
          <w:highlight w:val="none"/>
          <w:u w:val="single"/>
        </w:rPr>
        <w:t>00</w:t>
      </w:r>
      <w:r>
        <w:rPr>
          <w:rFonts w:hint="eastAsia" w:ascii="宋体" w:hAnsi="宋体" w:cs="宋体"/>
          <w:b/>
          <w:bCs/>
          <w:sz w:val="24"/>
          <w:highlight w:val="none"/>
          <w:u w:val="single"/>
        </w:rPr>
        <w:t>分00秒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w:t>
      </w:r>
      <w:r>
        <w:rPr>
          <w:rFonts w:hint="eastAsia" w:ascii="宋体" w:hAnsi="宋体" w:cs="宋体"/>
          <w:sz w:val="24"/>
          <w:lang w:eastAsia="zh-CN"/>
        </w:rPr>
        <w:t>好</w:t>
      </w:r>
      <w:r>
        <w:rPr>
          <w:rFonts w:ascii="宋体" w:hAnsi="宋体" w:cs="宋体"/>
          <w:sz w:val="24"/>
        </w:rPr>
        <w:t>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w:t>
      </w:r>
      <w:r>
        <w:rPr>
          <w:rFonts w:hint="eastAsia" w:ascii="宋体" w:hAnsi="宋体" w:cs="宋体"/>
          <w:sz w:val="24"/>
          <w:lang w:eastAsia="zh-CN"/>
        </w:rPr>
        <w:t>好</w:t>
      </w:r>
      <w:r>
        <w:rPr>
          <w:rFonts w:hint="eastAsia" w:ascii="宋体" w:hAnsi="宋体" w:cs="宋体"/>
          <w:sz w:val="24"/>
        </w:rPr>
        <w:t>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w:t>
      </w:r>
      <w:r>
        <w:rPr>
          <w:rFonts w:hint="eastAsia" w:ascii="宋体" w:hAnsi="宋体" w:cs="宋体"/>
          <w:sz w:val="24"/>
          <w:lang w:val="en-US" w:eastAsia="zh-CN"/>
        </w:rPr>
        <w:t>同意</w:t>
      </w:r>
      <w:r>
        <w:rPr>
          <w:rFonts w:hint="eastAsia" w:ascii="宋体" w:hAnsi="宋体" w:cs="宋体"/>
          <w:sz w:val="24"/>
        </w:rPr>
        <w:t>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w:t>
      </w:r>
      <w:r>
        <w:rPr>
          <w:rFonts w:hint="eastAsia" w:ascii="宋体" w:hAnsi="宋体" w:cs="宋体"/>
          <w:sz w:val="24"/>
          <w:lang w:val="en-US" w:eastAsia="zh-CN"/>
        </w:rPr>
        <w:t>同意</w:t>
      </w:r>
      <w:r>
        <w:rPr>
          <w:rFonts w:hint="eastAsia" w:ascii="宋体" w:hAnsi="宋体" w:cs="宋体"/>
          <w:sz w:val="24"/>
        </w:rPr>
        <w:t>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rPr>
          <w:rFonts w:ascii="宋体" w:hAnsi="宋体" w:cs="宋体"/>
          <w:sz w:val="24"/>
        </w:rPr>
      </w:pPr>
      <w:r>
        <w:rPr>
          <w:rFonts w:hint="eastAsia" w:ascii="宋体" w:hAnsi="宋体" w:cs="宋体"/>
          <w:sz w:val="24"/>
        </w:rPr>
        <w:t xml:space="preserve">名称：长兴县教育信息技术中心 </w:t>
      </w:r>
    </w:p>
    <w:p>
      <w:pPr>
        <w:spacing w:line="360" w:lineRule="auto"/>
        <w:ind w:firstLine="480"/>
        <w:rPr>
          <w:rFonts w:ascii="宋体" w:hAnsi="宋体" w:cs="宋体"/>
          <w:sz w:val="24"/>
        </w:rPr>
      </w:pPr>
      <w:r>
        <w:rPr>
          <w:rFonts w:hint="eastAsia" w:ascii="宋体" w:hAnsi="宋体" w:cs="宋体"/>
          <w:sz w:val="24"/>
        </w:rPr>
        <w:t>地址：长兴县龙山街道金陵北路25号</w:t>
      </w:r>
    </w:p>
    <w:p>
      <w:pPr>
        <w:spacing w:line="360" w:lineRule="auto"/>
        <w:ind w:firstLine="480"/>
        <w:rPr>
          <w:rFonts w:ascii="宋体" w:hAnsi="宋体" w:cs="宋体"/>
          <w:sz w:val="24"/>
        </w:rPr>
      </w:pPr>
      <w:r>
        <w:rPr>
          <w:rFonts w:hint="eastAsia" w:ascii="宋体" w:hAnsi="宋体" w:cs="宋体"/>
          <w:sz w:val="24"/>
        </w:rPr>
        <w:t>项目联系人（询问）：周老师</w:t>
      </w:r>
    </w:p>
    <w:p>
      <w:pPr>
        <w:spacing w:line="360" w:lineRule="auto"/>
        <w:ind w:firstLine="480"/>
        <w:rPr>
          <w:rFonts w:hint="default" w:ascii="宋体" w:hAnsi="宋体" w:eastAsia="宋体" w:cs="宋体"/>
          <w:color w:val="auto"/>
          <w:sz w:val="24"/>
          <w:lang w:val="en-US" w:eastAsia="zh-CN"/>
        </w:rPr>
      </w:pPr>
      <w:r>
        <w:rPr>
          <w:rFonts w:hint="eastAsia" w:ascii="宋体" w:hAnsi="宋体" w:cs="宋体"/>
          <w:sz w:val="24"/>
        </w:rPr>
        <w:t>项目联</w:t>
      </w:r>
      <w:r>
        <w:rPr>
          <w:rFonts w:hint="eastAsia" w:ascii="宋体" w:hAnsi="宋体" w:cs="宋体"/>
          <w:color w:val="auto"/>
          <w:sz w:val="24"/>
        </w:rPr>
        <w:t>系方式（询问）：</w:t>
      </w:r>
      <w:r>
        <w:rPr>
          <w:rFonts w:hint="eastAsia" w:ascii="宋体" w:hAnsi="宋体" w:cs="宋体"/>
          <w:color w:val="auto"/>
          <w:sz w:val="24"/>
          <w:lang w:val="en-US" w:eastAsia="zh-CN"/>
        </w:rPr>
        <w:t>0572-6670753</w:t>
      </w:r>
    </w:p>
    <w:p>
      <w:pPr>
        <w:spacing w:line="360" w:lineRule="auto"/>
        <w:ind w:firstLine="480"/>
        <w:rPr>
          <w:rFonts w:ascii="宋体" w:hAnsi="宋体" w:cs="宋体"/>
          <w:color w:val="auto"/>
          <w:sz w:val="24"/>
        </w:rPr>
      </w:pPr>
      <w:r>
        <w:rPr>
          <w:rFonts w:hint="eastAsia" w:ascii="宋体" w:hAnsi="宋体" w:cs="宋体"/>
          <w:color w:val="auto"/>
          <w:sz w:val="24"/>
        </w:rPr>
        <w:t>质疑联系人：周老师</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0572-6670753</w:t>
      </w:r>
    </w:p>
    <w:p>
      <w:pPr>
        <w:spacing w:line="360" w:lineRule="auto"/>
        <w:rPr>
          <w:rFonts w:ascii="宋体" w:hAnsi="宋体" w:cs="宋体"/>
          <w:b/>
          <w:bCs/>
          <w:sz w:val="24"/>
        </w:rPr>
      </w:pPr>
      <w:r>
        <w:rPr>
          <w:rFonts w:hint="eastAsia" w:ascii="宋体" w:hAnsi="宋体" w:cs="宋体"/>
          <w:b/>
          <w:bCs/>
          <w:sz w:val="24"/>
        </w:rPr>
        <w:t>2.采购代理机构信息</w:t>
      </w:r>
    </w:p>
    <w:p>
      <w:pPr>
        <w:spacing w:line="360" w:lineRule="auto"/>
        <w:ind w:firstLine="480"/>
        <w:rPr>
          <w:rFonts w:ascii="宋体" w:hAnsi="宋体" w:cs="宋体"/>
          <w:sz w:val="24"/>
        </w:rPr>
      </w:pPr>
      <w:r>
        <w:rPr>
          <w:rFonts w:hint="eastAsia" w:ascii="宋体" w:hAnsi="宋体" w:cs="宋体"/>
          <w:sz w:val="24"/>
        </w:rPr>
        <w:t>名称：湖州建致招标代理有限公司</w:t>
      </w:r>
    </w:p>
    <w:p>
      <w:pPr>
        <w:spacing w:line="360" w:lineRule="auto"/>
        <w:ind w:firstLine="480"/>
        <w:rPr>
          <w:rFonts w:ascii="宋体" w:hAnsi="宋体" w:cs="宋体"/>
          <w:sz w:val="24"/>
        </w:rPr>
      </w:pPr>
      <w:r>
        <w:rPr>
          <w:rFonts w:hint="eastAsia" w:ascii="宋体" w:hAnsi="宋体" w:cs="宋体"/>
          <w:sz w:val="24"/>
        </w:rPr>
        <w:t>地址：长兴县阳光家园2#楼五楼</w:t>
      </w:r>
    </w:p>
    <w:p>
      <w:pPr>
        <w:spacing w:line="360" w:lineRule="auto"/>
        <w:ind w:firstLine="480"/>
        <w:rPr>
          <w:rFonts w:ascii="宋体" w:hAnsi="宋体" w:cs="宋体"/>
          <w:sz w:val="24"/>
        </w:rPr>
      </w:pPr>
      <w:r>
        <w:rPr>
          <w:rFonts w:hint="eastAsia" w:ascii="宋体" w:hAnsi="宋体" w:cs="宋体"/>
          <w:sz w:val="24"/>
        </w:rPr>
        <w:t>项目联系人（询问）：刘工</w:t>
      </w:r>
    </w:p>
    <w:p>
      <w:pPr>
        <w:spacing w:line="360" w:lineRule="auto"/>
        <w:ind w:firstLine="480"/>
        <w:rPr>
          <w:rFonts w:ascii="宋体" w:hAnsi="宋体" w:cs="宋体"/>
          <w:sz w:val="24"/>
        </w:rPr>
      </w:pPr>
      <w:r>
        <w:rPr>
          <w:rFonts w:hint="eastAsia" w:ascii="宋体" w:hAnsi="宋体" w:cs="宋体"/>
          <w:sz w:val="24"/>
        </w:rPr>
        <w:t>项目联系方式（询问）：0572-6051713</w:t>
      </w:r>
    </w:p>
    <w:p>
      <w:pPr>
        <w:spacing w:line="360" w:lineRule="auto"/>
        <w:ind w:firstLine="480"/>
        <w:rPr>
          <w:rFonts w:ascii="宋体" w:hAnsi="宋体" w:cs="宋体"/>
          <w:sz w:val="24"/>
        </w:rPr>
      </w:pPr>
      <w:r>
        <w:rPr>
          <w:rFonts w:hint="eastAsia" w:ascii="宋体" w:hAnsi="宋体" w:cs="宋体"/>
          <w:sz w:val="24"/>
        </w:rPr>
        <w:t>质疑联系人：朱工</w:t>
      </w:r>
    </w:p>
    <w:p>
      <w:pPr>
        <w:spacing w:line="360" w:lineRule="auto"/>
        <w:ind w:firstLine="480"/>
        <w:rPr>
          <w:rFonts w:ascii="宋体" w:hAnsi="宋体" w:cs="宋体"/>
          <w:sz w:val="24"/>
        </w:rPr>
      </w:pPr>
      <w:r>
        <w:rPr>
          <w:rFonts w:hint="eastAsia" w:ascii="宋体" w:hAnsi="宋体" w:cs="宋体"/>
          <w:sz w:val="24"/>
        </w:rPr>
        <w:t>质疑联系方式：0572-6051573</w:t>
      </w:r>
    </w:p>
    <w:p>
      <w:pPr>
        <w:spacing w:line="360" w:lineRule="auto"/>
        <w:rPr>
          <w:rFonts w:ascii="宋体" w:hAnsi="宋体" w:cs="宋体"/>
          <w:b/>
          <w:bCs/>
          <w:sz w:val="24"/>
        </w:rPr>
      </w:pPr>
      <w:r>
        <w:rPr>
          <w:rFonts w:hint="eastAsia" w:ascii="宋体" w:hAnsi="宋体" w:cs="宋体"/>
          <w:b/>
          <w:bCs/>
          <w:sz w:val="24"/>
        </w:rPr>
        <w:t>3.同级政府采购监督管理部门</w:t>
      </w:r>
    </w:p>
    <w:p>
      <w:pPr>
        <w:spacing w:line="360" w:lineRule="auto"/>
        <w:ind w:firstLine="480"/>
        <w:rPr>
          <w:rFonts w:ascii="宋体" w:hAnsi="宋体" w:cs="宋体"/>
          <w:sz w:val="24"/>
        </w:rPr>
      </w:pPr>
      <w:r>
        <w:rPr>
          <w:rFonts w:hint="eastAsia" w:ascii="宋体" w:hAnsi="宋体" w:cs="宋体"/>
          <w:sz w:val="24"/>
        </w:rPr>
        <w:t xml:space="preserve">名称：长兴县财政局          </w:t>
      </w:r>
    </w:p>
    <w:p>
      <w:pPr>
        <w:spacing w:line="360" w:lineRule="auto"/>
        <w:ind w:firstLine="480"/>
        <w:rPr>
          <w:rFonts w:ascii="宋体" w:hAnsi="宋体" w:cs="宋体"/>
          <w:sz w:val="24"/>
        </w:rPr>
      </w:pPr>
      <w:r>
        <w:rPr>
          <w:rFonts w:hint="eastAsia" w:ascii="宋体" w:hAnsi="宋体" w:cs="宋体"/>
          <w:sz w:val="24"/>
        </w:rPr>
        <w:t xml:space="preserve">联系人：佘科长      </w:t>
      </w:r>
    </w:p>
    <w:p>
      <w:pPr>
        <w:spacing w:line="360" w:lineRule="auto"/>
        <w:ind w:firstLine="480"/>
        <w:rPr>
          <w:rFonts w:hint="eastAsia" w:ascii="宋体" w:hAnsi="宋体" w:cs="宋体"/>
          <w:sz w:val="24"/>
        </w:rPr>
      </w:pPr>
      <w:r>
        <w:rPr>
          <w:rFonts w:hint="eastAsia" w:ascii="宋体" w:hAnsi="宋体" w:cs="宋体"/>
          <w:sz w:val="24"/>
        </w:rPr>
        <w:t>监督投诉电话：0572-6027789</w:t>
      </w:r>
    </w:p>
    <w:p>
      <w:pPr>
        <w:pStyle w:val="2"/>
        <w:rPr>
          <w:rFonts w:hint="eastAsia" w:ascii="宋体" w:hAnsi="宋体" w:cs="宋体"/>
          <w:sz w:val="24"/>
        </w:rPr>
      </w:pPr>
      <w:bookmarkStart w:id="560" w:name="_GoBack"/>
      <w:bookmarkEnd w:id="560"/>
    </w:p>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ascii="宋体" w:hAnsi="宋体" w:cs="宋体"/>
          <w:sz w:val="24"/>
        </w:rPr>
      </w:pPr>
    </w:p>
    <w:p>
      <w:pPr>
        <w:pStyle w:val="19"/>
      </w:pPr>
      <w:r>
        <w:br w:type="page"/>
      </w:r>
    </w:p>
    <w:p>
      <w:pPr>
        <w:pStyle w:val="13"/>
        <w:framePr w:wrap="around" w:vAnchor="margin" w:hAnchor="text" w:y="1"/>
        <w:jc w:val="center"/>
        <w:rPr>
          <w:rFonts w:hint="eastAsia"/>
          <w:b/>
          <w:sz w:val="36"/>
          <w:szCs w:val="20"/>
        </w:rPr>
      </w:pPr>
      <w:r>
        <w:rPr>
          <w:rFonts w:hint="eastAsia"/>
          <w:b/>
          <w:sz w:val="36"/>
          <w:szCs w:val="20"/>
          <w:lang w:val="en-US" w:eastAsia="zh-CN"/>
        </w:rPr>
        <w:t xml:space="preserve">              </w:t>
      </w:r>
      <w:r>
        <w:rPr>
          <w:rFonts w:hint="eastAsia"/>
          <w:b/>
          <w:sz w:val="36"/>
          <w:szCs w:val="20"/>
        </w:rPr>
        <w:t>第二部分</w:t>
      </w:r>
      <w:bookmarkEnd w:id="2"/>
      <w:r>
        <w:rPr>
          <w:rFonts w:hint="eastAsia"/>
          <w:b/>
          <w:sz w:val="36"/>
          <w:szCs w:val="20"/>
        </w:rPr>
        <w:t xml:space="preserve"> 投标人须知</w:t>
      </w:r>
      <w:bookmarkEnd w:id="3"/>
    </w:p>
    <w:tbl>
      <w:tblPr>
        <w:tblStyle w:val="25"/>
        <w:tblW w:w="838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59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长兴县教育信息技术中心“学在长兴”智慧教育平台采购项目</w:t>
            </w:r>
            <w:r>
              <w:rPr>
                <w:rFonts w:hint="eastAsia" w:ascii="宋体" w:hAnsi="宋体" w:cs="宋体"/>
                <w:kern w:val="0"/>
                <w:sz w:val="24"/>
              </w:rPr>
              <w:t>，属于</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u w:val="single"/>
              </w:rPr>
              <w:t>软件和信息技术服务业</w:t>
            </w:r>
            <w:r>
              <w:rPr>
                <w:rFonts w:hint="eastAsia" w:ascii="宋体" w:hAnsi="宋体" w:cs="宋体"/>
                <w:kern w:val="0"/>
                <w:sz w:val="24"/>
              </w:rPr>
              <w:t>行业；</w:t>
            </w:r>
          </w:p>
          <w:p>
            <w:pPr>
              <w:spacing w:line="360" w:lineRule="auto"/>
              <w:rPr>
                <w:rFonts w:ascii="宋体" w:hAnsi="宋体" w:cs="宋体"/>
                <w:kern w:val="0"/>
                <w:sz w:val="24"/>
              </w:rPr>
            </w:pPr>
            <w:r>
              <w:rPr>
                <w:rFonts w:hint="eastAsia" w:ascii="宋体" w:hAnsi="宋体" w:cs="宋体"/>
                <w:kern w:val="0"/>
                <w:sz w:val="24"/>
              </w:rPr>
              <w:t>（根据工信部联企业〔2011〕300号《关于印发中小企业划型标准规定的通知》规定。</w:t>
            </w:r>
            <w:r>
              <w:rPr>
                <w:rFonts w:hint="eastAsia" w:ascii="宋体" w:hAnsi="宋体" w:cs="宋体"/>
                <w:b/>
                <w:bCs/>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cs="宋体" w:asciiTheme="minorEastAsia" w:hAnsiTheme="minorEastAsia" w:eastAsiaTheme="minorEastAsia"/>
                  <w:kern w:val="0"/>
                  <w:sz w:val="24"/>
                </w:rPr>
                <w:id w:val="186971237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ascii="宋体" w:hAnsi="宋体" w:cs="宋体"/>
                <w:b/>
                <w:sz w:val="24"/>
              </w:rPr>
            </w:pPr>
            <w:r>
              <w:rPr>
                <w:rFonts w:hint="eastAsia" w:ascii="宋体" w:hAnsi="宋体" w:cs="宋体"/>
                <w:b/>
                <w:sz w:val="24"/>
              </w:rPr>
              <w:t>分包</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cs="宋体" w:asciiTheme="minorEastAsia" w:hAnsiTheme="minorEastAsia" w:eastAsiaTheme="minorEastAsia"/>
                  <w:kern w:val="0"/>
                  <w:sz w:val="24"/>
                </w:rPr>
                <w:id w:val="-202608563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cs="宋体" w:asciiTheme="minorEastAsia" w:hAnsiTheme="minorEastAsia" w:eastAsiaTheme="minorEastAsia"/>
                  <w:kern w:val="0"/>
                  <w:sz w:val="24"/>
                </w:rPr>
                <w:id w:val="1551420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cs="宋体" w:asciiTheme="minorEastAsia" w:hAnsiTheme="minorEastAsia" w:eastAsiaTheme="minorEastAsia"/>
                  <w:kern w:val="0"/>
                  <w:sz w:val="24"/>
                </w:rPr>
                <w:id w:val="-86791713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方案讲解演示</w:t>
            </w:r>
          </w:p>
        </w:tc>
        <w:tc>
          <w:tcPr>
            <w:tcW w:w="5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kern w:val="0"/>
                <w:sz w:val="24"/>
              </w:rPr>
            </w:pPr>
            <w:r>
              <w:rPr>
                <w:rFonts w:hint="eastAsia" w:ascii="宋体" w:hAnsi="宋体" w:cs="宋体"/>
                <w:b/>
                <w:bCs/>
                <w:sz w:val="24"/>
                <w:highlight w:val="yellow"/>
                <w:lang w:val="en-US" w:eastAsia="zh-CN"/>
              </w:rPr>
              <w:t>投标单位</w:t>
            </w:r>
            <w:r>
              <w:rPr>
                <w:rFonts w:hint="eastAsia" w:ascii="宋体" w:hAnsi="宋体" w:cs="宋体"/>
                <w:b/>
                <w:bCs/>
                <w:sz w:val="24"/>
                <w:highlight w:val="yellow"/>
              </w:rPr>
              <w:t>应根据招标文件评分标准要求提供拟投入本项目软件具体功能演示材料，各</w:t>
            </w:r>
            <w:r>
              <w:rPr>
                <w:rFonts w:hint="eastAsia" w:ascii="宋体" w:hAnsi="宋体" w:cs="宋体"/>
                <w:b/>
                <w:bCs/>
                <w:sz w:val="24"/>
                <w:highlight w:val="yellow"/>
                <w:lang w:val="en-US" w:eastAsia="zh-CN"/>
              </w:rPr>
              <w:t>投标单位</w:t>
            </w:r>
            <w:r>
              <w:rPr>
                <w:rFonts w:hint="eastAsia" w:ascii="宋体" w:hAnsi="宋体" w:cs="宋体"/>
                <w:b/>
                <w:bCs/>
                <w:sz w:val="24"/>
                <w:highlight w:val="yellow"/>
              </w:rPr>
              <w:t>按要求</w:t>
            </w:r>
            <w:r>
              <w:rPr>
                <w:rFonts w:hint="eastAsia" w:ascii="宋体" w:hAnsi="宋体" w:cs="宋体"/>
                <w:b/>
                <w:bCs/>
                <w:sz w:val="24"/>
                <w:highlight w:val="yellow"/>
                <w:lang w:val="en-US" w:eastAsia="zh-CN"/>
              </w:rPr>
              <w:t>现场演示</w:t>
            </w:r>
            <w:r>
              <w:rPr>
                <w:rFonts w:hint="eastAsia" w:ascii="宋体" w:hAnsi="宋体" w:cs="宋体"/>
                <w:b/>
                <w:bCs/>
                <w:sz w:val="24"/>
                <w:highlight w:val="yellow"/>
              </w:rPr>
              <w:t>（时间不超过</w:t>
            </w:r>
            <w:r>
              <w:rPr>
                <w:rFonts w:hint="eastAsia" w:ascii="宋体" w:hAnsi="宋体" w:cs="宋体"/>
                <w:b/>
                <w:bCs/>
                <w:sz w:val="24"/>
                <w:highlight w:val="yellow"/>
                <w:lang w:val="en-US" w:eastAsia="zh-CN"/>
              </w:rPr>
              <w:t>20</w:t>
            </w:r>
            <w:r>
              <w:rPr>
                <w:rFonts w:hint="eastAsia" w:ascii="宋体" w:hAnsi="宋体" w:cs="宋体"/>
                <w:b/>
                <w:bCs/>
                <w:sz w:val="24"/>
                <w:highlight w:val="yellow"/>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591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480"/>
              <w:jc w:val="center"/>
              <w:rPr>
                <w:rFonts w:ascii="宋体" w:hAnsi="宋体" w:cs="宋体"/>
                <w:b/>
                <w:sz w:val="24"/>
              </w:rPr>
            </w:pPr>
          </w:p>
        </w:tc>
        <w:tc>
          <w:tcPr>
            <w:tcW w:w="591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59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5911" w:type="dxa"/>
            <w:tcBorders>
              <w:top w:val="single" w:color="000000" w:sz="8" w:space="0"/>
              <w:left w:val="single" w:color="000000" w:sz="2" w:space="0"/>
              <w:bottom w:val="single" w:color="000000" w:sz="8" w:space="0"/>
              <w:right w:val="single" w:color="000000" w:sz="8" w:space="0"/>
            </w:tcBorders>
            <w:vAlign w:val="center"/>
          </w:tcPr>
          <w:p>
            <w:pPr>
              <w:adjustRightInd/>
              <w:spacing w:line="288" w:lineRule="auto"/>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本项目采用</w:t>
            </w:r>
            <w:r>
              <w:rPr>
                <w:rFonts w:hint="eastAsia" w:ascii="宋体" w:hAnsi="宋体" w:cs="宋体"/>
                <w:b/>
                <w:bCs/>
                <w:sz w:val="24"/>
                <w:lang w:val="zh-CN"/>
              </w:rPr>
              <w:t>投标总价报价，中标供应商的投标报价是履行合同的最终价格，原材料价格浮动等原因概不补差，如遇部分清单设备</w:t>
            </w:r>
            <w:r>
              <w:rPr>
                <w:rFonts w:hint="eastAsia" w:ascii="宋体" w:hAnsi="宋体" w:cs="宋体"/>
                <w:b/>
                <w:bCs/>
                <w:sz w:val="24"/>
              </w:rPr>
              <w:t>供货实际</w:t>
            </w:r>
            <w:r>
              <w:rPr>
                <w:rFonts w:hint="eastAsia" w:ascii="宋体" w:hAnsi="宋体" w:cs="宋体"/>
                <w:b/>
                <w:bCs/>
                <w:sz w:val="24"/>
                <w:lang w:val="zh-CN"/>
              </w:rPr>
              <w:t>数量有变，则按投标单价价格按实结算。</w:t>
            </w:r>
            <w:r>
              <w:rPr>
                <w:rFonts w:hint="eastAsia" w:ascii="宋体" w:hAnsi="宋体" w:cs="宋体"/>
                <w:sz w:val="24"/>
                <w:lang w:val="zh-CN"/>
              </w:rPr>
              <w:t>投标报价含有关本项目供货所需的货物成本、人工费、运输费、包装费、交通费、搬运费、设备安装费（含基础设施）、配套的内容制作及基础装修费、管理费、税金（按国家规定）、政策性文件规定及合同包含的所有风险、责任等完成本项目的所有费用。</w:t>
            </w:r>
          </w:p>
          <w:p>
            <w:pPr>
              <w:snapToGrid w:val="0"/>
              <w:spacing w:line="360" w:lineRule="auto"/>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《投标（开标）一览表》是报价的唯一载体。采购文件中价格全部采用人民币报价。采购文件未列明，而供应商认为必需的费用也需综合考虑至投标报价中。</w:t>
            </w:r>
          </w:p>
          <w:p>
            <w:pPr>
              <w:numPr>
                <w:ilvl w:val="0"/>
                <w:numId w:val="1"/>
              </w:numPr>
              <w:adjustRightInd/>
              <w:spacing w:line="288" w:lineRule="auto"/>
              <w:jc w:val="left"/>
              <w:rPr>
                <w:rFonts w:ascii="宋体" w:hAnsi="宋体" w:cs="宋体"/>
                <w:sz w:val="24"/>
              </w:rPr>
            </w:pPr>
            <w:r>
              <w:rPr>
                <w:rFonts w:hint="eastAsia" w:ascii="宋体" w:hAnsi="宋体" w:cs="宋体"/>
                <w:sz w:val="24"/>
              </w:rPr>
              <w:t>其它需在报价中考虑的因素：</w:t>
            </w:r>
          </w:p>
          <w:p>
            <w:pPr>
              <w:adjustRightInd/>
              <w:spacing w:line="288" w:lineRule="auto"/>
              <w:jc w:val="left"/>
              <w:rPr>
                <w:rFonts w:ascii="宋体" w:hAnsi="宋体" w:cs="宋体"/>
                <w:sz w:val="24"/>
              </w:rPr>
            </w:pPr>
            <w:r>
              <w:rPr>
                <w:rFonts w:hint="eastAsia" w:ascii="宋体" w:hAnsi="宋体" w:cs="宋体"/>
                <w:sz w:val="24"/>
              </w:rPr>
              <w:t>3.1用户需求中明确的需供应商承担的费用均应含在投标</w:t>
            </w:r>
          </w:p>
          <w:p>
            <w:pPr>
              <w:adjustRightInd/>
              <w:spacing w:line="288" w:lineRule="auto"/>
              <w:jc w:val="left"/>
              <w:rPr>
                <w:rFonts w:ascii="宋体" w:hAnsi="宋体" w:cs="宋体"/>
                <w:sz w:val="24"/>
              </w:rPr>
            </w:pPr>
            <w:r>
              <w:rPr>
                <w:rFonts w:hint="eastAsia" w:ascii="宋体" w:hAnsi="宋体" w:cs="宋体"/>
                <w:sz w:val="24"/>
              </w:rPr>
              <w:t>总价中；</w:t>
            </w:r>
          </w:p>
          <w:p>
            <w:pPr>
              <w:adjustRightInd/>
              <w:spacing w:line="288" w:lineRule="auto"/>
              <w:jc w:val="left"/>
              <w:rPr>
                <w:rFonts w:ascii="宋体" w:hAnsi="宋体" w:cs="宋体"/>
                <w:sz w:val="24"/>
              </w:rPr>
            </w:pPr>
            <w:r>
              <w:rPr>
                <w:rFonts w:hint="eastAsia" w:ascii="宋体" w:hAnsi="宋体" w:cs="宋体"/>
                <w:sz w:val="24"/>
              </w:rPr>
              <w:t>3.2采购文件未明示但供应商认为可能产生的潜在费用支出均需自行考虑并计入投标总价中；</w:t>
            </w:r>
          </w:p>
          <w:p>
            <w:pPr>
              <w:adjustRightInd/>
              <w:spacing w:line="288" w:lineRule="auto"/>
              <w:jc w:val="left"/>
              <w:rPr>
                <w:b/>
                <w:bCs/>
                <w:lang w:val="zh-CN"/>
              </w:rPr>
            </w:pPr>
            <w:r>
              <w:rPr>
                <w:rFonts w:hint="eastAsia" w:ascii="宋体" w:hAnsi="宋体" w:cs="宋体"/>
                <w:sz w:val="24"/>
              </w:rPr>
              <w:t>3.3对于没有填报的项目，采购人将不再支付，并均认为已包含在报价内。</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6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591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5911" w:type="dxa"/>
            <w:tcBorders>
              <w:top w:val="single" w:color="000000" w:sz="8" w:space="0"/>
              <w:left w:val="single" w:color="000000" w:sz="2" w:space="0"/>
              <w:bottom w:val="single" w:color="000000" w:sz="8" w:space="0"/>
              <w:right w:val="single" w:color="000000" w:sz="8" w:space="0"/>
            </w:tcBorders>
            <w:vAlign w:val="center"/>
          </w:tcPr>
          <w:p>
            <w:pPr>
              <w:pStyle w:val="13"/>
              <w:ind w:firstLine="442"/>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备份投标文件送达地点：长兴县阳光家园2#楼五楼，0572-6051573，朱工收。</w:t>
            </w:r>
          </w:p>
          <w:p>
            <w:pPr>
              <w:pStyle w:val="13"/>
              <w:ind w:firstLine="442"/>
              <w:rPr>
                <w:kern w:val="28"/>
              </w:rPr>
            </w:pPr>
            <w:r>
              <w:rPr>
                <w:rFonts w:hint="eastAsia" w:ascii="宋体" w:hAnsi="宋体" w:eastAsia="宋体" w:cs="宋体"/>
                <w:snapToGrid w:val="0"/>
                <w:kern w:val="28"/>
                <w:sz w:val="24"/>
                <w:szCs w:val="24"/>
                <w:lang w:val="en-US" w:eastAsia="zh-CN" w:bidi="ar-SA"/>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宋体" w:asciiTheme="minorEastAsia" w:hAnsiTheme="minorEastAsia" w:eastAsiaTheme="minorEastAsia"/>
                <w:b/>
                <w:sz w:val="24"/>
              </w:rPr>
              <w:t>采购代理服务费</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cs="宋体" w:asciiTheme="minorEastAsia" w:hAnsiTheme="minorEastAsia" w:eastAsiaTheme="minorEastAsia"/>
                <w:snapToGrid w:val="0"/>
                <w:kern w:val="28"/>
                <w:sz w:val="24"/>
              </w:rPr>
            </w:pPr>
            <w:sdt>
              <w:sdtPr>
                <w:rPr>
                  <w:rFonts w:hint="eastAsia"/>
                </w:rPr>
                <w:id w:val="1471639187"/>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rPr>
              </w:sdtEndPr>
              <w:sdtContent>
                <w:r>
                  <w:rPr>
                    <w:rFonts w:hint="eastAsia" w:ascii="MS Gothic" w:hAnsi="MS Gothic" w:cs="宋体" w:eastAsiaTheme="minorEastAsia"/>
                    <w:snapToGrid w:val="0"/>
                    <w:kern w:val="28"/>
                    <w:sz w:val="24"/>
                    <w:szCs w:val="24"/>
                    <w:lang w:val="en-US" w:eastAsia="zh-CN" w:bidi="ar-SA"/>
                  </w:rPr>
                  <w:t>☐</w:t>
                </w:r>
              </w:sdtContent>
            </w:sdt>
            <w:r>
              <w:rPr>
                <w:rFonts w:hint="eastAsia" w:cs="宋体" w:asciiTheme="minorEastAsia" w:hAnsiTheme="minorEastAsia" w:eastAsiaTheme="minorEastAsia"/>
                <w:snapToGrid w:val="0"/>
                <w:kern w:val="28"/>
                <w:sz w:val="24"/>
              </w:rPr>
              <w:t>A本项目不收取采购代理服务费。</w:t>
            </w:r>
          </w:p>
          <w:p>
            <w:pPr>
              <w:spacing w:line="360" w:lineRule="auto"/>
              <w:ind w:firstLine="420" w:firstLineChars="200"/>
              <w:rPr>
                <w:rFonts w:hint="eastAsia" w:cs="宋体" w:asciiTheme="minorEastAsia" w:hAnsiTheme="minorEastAsia" w:eastAsiaTheme="minorEastAsia"/>
                <w:snapToGrid w:val="0"/>
                <w:kern w:val="28"/>
                <w:sz w:val="24"/>
              </w:rPr>
            </w:pPr>
            <w:sdt>
              <w:sdtPr>
                <w:rPr>
                  <w:rFonts w:hint="eastAsia"/>
                </w:rPr>
                <w:id w:val="1471639187"/>
                <w14:checkbox>
                  <w14:checked w14:val="1"/>
                  <w14:checkedState w14:val="00FE" w14:font="Wingdings"/>
                  <w14:uncheckedState w14:val="2610" w14:font="MS Gothic"/>
                </w14:checkbox>
              </w:sdtPr>
              <w:sdtEndPr>
                <w:rPr>
                  <w:rFonts w:hint="eastAsia" w:cs="宋体" w:asciiTheme="minorEastAsia" w:hAnsiTheme="minorEastAsia" w:eastAsiaTheme="minorEastAsia"/>
                  <w:snapToGrid w:val="0"/>
                  <w:kern w:val="28"/>
                  <w:sz w:val="24"/>
                </w:rPr>
              </w:sdtEndPr>
              <w:sdtContent>
                <w:r>
                  <w:rPr>
                    <w:rFonts w:hint="eastAsia" w:ascii="Wingdings" w:hAnsi="Wingdings" w:cs="宋体" w:eastAsiaTheme="minorEastAsia"/>
                    <w:snapToGrid w:val="0"/>
                    <w:kern w:val="28"/>
                    <w:sz w:val="24"/>
                    <w:szCs w:val="24"/>
                    <w:lang w:val="en-US" w:eastAsia="zh-CN" w:bidi="ar-SA"/>
                  </w:rPr>
                  <w:t>þ</w:t>
                </w:r>
              </w:sdtContent>
            </w:sdt>
            <w:r>
              <w:rPr>
                <w:rFonts w:hint="eastAsia" w:cs="宋体" w:asciiTheme="minorEastAsia" w:hAnsiTheme="minorEastAsia" w:eastAsiaTheme="minorEastAsia"/>
                <w:snapToGrid w:val="0"/>
                <w:kern w:val="28"/>
                <w:sz w:val="24"/>
              </w:rPr>
              <w:t>本项目收取采购代理服务费。</w:t>
            </w:r>
          </w:p>
          <w:p>
            <w:pPr>
              <w:spacing w:line="360" w:lineRule="auto"/>
              <w:ind w:firstLine="480" w:firstLineChars="200"/>
              <w:rPr>
                <w:rFonts w:ascii="宋体" w:hAnsi="宋体" w:cs="宋体"/>
                <w:b/>
                <w:bCs/>
                <w:snapToGrid w:val="0"/>
                <w:kern w:val="28"/>
                <w:sz w:val="24"/>
              </w:rPr>
            </w:pPr>
            <w:r>
              <w:rPr>
                <w:rFonts w:hint="eastAsia" w:cs="宋体" w:asciiTheme="minorEastAsia" w:hAnsiTheme="minorEastAsia" w:eastAsiaTheme="minorEastAsia"/>
                <w:snapToGrid w:val="0"/>
                <w:kern w:val="28"/>
                <w:sz w:val="24"/>
                <w:lang w:val="en-US" w:eastAsia="zh-CN"/>
              </w:rPr>
              <w:t>投标</w:t>
            </w:r>
            <w:r>
              <w:rPr>
                <w:rFonts w:hint="eastAsia" w:cs="宋体" w:asciiTheme="minorEastAsia" w:hAnsiTheme="minorEastAsia" w:eastAsiaTheme="minorEastAsia"/>
                <w:snapToGrid w:val="0"/>
                <w:kern w:val="28"/>
                <w:sz w:val="24"/>
              </w:rPr>
              <w:t>总报价应包含采购服务费，采购服务费按照国家发展计划委员会计价格[2002]1980号文《招标代理服务费管理暂行办法》及发改办价格[2003]857号文的收费标准（服务类</w:t>
            </w:r>
            <w:r>
              <w:rPr>
                <w:rFonts w:hint="eastAsia" w:cs="宋体" w:asciiTheme="minorEastAsia" w:hAnsiTheme="minorEastAsia" w:eastAsiaTheme="minorEastAsia"/>
                <w:snapToGrid w:val="0"/>
                <w:kern w:val="28"/>
                <w:sz w:val="24"/>
                <w:highlight w:val="none"/>
              </w:rPr>
              <w:t>）计取，人民币</w:t>
            </w:r>
            <w:r>
              <w:rPr>
                <w:rFonts w:hint="eastAsia" w:cs="宋体" w:asciiTheme="minorEastAsia" w:hAnsiTheme="minorEastAsia" w:eastAsiaTheme="minorEastAsia"/>
                <w:snapToGrid w:val="0"/>
                <w:kern w:val="28"/>
                <w:sz w:val="24"/>
                <w:highlight w:val="none"/>
              </w:rPr>
              <w:fldChar w:fldCharType="begin"/>
            </w:r>
            <w:r>
              <w:rPr>
                <w:rFonts w:hint="eastAsia" w:cs="宋体" w:asciiTheme="minorEastAsia" w:hAnsiTheme="minorEastAsia" w:eastAsiaTheme="minorEastAsia"/>
                <w:snapToGrid w:val="0"/>
                <w:kern w:val="28"/>
                <w:sz w:val="24"/>
                <w:highlight w:val="none"/>
              </w:rPr>
              <w:instrText xml:space="preserve"> = 10500 \* CHINESENUM4 \* MERGEFORMAT </w:instrText>
            </w:r>
            <w:r>
              <w:rPr>
                <w:rFonts w:hint="eastAsia" w:cs="宋体" w:asciiTheme="minorEastAsia" w:hAnsiTheme="minorEastAsia" w:eastAsiaTheme="minorEastAsia"/>
                <w:snapToGrid w:val="0"/>
                <w:kern w:val="28"/>
                <w:sz w:val="24"/>
                <w:highlight w:val="none"/>
              </w:rPr>
              <w:fldChar w:fldCharType="separate"/>
            </w:r>
            <w:r>
              <w:rPr>
                <w:rFonts w:hint="eastAsia" w:cs="宋体" w:asciiTheme="minorEastAsia" w:hAnsiTheme="minorEastAsia" w:eastAsiaTheme="minorEastAsia"/>
                <w:snapToGrid w:val="0"/>
                <w:kern w:val="28"/>
                <w:sz w:val="24"/>
                <w:highlight w:val="none"/>
                <w:lang w:val="en-US" w:eastAsia="zh-CN"/>
              </w:rPr>
              <w:t>28600</w:t>
            </w:r>
            <w:r>
              <w:rPr>
                <w:rFonts w:hint="eastAsia" w:cs="宋体" w:asciiTheme="minorEastAsia" w:hAnsiTheme="minorEastAsia" w:eastAsiaTheme="minorEastAsia"/>
                <w:snapToGrid w:val="0"/>
                <w:kern w:val="28"/>
                <w:sz w:val="24"/>
                <w:highlight w:val="none"/>
              </w:rPr>
              <w:t>元整</w:t>
            </w:r>
            <w:r>
              <w:rPr>
                <w:rFonts w:hint="eastAsia" w:cs="宋体" w:asciiTheme="minorEastAsia" w:hAnsiTheme="minorEastAsia" w:eastAsiaTheme="minorEastAsia"/>
                <w:snapToGrid w:val="0"/>
                <w:kern w:val="28"/>
                <w:sz w:val="24"/>
                <w:highlight w:val="none"/>
              </w:rPr>
              <w:fldChar w:fldCharType="end"/>
            </w:r>
            <w:r>
              <w:rPr>
                <w:rFonts w:hint="eastAsia" w:cs="宋体" w:asciiTheme="minorEastAsia" w:hAnsiTheme="minorEastAsia" w:eastAsiaTheme="minorEastAsia"/>
                <w:snapToGrid w:val="0"/>
                <w:kern w:val="28"/>
                <w:sz w:val="24"/>
                <w:highlight w:val="none"/>
              </w:rPr>
              <w:t>，由</w:t>
            </w:r>
            <w:r>
              <w:rPr>
                <w:rFonts w:hint="eastAsia" w:cs="宋体" w:asciiTheme="minorEastAsia" w:hAnsiTheme="minorEastAsia" w:eastAsiaTheme="minorEastAsia"/>
                <w:snapToGrid w:val="0"/>
                <w:kern w:val="28"/>
                <w:sz w:val="24"/>
                <w:highlight w:val="none"/>
                <w:lang w:val="en-US" w:eastAsia="zh-CN"/>
              </w:rPr>
              <w:t>中</w:t>
            </w:r>
            <w:r>
              <w:rPr>
                <w:rFonts w:hint="eastAsia" w:cs="宋体" w:asciiTheme="minorEastAsia" w:hAnsiTheme="minorEastAsia" w:eastAsiaTheme="minorEastAsia"/>
                <w:snapToGrid w:val="0"/>
                <w:kern w:val="28"/>
                <w:sz w:val="24"/>
                <w:lang w:val="en-US" w:eastAsia="zh-CN"/>
              </w:rPr>
              <w:t>标单位</w:t>
            </w:r>
            <w:r>
              <w:rPr>
                <w:rFonts w:hint="eastAsia" w:cs="宋体" w:asciiTheme="minorEastAsia" w:hAnsiTheme="minorEastAsia" w:eastAsiaTheme="minorEastAsia"/>
                <w:snapToGrid w:val="0"/>
                <w:kern w:val="28"/>
                <w:sz w:val="24"/>
              </w:rPr>
              <w:t>在领取</w:t>
            </w:r>
            <w:r>
              <w:rPr>
                <w:rFonts w:hint="eastAsia" w:cs="宋体" w:asciiTheme="minorEastAsia" w:hAnsiTheme="minorEastAsia" w:eastAsiaTheme="minorEastAsia"/>
                <w:snapToGrid w:val="0"/>
                <w:kern w:val="28"/>
                <w:sz w:val="24"/>
                <w:lang w:val="en-US" w:eastAsia="zh-CN"/>
              </w:rPr>
              <w:t>中标</w:t>
            </w:r>
            <w:r>
              <w:rPr>
                <w:rFonts w:hint="eastAsia" w:cs="宋体" w:asciiTheme="minorEastAsia" w:hAnsiTheme="minorEastAsia" w:eastAsiaTheme="minorEastAsia"/>
                <w:snapToGrid w:val="0"/>
                <w:kern w:val="28"/>
                <w:sz w:val="24"/>
              </w:rPr>
              <w:t>通知书时支付给采购代理公司。（对于放弃中标资格的</w:t>
            </w:r>
            <w:r>
              <w:rPr>
                <w:rFonts w:hint="eastAsia" w:cs="宋体" w:asciiTheme="minorEastAsia" w:hAnsiTheme="minorEastAsia" w:eastAsiaTheme="minorEastAsia"/>
                <w:snapToGrid w:val="0"/>
                <w:kern w:val="28"/>
                <w:sz w:val="24"/>
                <w:lang w:val="en-US" w:eastAsia="zh-CN"/>
              </w:rPr>
              <w:t>投标单位</w:t>
            </w:r>
            <w:r>
              <w:rPr>
                <w:rFonts w:hint="eastAsia" w:cs="宋体" w:asciiTheme="minorEastAsia" w:hAnsiTheme="minorEastAsia" w:eastAsiaTheme="minorEastAsia"/>
                <w:snapToGrid w:val="0"/>
                <w:kern w:val="28"/>
                <w:sz w:val="24"/>
              </w:rPr>
              <w:t>，须承担代理费用及专家评审费等费用，对此，各</w:t>
            </w:r>
            <w:r>
              <w:rPr>
                <w:rFonts w:hint="eastAsia" w:cs="宋体" w:asciiTheme="minorEastAsia" w:hAnsiTheme="minorEastAsia" w:eastAsiaTheme="minorEastAsia"/>
                <w:snapToGrid w:val="0"/>
                <w:kern w:val="28"/>
                <w:sz w:val="24"/>
                <w:lang w:val="en-US" w:eastAsia="zh-CN"/>
              </w:rPr>
              <w:t>投标单位</w:t>
            </w:r>
            <w:r>
              <w:rPr>
                <w:rFonts w:hint="eastAsia" w:cs="宋体" w:asciiTheme="minorEastAsia" w:hAnsiTheme="minorEastAsia" w:eastAsiaTheme="minorEastAsia"/>
                <w:snapToGrid w:val="0"/>
                <w:kern w:val="28"/>
                <w:sz w:val="24"/>
              </w:rPr>
              <w:t>应考虑此风险。）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其他说明</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1、中标人应在合同签订前完成政府采购云平台（https://www.zcygov.cn/）全部注册步骤并成为正式注册入库供应商，否则将导致合同款无法正常支付，责任由中标人承担。请供应商尽早完成注册。https://middle.zcygov.cn/settle-front/#/registry。（供应商注册页面）</w:t>
            </w:r>
          </w:p>
          <w:p>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2、中标人在领取中标通知书时应提供与电子投标文件内容一致的纸质投标文件一正三副，装订成册，采用胶订或线订，不得采用活页夹等可随时拆换的方式装订。（胶订或线订以外装订形式视为活页装订）</w:t>
            </w:r>
          </w:p>
        </w:tc>
      </w:tr>
    </w:tbl>
    <w:p>
      <w:pPr>
        <w:rPr>
          <w:rFonts w:ascii="宋体" w:hAnsi="宋体" w:cs="宋体"/>
          <w:b/>
          <w:sz w:val="32"/>
          <w:szCs w:val="20"/>
        </w:rPr>
      </w:pPr>
    </w:p>
    <w:p>
      <w:pPr>
        <w:pStyle w:val="19"/>
        <w:ind w:firstLine="64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“供应商”系指是指响应招标、参加投标竞争的法人、其他组织或者自然人。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修缮、装修类项目采购建材的，采购人应将绿色建筑和绿色建材性能、指标等作为实质性条件纳入采购文件和合同。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FF"/>
          <w:sz w:val="24"/>
          <w:lang w:val="en-US" w:eastAsia="zh-CN"/>
        </w:rPr>
        <w:t>10</w:t>
      </w:r>
      <w:r>
        <w:rPr>
          <w:rFonts w:hint="eastAsia" w:ascii="宋体" w:hAnsi="宋体" w:cs="宋体"/>
          <w:color w:val="0000FF"/>
          <w:sz w:val="24"/>
        </w:rPr>
        <w:t>%的扣除</w:t>
      </w:r>
      <w:r>
        <w:rPr>
          <w:rFonts w:hint="eastAsia" w:ascii="宋体" w:hAnsi="宋体" w:cs="宋体"/>
          <w:sz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FF"/>
          <w:sz w:val="24"/>
        </w:rPr>
        <w:t>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湖州市财政局与省银保监局、市金融办、市经信局共同出台了《湖州市政府采购支持中小企业信用融资管理办法》，供应商若有融资意向，详见《政府采购支持中小企业信用融资相关事项通知》，或登录湖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1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.1提出质疑的供应商应当是参与所质疑项目采购活动的供应商。潜在供应商已依法获取其可质疑的采购文件的，可以对该文件提出质疑。</w:t>
      </w:r>
    </w:p>
    <w:p>
      <w:pPr>
        <w:pStyle w:val="1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pPr>
        <w:pStyle w:val="1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w:t>
      </w:r>
    </w:p>
    <w:p>
      <w:pPr>
        <w:pStyle w:val="13"/>
        <w:spacing w:line="360" w:lineRule="auto"/>
        <w:ind w:left="479" w:leftChars="228"/>
        <w:rPr>
          <w:rFonts w:hAnsi="宋体" w:cs="宋体"/>
          <w:sz w:val="24"/>
        </w:rPr>
      </w:pPr>
      <w:r>
        <w:rPr>
          <w:rFonts w:hint="eastAsia" w:hAnsi="宋体" w:cs="宋体"/>
          <w:sz w:val="24"/>
        </w:rPr>
        <w:t>4.2.2.3对采购结果提出质疑的，质疑期限自采购结果公告期限届满之日起计算。</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1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1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27"/>
        <w:snapToGrid w:val="0"/>
        <w:spacing w:after="240" w:afterAutospacing="0" w:line="360" w:lineRule="auto"/>
        <w:ind w:firstLine="482"/>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7"/>
        <w:snapToGrid w:val="0"/>
        <w:spacing w:after="240" w:afterAutospacing="0" w:line="360" w:lineRule="auto"/>
        <w:ind w:firstLine="482"/>
        <w:contextualSpacing/>
      </w:pPr>
      <w:r>
        <w:rPr>
          <w:rFonts w:hint="eastAsia"/>
        </w:rPr>
        <w:t>质疑函范本及制作说明详见附件2。</w:t>
      </w:r>
    </w:p>
    <w:p>
      <w:pPr>
        <w:pStyle w:val="27"/>
        <w:snapToGrid w:val="0"/>
        <w:spacing w:after="240" w:afterAutospacing="0" w:line="360" w:lineRule="auto"/>
        <w:ind w:firstLine="482"/>
        <w:contextualSpacing/>
      </w:pPr>
      <w:r>
        <w:rPr>
          <w:rFonts w:hint="eastAsia"/>
        </w:rPr>
        <w:t>4.2.4对同一采购程序环节的质疑，供应商须在法定质疑期内一次性提出。</w:t>
      </w:r>
    </w:p>
    <w:p>
      <w:pPr>
        <w:pStyle w:val="27"/>
        <w:snapToGrid w:val="0"/>
        <w:spacing w:after="240" w:afterAutospacing="0" w:line="360" w:lineRule="auto"/>
        <w:ind w:firstLine="482"/>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7"/>
        <w:snapToGrid w:val="0"/>
        <w:spacing w:after="240" w:afterAutospacing="0" w:line="360" w:lineRule="auto"/>
        <w:ind w:firstLine="482"/>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27"/>
        <w:snapToGrid w:val="0"/>
        <w:spacing w:after="240" w:afterAutospacing="0" w:line="360" w:lineRule="auto"/>
        <w:ind w:firstLine="480" w:firstLineChars="200"/>
        <w:contextualSpacing/>
        <w:rPr>
          <w:lang w:val="zh-CN"/>
        </w:rPr>
      </w:pPr>
      <w:r>
        <w:rPr>
          <w:rFonts w:hint="eastAsia"/>
          <w:lang w:val="zh-CN"/>
        </w:rPr>
        <w:t>4.3供应商投诉</w:t>
      </w:r>
    </w:p>
    <w:p>
      <w:pPr>
        <w:pStyle w:val="27"/>
        <w:snapToGrid w:val="0"/>
        <w:spacing w:after="240" w:afterAutospacing="0" w:line="360" w:lineRule="auto"/>
        <w:ind w:firstLine="482"/>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27"/>
        <w:snapToGrid w:val="0"/>
        <w:spacing w:after="240" w:afterAutospacing="0" w:line="360" w:lineRule="auto"/>
        <w:ind w:firstLine="482"/>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7"/>
        <w:snapToGrid w:val="0"/>
        <w:spacing w:after="240" w:afterAutospacing="0" w:line="360" w:lineRule="auto"/>
        <w:ind w:firstLine="482"/>
        <w:contextualSpacing/>
      </w:pPr>
      <w:r>
        <w:rPr>
          <w:rFonts w:hint="eastAsia"/>
        </w:rPr>
        <w:t>4.3.3供应商投诉应当有明确的请求和必要的证明材料。</w:t>
      </w:r>
    </w:p>
    <w:p>
      <w:pPr>
        <w:pStyle w:val="27"/>
        <w:snapToGrid w:val="0"/>
        <w:spacing w:after="240" w:afterAutospacing="0" w:line="360" w:lineRule="auto"/>
        <w:ind w:firstLine="482"/>
        <w:contextualSpacing/>
      </w:pPr>
      <w:r>
        <w:rPr>
          <w:rFonts w:hint="eastAsia"/>
        </w:rPr>
        <w:t>4.3.5 以联合体形式参加政府采购活动的，其投诉应当由组成联合体的所有供应商共同提出。</w:t>
      </w:r>
    </w:p>
    <w:p>
      <w:pPr>
        <w:pStyle w:val="27"/>
        <w:snapToGrid w:val="0"/>
        <w:spacing w:after="240" w:afterAutospacing="0" w:line="360" w:lineRule="auto"/>
        <w:ind w:firstLine="482"/>
        <w:contextualSpacing/>
      </w:pPr>
      <w:r>
        <w:rPr>
          <w:rFonts w:hint="eastAsia"/>
        </w:rPr>
        <w:t>投诉书范本及制作说明详见附件3。</w:t>
      </w:r>
    </w:p>
    <w:p>
      <w:pPr>
        <w:pStyle w:val="27"/>
        <w:snapToGrid w:val="0"/>
        <w:spacing w:after="240" w:afterAutospacing="0" w:line="360" w:lineRule="auto"/>
        <w:ind w:firstLine="482"/>
        <w:contextualSpacing/>
      </w:pPr>
      <w:r>
        <w:rPr>
          <w:rFonts w:hint="eastAsia"/>
        </w:rPr>
        <w:t>4.4在线质疑、投诉。</w:t>
      </w:r>
    </w:p>
    <w:p>
      <w:pPr>
        <w:pStyle w:val="27"/>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8"/>
        <w:snapToGrid w:val="0"/>
        <w:spacing w:before="0"/>
        <w:ind w:firstLine="360"/>
        <w:rPr>
          <w:rFonts w:ascii="宋体" w:hAnsi="宋体" w:cs="宋体"/>
          <w:sz w:val="18"/>
          <w:szCs w:val="18"/>
        </w:rPr>
      </w:pPr>
    </w:p>
    <w:p>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pPr>
        <w:pStyle w:val="13"/>
        <w:spacing w:line="360" w:lineRule="auto"/>
        <w:rPr>
          <w:rFonts w:hAnsi="宋体" w:cs="宋体"/>
          <w:b/>
          <w:sz w:val="24"/>
          <w:szCs w:val="24"/>
        </w:rPr>
      </w:pPr>
      <w:r>
        <w:rPr>
          <w:rFonts w:hint="eastAsia" w:hAnsi="宋体" w:cs="宋体"/>
          <w:b/>
          <w:sz w:val="24"/>
          <w:szCs w:val="24"/>
        </w:rPr>
        <w:t>5．采购文件的构成</w:t>
      </w:r>
    </w:p>
    <w:p>
      <w:pPr>
        <w:pStyle w:val="1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1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13"/>
        <w:spacing w:line="360" w:lineRule="auto"/>
        <w:rPr>
          <w:rFonts w:hAnsi="宋体" w:cs="宋体"/>
          <w:b/>
          <w:sz w:val="24"/>
          <w:szCs w:val="24"/>
        </w:rPr>
      </w:pPr>
      <w:r>
        <w:rPr>
          <w:rFonts w:hint="eastAsia" w:hAnsi="宋体" w:cs="宋体"/>
          <w:b/>
          <w:sz w:val="24"/>
          <w:szCs w:val="24"/>
        </w:rPr>
        <w:t>6. 采购文件的澄清、修改</w:t>
      </w:r>
    </w:p>
    <w:p>
      <w:pPr>
        <w:pStyle w:val="28"/>
        <w:snapToGrid w:val="0"/>
        <w:spacing w:before="0"/>
        <w:ind w:firstLine="480"/>
        <w:rPr>
          <w:rFonts w:ascii="宋体" w:hAnsi="宋体" w:cs="宋体"/>
        </w:rPr>
      </w:pPr>
      <w:r>
        <w:rPr>
          <w:rFonts w:hint="eastAsia" w:ascii="宋体" w:hAnsi="宋体" w:cs="宋体"/>
        </w:rPr>
        <w:t>6.1已获取采购文件的潜在供应商，若有问题需要澄清，应于投标截止时间前，以书面形式向采购机构提出。</w:t>
      </w:r>
    </w:p>
    <w:p>
      <w:pPr>
        <w:pStyle w:val="28"/>
        <w:snapToGrid w:val="0"/>
        <w:spacing w:before="0"/>
        <w:ind w:firstLine="480"/>
        <w:rPr>
          <w:rFonts w:ascii="宋体" w:hAnsi="宋体" w:cs="宋体"/>
        </w:rPr>
      </w:pPr>
      <w:r>
        <w:rPr>
          <w:rFonts w:hint="eastAsia" w:ascii="宋体" w:hAnsi="宋体" w:cs="宋体"/>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8"/>
        <w:rPr>
          <w:rFonts w:hAnsi="宋体" w:cs="宋体"/>
          <w:sz w:val="18"/>
          <w:szCs w:val="18"/>
          <w:lang w:val="en-US"/>
        </w:rPr>
      </w:pPr>
      <w:r>
        <w:rPr>
          <w:rFonts w:hint="eastAsia" w:hAnsi="宋体" w:cs="宋体"/>
          <w:szCs w:val="24"/>
          <w:lang w:val="en-US"/>
        </w:rPr>
        <w:t xml:space="preserve">    </w:t>
      </w:r>
    </w:p>
    <w:p>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pPr>
        <w:pStyle w:val="13"/>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详见招标公告中获取采购文件的时间期限、地点、方式及采购文件售价。</w:t>
      </w:r>
    </w:p>
    <w:p>
      <w:pPr>
        <w:pStyle w:val="13"/>
        <w:spacing w:line="360" w:lineRule="auto"/>
        <w:rPr>
          <w:rFonts w:hAnsi="宋体" w:cs="宋体"/>
          <w:b/>
          <w:sz w:val="24"/>
          <w:szCs w:val="24"/>
        </w:rPr>
      </w:pPr>
      <w:r>
        <w:rPr>
          <w:rFonts w:hint="eastAsia" w:hAnsi="宋体" w:cs="宋体"/>
          <w:b/>
          <w:sz w:val="24"/>
          <w:szCs w:val="24"/>
        </w:rPr>
        <w:t>8.开标前答疑会或现场考察</w:t>
      </w:r>
    </w:p>
    <w:p>
      <w:pPr>
        <w:pStyle w:val="1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pPr>
        <w:pStyle w:val="13"/>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13"/>
        <w:spacing w:line="360" w:lineRule="auto"/>
        <w:rPr>
          <w:rFonts w:hAnsi="宋体" w:cs="宋体"/>
          <w:b/>
          <w:sz w:val="24"/>
          <w:szCs w:val="24"/>
        </w:rPr>
      </w:pPr>
      <w:r>
        <w:rPr>
          <w:rFonts w:hint="eastAsia" w:hAnsi="宋体" w:cs="宋体"/>
          <w:b/>
          <w:sz w:val="24"/>
          <w:szCs w:val="24"/>
        </w:rPr>
        <w:t>10. 采购文件的语言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采购文件及供应商与采购有关的来往通知、函件和文件均应使用中文。</w:t>
      </w:r>
    </w:p>
    <w:p>
      <w:pPr>
        <w:pStyle w:val="13"/>
        <w:spacing w:line="360" w:lineRule="auto"/>
        <w:rPr>
          <w:rFonts w:hAnsi="宋体" w:cs="宋体"/>
          <w:b/>
          <w:sz w:val="24"/>
          <w:szCs w:val="24"/>
        </w:rPr>
      </w:pPr>
      <w:r>
        <w:rPr>
          <w:rFonts w:hint="eastAsia" w:hAnsi="宋体" w:cs="宋体"/>
          <w:b/>
          <w:sz w:val="24"/>
          <w:szCs w:val="24"/>
        </w:rPr>
        <w:t>11. 采购文件的组成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11.2.3联合协议（本项目不适用）；</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11.2.4分包意向协议（本项目不适用）；</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11.2.7投标标的清单（本项目不适用）；</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采购文件含有采购人不能接受的附加条件的，投标无效；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供应商提供虚假材料投标的，投标无效。</w:t>
      </w:r>
    </w:p>
    <w:p>
      <w:pPr>
        <w:pStyle w:val="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采购文件的编制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采购文件分为资格文件、商务技术文件、报价文件三部分。各供应商在编制采购文件时请按照采购文件第六部分规定的格式进行，混乱的编排导致采购文件被误读或评标委员会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12.2供应商进行电子投标应安装客户端软件—“政采云电子交易客户端”，并按照采购文件和电子交易平台的要求编制并加密采购文件。供应商未按规定加密的采购文件，电子交易平台将拒收并提示。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13.采购文件的签署、盖章</w:t>
      </w:r>
    </w:p>
    <w:p>
      <w:pPr>
        <w:pStyle w:val="28"/>
        <w:snapToGrid w:val="0"/>
        <w:spacing w:before="0"/>
        <w:ind w:firstLine="480"/>
        <w:rPr>
          <w:rFonts w:ascii="宋体" w:hAnsi="宋体" w:cs="宋体"/>
          <w:b/>
        </w:rPr>
      </w:pPr>
      <w:r>
        <w:rPr>
          <w:rFonts w:hint="eastAsia" w:ascii="宋体" w:hAnsi="宋体" w:cs="宋体"/>
          <w:szCs w:val="24"/>
        </w:rPr>
        <w:t>13.1采购文件按照采购文件第六部分格式要</w:t>
      </w:r>
      <w:r>
        <w:rPr>
          <w:rFonts w:hint="eastAsia" w:ascii="宋体" w:hAnsi="宋体" w:cs="宋体"/>
        </w:rPr>
        <w:t>求进行签署、盖章。</w:t>
      </w:r>
      <w:r>
        <w:rPr>
          <w:rFonts w:hint="eastAsia" w:ascii="宋体" w:hAnsi="宋体" w:cs="宋体"/>
          <w:b/>
        </w:rPr>
        <w:t>▲供应商的采购文件未按照采购文件要求签署、盖章的，其投标无效</w:t>
      </w:r>
      <w:r>
        <w:rPr>
          <w:rFonts w:hint="eastAsia" w:ascii="宋体" w:hAnsi="宋体" w:cs="宋体"/>
          <w:szCs w:val="24"/>
        </w:rPr>
        <w:t>。</w:t>
      </w:r>
    </w:p>
    <w:p>
      <w:pPr>
        <w:pStyle w:val="28"/>
        <w:snapToGrid w:val="0"/>
        <w:spacing w:before="0"/>
        <w:ind w:firstLine="480"/>
        <w:rPr>
          <w:rFonts w:ascii="宋体" w:hAnsi="宋体" w:cs="宋体"/>
        </w:rPr>
      </w:pPr>
      <w:r>
        <w:rPr>
          <w:rFonts w:hint="eastAsia" w:ascii="宋体" w:hAnsi="宋体" w:cs="宋体"/>
        </w:rPr>
        <w:t>13.2为确保网上操作合法、有效和安全，供应商应当在投标截止时间前完成在“政府采购云平台”的身份认证，确保在电子投标过程中能够对相关数据电文进行加密和使用电子签名。</w:t>
      </w:r>
    </w:p>
    <w:p>
      <w:pPr>
        <w:pStyle w:val="28"/>
        <w:snapToGrid w:val="0"/>
        <w:spacing w:before="0"/>
        <w:ind w:firstLine="480"/>
        <w:rPr>
          <w:rFonts w:ascii="宋体" w:hAnsi="宋体" w:cs="宋体"/>
          <w:szCs w:val="24"/>
        </w:rPr>
      </w:pPr>
      <w:r>
        <w:rPr>
          <w:rFonts w:hint="eastAsia" w:ascii="宋体" w:hAnsi="宋体" w:cs="宋体"/>
        </w:rPr>
        <w:t>13.3采购文件对采购文件签署、盖章的要求适用于电子签名。</w:t>
      </w:r>
    </w:p>
    <w:p>
      <w:pPr>
        <w:pStyle w:val="28"/>
        <w:spacing w:before="0"/>
        <w:ind w:firstLine="0" w:firstLineChars="0"/>
        <w:rPr>
          <w:rFonts w:ascii="宋体" w:hAnsi="宋体" w:cs="宋体"/>
          <w:b/>
          <w:szCs w:val="24"/>
        </w:rPr>
      </w:pPr>
      <w:r>
        <w:rPr>
          <w:rFonts w:hint="eastAsia" w:ascii="宋体" w:hAnsi="宋体" w:cs="宋体"/>
          <w:b/>
          <w:szCs w:val="24"/>
        </w:rPr>
        <w:t>14. 采购文件的提交、补充、修改、撤回</w:t>
      </w:r>
    </w:p>
    <w:p>
      <w:pPr>
        <w:pStyle w:val="28"/>
        <w:ind w:firstLine="480"/>
        <w:rPr>
          <w:rFonts w:ascii="宋体" w:hAnsi="宋体" w:cs="宋体"/>
          <w:szCs w:val="24"/>
        </w:rPr>
      </w:pPr>
      <w:r>
        <w:rPr>
          <w:rFonts w:hint="eastAsia" w:ascii="宋体" w:hAnsi="宋体" w:cs="宋体"/>
          <w:szCs w:val="24"/>
        </w:rPr>
        <w:t>14.1 供应商应当在投标截止时间前完成采购文件的传输递交，并可以补充、修改或者撤回采购文件。补充或者修改采购文件的，应当先行撤回原文件，补充、修改后重新传输递交。投标截止时间前未完成传输的，视为撤回采购文件。投标截止时间后递交的采购文件，电子交易平台将拒收。</w:t>
      </w:r>
    </w:p>
    <w:p>
      <w:pPr>
        <w:pStyle w:val="28"/>
        <w:spacing w:before="0"/>
        <w:ind w:firstLine="480"/>
        <w:rPr>
          <w:rFonts w:ascii="宋体" w:hAnsi="宋体" w:cs="宋体"/>
          <w:szCs w:val="24"/>
        </w:rPr>
      </w:pPr>
      <w:r>
        <w:rPr>
          <w:rFonts w:hint="eastAsia" w:ascii="宋体" w:hAnsi="宋体" w:cs="宋体"/>
          <w:szCs w:val="24"/>
        </w:rPr>
        <w:t>14.2电子交易平台收到采购文件，将妥善保存并即时向供应商发出确认回执通知。在投标截止时间前，除供应商补充、修改或者撤回采购文件外，任何单位和个人不得解密或提取采购文件。</w:t>
      </w:r>
    </w:p>
    <w:p>
      <w:pPr>
        <w:pStyle w:val="28"/>
        <w:spacing w:before="0"/>
        <w:ind w:firstLine="480"/>
        <w:rPr>
          <w:rFonts w:ascii="宋体" w:hAnsi="宋体" w:cs="宋体"/>
          <w:szCs w:val="24"/>
        </w:rPr>
      </w:pPr>
      <w:r>
        <w:rPr>
          <w:rFonts w:hint="eastAsia" w:ascii="宋体" w:hAnsi="宋体" w:cs="宋体"/>
          <w:szCs w:val="24"/>
        </w:rPr>
        <w:t>14.3采购人、采购机构可以视情况延长采购文件提交的截止时间。在上述情况下，采购机构与供应商以前在投标截止期方面的全部权利、责任和义务，将适用于延长至新的投标截止期。</w:t>
      </w:r>
    </w:p>
    <w:p>
      <w:pPr>
        <w:pStyle w:val="13"/>
        <w:spacing w:line="360" w:lineRule="auto"/>
        <w:rPr>
          <w:rFonts w:hAnsi="宋体" w:cs="宋体"/>
          <w:b/>
          <w:sz w:val="24"/>
          <w:szCs w:val="24"/>
        </w:rPr>
      </w:pPr>
      <w:r>
        <w:rPr>
          <w:rFonts w:hint="eastAsia" w:hAnsi="宋体" w:cs="宋体"/>
          <w:b/>
          <w:sz w:val="24"/>
          <w:szCs w:val="24"/>
        </w:rPr>
        <w:t>15.备份采购文件</w:t>
      </w:r>
    </w:p>
    <w:p>
      <w:pPr>
        <w:pStyle w:val="13"/>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15.1供应商在电子交易平台传输递交采购文件后，还可以在投标截止时间前直接提交或者以邮政快递方式递交备份采购文件1份，</w:t>
      </w:r>
      <w:r>
        <w:rPr>
          <w:rFonts w:hint="eastAsia" w:hAnsi="宋体" w:cs="宋体"/>
          <w:b/>
          <w:sz w:val="24"/>
          <w:szCs w:val="24"/>
        </w:rPr>
        <w:t>但采购人、采购机构不强制或变相强制供应商提交备份采购文件。</w:t>
      </w:r>
    </w:p>
    <w:p>
      <w:pPr>
        <w:pStyle w:val="13"/>
        <w:spacing w:line="360" w:lineRule="auto"/>
        <w:ind w:firstLine="480" w:firstLineChars="200"/>
        <w:rPr>
          <w:rFonts w:hAnsi="宋体" w:cs="宋体"/>
          <w:b/>
          <w:sz w:val="24"/>
          <w:szCs w:val="24"/>
        </w:rPr>
      </w:pPr>
      <w:r>
        <w:rPr>
          <w:rFonts w:hint="eastAsia" w:hAnsi="宋体" w:cs="宋体"/>
          <w:sz w:val="24"/>
          <w:szCs w:val="24"/>
        </w:rPr>
        <w:t>15.2备份采购文件须在“政采云投标客户端”制作生成，并储存在</w:t>
      </w:r>
      <w:r>
        <w:rPr>
          <w:rFonts w:hint="eastAsia" w:hAnsi="宋体" w:cs="宋体"/>
          <w:sz w:val="24"/>
        </w:rPr>
        <w:t>DVD光盘</w:t>
      </w:r>
      <w:r>
        <w:rPr>
          <w:rFonts w:hint="eastAsia" w:hAnsi="宋体" w:cs="宋体"/>
          <w:sz w:val="24"/>
          <w:szCs w:val="24"/>
        </w:rPr>
        <w:t>中。备份采购文件应当密封包装并在包装上加盖公章并注明投标项目名称，供应商名称(联合体投标的，包装物封面需注明联合体投标，并注明联合体成员各方的名称和联合协议中约定的牵头人的名称)。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存储、密封规定的备份采购文件将被视为无效或者被拒绝接收。</w:t>
      </w:r>
    </w:p>
    <w:p>
      <w:pPr>
        <w:pStyle w:val="13"/>
        <w:spacing w:line="360" w:lineRule="auto"/>
        <w:ind w:firstLine="480" w:firstLineChars="200"/>
        <w:rPr>
          <w:rFonts w:hAnsi="宋体" w:cs="宋体"/>
          <w:sz w:val="24"/>
          <w:szCs w:val="24"/>
        </w:rPr>
      </w:pPr>
      <w:r>
        <w:rPr>
          <w:rFonts w:hint="eastAsia" w:hAnsi="宋体" w:cs="宋体"/>
          <w:sz w:val="24"/>
          <w:szCs w:val="24"/>
        </w:rPr>
        <w:t>15.3直接提交备份采购文件的，供应商应于投标截止时间前在招标公告中载明的开标地点将备份采购文件提交给采购机构，采购机构将拒绝接受逾期送达的备份采购文件。</w:t>
      </w:r>
    </w:p>
    <w:p>
      <w:pPr>
        <w:pStyle w:val="13"/>
        <w:spacing w:line="360" w:lineRule="auto"/>
        <w:ind w:firstLine="480" w:firstLineChars="200"/>
        <w:rPr>
          <w:rFonts w:hAnsi="宋体" w:cs="宋体"/>
          <w:sz w:val="24"/>
          <w:szCs w:val="24"/>
        </w:rPr>
      </w:pPr>
      <w:r>
        <w:rPr>
          <w:rFonts w:hint="eastAsia" w:hAnsi="宋体" w:cs="宋体"/>
          <w:sz w:val="24"/>
          <w:szCs w:val="24"/>
        </w:rPr>
        <w:t>15.4以邮政快递方式递交备份采购文件的，供应商应先将备份采购文件按要求密封和标记，再进行邮政快递包装后邮寄。备份采购文件须在投标截止时间之前送达</w:t>
      </w:r>
      <w:r>
        <w:rPr>
          <w:rFonts w:hint="eastAsia" w:hAnsi="宋体" w:cs="宋体"/>
          <w:snapToGrid/>
          <w:sz w:val="24"/>
          <w:szCs w:val="24"/>
        </w:rPr>
        <w:t>采购文件第二部分供应商须知前附表规定的备份采购文件送达地点；</w:t>
      </w:r>
      <w:r>
        <w:rPr>
          <w:rFonts w:hint="eastAsia" w:hAnsi="宋体" w:cs="宋体"/>
          <w:sz w:val="24"/>
          <w:szCs w:val="24"/>
        </w:rPr>
        <w:t>送达时间以签收人签收时间为准。采购机构将拒绝接受逾期送达的备份采购文件。邮寄过程中，电子备份采购文件发生泄露、遗失、损坏或延期送达等情况的，由供应商自行负责。</w:t>
      </w:r>
    </w:p>
    <w:p>
      <w:pPr>
        <w:pStyle w:val="13"/>
        <w:spacing w:line="360" w:lineRule="auto"/>
        <w:ind w:firstLine="479" w:firstLineChars="199"/>
        <w:rPr>
          <w:rFonts w:hAnsi="宋体" w:cs="宋体"/>
          <w:b/>
          <w:sz w:val="24"/>
          <w:szCs w:val="24"/>
        </w:rPr>
      </w:pPr>
      <w:r>
        <w:rPr>
          <w:rFonts w:hint="eastAsia" w:hAnsi="宋体" w:cs="宋体"/>
          <w:b/>
          <w:sz w:val="24"/>
          <w:szCs w:val="24"/>
        </w:rPr>
        <w:t>15.5供应商仅提交备份采购文件，未在电子交易平台传输递交采购文件的，投标无效。</w:t>
      </w:r>
    </w:p>
    <w:p>
      <w:pPr>
        <w:pStyle w:val="28"/>
        <w:spacing w:before="0"/>
        <w:ind w:firstLine="0" w:firstLineChars="0"/>
        <w:rPr>
          <w:rFonts w:ascii="宋体" w:hAnsi="宋体" w:cs="宋体"/>
          <w:b/>
          <w:szCs w:val="24"/>
        </w:rPr>
      </w:pPr>
      <w:r>
        <w:rPr>
          <w:rFonts w:hint="eastAsia" w:ascii="宋体" w:hAnsi="宋体" w:cs="宋体"/>
          <w:b/>
          <w:szCs w:val="24"/>
        </w:rPr>
        <w:t>16.采购文件的无效处理</w:t>
      </w:r>
    </w:p>
    <w:p>
      <w:pPr>
        <w:pStyle w:val="11"/>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的情形之一的，投标无效：</w:t>
      </w:r>
    </w:p>
    <w:p>
      <w:pPr>
        <w:pStyle w:val="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17.1投标有效期为从提交采购文件的截止之日起90天。▲</w:t>
      </w:r>
      <w:r>
        <w:rPr>
          <w:rFonts w:hint="eastAsia" w:ascii="宋体" w:hAnsi="宋体" w:cs="宋体"/>
          <w:b/>
          <w:sz w:val="24"/>
          <w:szCs w:val="20"/>
        </w:rPr>
        <w:t>供应商的采购文件中承</w:t>
      </w:r>
      <w:r>
        <w:rPr>
          <w:rFonts w:hint="eastAsia" w:ascii="宋体" w:hAnsi="宋体" w:cs="宋体"/>
          <w:b/>
          <w:sz w:val="24"/>
          <w:szCs w:val="21"/>
        </w:rPr>
        <w:t>诺的投标有效期少于采购文件中载明的投标有效期的，投标无效。</w:t>
      </w:r>
    </w:p>
    <w:p>
      <w:pPr>
        <w:pStyle w:val="28"/>
        <w:spacing w:before="0"/>
        <w:ind w:firstLine="480"/>
        <w:rPr>
          <w:rFonts w:ascii="宋体" w:hAnsi="宋体" w:cs="宋体"/>
        </w:rPr>
      </w:pPr>
      <w:r>
        <w:rPr>
          <w:rFonts w:hint="eastAsia" w:ascii="宋体" w:hAnsi="宋体" w:cs="宋体"/>
        </w:rPr>
        <w:t>17.2采购文件合格投递后，自投标截止日期起，在投标有效期内有效。</w:t>
      </w:r>
    </w:p>
    <w:p>
      <w:pPr>
        <w:pStyle w:val="28"/>
        <w:spacing w:before="0"/>
        <w:ind w:firstLine="480"/>
        <w:rPr>
          <w:rFonts w:ascii="宋体" w:hAnsi="宋体" w:cs="宋体"/>
        </w:rPr>
      </w:pPr>
      <w:r>
        <w:rPr>
          <w:rFonts w:hint="eastAsia" w:ascii="宋体" w:hAnsi="宋体" w:cs="宋体"/>
        </w:rPr>
        <w:t>17.3在原定投标有效期满之前，如果出现特殊情况，采购机构可以以书面形式通知供应商延长投标有效期。供应商同意延长的，不得要求或被允许修改其采购文件，供应商拒绝延长的，其投标无效。</w:t>
      </w:r>
    </w:p>
    <w:p>
      <w:pPr>
        <w:pStyle w:val="28"/>
        <w:spacing w:before="0"/>
        <w:ind w:firstLine="643"/>
        <w:rPr>
          <w:rFonts w:ascii="宋体" w:hAnsi="宋体" w:cs="宋体"/>
          <w:b/>
          <w:sz w:val="32"/>
        </w:rPr>
      </w:pPr>
    </w:p>
    <w:p>
      <w:pPr>
        <w:pStyle w:val="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18.1采购机构按照采购文件规定的时间通过电子交易平台组织开标，所有供应商均应当准时在线参加。供应商不足3家的，不得开标。</w:t>
      </w:r>
    </w:p>
    <w:p>
      <w:pPr>
        <w:pStyle w:val="2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18.2开标时，电子交易平台按开标时间自动提取所有采购文件。采购机构依托电子交易平台发起开始解密指令，供应商按照平台提示和采购文件的规定在半小时内完成在线解密。</w:t>
      </w:r>
    </w:p>
    <w:p>
      <w:pPr>
        <w:pStyle w:val="2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采购文件未按时解密，供应商提供了备份采购文件的，以备份采购文件作为依据，否则视为采购文件撤回。采购文件已按时解密的，备份采购文件自动失效。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28"/>
        <w:spacing w:before="0"/>
        <w:ind w:firstLine="480"/>
        <w:rPr>
          <w:rFonts w:ascii="宋体" w:hAnsi="宋体" w:cs="宋体"/>
          <w:kern w:val="0"/>
          <w:szCs w:val="24"/>
        </w:rPr>
      </w:pPr>
      <w:r>
        <w:rPr>
          <w:rFonts w:hint="eastAsia" w:ascii="宋体" w:hAnsi="宋体" w:cs="宋体"/>
          <w:kern w:val="0"/>
          <w:szCs w:val="24"/>
        </w:rPr>
        <w:t>19.1开标后，采购人或采购机构将依法对供应商的资格进行审查。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采购人或采购机构依据法律法规和采购文件的规定，对供应商的基本资格条件、特定资格条件进行审查。</w:t>
      </w:r>
    </w:p>
    <w:p>
      <w:pPr>
        <w:pStyle w:val="28"/>
        <w:spacing w:before="0"/>
        <w:ind w:firstLine="480"/>
        <w:rPr>
          <w:rFonts w:ascii="宋体" w:hAnsi="宋体" w:cs="宋体"/>
        </w:rPr>
      </w:pPr>
      <w:r>
        <w:rPr>
          <w:rFonts w:hint="eastAsia" w:ascii="宋体" w:hAnsi="宋体" w:cs="宋体"/>
          <w:kern w:val="0"/>
          <w:szCs w:val="24"/>
        </w:rPr>
        <w:t>19.3供应商未按照采购文件要求提供与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供应商不具备采购文件中规定的资格要求，其投标无效。</w:t>
      </w:r>
    </w:p>
    <w:p>
      <w:pPr>
        <w:pStyle w:val="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pPr>
        <w:pStyle w:val="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pPr>
        <w:pStyle w:val="28"/>
        <w:spacing w:before="0"/>
        <w:ind w:firstLine="0" w:firstLineChars="0"/>
        <w:rPr>
          <w:rFonts w:ascii="宋体" w:hAnsi="宋体" w:cs="宋体"/>
          <w:b/>
          <w:szCs w:val="24"/>
        </w:rPr>
      </w:pPr>
      <w:r>
        <w:rPr>
          <w:rFonts w:hint="eastAsia" w:ascii="宋体" w:hAnsi="宋体" w:cs="宋体"/>
          <w:b/>
          <w:szCs w:val="24"/>
        </w:rPr>
        <w:t>20、信用信息查询</w:t>
      </w:r>
    </w:p>
    <w:p>
      <w:pPr>
        <w:pStyle w:val="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20.1信用信息查询渠道及截止时间：采购机构将通过“信用中国”网站(www.creditchina.gov.cn)、中国政府采购网(www.ccgp.gov.cn)渠道查询供应商投标截止时间当天的信用记录。</w:t>
      </w:r>
    </w:p>
    <w:p>
      <w:pPr>
        <w:pStyle w:val="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8"/>
        <w:spacing w:before="0"/>
        <w:ind w:firstLine="0" w:firstLineChars="0"/>
        <w:rPr>
          <w:rFonts w:ascii="宋体" w:hAnsi="宋体" w:cs="宋体"/>
          <w:kern w:val="0"/>
          <w:szCs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cs="宋体"/>
          <w:b/>
          <w:sz w:val="24"/>
        </w:rPr>
        <w:t>详见采购文件第四部分评标办法。</w:t>
      </w:r>
    </w:p>
    <w:p>
      <w:pPr>
        <w:spacing w:line="360" w:lineRule="auto"/>
        <w:ind w:firstLine="480"/>
        <w:rPr>
          <w:rFonts w:ascii="宋体" w:hAnsi="宋体" w:cs="宋体"/>
          <w:b/>
          <w:sz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pPr>
        <w:pStyle w:val="11"/>
        <w:spacing w:line="360" w:lineRule="auto"/>
        <w:ind w:left="479" w:hanging="479" w:hangingChars="199"/>
        <w:rPr>
          <w:rFonts w:cs="宋体"/>
          <w:b/>
        </w:rPr>
      </w:pPr>
      <w:r>
        <w:rPr>
          <w:rFonts w:hint="eastAsia" w:cs="宋体"/>
          <w:b/>
        </w:rPr>
        <w:t>22. 确定中标供应商</w:t>
      </w:r>
    </w:p>
    <w:p>
      <w:pPr>
        <w:pStyle w:val="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pacing w:line="360" w:lineRule="auto"/>
        <w:ind w:firstLine="482"/>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2"/>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2"/>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11"/>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11"/>
        <w:spacing w:line="360" w:lineRule="auto"/>
        <w:ind w:left="479" w:hanging="479" w:hangingChars="199"/>
        <w:rPr>
          <w:rFonts w:cs="宋体"/>
          <w:b/>
        </w:rPr>
      </w:pPr>
      <w:r>
        <w:rPr>
          <w:rFonts w:hint="eastAsia" w:cs="宋体"/>
          <w:b/>
        </w:rPr>
        <w:t>25. 合同的签订</w:t>
      </w:r>
    </w:p>
    <w:p>
      <w:pPr>
        <w:widowControl/>
        <w:spacing w:line="360" w:lineRule="auto"/>
        <w:ind w:firstLine="482"/>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8"/>
        <w:snapToGrid w:val="0"/>
        <w:spacing w:before="0" w:after="120"/>
        <w:ind w:firstLine="480"/>
        <w:rPr>
          <w:rFonts w:ascii="宋体" w:hAnsi="宋体" w:cs="宋体"/>
        </w:rPr>
      </w:pPr>
      <w:r>
        <w:rPr>
          <w:rFonts w:hint="eastAsia" w:ascii="宋体" w:hAnsi="宋体" w:cs="宋体"/>
        </w:rPr>
        <w:t>25.5采购合同由采购人与中标供应商根据采购文件、采购文件等内容通过政府采购电子交易平台在线签订，自动备案。</w:t>
      </w:r>
    </w:p>
    <w:p>
      <w:pPr>
        <w:pStyle w:val="11"/>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政府采购货物和服务项目中，采购单位可根据湖州市政府采购网公布的供应商履约评价情况减免履约保证金。供应商履约验收评价总分为100分的，采购单位应当免收履约保证金。</w:t>
      </w:r>
    </w:p>
    <w:p>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2"/>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11"/>
        <w:spacing w:line="360" w:lineRule="auto"/>
        <w:ind w:firstLine="0" w:firstLineChars="0"/>
        <w:rPr>
          <w:rFonts w:cs="宋体"/>
          <w:b/>
        </w:rPr>
      </w:pPr>
      <w:r>
        <w:rPr>
          <w:rFonts w:hint="eastAsia" w:cs="宋体"/>
          <w:b/>
        </w:rPr>
        <w:t>29.验收</w:t>
      </w:r>
    </w:p>
    <w:p>
      <w:pPr>
        <w:tabs>
          <w:tab w:val="left" w:pos="0"/>
        </w:tabs>
        <w:spacing w:line="360" w:lineRule="auto"/>
        <w:ind w:firstLine="482"/>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2"/>
        <w:rPr>
          <w:rFonts w:ascii="宋体" w:hAnsi="宋体" w:cs="宋体"/>
          <w:kern w:val="0"/>
          <w:sz w:val="24"/>
        </w:rPr>
      </w:pPr>
      <w:r>
        <w:rPr>
          <w:rFonts w:hint="eastAsia" w:ascii="宋体" w:hAnsi="宋体" w:cs="宋体"/>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2"/>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2"/>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p>
      <w:pPr>
        <w:pStyle w:val="19"/>
      </w:pPr>
    </w:p>
    <w:p/>
    <w:p>
      <w:pPr>
        <w:pStyle w:val="19"/>
      </w:pPr>
    </w:p>
    <w:p>
      <w:pPr>
        <w:numPr>
          <w:ilvl w:val="0"/>
          <w:numId w:val="2"/>
        </w:numPr>
        <w:spacing w:line="360" w:lineRule="auto"/>
        <w:ind w:firstLine="723"/>
        <w:jc w:val="center"/>
        <w:outlineLvl w:val="0"/>
        <w:rPr>
          <w:rFonts w:ascii="宋体" w:hAnsi="宋体" w:cs="宋体"/>
          <w:b/>
          <w:sz w:val="36"/>
          <w:szCs w:val="36"/>
        </w:rPr>
      </w:pPr>
      <w:bookmarkStart w:id="6" w:name="第四部分"/>
      <w:r>
        <w:rPr>
          <w:rFonts w:hint="eastAsia" w:ascii="宋体" w:hAnsi="宋体" w:cs="宋体"/>
          <w:b/>
          <w:sz w:val="36"/>
          <w:szCs w:val="36"/>
        </w:rPr>
        <w:t xml:space="preserve">  </w:t>
      </w:r>
      <w:bookmarkStart w:id="7" w:name="_Hlk162515013"/>
      <w:r>
        <w:rPr>
          <w:rFonts w:hint="eastAsia" w:ascii="宋体" w:hAnsi="宋体" w:cs="宋体"/>
          <w:b/>
          <w:sz w:val="36"/>
          <w:szCs w:val="36"/>
        </w:rPr>
        <w:t>采购需求</w:t>
      </w:r>
    </w:p>
    <w:bookmarkEnd w:id="7"/>
    <w:p>
      <w:pPr>
        <w:spacing w:line="400" w:lineRule="exact"/>
        <w:ind w:left="-481" w:leftChars="-229" w:firstLine="480" w:firstLineChars="200"/>
        <w:rPr>
          <w:rFonts w:asciiTheme="minorEastAsia" w:hAnsiTheme="minorEastAsia" w:eastAsiaTheme="minorEastAsia" w:cstheme="minorEastAsia"/>
          <w:sz w:val="24"/>
        </w:rPr>
      </w:pPr>
      <w:bookmarkStart w:id="8" w:name="_Toc30902"/>
      <w:bookmarkStart w:id="9" w:name="_Toc26913"/>
      <w:bookmarkStart w:id="10" w:name="_Toc282322571"/>
      <w:r>
        <w:rPr>
          <w:rFonts w:hint="eastAsia" w:asciiTheme="minorEastAsia" w:hAnsiTheme="minorEastAsia" w:eastAsiaTheme="minorEastAsia" w:cstheme="minorEastAsia"/>
          <w:sz w:val="24"/>
        </w:rPr>
        <w:t>本技术要求适用于《</w:t>
      </w:r>
      <w:r>
        <w:rPr>
          <w:rFonts w:hint="eastAsia" w:asciiTheme="minorEastAsia" w:hAnsiTheme="minorEastAsia" w:eastAsiaTheme="minorEastAsia" w:cstheme="minorEastAsia"/>
          <w:b/>
          <w:sz w:val="24"/>
        </w:rPr>
        <w:t>长兴县教育信息技术中心“学在长兴”智慧教育平台采购项目》</w:t>
      </w:r>
      <w:r>
        <w:rPr>
          <w:rFonts w:hint="eastAsia" w:asciiTheme="minorEastAsia" w:hAnsiTheme="minorEastAsia" w:eastAsiaTheme="minorEastAsia" w:cstheme="minorEastAsia"/>
          <w:sz w:val="24"/>
        </w:rPr>
        <w:t>的采购，是采购人为该项目的供应商提出的技术规范要求，为供应商完成响应文件的依据。本章所提出的内容为本项目的最低要求，供应商必须认真阅读以下内容，以免造成磋商损失。</w:t>
      </w:r>
    </w:p>
    <w:p>
      <w:pPr>
        <w:spacing w:line="400" w:lineRule="exact"/>
        <w:ind w:left="-481" w:leftChars="-229"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一、项目概况：</w:t>
      </w:r>
    </w:p>
    <w:p>
      <w:pPr>
        <w:spacing w:line="400" w:lineRule="exact"/>
        <w:ind w:left="-481" w:leftChars="-229"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1、项目名称：长兴县教育信息技术中心“学在长兴”智慧教育平台采购项目</w:t>
      </w:r>
    </w:p>
    <w:p>
      <w:pPr>
        <w:spacing w:line="400" w:lineRule="exact"/>
        <w:ind w:left="-481" w:leftChars="-229"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2、项目内容：</w:t>
      </w:r>
    </w:p>
    <w:tbl>
      <w:tblPr>
        <w:tblStyle w:val="25"/>
        <w:tblW w:w="9015" w:type="dxa"/>
        <w:jc w:val="center"/>
        <w:tblInd w:w="0" w:type="dxa"/>
        <w:tblLayout w:type="fixed"/>
        <w:tblCellMar>
          <w:top w:w="0" w:type="dxa"/>
          <w:left w:w="108" w:type="dxa"/>
          <w:bottom w:w="0" w:type="dxa"/>
          <w:right w:w="108" w:type="dxa"/>
        </w:tblCellMar>
      </w:tblPr>
      <w:tblGrid>
        <w:gridCol w:w="988"/>
        <w:gridCol w:w="3026"/>
        <w:gridCol w:w="1272"/>
        <w:gridCol w:w="1229"/>
        <w:gridCol w:w="2500"/>
      </w:tblGrid>
      <w:tr>
        <w:tblPrEx>
          <w:tblLayout w:type="fixed"/>
          <w:tblCellMar>
            <w:top w:w="0" w:type="dxa"/>
            <w:left w:w="108" w:type="dxa"/>
            <w:bottom w:w="0" w:type="dxa"/>
            <w:right w:w="108" w:type="dxa"/>
          </w:tblCellMar>
        </w:tblPrEx>
        <w:trPr>
          <w:trHeight w:val="50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ind w:left="60" w:right="6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kern w:val="0"/>
                <w:sz w:val="24"/>
              </w:rPr>
              <w:t>序号</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内容</w:t>
            </w:r>
          </w:p>
        </w:tc>
        <w:tc>
          <w:tcPr>
            <w:tcW w:w="1272" w:type="dxa"/>
            <w:tcBorders>
              <w:top w:val="single" w:color="auto" w:sz="4" w:space="0"/>
              <w:left w:val="nil"/>
              <w:bottom w:val="single" w:color="auto" w:sz="4" w:space="0"/>
              <w:right w:val="single" w:color="auto" w:sz="4" w:space="0"/>
            </w:tcBorders>
            <w:vAlign w:val="center"/>
          </w:tcPr>
          <w:p>
            <w:pPr>
              <w:widowControl/>
              <w:spacing w:before="60" w:after="60" w:line="360" w:lineRule="auto"/>
              <w:ind w:right="6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数量</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单位</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预算金额(万元)</w:t>
            </w:r>
          </w:p>
        </w:tc>
      </w:tr>
      <w:tr>
        <w:tblPrEx>
          <w:tblLayout w:type="fixed"/>
          <w:tblCellMar>
            <w:top w:w="0" w:type="dxa"/>
            <w:left w:w="108" w:type="dxa"/>
            <w:bottom w:w="0" w:type="dxa"/>
            <w:right w:w="108" w:type="dxa"/>
          </w:tblCellMar>
        </w:tblPrEx>
        <w:trPr>
          <w:trHeight w:val="55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2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长兴县教育信息技术中心“学在长兴”智慧教育平台采购项目</w:t>
            </w:r>
          </w:p>
        </w:tc>
        <w:tc>
          <w:tcPr>
            <w:tcW w:w="1272"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270</w:t>
            </w:r>
          </w:p>
        </w:tc>
      </w:tr>
    </w:tbl>
    <w:p/>
    <w:p>
      <w:pPr>
        <w:spacing w:line="400" w:lineRule="exact"/>
        <w:ind w:left="-481" w:leftChars="-229"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二、项目建设背景</w:t>
      </w:r>
      <w:bookmarkEnd w:id="8"/>
      <w:bookmarkEnd w:id="9"/>
      <w:bookmarkEnd w:id="10"/>
    </w:p>
    <w:p>
      <w:pPr>
        <w:widowControl/>
        <w:snapToGrid w:val="0"/>
        <w:spacing w:line="500" w:lineRule="exact"/>
        <w:ind w:firstLine="480" w:firstLineChars="200"/>
        <w:rPr>
          <w:rFonts w:ascii="宋体" w:hAnsi="宋体" w:cs="宋体"/>
          <w:sz w:val="24"/>
        </w:rPr>
      </w:pPr>
      <w:r>
        <w:rPr>
          <w:rFonts w:hint="eastAsia" w:ascii="宋体" w:hAnsi="宋体" w:cs="宋体"/>
          <w:sz w:val="24"/>
        </w:rPr>
        <w:t>在党的二十大报告上，习近平总书记提出要实施科教兴国战略，强化现代化建设人才支撑。要坚持教育优先发展、科技自立自强、人才引领驱动，加快建设教育强国、科技强国、人才强国，坚持为党育人、为国育才，全面提高人才自主培养质量。习近平总书记在2023年5月29日讲话中强调“教育数字化是我国开辟教育发展新赛道和塑造教育发展新优势的重要突破口”。</w:t>
      </w:r>
    </w:p>
    <w:p>
      <w:pPr>
        <w:widowControl/>
        <w:snapToGrid w:val="0"/>
        <w:spacing w:line="500" w:lineRule="exact"/>
        <w:ind w:firstLine="480" w:firstLineChars="200"/>
        <w:rPr>
          <w:rFonts w:ascii="宋体" w:hAnsi="宋体" w:cs="宋体"/>
          <w:sz w:val="24"/>
        </w:rPr>
      </w:pPr>
      <w:r>
        <w:rPr>
          <w:rFonts w:hint="eastAsia" w:ascii="宋体" w:hAnsi="宋体" w:cs="宋体"/>
          <w:sz w:val="24"/>
        </w:rPr>
        <w:t>教育部《基础教育课程教学改革深化行动方案》明确提出推进“数字化赋能教学质量提升”行动，强调构建数字化背景下的新型教与学模式，助力提高教学效率与质量。推动数字化赋能教学方式变革，要以落实立德树人、培养全面而有个性的学生为出发点和归宿，关注人人公平发展，聚焦学生健康成长。</w:t>
      </w:r>
    </w:p>
    <w:p>
      <w:pPr>
        <w:widowControl/>
        <w:snapToGrid w:val="0"/>
        <w:spacing w:line="500" w:lineRule="exact"/>
        <w:ind w:firstLine="480" w:firstLineChars="200"/>
        <w:rPr>
          <w:rFonts w:ascii="宋体" w:hAnsi="宋体" w:cs="宋体"/>
          <w:sz w:val="24"/>
        </w:rPr>
      </w:pPr>
      <w:r>
        <w:rPr>
          <w:rFonts w:hint="eastAsia" w:ascii="宋体" w:hAnsi="宋体" w:cs="宋体"/>
          <w:sz w:val="24"/>
        </w:rPr>
        <w:t>浙江省教育信息化“十四五”规划强调“信息技术+教育融合”的理念，以数字化手段为核心，打造一流的教育公共服务平台，促进教育质量和效率提高，推动教育现代化水平不断提升。该规划提出了“3+4+3+N”的目标框架，即3个方向（数字基础设施、数字教育资源、数字教育应用），4个重点领域（数字化课程资源、数字化学习实践、数字化教学管理、数字化教育服务），3个支撑机制（数字化教师队伍、数字化评价体系、数字化安全保障），以及N个重点项目（包括数字校园、在线教育平台、移动课堂、人工智能应用等）。</w:t>
      </w:r>
    </w:p>
    <w:p>
      <w:pPr>
        <w:widowControl/>
        <w:snapToGrid w:val="0"/>
        <w:spacing w:line="500" w:lineRule="exact"/>
        <w:ind w:firstLine="480" w:firstLineChars="200"/>
        <w:rPr>
          <w:rFonts w:ascii="宋体" w:hAnsi="宋体" w:cs="宋体"/>
          <w:sz w:val="24"/>
          <w:lang w:eastAsia="zh-Hans"/>
        </w:rPr>
      </w:pPr>
      <w:r>
        <w:rPr>
          <w:rFonts w:hint="eastAsia" w:ascii="宋体" w:hAnsi="宋体" w:cs="宋体"/>
          <w:sz w:val="24"/>
        </w:rPr>
        <w:t>长兴县在数字教育信息基础平台的规划设计、优质教育资源建设和共享机制、应用能力与可持续质量提升机制等都亟须有效加强，迫切需要一个完善的数字化教育一体化平台。</w:t>
      </w:r>
    </w:p>
    <w:p>
      <w:pPr>
        <w:spacing w:line="400" w:lineRule="exact"/>
        <w:ind w:left="-481" w:leftChars="-229" w:firstLine="482" w:firstLineChars="200"/>
        <w:rPr>
          <w:rFonts w:asciiTheme="minorEastAsia" w:hAnsiTheme="minorEastAsia" w:eastAsiaTheme="minorEastAsia" w:cstheme="minorEastAsia"/>
          <w:b/>
          <w:sz w:val="24"/>
        </w:rPr>
      </w:pPr>
      <w:bookmarkStart w:id="11" w:name="_Toc26383"/>
      <w:bookmarkStart w:id="12" w:name="_Toc479715944"/>
      <w:bookmarkStart w:id="13" w:name="_Toc23843"/>
      <w:bookmarkStart w:id="14" w:name="_Toc16092"/>
      <w:bookmarkStart w:id="15" w:name="_Toc134136711"/>
      <w:r>
        <w:rPr>
          <w:rFonts w:hint="eastAsia" w:asciiTheme="minorEastAsia" w:hAnsiTheme="minorEastAsia" w:eastAsiaTheme="minorEastAsia" w:cstheme="minorEastAsia"/>
          <w:b/>
          <w:sz w:val="24"/>
        </w:rPr>
        <w:t>三、项目建设的必要性</w:t>
      </w:r>
      <w:bookmarkEnd w:id="11"/>
      <w:bookmarkEnd w:id="12"/>
      <w:bookmarkEnd w:id="13"/>
    </w:p>
    <w:p>
      <w:pPr>
        <w:widowControl/>
        <w:snapToGrid w:val="0"/>
        <w:spacing w:line="500" w:lineRule="exact"/>
        <w:ind w:firstLine="480" w:firstLineChars="200"/>
        <w:rPr>
          <w:rFonts w:ascii="宋体" w:hAnsi="宋体" w:cs="宋体"/>
          <w:sz w:val="24"/>
        </w:rPr>
      </w:pPr>
      <w:bookmarkStart w:id="16" w:name="_Toc19889"/>
      <w:bookmarkStart w:id="17" w:name="_Toc31745"/>
      <w:bookmarkStart w:id="18" w:name="_Toc932259970"/>
      <w:r>
        <w:rPr>
          <w:rFonts w:hint="eastAsia" w:ascii="宋体" w:hAnsi="宋体" w:cs="宋体"/>
          <w:sz w:val="24"/>
        </w:rPr>
        <w:t>3.1教育信息化发展的趋势</w:t>
      </w:r>
      <w:bookmarkEnd w:id="16"/>
      <w:bookmarkEnd w:id="17"/>
      <w:bookmarkEnd w:id="18"/>
    </w:p>
    <w:p>
      <w:pPr>
        <w:widowControl/>
        <w:snapToGrid w:val="0"/>
        <w:spacing w:line="500" w:lineRule="exact"/>
        <w:ind w:firstLine="480" w:firstLineChars="200"/>
        <w:rPr>
          <w:rFonts w:ascii="宋体" w:hAnsi="宋体" w:cs="宋体"/>
          <w:sz w:val="24"/>
        </w:rPr>
      </w:pPr>
      <w:r>
        <w:rPr>
          <w:rFonts w:hint="eastAsia" w:ascii="宋体" w:hAnsi="宋体" w:cs="宋体"/>
          <w:sz w:val="24"/>
        </w:rPr>
        <w:t>3.2建设“学在长兴”平台是教育事业发展的必然趋势</w:t>
      </w:r>
    </w:p>
    <w:p>
      <w:pPr>
        <w:widowControl/>
        <w:snapToGrid w:val="0"/>
        <w:spacing w:line="500" w:lineRule="exact"/>
        <w:ind w:firstLine="480" w:firstLineChars="200"/>
        <w:rPr>
          <w:rFonts w:ascii="宋体" w:hAnsi="宋体" w:cs="宋体"/>
          <w:sz w:val="24"/>
        </w:rPr>
      </w:pPr>
      <w:r>
        <w:rPr>
          <w:rFonts w:hint="eastAsia" w:ascii="宋体" w:hAnsi="宋体" w:cs="宋体"/>
          <w:sz w:val="24"/>
        </w:rPr>
        <w:t>“学在长兴”公共服务平台能充分利用现有的教育资源，必将随着教育资源的有效运营，不断扩大教育应用、服务、资源的普及程度，最终实现“人人皆学、时时能学、处处可学”的学习型社会。</w:t>
      </w:r>
    </w:p>
    <w:p>
      <w:pPr>
        <w:widowControl/>
        <w:snapToGrid w:val="0"/>
        <w:spacing w:line="500" w:lineRule="exact"/>
        <w:ind w:firstLine="480" w:firstLineChars="200"/>
        <w:rPr>
          <w:rFonts w:ascii="宋体" w:hAnsi="宋体" w:cs="宋体"/>
          <w:sz w:val="24"/>
        </w:rPr>
      </w:pPr>
      <w:r>
        <w:rPr>
          <w:rFonts w:hint="eastAsia" w:ascii="宋体" w:hAnsi="宋体" w:cs="宋体"/>
          <w:sz w:val="24"/>
        </w:rPr>
        <w:t>3.3建设“学在长兴”平台是提高信息化教育服务能力的有力保障</w:t>
      </w:r>
    </w:p>
    <w:p>
      <w:pPr>
        <w:widowControl/>
        <w:snapToGrid w:val="0"/>
        <w:spacing w:line="500" w:lineRule="exact"/>
        <w:ind w:firstLine="480" w:firstLineChars="200"/>
        <w:rPr>
          <w:rFonts w:ascii="宋体" w:hAnsi="宋体" w:cs="宋体"/>
          <w:sz w:val="24"/>
        </w:rPr>
      </w:pPr>
      <w:r>
        <w:rPr>
          <w:rFonts w:hint="eastAsia" w:ascii="宋体" w:hAnsi="宋体" w:cs="宋体"/>
          <w:sz w:val="24"/>
        </w:rPr>
        <w:t>通过平台可建立终身可用的学生教育档案，能够为学生提供全程的教育服务；通过教师管理应用，实现教育管理一网通，为推动教育政务公开打下坚实的基础。通过教育管理业务流程的再造和优化，建立满足各项教育管理与服务需要的业务信息系统，对提高教育管理的效率、质量和水平具有重要的支撑与引领作用。</w:t>
      </w:r>
    </w:p>
    <w:p>
      <w:pPr>
        <w:widowControl/>
        <w:snapToGrid w:val="0"/>
        <w:spacing w:line="500" w:lineRule="exact"/>
        <w:ind w:firstLine="480" w:firstLineChars="200"/>
        <w:rPr>
          <w:rFonts w:ascii="宋体" w:hAnsi="宋体" w:cs="宋体"/>
          <w:sz w:val="24"/>
        </w:rPr>
      </w:pPr>
      <w:r>
        <w:rPr>
          <w:rFonts w:hint="eastAsia" w:ascii="宋体" w:hAnsi="宋体" w:cs="宋体"/>
          <w:sz w:val="24"/>
        </w:rPr>
        <w:t>3.4建设“学在长兴”平台是完善服务型教育体系的重要措施</w:t>
      </w:r>
    </w:p>
    <w:p>
      <w:pPr>
        <w:widowControl/>
        <w:snapToGrid w:val="0"/>
        <w:spacing w:line="500" w:lineRule="exact"/>
        <w:ind w:firstLine="480" w:firstLineChars="200"/>
        <w:rPr>
          <w:rFonts w:ascii="宋体" w:hAnsi="宋体" w:cs="宋体"/>
          <w:sz w:val="24"/>
        </w:rPr>
      </w:pPr>
      <w:r>
        <w:rPr>
          <w:rFonts w:hint="eastAsia" w:ascii="宋体" w:hAnsi="宋体" w:cs="宋体"/>
          <w:sz w:val="24"/>
        </w:rPr>
        <w:t>各个学校、各级管理部门逐渐加大对教育管理信息化的投入，但由于没有建立起统一的标准规范，没有形成信息共享和身份统一认证的管理平台，造成了各学校系统建设成果互不共享，出现了“热点领域”各级各部门重复建设、“冷门领域”建设投入又远远不够的信息化建设盲区，形成了各系统之间数据无法互联互通的现象。因此亟需建设一个统一化、标准化的教育公共服务平台为各级领导、教育管理人员、社会公众提供教育管理服务，从而提高教育管理效率，提升教育服务能力，完善服务型教育体系。</w:t>
      </w:r>
    </w:p>
    <w:p>
      <w:pPr>
        <w:widowControl/>
        <w:snapToGrid w:val="0"/>
        <w:spacing w:line="500" w:lineRule="exact"/>
        <w:ind w:firstLine="480" w:firstLineChars="200"/>
        <w:rPr>
          <w:rFonts w:ascii="宋体" w:hAnsi="宋体" w:cs="宋体"/>
          <w:sz w:val="24"/>
        </w:rPr>
      </w:pPr>
      <w:r>
        <w:rPr>
          <w:rFonts w:hint="eastAsia" w:ascii="宋体" w:hAnsi="宋体" w:cs="宋体"/>
          <w:sz w:val="24"/>
        </w:rPr>
        <w:t>3.5建设“学在长兴”平台是满足教育单位和教育资源共享的需要</w:t>
      </w:r>
    </w:p>
    <w:p>
      <w:pPr>
        <w:widowControl/>
        <w:snapToGrid w:val="0"/>
        <w:spacing w:line="500" w:lineRule="exact"/>
        <w:ind w:firstLine="480" w:firstLineChars="200"/>
        <w:rPr>
          <w:rFonts w:ascii="宋体" w:hAnsi="宋体" w:cs="宋体"/>
          <w:sz w:val="24"/>
        </w:rPr>
      </w:pPr>
      <w:r>
        <w:rPr>
          <w:rFonts w:hint="eastAsia" w:ascii="宋体" w:hAnsi="宋体" w:cs="宋体"/>
          <w:sz w:val="24"/>
        </w:rPr>
        <w:t>此项目通过搭建功能强大的资源共建共享平台，把分散的优质资源整合在一起，通过平台共享全社会，让民众都能够通过网络来共享教育资源，可以分享到优质教学资源，促进教育公平。</w:t>
      </w:r>
    </w:p>
    <w:p>
      <w:pPr>
        <w:widowControl/>
        <w:snapToGrid w:val="0"/>
        <w:spacing w:line="500" w:lineRule="exact"/>
        <w:ind w:firstLine="480" w:firstLineChars="200"/>
        <w:rPr>
          <w:rFonts w:ascii="宋体" w:hAnsi="宋体" w:cs="宋体"/>
          <w:sz w:val="24"/>
        </w:rPr>
      </w:pPr>
      <w:bookmarkStart w:id="19" w:name="_Toc26861"/>
      <w:bookmarkStart w:id="20" w:name="_Toc13577"/>
      <w:bookmarkStart w:id="21" w:name="_Toc452627278"/>
      <w:r>
        <w:rPr>
          <w:rFonts w:hint="eastAsia" w:ascii="宋体" w:hAnsi="宋体" w:cs="宋体"/>
          <w:sz w:val="24"/>
        </w:rPr>
        <w:t>3.6数字化教育转型的需要</w:t>
      </w:r>
      <w:bookmarkEnd w:id="19"/>
      <w:bookmarkEnd w:id="20"/>
      <w:bookmarkEnd w:id="21"/>
    </w:p>
    <w:p>
      <w:pPr>
        <w:widowControl/>
        <w:snapToGrid w:val="0"/>
        <w:spacing w:line="500" w:lineRule="exact"/>
        <w:ind w:firstLine="480" w:firstLineChars="200"/>
        <w:rPr>
          <w:rFonts w:ascii="宋体" w:hAnsi="宋体" w:cs="宋体"/>
          <w:sz w:val="24"/>
        </w:rPr>
      </w:pPr>
      <w:r>
        <w:rPr>
          <w:rFonts w:hint="eastAsia" w:ascii="宋体" w:hAnsi="宋体" w:cs="宋体"/>
          <w:sz w:val="24"/>
        </w:rPr>
        <w:t>建设“学在长兴”平台是教育数字化转型和教育信息化技术提升的融合应用。引入“平台+教育”服务模式，可整合各级各类教育应用或系统，逐步实现资源平台和管理平台的互通，衔接与开放。</w:t>
      </w:r>
    </w:p>
    <w:p>
      <w:pPr>
        <w:widowControl/>
        <w:snapToGrid w:val="0"/>
        <w:spacing w:line="500" w:lineRule="exact"/>
        <w:ind w:firstLine="480" w:firstLineChars="200"/>
        <w:rPr>
          <w:rFonts w:ascii="宋体" w:hAnsi="宋体" w:cs="宋体"/>
          <w:sz w:val="24"/>
        </w:rPr>
      </w:pPr>
      <w:r>
        <w:rPr>
          <w:rFonts w:hint="eastAsia" w:ascii="宋体" w:hAnsi="宋体" w:cs="宋体"/>
          <w:sz w:val="24"/>
        </w:rPr>
        <w:t>建成数字化教育应用，实现数字资源，优秀师资，教育数据，信息红利的有效共享，助力教育服务供给模式升级和教育治理水平提升。</w:t>
      </w:r>
    </w:p>
    <w:p>
      <w:pPr>
        <w:widowControl/>
        <w:snapToGrid w:val="0"/>
        <w:spacing w:line="500" w:lineRule="exact"/>
        <w:ind w:firstLine="480" w:firstLineChars="200"/>
        <w:rPr>
          <w:rFonts w:ascii="宋体" w:hAnsi="宋体" w:cs="宋体"/>
          <w:sz w:val="24"/>
        </w:rPr>
      </w:pPr>
      <w:bookmarkStart w:id="22" w:name="_Toc22092"/>
      <w:bookmarkStart w:id="23" w:name="_Toc12724"/>
      <w:bookmarkStart w:id="24" w:name="_Toc919583672"/>
      <w:r>
        <w:rPr>
          <w:rFonts w:hint="eastAsia" w:ascii="宋体" w:hAnsi="宋体" w:cs="宋体"/>
          <w:sz w:val="24"/>
        </w:rPr>
        <w:t>3.7实现全省教育数字化的目标</w:t>
      </w:r>
      <w:bookmarkEnd w:id="22"/>
      <w:bookmarkEnd w:id="23"/>
      <w:bookmarkEnd w:id="24"/>
    </w:p>
    <w:p>
      <w:pPr>
        <w:widowControl/>
        <w:snapToGrid w:val="0"/>
        <w:spacing w:line="500" w:lineRule="exact"/>
        <w:ind w:firstLine="480" w:firstLineChars="200"/>
        <w:rPr>
          <w:rFonts w:ascii="宋体" w:hAnsi="宋体" w:cs="宋体"/>
          <w:sz w:val="24"/>
        </w:rPr>
      </w:pPr>
      <w:r>
        <w:rPr>
          <w:rFonts w:hint="eastAsia" w:ascii="宋体" w:hAnsi="宋体" w:cs="宋体"/>
          <w:sz w:val="24"/>
        </w:rPr>
        <w:t>《2023年全省教育技术工作要点》（浙教技中心〔2023〕16号）文件中要求，打响“学在浙江”品牌，全面推进服务“求学”“在学”“问学”“评学”的“学在浙江”全民数字学习空间建设，接入30项高频教育政务服务事项，集成义务教育共同体、浙里课后服务等10个教育核心应用；支持地方建设20个区域分平台，集成地方特色应用和服务。</w:t>
      </w:r>
    </w:p>
    <w:p>
      <w:pPr>
        <w:widowControl/>
        <w:snapToGrid w:val="0"/>
        <w:spacing w:line="500" w:lineRule="exact"/>
        <w:ind w:firstLine="480" w:firstLineChars="200"/>
        <w:rPr>
          <w:rFonts w:ascii="宋体" w:hAnsi="宋体" w:cs="宋体"/>
          <w:sz w:val="24"/>
        </w:rPr>
      </w:pPr>
      <w:r>
        <w:rPr>
          <w:rFonts w:hint="eastAsia" w:ascii="宋体" w:hAnsi="宋体" w:cs="宋体"/>
          <w:sz w:val="24"/>
        </w:rPr>
        <w:t>通过“学在长兴”教育公共服务平台建设，全力推进长兴县教育数字化，将无缝衔接“学在浙江”数字化平台，助推全省教育数字化战略目标的视线。数字技术赋能使得数据获取更加方便、类型更为多样、加工更为深入、应用更为及时，有利促进“公平而有质量”的教育。</w:t>
      </w:r>
    </w:p>
    <w:p>
      <w:pPr>
        <w:widowControl/>
        <w:snapToGrid w:val="0"/>
        <w:spacing w:line="500" w:lineRule="exact"/>
        <w:ind w:firstLine="480" w:firstLineChars="200"/>
        <w:rPr>
          <w:rFonts w:ascii="宋体" w:hAnsi="宋体" w:cs="宋体"/>
          <w:sz w:val="24"/>
        </w:rPr>
      </w:pPr>
      <w:r>
        <w:rPr>
          <w:rFonts w:hint="eastAsia" w:ascii="宋体" w:hAnsi="宋体" w:cs="宋体"/>
          <w:sz w:val="24"/>
        </w:rPr>
        <w:t>充分利用数字技术提供学习资源与工具、支持数据采集与运用等方面的优势，从体现教育公平、发展核心素养、深化学习体验、增进互动交流、保护身心健康、促进个性发展等方面着手，通过提炼具体的实施路径与策略，进行由点到面的实践。</w:t>
      </w:r>
    </w:p>
    <w:p>
      <w:pPr>
        <w:widowControl/>
        <w:snapToGrid w:val="0"/>
        <w:spacing w:line="500" w:lineRule="exact"/>
        <w:ind w:firstLine="480" w:firstLineChars="200"/>
        <w:rPr>
          <w:rFonts w:ascii="宋体" w:hAnsi="宋体" w:cs="宋体"/>
          <w:sz w:val="24"/>
        </w:rPr>
      </w:pPr>
      <w:r>
        <w:rPr>
          <w:rFonts w:hint="eastAsia" w:ascii="宋体" w:hAnsi="宋体" w:cs="宋体"/>
          <w:sz w:val="24"/>
        </w:rPr>
        <w:t>通过数字技术收集、汇聚各类学习过程与综合评价结果数据，把握学生群体特征与个体差异，提供针对性的教学内容、评价内容，多样化的学习资源、差异性的学习路径、个性化的学习指导，有利于促进所有学生的全面发展。</w:t>
      </w:r>
    </w:p>
    <w:bookmarkEnd w:id="14"/>
    <w:bookmarkEnd w:id="15"/>
    <w:p>
      <w:pPr>
        <w:spacing w:line="400" w:lineRule="exact"/>
        <w:ind w:left="-481" w:leftChars="-229" w:firstLine="482" w:firstLineChars="200"/>
        <w:rPr>
          <w:rFonts w:asciiTheme="minorEastAsia" w:hAnsiTheme="minorEastAsia" w:eastAsiaTheme="minorEastAsia" w:cstheme="minorEastAsia"/>
          <w:b/>
          <w:sz w:val="24"/>
          <w:lang w:eastAsia="zh-Hans"/>
        </w:rPr>
      </w:pPr>
      <w:r>
        <w:rPr>
          <w:rFonts w:hint="eastAsia" w:asciiTheme="minorEastAsia" w:hAnsiTheme="minorEastAsia" w:eastAsiaTheme="minorEastAsia" w:cstheme="minorEastAsia"/>
          <w:b/>
          <w:sz w:val="24"/>
        </w:rPr>
        <w:t>四、</w:t>
      </w:r>
      <w:r>
        <w:rPr>
          <w:rFonts w:hint="eastAsia" w:asciiTheme="minorEastAsia" w:hAnsiTheme="minorEastAsia" w:eastAsiaTheme="minorEastAsia" w:cstheme="minorEastAsia"/>
          <w:b/>
          <w:sz w:val="24"/>
          <w:lang w:eastAsia="zh-Hans"/>
        </w:rPr>
        <w:t>建设目标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学在长兴”提供教育各类事项办理、教育志愿与服务，接入入园入学、近视防控、学生体测健康等应用，新建学生综合素质评价、中考监测业务、教育人事管理、心理预警干预等应用。</w:t>
      </w:r>
    </w:p>
    <w:p>
      <w:pPr>
        <w:widowControl/>
        <w:snapToGrid w:val="0"/>
        <w:spacing w:line="500" w:lineRule="exact"/>
        <w:ind w:firstLine="480" w:firstLineChars="200"/>
        <w:rPr>
          <w:rFonts w:ascii="宋体" w:hAnsi="宋体" w:cs="宋体"/>
          <w:sz w:val="24"/>
        </w:rPr>
      </w:pPr>
      <w:r>
        <w:rPr>
          <w:rFonts w:hint="eastAsia" w:ascii="宋体" w:hAnsi="宋体" w:cs="宋体"/>
          <w:sz w:val="24"/>
        </w:rPr>
        <w:t>“学在长兴”项目提供以下应用和服务，实现的目标如下：</w:t>
      </w:r>
    </w:p>
    <w:p>
      <w:pPr>
        <w:widowControl/>
        <w:snapToGrid w:val="0"/>
        <w:spacing w:line="500" w:lineRule="exact"/>
        <w:ind w:firstLine="480" w:firstLineChars="200"/>
        <w:rPr>
          <w:rFonts w:ascii="宋体" w:hAnsi="宋体" w:cs="宋体"/>
          <w:sz w:val="24"/>
        </w:rPr>
      </w:pPr>
      <w:r>
        <w:rPr>
          <w:rFonts w:hint="eastAsia" w:ascii="宋体" w:hAnsi="宋体" w:cs="宋体"/>
          <w:sz w:val="24"/>
        </w:rPr>
        <w:t>1.学在长兴业务目标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（1）提供教育服务侧应用一站式综合集成，构建“学在长兴”站点构建平台；实现便捷快速、配置化、规范化集成应用、服务事项。</w:t>
      </w:r>
    </w:p>
    <w:p>
      <w:pPr>
        <w:widowControl/>
        <w:snapToGrid w:val="0"/>
        <w:spacing w:line="500" w:lineRule="exact"/>
        <w:ind w:firstLine="480" w:firstLineChars="200"/>
        <w:rPr>
          <w:rFonts w:ascii="宋体" w:hAnsi="宋体" w:cs="宋体"/>
          <w:sz w:val="24"/>
        </w:rPr>
      </w:pPr>
      <w:r>
        <w:rPr>
          <w:rFonts w:hint="eastAsia" w:ascii="宋体" w:hAnsi="宋体" w:cs="宋体"/>
          <w:sz w:val="24"/>
        </w:rPr>
        <w:t>（2）整合之江汇、浙里问学、浙江智慧教育平台、省开放大学等省级体系化资源，使得“学在长兴”平台学习资源更加丰富且优质。</w:t>
      </w:r>
    </w:p>
    <w:p>
      <w:pPr>
        <w:widowControl/>
        <w:snapToGrid w:val="0"/>
        <w:spacing w:line="500" w:lineRule="exact"/>
        <w:ind w:firstLine="480" w:firstLineChars="200"/>
        <w:rPr>
          <w:rFonts w:hint="eastAsia" w:ascii="宋体" w:hAnsi="宋体" w:cs="宋体"/>
          <w:sz w:val="24"/>
        </w:rPr>
      </w:pPr>
      <w:r>
        <w:rPr>
          <w:rFonts w:hint="eastAsia" w:ascii="宋体" w:hAnsi="宋体" w:cs="宋体"/>
          <w:sz w:val="24"/>
        </w:rPr>
        <w:t>（3）根据“学在浙江”相应规范及贯通要求，实现平台间的无缝对接贯通，确保“学在长兴”用户能够在“学在浙江”系列站点间畅通漫游，查找所需内容。</w:t>
      </w:r>
    </w:p>
    <w:p>
      <w:pPr>
        <w:widowControl/>
        <w:snapToGrid w:val="0"/>
        <w:spacing w:line="50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lang w:val="en-US" w:eastAsia="zh-CN"/>
        </w:rPr>
        <w:t>完成</w:t>
      </w:r>
      <w:r>
        <w:rPr>
          <w:rFonts w:hint="eastAsia" w:ascii="宋体" w:hAnsi="宋体" w:cs="宋体"/>
          <w:sz w:val="24"/>
          <w:lang w:eastAsia="zh-CN"/>
        </w:rPr>
        <w:t>局校一体化工作门户开发，实现PC端和移动端工作门户建设，实现自定义门户配置、消息中心、代办事项、通知公告、会议提醒、</w:t>
      </w:r>
      <w:r>
        <w:rPr>
          <w:rFonts w:hint="eastAsia" w:ascii="宋体" w:hAnsi="宋体" w:cs="宋体"/>
          <w:sz w:val="24"/>
          <w:lang w:val="en-US" w:eastAsia="zh-CN"/>
        </w:rPr>
        <w:t>活动安排、问卷</w:t>
      </w:r>
      <w:r>
        <w:rPr>
          <w:rFonts w:hint="eastAsia" w:ascii="宋体" w:hAnsi="宋体" w:cs="宋体"/>
          <w:sz w:val="24"/>
          <w:lang w:eastAsia="zh-CN"/>
        </w:rPr>
        <w:t>等功能。</w:t>
      </w:r>
    </w:p>
    <w:p>
      <w:pPr>
        <w:widowControl/>
        <w:snapToGrid w:val="0"/>
        <w:spacing w:line="500" w:lineRule="exact"/>
        <w:ind w:firstLine="480" w:firstLineChars="200"/>
        <w:rPr>
          <w:rFonts w:ascii="宋体" w:hAnsi="宋体" w:cs="宋体"/>
          <w:sz w:val="24"/>
        </w:rPr>
      </w:pPr>
      <w:r>
        <w:rPr>
          <w:rFonts w:hint="eastAsia" w:ascii="宋体" w:hAnsi="宋体" w:cs="宋体"/>
          <w:sz w:val="24"/>
        </w:rPr>
        <w:t>2.长兴县学生综合评价系统业务目标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着力破除评价“多元评价难、数据采集难、结果应用难”等问题，实现以下目标：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（1）突出“1+3”特色，注重学生综合发展，既要重视结果评价，更要注重过程评价，关注学生进步和发展状况。</w:t>
      </w:r>
    </w:p>
    <w:p>
      <w:pPr>
        <w:widowControl/>
        <w:snapToGrid w:val="0"/>
        <w:spacing w:line="500" w:lineRule="exact"/>
        <w:ind w:firstLine="480" w:firstLineChars="200"/>
        <w:rPr>
          <w:rFonts w:ascii="宋体" w:hAnsi="宋体" w:cs="宋体"/>
          <w:sz w:val="24"/>
        </w:rPr>
      </w:pPr>
      <w:r>
        <w:rPr>
          <w:rFonts w:hint="eastAsia" w:ascii="宋体" w:hAnsi="宋体" w:cs="宋体"/>
          <w:sz w:val="24"/>
        </w:rPr>
        <w:t>（2）构建完善的指标体系，评价指标体系多元化，规定指标与个性化指标相结合，定量指标与定性指标相结合。</w:t>
      </w:r>
    </w:p>
    <w:p>
      <w:pPr>
        <w:widowControl/>
        <w:snapToGrid w:val="0"/>
        <w:spacing w:line="500" w:lineRule="exact"/>
        <w:ind w:firstLine="480" w:firstLineChars="200"/>
        <w:rPr>
          <w:rFonts w:ascii="宋体" w:hAnsi="宋体" w:cs="宋体"/>
          <w:sz w:val="24"/>
        </w:rPr>
      </w:pPr>
      <w:r>
        <w:rPr>
          <w:rFonts w:hint="eastAsia" w:ascii="宋体" w:hAnsi="宋体" w:cs="宋体"/>
          <w:sz w:val="24"/>
        </w:rPr>
        <w:t>（3）构建数据智能采集体系，实现数据材料与实证材料的智慧化全收集，形成过程化数据。</w:t>
      </w:r>
    </w:p>
    <w:p>
      <w:pPr>
        <w:widowControl/>
        <w:snapToGrid w:val="0"/>
        <w:spacing w:line="500" w:lineRule="exact"/>
        <w:ind w:firstLine="480" w:firstLineChars="200"/>
        <w:rPr>
          <w:rFonts w:ascii="宋体" w:hAnsi="宋体" w:cs="宋体"/>
          <w:sz w:val="24"/>
        </w:rPr>
      </w:pPr>
      <w:r>
        <w:rPr>
          <w:rFonts w:hint="eastAsia" w:ascii="宋体" w:hAnsi="宋体" w:cs="宋体"/>
          <w:sz w:val="24"/>
        </w:rPr>
        <w:t>（4）局校一体化，教育局领导能通过数字驾驶舱，获取全县综合评价系统运行情况，校端提供基础汇聚过程性数据。</w:t>
      </w:r>
    </w:p>
    <w:p>
      <w:pPr>
        <w:widowControl/>
        <w:snapToGrid w:val="0"/>
        <w:spacing w:line="500" w:lineRule="exact"/>
        <w:ind w:firstLine="480" w:firstLineChars="200"/>
        <w:rPr>
          <w:rFonts w:ascii="宋体" w:hAnsi="宋体" w:cs="宋体"/>
          <w:sz w:val="24"/>
        </w:rPr>
      </w:pPr>
      <w:r>
        <w:rPr>
          <w:rFonts w:hint="eastAsia" w:ascii="宋体" w:hAnsi="宋体" w:cs="宋体"/>
          <w:sz w:val="24"/>
        </w:rPr>
        <w:t>（5）家校协同，引领学生全面而有个性发展。</w:t>
      </w:r>
    </w:p>
    <w:p>
      <w:pPr>
        <w:widowControl/>
        <w:snapToGrid w:val="0"/>
        <w:spacing w:line="500" w:lineRule="exact"/>
        <w:ind w:firstLine="480" w:firstLineChars="200"/>
        <w:rPr>
          <w:rFonts w:ascii="宋体" w:hAnsi="宋体" w:cs="宋体"/>
          <w:sz w:val="24"/>
        </w:rPr>
      </w:pPr>
      <w:r>
        <w:rPr>
          <w:rFonts w:hint="eastAsia" w:ascii="宋体" w:hAnsi="宋体" w:cs="宋体"/>
          <w:sz w:val="24"/>
        </w:rPr>
        <w:t>3.智慧教育人事管理系统业务目标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（1）数据标准。以国家教师管理系统的数据标准作为人事平台的标准，确保信息在采集、处理、交换、传输的过程中有统一的规范，最大限度地实现信息资源共享。</w:t>
      </w:r>
    </w:p>
    <w:p>
      <w:pPr>
        <w:widowControl/>
        <w:snapToGrid w:val="0"/>
        <w:spacing w:line="500" w:lineRule="exact"/>
        <w:ind w:firstLine="480" w:firstLineChars="200"/>
        <w:rPr>
          <w:rFonts w:ascii="宋体" w:hAnsi="宋体" w:cs="宋体"/>
          <w:sz w:val="24"/>
        </w:rPr>
      </w:pPr>
      <w:r>
        <w:rPr>
          <w:rFonts w:hint="eastAsia" w:ascii="宋体" w:hAnsi="宋体" w:cs="宋体"/>
          <w:sz w:val="24"/>
        </w:rPr>
        <w:t>（2）数据交互。通过接口或其他方式实现数据交互，定时同步。</w:t>
      </w:r>
    </w:p>
    <w:p>
      <w:pPr>
        <w:widowControl/>
        <w:snapToGrid w:val="0"/>
        <w:spacing w:line="500" w:lineRule="exact"/>
        <w:ind w:firstLine="480" w:firstLineChars="200"/>
        <w:rPr>
          <w:rFonts w:ascii="宋体" w:hAnsi="宋体" w:cs="宋体"/>
          <w:sz w:val="24"/>
        </w:rPr>
      </w:pPr>
      <w:r>
        <w:rPr>
          <w:rFonts w:hint="eastAsia" w:ascii="宋体" w:hAnsi="宋体" w:cs="宋体"/>
          <w:sz w:val="24"/>
        </w:rPr>
        <w:t>（3）流程管理。实现全周期管理功能，包含基本信息、人事变动、工资管理等需求。</w:t>
      </w:r>
    </w:p>
    <w:p>
      <w:pPr>
        <w:widowControl/>
        <w:snapToGrid w:val="0"/>
        <w:spacing w:line="500" w:lineRule="exact"/>
        <w:ind w:firstLine="480" w:firstLineChars="200"/>
        <w:rPr>
          <w:rFonts w:ascii="宋体" w:hAnsi="宋体" w:cs="宋体"/>
          <w:sz w:val="24"/>
        </w:rPr>
      </w:pPr>
      <w:r>
        <w:rPr>
          <w:rFonts w:hint="eastAsia" w:ascii="宋体" w:hAnsi="宋体" w:cs="宋体"/>
          <w:sz w:val="24"/>
        </w:rPr>
        <w:t>（4）系统操作。界面简洁美观，业务操作方式便捷，方式优化。</w:t>
      </w:r>
    </w:p>
    <w:p>
      <w:pPr>
        <w:widowControl/>
        <w:snapToGrid w:val="0"/>
        <w:spacing w:line="500" w:lineRule="exact"/>
        <w:ind w:firstLine="480" w:firstLineChars="200"/>
        <w:rPr>
          <w:rFonts w:ascii="宋体" w:hAnsi="宋体" w:cs="宋体"/>
          <w:sz w:val="24"/>
        </w:rPr>
      </w:pPr>
      <w:r>
        <w:rPr>
          <w:rFonts w:hint="eastAsia" w:ascii="宋体" w:hAnsi="宋体" w:cs="宋体"/>
          <w:sz w:val="24"/>
        </w:rPr>
        <w:t>（5）数据分析。系统具备数据分析能力，可根据要求展示相关内容。提供完善的统计功能，可以根据自定义条件查询统计相关信息。</w:t>
      </w:r>
    </w:p>
    <w:p>
      <w:pPr>
        <w:widowControl/>
        <w:snapToGrid w:val="0"/>
        <w:spacing w:line="500" w:lineRule="exact"/>
        <w:ind w:firstLine="480" w:firstLineChars="200"/>
        <w:rPr>
          <w:rFonts w:ascii="宋体" w:hAnsi="宋体" w:cs="宋体"/>
          <w:sz w:val="24"/>
        </w:rPr>
      </w:pPr>
      <w:r>
        <w:rPr>
          <w:rFonts w:hint="eastAsia" w:ascii="宋体" w:hAnsi="宋体" w:cs="宋体"/>
          <w:sz w:val="24"/>
        </w:rPr>
        <w:t>（6）数据安全。提供全面的系统安全策略，配合多种数据备份策略以保证数据的安全，用户身份认证策略以防非法用户入侵等。</w:t>
      </w:r>
    </w:p>
    <w:p>
      <w:pPr>
        <w:widowControl/>
        <w:snapToGrid w:val="0"/>
        <w:spacing w:line="500" w:lineRule="exact"/>
        <w:ind w:firstLine="480" w:firstLineChars="200"/>
        <w:rPr>
          <w:rFonts w:ascii="宋体" w:hAnsi="宋体" w:cs="宋体"/>
          <w:sz w:val="24"/>
        </w:rPr>
      </w:pPr>
      <w:r>
        <w:rPr>
          <w:rFonts w:hint="eastAsia" w:ascii="宋体" w:hAnsi="宋体" w:cs="宋体"/>
          <w:sz w:val="24"/>
        </w:rPr>
        <w:t>4.心理预警干预系统业务目标</w:t>
      </w:r>
    </w:p>
    <w:p>
      <w:pPr>
        <w:widowControl/>
        <w:snapToGrid w:val="0"/>
        <w:spacing w:line="500" w:lineRule="exact"/>
        <w:ind w:firstLine="480" w:firstLineChars="200"/>
        <w:rPr>
          <w:rFonts w:ascii="宋体" w:hAnsi="宋体" w:cs="宋体"/>
          <w:sz w:val="24"/>
        </w:rPr>
      </w:pPr>
      <w:r>
        <w:rPr>
          <w:rFonts w:hint="eastAsia" w:ascii="宋体" w:hAnsi="宋体" w:cs="宋体"/>
          <w:sz w:val="24"/>
        </w:rPr>
        <w:t>（1）实现对校园心理危机事件的积极预防、有效防范、实时监控、科学研判、主动预警和及时干预。</w:t>
      </w:r>
    </w:p>
    <w:p>
      <w:pPr>
        <w:widowControl/>
        <w:snapToGrid w:val="0"/>
        <w:spacing w:line="500" w:lineRule="exact"/>
        <w:ind w:firstLine="480" w:firstLineChars="200"/>
        <w:rPr>
          <w:rFonts w:ascii="宋体" w:hAnsi="宋体" w:cs="宋体"/>
          <w:sz w:val="24"/>
        </w:rPr>
      </w:pPr>
      <w:r>
        <w:rPr>
          <w:rFonts w:hint="eastAsia" w:ascii="宋体" w:hAnsi="宋体" w:cs="宋体"/>
          <w:sz w:val="24"/>
        </w:rPr>
        <w:t>（2）多个心理量表可以在测评之前根据实际情况选择合适的量表进行测评，测评结果自动分析形成，无需人工计分，系统会自动保存分析测试结果，形成被测人员的测评报告和心理档案。测评结果图文结合，针对测评结果有具体的症状分析、辅导建议，可以有效帮助心理咨询师来诊断和指导。</w:t>
      </w:r>
    </w:p>
    <w:p>
      <w:pPr>
        <w:widowControl/>
        <w:snapToGrid w:val="0"/>
        <w:spacing w:line="500" w:lineRule="exact"/>
        <w:ind w:firstLine="480" w:firstLineChars="200"/>
        <w:rPr>
          <w:rFonts w:ascii="宋体" w:hAnsi="宋体" w:cs="宋体"/>
          <w:sz w:val="24"/>
        </w:rPr>
      </w:pPr>
      <w:r>
        <w:rPr>
          <w:rFonts w:hint="eastAsia" w:ascii="宋体" w:hAnsi="宋体" w:cs="宋体"/>
          <w:sz w:val="24"/>
        </w:rPr>
        <w:t>（3）心理信息监测应用，负责收集学生心理健康信息，实时汇集心理健康状况筛查、抽查资料，重点个体资料，重点人群资料，重要时间节点资料，心理健康教育网络心理评估资料，心理健康状况自评资料，心理危机隐患事件实时资料，可以发布警情监测信号。</w:t>
      </w:r>
    </w:p>
    <w:p>
      <w:pPr>
        <w:widowControl/>
        <w:snapToGrid w:val="0"/>
        <w:spacing w:line="500" w:lineRule="exact"/>
        <w:ind w:firstLine="480" w:firstLineChars="200"/>
        <w:rPr>
          <w:rFonts w:ascii="宋体" w:hAnsi="宋体" w:cs="宋体"/>
          <w:sz w:val="24"/>
        </w:rPr>
      </w:pPr>
      <w:r>
        <w:rPr>
          <w:rFonts w:hint="eastAsia" w:ascii="宋体" w:hAnsi="宋体" w:cs="宋体"/>
          <w:sz w:val="24"/>
        </w:rPr>
        <w:t>（4）心理信息评估应用，负责研判学生心理健康信息，通过定性与定量资料，对学生心理健康信息进行研判，发布警情评估信号。</w:t>
      </w:r>
    </w:p>
    <w:p>
      <w:pPr>
        <w:widowControl/>
        <w:snapToGrid w:val="0"/>
        <w:spacing w:line="500" w:lineRule="exact"/>
        <w:ind w:firstLine="480" w:firstLineChars="200"/>
        <w:rPr>
          <w:rFonts w:ascii="宋体" w:hAnsi="宋体" w:cs="宋体"/>
          <w:sz w:val="24"/>
        </w:rPr>
      </w:pPr>
      <w:r>
        <w:rPr>
          <w:rFonts w:hint="eastAsia" w:ascii="宋体" w:hAnsi="宋体" w:cs="宋体"/>
          <w:sz w:val="24"/>
        </w:rPr>
        <w:t>（5）危机干预应用，负责对潜在心理危机事件进行干预。根据不同的预警警情，对正在发生的心理危机事件启动处置预案，第一时间开展心理干预，化解潜在心理危机事件。</w:t>
      </w:r>
    </w:p>
    <w:p>
      <w:pPr>
        <w:widowControl/>
        <w:snapToGrid w:val="0"/>
        <w:spacing w:line="500" w:lineRule="exact"/>
        <w:ind w:firstLine="480" w:firstLineChars="200"/>
        <w:rPr>
          <w:rFonts w:ascii="宋体" w:hAnsi="宋体" w:cs="宋体"/>
          <w:sz w:val="24"/>
        </w:rPr>
      </w:pPr>
      <w:r>
        <w:rPr>
          <w:rFonts w:hint="eastAsia" w:ascii="宋体" w:hAnsi="宋体" w:cs="宋体"/>
          <w:sz w:val="24"/>
        </w:rPr>
        <w:t>5体育中考监测服务</w:t>
      </w:r>
    </w:p>
    <w:p>
      <w:pPr>
        <w:widowControl/>
        <w:snapToGrid w:val="0"/>
        <w:spacing w:line="500" w:lineRule="exact"/>
        <w:ind w:firstLine="480" w:firstLineChars="200"/>
        <w:rPr>
          <w:rFonts w:ascii="宋体" w:hAnsi="宋体" w:cs="宋体"/>
          <w:sz w:val="24"/>
        </w:rPr>
      </w:pPr>
      <w:r>
        <w:rPr>
          <w:rFonts w:hint="eastAsia" w:ascii="宋体" w:hAnsi="宋体" w:cs="宋体"/>
          <w:sz w:val="24"/>
        </w:rPr>
        <w:t>提供两年中考体育考试服务，设备包含中长跑设备2套（含60套芯片背心）、实心球设备1套、引体向上</w:t>
      </w:r>
      <w:r>
        <w:rPr>
          <w:rFonts w:hint="eastAsia" w:ascii="宋体" w:hAnsi="宋体" w:cs="宋体"/>
          <w:sz w:val="24"/>
          <w:lang w:val="en-US" w:eastAsia="zh-CN"/>
        </w:rPr>
        <w:t>设备</w:t>
      </w:r>
      <w:r>
        <w:rPr>
          <w:rFonts w:hint="eastAsia" w:ascii="宋体" w:hAnsi="宋体" w:cs="宋体"/>
          <w:sz w:val="24"/>
        </w:rPr>
        <w:t>4套、仰卧起坐设备4套、立定跳远设备4套、跳绳设备20套、篮球设备4套、足球</w:t>
      </w:r>
      <w:r>
        <w:rPr>
          <w:rFonts w:hint="eastAsia" w:ascii="宋体" w:hAnsi="宋体" w:cs="宋体"/>
          <w:sz w:val="24"/>
          <w:lang w:val="en-US" w:eastAsia="zh-CN"/>
        </w:rPr>
        <w:t>设备</w:t>
      </w:r>
      <w:r>
        <w:rPr>
          <w:rFonts w:hint="eastAsia" w:ascii="宋体" w:hAnsi="宋体" w:cs="宋体"/>
          <w:sz w:val="24"/>
        </w:rPr>
        <w:t>4套、排球</w:t>
      </w:r>
      <w:r>
        <w:rPr>
          <w:rFonts w:hint="eastAsia" w:ascii="宋体" w:hAnsi="宋体" w:cs="宋体"/>
          <w:sz w:val="24"/>
          <w:lang w:val="en-US" w:eastAsia="zh-CN"/>
        </w:rPr>
        <w:t>设备</w:t>
      </w:r>
      <w:r>
        <w:rPr>
          <w:rFonts w:hint="eastAsia" w:ascii="宋体" w:hAnsi="宋体" w:cs="宋体"/>
          <w:sz w:val="24"/>
        </w:rPr>
        <w:t>4套；功能包括考生智能检入、各体育项目智能检测、考试完成后学生当场扫码打印成绩、成绩的时时统计与汇总、各项目全程无线监控。考试期间保证每个项目一个技术员到现场服务且不另收取费用，</w:t>
      </w:r>
      <w:r>
        <w:rPr>
          <w:rFonts w:hint="eastAsia" w:ascii="宋体" w:hAnsi="宋体" w:cs="宋体"/>
          <w:sz w:val="24"/>
          <w:lang w:val="en-US" w:eastAsia="zh-CN"/>
        </w:rPr>
        <w:t>学生</w:t>
      </w:r>
      <w:r>
        <w:rPr>
          <w:rFonts w:hint="eastAsia" w:ascii="宋体" w:hAnsi="宋体" w:cs="宋体"/>
          <w:sz w:val="24"/>
        </w:rPr>
        <w:t>人数为6000人，时间为5天。</w:t>
      </w:r>
    </w:p>
    <w:p>
      <w:pPr>
        <w:widowControl/>
        <w:snapToGrid w:val="0"/>
        <w:spacing w:line="500" w:lineRule="exact"/>
        <w:ind w:firstLine="480" w:firstLineChars="200"/>
        <w:rPr>
          <w:rFonts w:ascii="宋体" w:hAnsi="宋体" w:cs="宋体"/>
          <w:sz w:val="24"/>
          <w:lang w:eastAsia="zh-Hans"/>
        </w:rPr>
      </w:pPr>
      <w:r>
        <w:rPr>
          <w:rFonts w:hint="eastAsia" w:ascii="宋体" w:hAnsi="宋体" w:cs="宋体"/>
          <w:sz w:val="24"/>
          <w:lang w:eastAsia="zh-Hans"/>
        </w:rPr>
        <w:t>采购内容</w:t>
      </w:r>
    </w:p>
    <w:tbl>
      <w:tblPr>
        <w:tblStyle w:val="25"/>
        <w:tblW w:w="9087" w:type="dxa"/>
        <w:tblInd w:w="-287" w:type="dxa"/>
        <w:tblLayout w:type="fixed"/>
        <w:tblCellMar>
          <w:top w:w="0" w:type="dxa"/>
          <w:left w:w="108" w:type="dxa"/>
          <w:bottom w:w="0" w:type="dxa"/>
          <w:right w:w="108" w:type="dxa"/>
        </w:tblCellMar>
      </w:tblPr>
      <w:tblGrid>
        <w:gridCol w:w="944"/>
        <w:gridCol w:w="6756"/>
        <w:gridCol w:w="1387"/>
      </w:tblGrid>
      <w:tr>
        <w:tblPrEx>
          <w:tblLayout w:type="fixed"/>
          <w:tblCellMar>
            <w:top w:w="0" w:type="dxa"/>
            <w:left w:w="108" w:type="dxa"/>
            <w:bottom w:w="0" w:type="dxa"/>
            <w:right w:w="108" w:type="dxa"/>
          </w:tblCellMar>
        </w:tblPrEx>
        <w:trPr>
          <w:trHeight w:val="48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756" w:type="dxa"/>
            <w:tcBorders>
              <w:top w:val="nil"/>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云空间及服务器</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756" w:type="dxa"/>
            <w:tcBorders>
              <w:top w:val="nil"/>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级安全等保测评</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9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学在长兴</w:t>
            </w:r>
            <w:r>
              <w:rPr>
                <w:rFonts w:hint="eastAsia" w:asciiTheme="minorEastAsia" w:hAnsiTheme="minorEastAsia" w:eastAsiaTheme="minorEastAsia" w:cstheme="minorEastAsia"/>
                <w:sz w:val="24"/>
                <w:lang w:eastAsia="zh-Hans"/>
              </w:rPr>
              <w:t>平台</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221"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长兴县学生综合评价系统</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智慧教育人事管理系统</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心理预警干预系统</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体育中考监测服务</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Layout w:type="fixed"/>
          <w:tblCellMar>
            <w:top w:w="0" w:type="dxa"/>
            <w:left w:w="108" w:type="dxa"/>
            <w:bottom w:w="0" w:type="dxa"/>
            <w:right w:w="108" w:type="dxa"/>
          </w:tblCellMar>
        </w:tblPrEx>
        <w:trPr>
          <w:trHeight w:val="320" w:hRule="atLeast"/>
        </w:trPr>
        <w:tc>
          <w:tcPr>
            <w:tcW w:w="9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67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驻点技术服务</w:t>
            </w:r>
          </w:p>
        </w:tc>
        <w:tc>
          <w:tcPr>
            <w:tcW w:w="138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r>
    </w:tbl>
    <w:p>
      <w:pPr>
        <w:spacing w:line="400" w:lineRule="exact"/>
        <w:rPr>
          <w:rFonts w:asciiTheme="minorEastAsia" w:hAnsiTheme="minorEastAsia" w:eastAsiaTheme="minorEastAsia" w:cstheme="minorEastAsia"/>
          <w:b/>
          <w:color w:val="auto"/>
          <w:sz w:val="24"/>
          <w:lang w:eastAsia="zh-Hans"/>
        </w:rPr>
      </w:pPr>
      <w:r>
        <w:rPr>
          <w:rFonts w:hint="eastAsia" w:asciiTheme="minorEastAsia" w:hAnsiTheme="minorEastAsia" w:eastAsiaTheme="minorEastAsia" w:cstheme="minorEastAsia"/>
          <w:b/>
          <w:color w:val="auto"/>
          <w:sz w:val="24"/>
        </w:rPr>
        <w:t>五、</w:t>
      </w:r>
      <w:r>
        <w:rPr>
          <w:rFonts w:hint="eastAsia" w:asciiTheme="minorEastAsia" w:hAnsiTheme="minorEastAsia" w:eastAsiaTheme="minorEastAsia" w:cstheme="minorEastAsia"/>
          <w:b/>
          <w:color w:val="auto"/>
          <w:sz w:val="24"/>
          <w:lang w:eastAsia="zh-Hans"/>
        </w:rPr>
        <w:t>采购需求</w:t>
      </w:r>
    </w:p>
    <w:tbl>
      <w:tblPr>
        <w:tblStyle w:val="25"/>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
        <w:gridCol w:w="2090"/>
        <w:gridCol w:w="300"/>
        <w:gridCol w:w="26"/>
        <w:gridCol w:w="3324"/>
        <w:gridCol w:w="119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9091" w:type="dxa"/>
            <w:gridSpan w:val="7"/>
            <w:vAlign w:val="center"/>
          </w:tcPr>
          <w:p>
            <w:pPr>
              <w:widowControl/>
              <w:spacing w:line="400" w:lineRule="exact"/>
              <w:rPr>
                <w:rFonts w:asciiTheme="minorEastAsia" w:hAnsiTheme="minorEastAsia" w:eastAsiaTheme="minorEastAsia" w:cstheme="minorEastAsia"/>
                <w:color w:val="auto"/>
                <w:sz w:val="24"/>
              </w:rPr>
            </w:pPr>
            <w:r>
              <w:rPr>
                <w:rFonts w:hint="eastAsia" w:ascii="宋体" w:hAnsi="宋体" w:cs="宋体"/>
                <w:b/>
                <w:bCs/>
                <w:color w:val="auto"/>
                <w:kern w:val="0"/>
                <w:szCs w:val="21"/>
                <w:lang w:bidi="ar"/>
              </w:rPr>
              <w:t>一、</w:t>
            </w:r>
            <w:bookmarkStart w:id="25" w:name="_Toc21968"/>
            <w:bookmarkStart w:id="26" w:name="_Toc17691"/>
            <w:bookmarkStart w:id="27" w:name="_Toc18038"/>
            <w:bookmarkStart w:id="28" w:name="_Toc948286173"/>
            <w:r>
              <w:rPr>
                <w:rFonts w:hint="eastAsia" w:ascii="宋体" w:hAnsi="宋体" w:cs="宋体"/>
                <w:b/>
                <w:bCs/>
                <w:color w:val="auto"/>
                <w:kern w:val="0"/>
                <w:szCs w:val="21"/>
                <w:lang w:bidi="ar"/>
              </w:rPr>
              <w:t>信创需求</w:t>
            </w:r>
            <w:bookmarkEnd w:id="25"/>
            <w:bookmarkEnd w:id="26"/>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9091" w:type="dxa"/>
            <w:gridSpan w:val="7"/>
            <w:vAlign w:val="center"/>
          </w:tcPr>
          <w:tbl>
            <w:tblPr>
              <w:tblStyle w:val="25"/>
              <w:tblW w:w="9021"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6"/>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1896" w:type="dxa"/>
                  <w:vAlign w:val="center"/>
                </w:tcPr>
                <w:p>
                  <w:pPr>
                    <w:jc w:val="center"/>
                    <w:rPr>
                      <w:rFonts w:ascii="宋体" w:hAnsi="宋体" w:cs="宋体"/>
                      <w:b/>
                      <w:bCs/>
                      <w:color w:val="auto"/>
                      <w:szCs w:val="21"/>
                    </w:rPr>
                  </w:pPr>
                  <w:r>
                    <w:rPr>
                      <w:rFonts w:hint="eastAsia"/>
                      <w:color w:val="auto"/>
                    </w:rPr>
                    <w:t>服务器信创要求</w:t>
                  </w:r>
                </w:p>
              </w:tc>
              <w:tc>
                <w:tcPr>
                  <w:tcW w:w="7125" w:type="dxa"/>
                  <w:vAlign w:val="center"/>
                </w:tcPr>
                <w:p>
                  <w:pPr>
                    <w:jc w:val="left"/>
                    <w:rPr>
                      <w:rFonts w:ascii="宋体" w:hAnsi="宋体" w:cs="宋体"/>
                      <w:b/>
                      <w:bCs/>
                      <w:color w:val="auto"/>
                      <w:szCs w:val="21"/>
                    </w:rPr>
                  </w:pPr>
                  <w:r>
                    <w:rPr>
                      <w:rFonts w:hint="eastAsia" w:ascii="宋体" w:hAnsi="宋体" w:cs="宋体"/>
                      <w:color w:val="auto"/>
                      <w:kern w:val="0"/>
                      <w:szCs w:val="21"/>
                    </w:rPr>
                    <w:t>项目系统后台部署在</w:t>
                  </w:r>
                  <w:r>
                    <w:rPr>
                      <w:rFonts w:hint="eastAsia" w:ascii="宋体" w:hAnsi="宋体" w:cs="宋体"/>
                      <w:color w:val="auto"/>
                      <w:kern w:val="0"/>
                      <w:szCs w:val="21"/>
                      <w:lang w:val="en-US" w:eastAsia="zh-CN"/>
                    </w:rPr>
                    <w:t>相关部门认可的信创环境</w:t>
                  </w:r>
                  <w:r>
                    <w:rPr>
                      <w:rFonts w:hint="eastAsia" w:ascii="宋体" w:hAnsi="宋体" w:cs="宋体"/>
                      <w:color w:val="auto"/>
                      <w:kern w:val="0"/>
                      <w:szCs w:val="21"/>
                    </w:rPr>
                    <w:t>上，前端部署在“浙里办”，部署的服务器有信创环境，操作系统、数据库、中间件等软件选择信创名录内的产品，同时需开通互联网端口。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1896" w:type="dxa"/>
                  <w:vAlign w:val="center"/>
                </w:tcPr>
                <w:p>
                  <w:pPr>
                    <w:jc w:val="center"/>
                    <w:rPr>
                      <w:color w:val="auto"/>
                    </w:rPr>
                  </w:pPr>
                  <w:r>
                    <w:rPr>
                      <w:rFonts w:hint="eastAsia" w:ascii="宋体" w:hAnsi="宋体" w:cs="宋体"/>
                      <w:color w:val="auto"/>
                      <w:szCs w:val="21"/>
                    </w:rPr>
                    <w:t>软件信创要求</w:t>
                  </w:r>
                </w:p>
              </w:tc>
              <w:tc>
                <w:tcPr>
                  <w:tcW w:w="7125" w:type="dxa"/>
                  <w:vAlign w:val="center"/>
                </w:tcPr>
                <w:p>
                  <w:pPr>
                    <w:jc w:val="left"/>
                    <w:rPr>
                      <w:rFonts w:ascii="宋体" w:hAnsi="宋体" w:cs="宋体"/>
                      <w:color w:val="auto"/>
                      <w:kern w:val="0"/>
                      <w:szCs w:val="21"/>
                    </w:rPr>
                  </w:pPr>
                  <w:r>
                    <w:rPr>
                      <w:rFonts w:hint="eastAsia" w:ascii="宋体" w:hAnsi="宋体" w:cs="宋体"/>
                      <w:color w:val="auto"/>
                      <w:kern w:val="0"/>
                      <w:szCs w:val="21"/>
                    </w:rPr>
                    <w:t>项目为适配现有应用终端基础上定制软件开发，采用安全可靠技术路线，部署在安全可靠工作环境上。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2" w:hRule="atLeast"/>
                <w:jc w:val="center"/>
              </w:trPr>
              <w:tc>
                <w:tcPr>
                  <w:tcW w:w="1896" w:type="dxa"/>
                  <w:vAlign w:val="center"/>
                </w:tcPr>
                <w:p>
                  <w:pPr>
                    <w:jc w:val="center"/>
                    <w:rPr>
                      <w:color w:val="auto"/>
                    </w:rPr>
                  </w:pPr>
                  <w:r>
                    <w:rPr>
                      <w:rFonts w:hint="eastAsia"/>
                      <w:color w:val="auto"/>
                    </w:rPr>
                    <w:t>信创技术要求</w:t>
                  </w:r>
                </w:p>
              </w:tc>
              <w:tc>
                <w:tcPr>
                  <w:tcW w:w="7125" w:type="dxa"/>
                  <w:vAlign w:val="center"/>
                </w:tcPr>
                <w:p>
                  <w:pPr>
                    <w:jc w:val="left"/>
                    <w:rPr>
                      <w:rFonts w:ascii="宋体" w:hAnsi="宋体" w:cs="宋体"/>
                      <w:color w:val="auto"/>
                      <w:kern w:val="0"/>
                      <w:szCs w:val="21"/>
                    </w:rPr>
                  </w:pPr>
                  <w:r>
                    <w:rPr>
                      <w:rFonts w:hint="eastAsia" w:ascii="宋体" w:hAnsi="宋体" w:cs="宋体"/>
                      <w:color w:val="auto"/>
                      <w:kern w:val="0"/>
                      <w:szCs w:val="21"/>
                    </w:rPr>
                    <w:t>项目建设过程中，要基于信创环境进行开发，包括对操作系统环境、数据库软件、中间件、浏览器、技术脚本等进行信创适配。</w:t>
                  </w:r>
                </w:p>
              </w:tc>
            </w:tr>
          </w:tbl>
          <w:p>
            <w:pPr>
              <w:widowControl/>
              <w:spacing w:line="400" w:lineRule="exact"/>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9091" w:type="dxa"/>
            <w:gridSpan w:val="7"/>
            <w:vAlign w:val="center"/>
          </w:tcPr>
          <w:p>
            <w:pPr>
              <w:widowControl/>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二、云空间及服务器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rPr>
              <w:t>序号</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rPr>
              <w:t>采购内容</w:t>
            </w:r>
          </w:p>
        </w:tc>
        <w:tc>
          <w:tcPr>
            <w:tcW w:w="3650" w:type="dxa"/>
            <w:gridSpan w:val="3"/>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配置参数等</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数量</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应用服务器</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信创云，CPU：4核，内存：16G，系统盘：SSD300G</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数据库服务器</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信创云，CPU：8核，内存：16G，系统盘：SSD200G</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OSS存储</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信创云，1T</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数据库软件</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达梦V8.4</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负载均衡SLB</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信创云，标准型</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7</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中间件</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东方通TongWeb7.0.4.7_Enterprise</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操作系统</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统信UOS V20.1050a</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云防火墙</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SANGFOR,AF8.0.32R1</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856"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w:t>
            </w:r>
          </w:p>
        </w:tc>
        <w:tc>
          <w:tcPr>
            <w:tcW w:w="20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Web应用防火墙</w:t>
            </w:r>
          </w:p>
        </w:tc>
        <w:tc>
          <w:tcPr>
            <w:tcW w:w="3650" w:type="dxa"/>
            <w:gridSpan w:val="3"/>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SANGFOR,WAF8.0.23</w:t>
            </w:r>
          </w:p>
        </w:tc>
        <w:tc>
          <w:tcPr>
            <w:tcW w:w="1190"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1305" w:type="dxa"/>
            <w:vAlign w:val="center"/>
          </w:tcPr>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 w:hRule="atLeast"/>
          <w:jc w:val="center"/>
        </w:trPr>
        <w:tc>
          <w:tcPr>
            <w:tcW w:w="9091" w:type="dxa"/>
            <w:gridSpan w:val="7"/>
            <w:vAlign w:val="center"/>
          </w:tcPr>
          <w:p>
            <w:pPr>
              <w:spacing w:line="360" w:lineRule="auto"/>
              <w:jc w:val="left"/>
              <w:rPr>
                <w:rFonts w:hint="eastAsia" w:ascii="宋体" w:hAnsi="宋体" w:cs="宋体" w:eastAsiaTheme="minorEastAsia"/>
                <w:b w:val="0"/>
                <w:bCs w:val="0"/>
                <w:color w:val="auto"/>
                <w:sz w:val="24"/>
                <w:szCs w:val="24"/>
                <w:lang w:val="en-US" w:eastAsia="zh-CN"/>
              </w:rPr>
            </w:pPr>
            <w:r>
              <w:rPr>
                <w:rFonts w:hint="eastAsia" w:ascii="宋体" w:hAnsi="宋体" w:cs="宋体"/>
                <w:color w:val="auto"/>
                <w:kern w:val="0"/>
                <w:szCs w:val="21"/>
                <w:lang w:val="en-US" w:eastAsia="zh-CN"/>
              </w:rPr>
              <w:t>注：此配置只为基础性要求</w:t>
            </w:r>
            <w:r>
              <w:rPr>
                <w:rFonts w:hint="eastAsia" w:ascii="宋体" w:hAnsi="宋体" w:cs="宋体"/>
                <w:color w:val="auto"/>
                <w:kern w:val="0"/>
                <w:szCs w:val="21"/>
                <w:u w:val="none"/>
                <w:lang w:val="en-US" w:eastAsia="zh-CN"/>
              </w:rPr>
              <w:t>，且云资源服务期三年，</w:t>
            </w:r>
            <w:r>
              <w:rPr>
                <w:rFonts w:hint="eastAsia" w:ascii="宋体" w:hAnsi="宋体" w:cs="宋体"/>
                <w:color w:val="auto"/>
                <w:kern w:val="0"/>
                <w:szCs w:val="21"/>
                <w:lang w:val="en-US" w:eastAsia="zh-CN"/>
              </w:rPr>
              <w:t>投标人提供的云空间服务必须满足信创要求，请各供应商在投标时合理测算。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1" w:hRule="atLeast"/>
          <w:jc w:val="center"/>
        </w:trPr>
        <w:tc>
          <w:tcPr>
            <w:tcW w:w="9091" w:type="dxa"/>
            <w:gridSpan w:val="7"/>
            <w:vAlign w:val="center"/>
          </w:tcPr>
          <w:p>
            <w:pPr>
              <w:widowControl/>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Hans"/>
              </w:rPr>
              <w:t>三、</w:t>
            </w:r>
            <w:r>
              <w:rPr>
                <w:rFonts w:hint="eastAsia" w:asciiTheme="minorEastAsia" w:hAnsiTheme="minorEastAsia" w:eastAsiaTheme="minorEastAsia" w:cstheme="minorEastAsia"/>
                <w:color w:val="auto"/>
                <w:sz w:val="24"/>
              </w:rPr>
              <w:t>安全等保测评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3272" w:type="dxa"/>
            <w:gridSpan w:val="4"/>
            <w:vAlign w:val="center"/>
          </w:tcPr>
          <w:p>
            <w:pPr>
              <w:widowControl/>
              <w:spacing w:line="400" w:lineRule="exact"/>
              <w:jc w:val="center"/>
              <w:rPr>
                <w:rFonts w:asciiTheme="minorEastAsia" w:hAnsiTheme="minorEastAsia" w:eastAsiaTheme="minorEastAsia" w:cstheme="minorEastAsia"/>
                <w:color w:val="auto"/>
                <w:sz w:val="24"/>
                <w:lang w:eastAsia="zh-Hans"/>
              </w:rPr>
            </w:pPr>
            <w:r>
              <w:rPr>
                <w:rFonts w:hint="eastAsia" w:asciiTheme="minorEastAsia" w:hAnsiTheme="minorEastAsia" w:eastAsiaTheme="minorEastAsia" w:cstheme="minorEastAsia"/>
                <w:color w:val="auto"/>
                <w:sz w:val="24"/>
              </w:rPr>
              <w:t>等保</w:t>
            </w:r>
            <w:r>
              <w:rPr>
                <w:rFonts w:hint="eastAsia" w:asciiTheme="minorEastAsia" w:hAnsiTheme="minorEastAsia" w:eastAsiaTheme="minorEastAsia" w:cstheme="minorEastAsia"/>
                <w:color w:val="auto"/>
                <w:sz w:val="24"/>
                <w:lang w:eastAsia="zh-Hans"/>
              </w:rPr>
              <w:t>服务</w:t>
            </w:r>
          </w:p>
        </w:tc>
        <w:tc>
          <w:tcPr>
            <w:tcW w:w="5819" w:type="dxa"/>
            <w:gridSpan w:val="3"/>
            <w:vAlign w:val="center"/>
          </w:tcPr>
          <w:p>
            <w:pPr>
              <w:widowControl/>
              <w:spacing w:line="4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▲等保</w:t>
            </w:r>
            <w:r>
              <w:rPr>
                <w:rFonts w:hint="eastAsia" w:asciiTheme="minorEastAsia" w:hAnsiTheme="minorEastAsia" w:eastAsiaTheme="minorEastAsia" w:cstheme="minorEastAsia"/>
                <w:color w:val="auto"/>
                <w:sz w:val="24"/>
                <w:lang w:eastAsia="zh-Hans"/>
              </w:rPr>
              <w:t>二</w:t>
            </w:r>
            <w:r>
              <w:rPr>
                <w:rFonts w:hint="eastAsia" w:asciiTheme="minorEastAsia" w:hAnsiTheme="minorEastAsia" w:eastAsiaTheme="minorEastAsia" w:cstheme="minorEastAsia"/>
                <w:color w:val="auto"/>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9091" w:type="dxa"/>
            <w:gridSpan w:val="7"/>
            <w:vAlign w:val="center"/>
          </w:tcPr>
          <w:p>
            <w:pPr>
              <w:widowControl/>
              <w:spacing w:line="400" w:lineRule="exact"/>
              <w:jc w:val="both"/>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四、驻点技术服务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3246" w:type="dxa"/>
            <w:gridSpan w:val="3"/>
            <w:vAlign w:val="center"/>
          </w:tcPr>
          <w:p>
            <w:pPr>
              <w:widowControl/>
              <w:spacing w:line="4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驻点要求</w:t>
            </w:r>
          </w:p>
        </w:tc>
        <w:tc>
          <w:tcPr>
            <w:tcW w:w="5845" w:type="dxa"/>
            <w:gridSpan w:val="4"/>
            <w:vAlign w:val="center"/>
          </w:tcPr>
          <w:p>
            <w:pPr>
              <w:widowControl/>
              <w:spacing w:line="400" w:lineRule="exact"/>
              <w:jc w:val="both"/>
              <w:rPr>
                <w:rFonts w:hint="eastAsia" w:asciiTheme="minorEastAsia" w:hAnsiTheme="minorEastAsia" w:eastAsiaTheme="minorEastAsia" w:cstheme="minorEastAsia"/>
                <w:sz w:val="24"/>
                <w:lang w:val="en-US" w:eastAsia="zh-CN"/>
              </w:rPr>
            </w:pPr>
            <w:r>
              <w:rPr>
                <w:rFonts w:ascii="宋体" w:hAnsi="宋体" w:eastAsia="宋体" w:cs="宋体"/>
                <w:sz w:val="24"/>
                <w:szCs w:val="24"/>
              </w:rPr>
              <w:t>项目合同签订后5个工作日内，中标人应按采购方要求提供驻场技术人员，在常规工作日提供驻场服务，直至软件功能开发完成并部署上线（以第三方监理审核为准）。驻场技术人员要求具有一年以上开发实施经验并无条件获采购人认可，若人员调整须获采购人认可。若驻场人员无故缺席，采购人享有要求中标人及时安排驻场人员就位的权利，若多次无故缺席或拒不提供驻场服务的，采购人有权要求成交人赔偿由此造成的损失。</w:t>
            </w:r>
          </w:p>
        </w:tc>
      </w:tr>
    </w:tbl>
    <w:p>
      <w:pPr>
        <w:rPr>
          <w:rFonts w:ascii="宋体" w:hAnsi="宋体" w:cs="宋体"/>
          <w:sz w:val="24"/>
          <w:lang w:eastAsia="zh-Hans"/>
        </w:rPr>
      </w:pPr>
    </w:p>
    <w:tbl>
      <w:tblPr>
        <w:tblStyle w:val="25"/>
        <w:tblW w:w="9100" w:type="dxa"/>
        <w:tblInd w:w="-300" w:type="dxa"/>
        <w:tblLayout w:type="fixed"/>
        <w:tblCellMar>
          <w:top w:w="0" w:type="dxa"/>
          <w:left w:w="108" w:type="dxa"/>
          <w:bottom w:w="0" w:type="dxa"/>
          <w:right w:w="108" w:type="dxa"/>
        </w:tblCellMar>
      </w:tblPr>
      <w:tblGrid>
        <w:gridCol w:w="748"/>
        <w:gridCol w:w="953"/>
        <w:gridCol w:w="992"/>
        <w:gridCol w:w="6407"/>
      </w:tblGrid>
      <w:tr>
        <w:tblPrEx>
          <w:tblLayout w:type="fixed"/>
          <w:tblCellMar>
            <w:top w:w="0" w:type="dxa"/>
            <w:left w:w="108" w:type="dxa"/>
            <w:bottom w:w="0" w:type="dxa"/>
            <w:right w:w="108" w:type="dxa"/>
          </w:tblCellMar>
        </w:tblPrEx>
        <w:trPr>
          <w:trHeight w:val="366" w:hRule="atLeast"/>
        </w:trPr>
        <w:tc>
          <w:tcPr>
            <w:tcW w:w="9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四、业务应用系统</w:t>
            </w:r>
          </w:p>
        </w:tc>
      </w:tr>
      <w:tr>
        <w:tblPrEx>
          <w:tblLayout w:type="fixed"/>
          <w:tblCellMar>
            <w:top w:w="0" w:type="dxa"/>
            <w:left w:w="108" w:type="dxa"/>
            <w:bottom w:w="0" w:type="dxa"/>
            <w:right w:w="108" w:type="dxa"/>
          </w:tblCellMar>
        </w:tblPrEx>
        <w:trPr>
          <w:trHeight w:val="366"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一级功能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二级功能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三级功能</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功能描述</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浙里办端站点</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框架平台设计</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★框架平台设计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整体UI设计必须按照“浙里办”UI规范设计。</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“学在长兴”浙里办端框架内容包括首页面头部、用户分类、各业务板块，搜索等内容。</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首页面头部呈现“学在长兴”元素。</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用户角色按照学生、教师、家长、社会学习者四个角色分类。</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版块包括“首页”“我要学”“我要查”“我要办”“个人中心”五大版块。</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实现“学在浙江”系列站点之间的切换功能。</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浙里办用户体系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▲浙里办用户体系</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对接“浙里办”用户认证组件，满足用户认证、隐私保护等“浙里办”应用建设要求；实现用户免登，全省漫游。</w:t>
            </w:r>
          </w:p>
        </w:tc>
      </w:tr>
      <w:tr>
        <w:tblPrEx>
          <w:tblLayout w:type="fixed"/>
          <w:tblCellMar>
            <w:top w:w="0" w:type="dxa"/>
            <w:left w:w="108" w:type="dxa"/>
            <w:bottom w:w="0" w:type="dxa"/>
            <w:right w:w="108" w:type="dxa"/>
          </w:tblCellMar>
        </w:tblPrEx>
        <w:trPr>
          <w:trHeight w:val="12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搜索功能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搜索功能</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可全局搜索“学在长兴”平台中所有的应用、事项、学习资源、教育资讯等，方便用户快速找到自己需要的目标。</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浙里办上架与发布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三端部署</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“浙里办”三端：APP端、微信小程序端、支付宝小程序端分别安装部署调试。</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适老化</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按照“浙里办”服务适老化设计规范，对服务进行适老化适配，针对弱势群体提供可用。</w:t>
            </w:r>
          </w:p>
        </w:tc>
      </w:tr>
      <w:tr>
        <w:tblPrEx>
          <w:tblLayout w:type="fixed"/>
          <w:tblCellMar>
            <w:top w:w="0" w:type="dxa"/>
            <w:left w:w="108" w:type="dxa"/>
            <w:bottom w:w="0" w:type="dxa"/>
            <w:right w:w="108" w:type="dxa"/>
          </w:tblCellMar>
        </w:tblPrEx>
        <w:trPr>
          <w:trHeight w:val="12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▲日志埋点</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按照省大数据局的《日志数据采集规范》规则，对服务页面进行日志埋点采集。页面加载时埋点采集日志数据。</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可视化集成平台</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业务集成管理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★页面一键生成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利用站点的一键可视化配置，能够直接生成“学在长兴”五大板块页面，并且能够直接生成二级页面。</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★页面版块构建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页面内容样式可以从组件库中选择生成，也可通过自定义组件生成。页面中的版块位置可通过拖拽的方式自由组合。</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版块位置拖拽</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页面中的版块位置、版块中内容的位置都可通过拖拽的方式自由排列。</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★服务内容配置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实现应用服务、教育服务事项等内容在“学在长兴”相应栏目的快速配置。</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页面板块在从组件中选择好后，可以根据组件的内容要求直接配置内容，包括图片、名称、对应的应用、事项、二级页面等，实现业务集成。</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在配置应用、事项、二级页面时，可以实现访问传参的配置。</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★实时预览功能</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在页面配置和内容配置时，系统提供直接预览功能，实现所见即所得。</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★样式组件库</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根据主流APP页面内容样式，构建组件，并形成组件库。在页面构建时，可以从组件库中选择相应的样式组件进行搭建。</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★自定义组件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版块内容在设置完成后，可以一键保存为自定义组件，在下次配置相同版块内容是，可以从自定义组件库中一键选择，版块样式及内容能够完整复用，避免重复配置。</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★内容发布</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站点内容编辑完成后，一键发布，即可零代码实现“浙里办”端服务内容的更新。</w:t>
            </w:r>
          </w:p>
        </w:tc>
      </w:tr>
      <w:tr>
        <w:tblPrEx>
          <w:tblLayout w:type="fixed"/>
          <w:tblCellMar>
            <w:top w:w="0" w:type="dxa"/>
            <w:left w:w="108" w:type="dxa"/>
            <w:bottom w:w="0" w:type="dxa"/>
            <w:right w:w="108" w:type="dxa"/>
          </w:tblCellMar>
        </w:tblPrEx>
        <w:trPr>
          <w:trHeight w:val="15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回收站</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系统可以删除二级页面、应用、事项等内容，删除的内容进入回收站。进入回收站的内容可以一键恢复，重新使用。该功能可以避免误删除造成不可逆的错误发送。</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三端发布功能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★内容发布端配置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在站点内容配置时，能够通过选择在“浙里办”三端（APP端、微信小程序端、支付宝小程序端）全部或任意一端进行该内容的发布，系统自动生成该端内容。</w:t>
            </w:r>
          </w:p>
        </w:tc>
      </w:tr>
      <w:tr>
        <w:tblPrEx>
          <w:tblLayout w:type="fixed"/>
          <w:tblCellMar>
            <w:top w:w="0" w:type="dxa"/>
            <w:left w:w="108" w:type="dxa"/>
            <w:bottom w:w="0" w:type="dxa"/>
            <w:right w:w="108" w:type="dxa"/>
          </w:tblCellMar>
        </w:tblPrEx>
        <w:trPr>
          <w:trHeight w:val="6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三端预览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内容选择好发布端后，能够在预览区实时预览。</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应用管理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★应用注册</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在应用上架到“学在长兴”之前，必须进行应用注册，注册内容包括应用名称、图标、应用地址、开发商、相关文档等。</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★上架审批</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构建“学在长兴”的应用上架审批流程，设置审批节点和审批人，并保留审批记录。</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应用管理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实现对应用的使用、下架、信息维护等管理工作。</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★应用传参配置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用户在应用管理时能够以配置的方式编辑应用所需要的多个传递参数。</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事项管理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★事项库</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构建“学在长兴”的教育服务事项库，实现对教育服务事项上下架的管理。</w:t>
            </w:r>
          </w:p>
        </w:tc>
      </w:tr>
      <w:tr>
        <w:tblPrEx>
          <w:tblLayout w:type="fixed"/>
          <w:tblCellMar>
            <w:top w:w="0" w:type="dxa"/>
            <w:left w:w="108" w:type="dxa"/>
            <w:bottom w:w="0" w:type="dxa"/>
            <w:right w:w="108" w:type="dxa"/>
          </w:tblCellMar>
        </w:tblPrEx>
        <w:trPr>
          <w:trHeight w:val="12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★事项管理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支持手动录入和一键导入导出。用户可在站点搭建时关联已录入的事项，也可以配置展示给不同用户的事项列表。</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公告管理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公告编辑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支持公告内容的编辑，提供给指定对象分发功能。支持定时发布/下线功能。</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★审核流程设定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公告发布前须经过审核。须构建公告发布审批流程，设定审批节点和审批人，保留审批过程的记录。</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数据看板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访问指标</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统计累积用户数、今日访问次数、今日访问人数、今日新增用户数等数据，可按照选定日期进行展现。</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★访问数据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以曲线图的方式展现累积用户数、访问次数、访问人数、新增用户数，能够按照选定时间进行数据的展现。</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用户身份访问统计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按时间段展现四种角色用户的访问人数和访问次数。</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访问应用/事项排行</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按时间段分别展现应用/事项的访问排行。</w:t>
            </w:r>
          </w:p>
        </w:tc>
      </w:tr>
      <w:tr>
        <w:tblPrEx>
          <w:tblLayout w:type="fixed"/>
          <w:tblCellMar>
            <w:top w:w="0" w:type="dxa"/>
            <w:left w:w="108" w:type="dxa"/>
            <w:bottom w:w="0" w:type="dxa"/>
            <w:right w:w="108" w:type="dxa"/>
          </w:tblCellMar>
        </w:tblPrEx>
        <w:trPr>
          <w:trHeight w:val="6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访问深度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展现用户访问“学在长兴”的深度，以访问页面的次数来统计展现。</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运行监测平台</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运行监测模块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支持实时监测“学在长兴”平台页面、应用、事项的健康状况，可对其进行监测配置。</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★监测预警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发现异常情况实时预警，并通过短信等方式提醒相应责任人。</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★监测数据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实时展现应用、页面、事项的监测数据和预警信息。可以查看各项应用、页面的历史监测数据。</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日志管理模块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▲日志埋点</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根据“学在浙江”省平台贯通要求，实现对“学在长兴”平台页面、应用、事项、学习资源等进行日志的埋点，以归集用户操作日志。</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日志归集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实现登录日志、页面访问日志、应用访问日志、事项访问日志四种类型的日志记录。</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★日志查询</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支持按照访问人的手机号、访问目标、用户身份、日志时间等进行日志查询。</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日志下载</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支持日志的下载。</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用户反馈模块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★用户反馈模块</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为用户提供咨询反馈入口；工作人员可查看用户的反馈内容并直接回复。支持多轮交互。支持反馈内容与省平台的流转。</w:t>
            </w:r>
          </w:p>
        </w:tc>
      </w:tr>
      <w:tr>
        <w:tblPrEx>
          <w:tblLayout w:type="fixed"/>
          <w:tblCellMar>
            <w:top w:w="0" w:type="dxa"/>
            <w:left w:w="108" w:type="dxa"/>
            <w:bottom w:w="0" w:type="dxa"/>
            <w:right w:w="108" w:type="dxa"/>
          </w:tblCellMar>
        </w:tblPrEx>
        <w:trPr>
          <w:trHeight w:val="6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监测看板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展现平台的运行情况、接口运行情况、监测数据、实时预警信息等。</w:t>
            </w:r>
          </w:p>
        </w:tc>
      </w:tr>
      <w:tr>
        <w:tblPrEx>
          <w:tblLayout w:type="fixed"/>
          <w:tblCellMar>
            <w:top w:w="0" w:type="dxa"/>
            <w:left w:w="108" w:type="dxa"/>
            <w:bottom w:w="0" w:type="dxa"/>
            <w:right w:w="108" w:type="dxa"/>
          </w:tblCellMar>
        </w:tblPrEx>
        <w:trPr>
          <w:trHeight w:val="217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数据分析</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统计分析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★统计分析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统计分析为日志系统的扩展和延伸，通过对用户行为日志的分析和图表化展示，将可视化且直观的全站点用户信息告知工作人员，包括用户的人数，访问次数、新增数量以及对各页面、各应用和各事项的访问频率和排名等等。</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★报表导出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该功能支持报表的导出和下载功能，当工作人员对统计分析数据需要进行汇报或者分析使用时，可对其进行导出和下载。</w:t>
            </w:r>
          </w:p>
        </w:tc>
      </w:tr>
      <w:tr>
        <w:tblPrEx>
          <w:tblLayout w:type="fixed"/>
          <w:tblCellMar>
            <w:top w:w="0" w:type="dxa"/>
            <w:left w:w="108" w:type="dxa"/>
            <w:bottom w:w="0" w:type="dxa"/>
            <w:right w:w="108" w:type="dxa"/>
          </w:tblCellMar>
        </w:tblPrEx>
        <w:trPr>
          <w:trHeight w:val="15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该功能由预设的报表构成，系统会针对不同使用者的角度（工作人员、管理人员等）设计不同的统计分析报表，方便使用者快速获取到对应信息。</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驾驶舱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内容维度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全面展现“学在本地”所提供的学习内容、应用服务、办事服务事项、学习资源等内容情况，包括数量、类型等。</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用户维度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展现全民学习情况。总用户数、用户数在区域常住人口的占比、总访问人次、四类用户访问比例、用户年龄段分布等。</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★服务成效维度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反映“学在本地”提供内容的质量情况，为提供更优质的服务内容提供辅助决策。办事服务事项办理人次及排行、应用使用人次及排行、学习资源使用人次及排行等。</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访问热度维度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分析用户关注的热点服务，挖掘用户的学习需求。热门应用分析、热门资源分析、访问时段分析、大访问量分析等。</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★预警维度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反映“学在本地”中服务内容的异常情况。服务内容访问人次过低预警、服务内容访问异常预警、“学在本地”访问人次与平常水平差异过大预警等。</w:t>
            </w:r>
          </w:p>
        </w:tc>
      </w:tr>
      <w:tr>
        <w:tblPrEx>
          <w:tblLayout w:type="fixed"/>
          <w:tblCellMar>
            <w:top w:w="0" w:type="dxa"/>
            <w:left w:w="108" w:type="dxa"/>
            <w:bottom w:w="0" w:type="dxa"/>
            <w:right w:w="108" w:type="dxa"/>
          </w:tblCellMar>
        </w:tblPrEx>
        <w:trPr>
          <w:trHeight w:val="3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联合开化工具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联合开化工具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★联合开化工具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在长兴”平台提供前端代码融合功能，具备第三方厂家共同参与开发能力，第三方软件开发服务商按照代码开发规范开发应用，并将其前端H5代码打包上传至联合开发工具，审核通过后工具会自动将第三方厂家开发的H5代码包融合在“学在长兴”整体代码包中，通过自动化脚本进行整体整合生成应用包，工作人员进行上架确认，即可将应用上架在“学在长兴”平台。</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个性化功能模块</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资讯发布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负责平台的整体管理和维护，可以创建和管理用户账号包括添加、删除和人员信息，设置审核流程和账号所属权限。</w:t>
            </w:r>
          </w:p>
        </w:tc>
      </w:tr>
      <w:tr>
        <w:tblPrEx>
          <w:tblLayout w:type="fixed"/>
          <w:tblCellMar>
            <w:top w:w="0" w:type="dxa"/>
            <w:left w:w="108" w:type="dxa"/>
            <w:bottom w:w="0" w:type="dxa"/>
            <w:right w:w="108" w:type="dxa"/>
          </w:tblCellMar>
        </w:tblPrEx>
        <w:trPr>
          <w:trHeight w:val="10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文章发布</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多种文章类型的发布，可以选择编辑教育新闻、招生公告、招聘公告、人事公告、财务公告等内容。系统提供的编辑器工具进行文章的编辑，提供样板调整功能，允许编辑人员根据需要调整样板、文字和布局方式。支持图文混排功能，使文章更加生动有趣，并丰富内容的呈现方式。</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文章预览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可以保存文章为草稿，随时编辑和完善。支持预览功能，可在发布之前预览文章的样式和布局。</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文章审核</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系统支持设置多个审核流程，当一篇文章提交审核时，系统可以根据文章类型和发布渠道自动选择对应的审核流程，并将文章分配给相应的审核人员。</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浙里办收到审核消息提醒，支持查看待审核的信息并进行审核。</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支持审核通过的内容转交下一级进行最终审核。并及时将审核结果反馈给文章发布者</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终核通过后文章进入正式发布状态并同步至“学在长兴”首页</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短信发送</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提供短信接口并能发送通知等信息</w:t>
            </w:r>
          </w:p>
        </w:tc>
      </w:tr>
      <w:tr>
        <w:tblPrEx>
          <w:tblLayout w:type="fixed"/>
          <w:tblCellMar>
            <w:top w:w="0" w:type="dxa"/>
            <w:left w:w="108" w:type="dxa"/>
            <w:bottom w:w="0" w:type="dxa"/>
            <w:right w:w="108" w:type="dxa"/>
          </w:tblCellMar>
        </w:tblPrEx>
        <w:trPr>
          <w:trHeight w:val="95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文章管理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支持查看、编辑和删除已发布的文章。可按照发布时间、分类等进行排序和筛选。</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教育服务事项集成</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教育服务事项集成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教育服务事项集成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对个人教育服务事项进行整理，目前教育局共有行政许可事项14项、行政确认10项、公共服务5项、联办事项8项、其它1项，本次项目建设，将对上述事项进行归集集成，并进行分类。</w:t>
            </w:r>
          </w:p>
        </w:tc>
      </w:tr>
      <w:tr>
        <w:tblPrEx>
          <w:tblLayout w:type="fixed"/>
          <w:tblCellMar>
            <w:top w:w="0" w:type="dxa"/>
            <w:left w:w="108" w:type="dxa"/>
            <w:bottom w:w="0" w:type="dxa"/>
            <w:right w:w="108" w:type="dxa"/>
          </w:tblCellMar>
        </w:tblPrEx>
        <w:trPr>
          <w:trHeight w:val="22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服务场景集成建设</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服务场景集成建设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服务场景集成建设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已建成的场景应用、本次项目将建设的场景应用、本地学习资源、教育服务事项、省级统建应用、省级学习资源等内容根据“求学”“在学”“问学”“评学”四大学习场景要求，按照学生、教师、家长、社会学习者四个角色，分别规划“学在长兴”平台“首页”“我要学”“我要查”“我要办”“个人中心”五大板块内容并进行建设。</w:t>
            </w:r>
          </w:p>
        </w:tc>
      </w:tr>
      <w:tr>
        <w:tblPrEx>
          <w:tblLayout w:type="fixed"/>
          <w:tblCellMar>
            <w:top w:w="0" w:type="dxa"/>
            <w:left w:w="108" w:type="dxa"/>
            <w:bottom w:w="0" w:type="dxa"/>
            <w:right w:w="108" w:type="dxa"/>
          </w:tblCellMar>
        </w:tblPrEx>
        <w:trPr>
          <w:trHeight w:val="950" w:hRule="atLeast"/>
        </w:trPr>
        <w:tc>
          <w:tcPr>
            <w:tcW w:w="7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现有系统改造</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入园入学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入园入学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H5页面改造，长兴县义务教育段幼儿入园、小学入学、小升初三个学段招生报名融入“学在长兴”</w:t>
            </w:r>
          </w:p>
        </w:tc>
      </w:tr>
      <w:tr>
        <w:tblPrEx>
          <w:tblLayout w:type="fixed"/>
          <w:tblCellMar>
            <w:top w:w="0" w:type="dxa"/>
            <w:left w:w="108" w:type="dxa"/>
            <w:bottom w:w="0" w:type="dxa"/>
            <w:right w:w="108" w:type="dxa"/>
          </w:tblCellMar>
        </w:tblPrEx>
        <w:trPr>
          <w:trHeight w:val="950" w:hRule="atLeast"/>
        </w:trPr>
        <w:tc>
          <w:tcPr>
            <w:tcW w:w="748" w:type="dxa"/>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督导评估发展性评价</w:t>
            </w:r>
          </w:p>
          <w:p>
            <w:pPr>
              <w:widowControl/>
              <w:spacing w:line="400" w:lineRule="exact"/>
              <w:rPr>
                <w:rFonts w:hint="eastAsia" w:asciiTheme="minorEastAsia" w:hAnsiTheme="minorEastAsia" w:eastAsiaTheme="minorEastAsia" w:cstheme="minorEastAsia"/>
                <w:b/>
                <w:bCs/>
                <w:sz w:val="24"/>
                <w:highlight w:val="yellow"/>
                <w:lang w:val="en-US" w:eastAsia="zh-CN"/>
              </w:rPr>
            </w:pPr>
            <w:r>
              <w:rPr>
                <w:rFonts w:hint="eastAsia" w:asciiTheme="minorEastAsia" w:hAnsiTheme="minorEastAsia" w:eastAsiaTheme="minorEastAsia" w:cstheme="minorEastAsia"/>
                <w:b/>
                <w:bCs/>
                <w:sz w:val="24"/>
                <w:lang w:eastAsia="zh-CN"/>
              </w:rPr>
              <w:t>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eastAsia="zh-CN"/>
              </w:rPr>
              <w:t>督导评估发展性评价</w:t>
            </w:r>
          </w:p>
          <w:p>
            <w:pPr>
              <w:widowControl/>
              <w:spacing w:line="400" w:lineRule="exac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eastAsia="zh-CN"/>
              </w:rPr>
              <w:t>系统</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H5页面改造，</w:t>
            </w:r>
            <w:r>
              <w:rPr>
                <w:rFonts w:hint="eastAsia" w:asciiTheme="minorEastAsia" w:hAnsiTheme="minorEastAsia" w:eastAsiaTheme="minorEastAsia" w:cstheme="minorEastAsia"/>
                <w:sz w:val="24"/>
                <w:highlight w:val="none"/>
                <w:lang w:eastAsia="zh-CN"/>
              </w:rPr>
              <w:t>长兴县教育督导评估发展性评价系统</w:t>
            </w:r>
            <w:r>
              <w:rPr>
                <w:rFonts w:hint="eastAsia" w:asciiTheme="minorEastAsia" w:hAnsiTheme="minorEastAsia" w:eastAsiaTheme="minorEastAsia" w:cstheme="minorEastAsia"/>
                <w:sz w:val="24"/>
                <w:highlight w:val="none"/>
              </w:rPr>
              <w:t>融入“学在长兴”</w:t>
            </w:r>
          </w:p>
        </w:tc>
      </w:tr>
      <w:tr>
        <w:tblPrEx>
          <w:tblLayout w:type="fixed"/>
          <w:tblCellMar>
            <w:top w:w="0" w:type="dxa"/>
            <w:left w:w="108" w:type="dxa"/>
            <w:bottom w:w="0" w:type="dxa"/>
            <w:right w:w="108" w:type="dxa"/>
          </w:tblCellMar>
        </w:tblPrEx>
        <w:trPr>
          <w:trHeight w:val="950" w:hRule="atLeast"/>
        </w:trPr>
        <w:tc>
          <w:tcPr>
            <w:tcW w:w="7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与省平台贯通</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功能设计贯通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功能设计贯通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围绕“首页”“我要查”“我要学”“我要办”“个人中心”五大核心模块，使用统一徽标（LOGO），按照统一设计规范，完成“学在长兴”分平台的页面和功能设计。</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标准规范贯通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标准规范贯通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“学在长兴”在背景上添加地方特色元素，以及具备良好的技术和安全性能，符合设计、数据、日志等“学在浙江”应用各类集成规范。</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魔方用户贯通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魔方用户贯通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学在浙江系列采用统一的魔方组织用户体系，使得能够实现用户在全省各地方平台间的漫游访问。对接“学在浙江”平台服务中心中魔方组织用户体系接口获取用户魔方ID、亲子关系、教师身份信息等。</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体系贯通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体系贯通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“学在长兴”作为“学在浙江”系列站点，实现与其他站点间的无缝切换登录，实现体现贯通。对接“学在浙江”网关提供的站点切换功能接口，实现与其他站点间的无缝切换登录。</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资源服务贯通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资源服务贯通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对接“学在浙江”平台服务中心所提供的统建应用下发，省级平台下发省级统建应用，“学在长兴”平台具备承接能力，接收后可在“学在长兴”平台进行上架。                                              实现省级资源在“学在长兴”的接入，包括之江汇学习资源、省开放大学学习资源等。</w:t>
            </w:r>
          </w:p>
        </w:tc>
      </w:tr>
      <w:tr>
        <w:tblPrEx>
          <w:tblLayout w:type="fixed"/>
          <w:tblCellMar>
            <w:top w:w="0" w:type="dxa"/>
            <w:left w:w="108" w:type="dxa"/>
            <w:bottom w:w="0" w:type="dxa"/>
            <w:right w:w="108" w:type="dxa"/>
          </w:tblCellMar>
        </w:tblPrEx>
        <w:trPr>
          <w:trHeight w:val="606"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咨询反馈对接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咨询反馈对接</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咨询反馈系统支持省级/分平台的流转，工作人员在遇到本级无法解决的问题时可选择将其转交给对应负责的平台进行回复用户咨询，同时转交后可继续跟进查看该条咨询的状态。对接“学在浙江”平台服务中心中的咨询反馈接口，实现“学在长兴”用户反馈数据推送到省平台。</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日志数据归集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日志数据归集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根据“学在浙江”的日志归集规范，省级平台提供开放日志接口规范文档，“学在长兴”平台按照要求进行日志的上传归集。</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监测数据归集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监测数据归集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根据“学在浙江”的监测数据归集规范，“学在长兴”平台按照要求进行日志的上传归集。</w:t>
            </w:r>
          </w:p>
        </w:tc>
      </w:tr>
      <w:tr>
        <w:tblPrEx>
          <w:tblLayout w:type="fixed"/>
          <w:tblCellMar>
            <w:top w:w="0" w:type="dxa"/>
            <w:left w:w="108" w:type="dxa"/>
            <w:bottom w:w="0" w:type="dxa"/>
            <w:right w:w="108" w:type="dxa"/>
          </w:tblCellMar>
        </w:tblPrEx>
        <w:trPr>
          <w:trHeight w:val="950" w:hRule="atLeast"/>
        </w:trPr>
        <w:tc>
          <w:tcPr>
            <w:tcW w:w="7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局校一体化工作门户</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PC端</w:t>
            </w:r>
            <w:r>
              <w:rPr>
                <w:rFonts w:hint="eastAsia" w:asciiTheme="minorEastAsia" w:hAnsiTheme="minorEastAsia" w:eastAsiaTheme="minorEastAsia" w:cstheme="minorEastAsia"/>
                <w:b/>
                <w:bCs/>
                <w:color w:val="auto"/>
                <w:sz w:val="24"/>
                <w:highlight w:val="none"/>
                <w:lang w:val="en-US" w:eastAsia="zh-CN"/>
              </w:rPr>
              <w:t>工作门户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用户登录</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PC端工作门户系统用户登录支持采用双因子验证登录，如扫码+手机短信验证的方式。</w:t>
            </w:r>
          </w:p>
        </w:tc>
      </w:tr>
      <w:tr>
        <w:tblPrEx>
          <w:tblLayout w:type="fixed"/>
          <w:tblCellMar>
            <w:top w:w="0" w:type="dxa"/>
            <w:left w:w="108" w:type="dxa"/>
            <w:bottom w:w="0" w:type="dxa"/>
            <w:right w:w="108" w:type="dxa"/>
          </w:tblCellMar>
        </w:tblPrEx>
        <w:trPr>
          <w:trHeight w:val="2464"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p>
        </w:tc>
        <w:tc>
          <w:tcPr>
            <w:tcW w:w="953" w:type="dxa"/>
            <w:vMerge w:val="continue"/>
            <w:tcBorders>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自定义门户配置</w:t>
            </w:r>
          </w:p>
        </w:tc>
        <w:tc>
          <w:tcPr>
            <w:tcW w:w="64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个人工作台的版块内容可以由用户自定义配置，在授权使用的版块内容范围内可以一键配置在工作台使用或关闭。版块内容的位置、版块大小都可以通过鼠标拖拽的方式进行位置与大小的调整。</w:t>
            </w:r>
          </w:p>
          <w:p>
            <w:pPr>
              <w:widowControl/>
              <w:spacing w:line="40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消息中心通过消息接口汇集工作台接入的应用的系统消息，并推送给相应的用户。消息中心能够通过对接短信机、钉钉等实现对用户的短信提醒和钉消息提醒。</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功能组件</w:t>
            </w:r>
          </w:p>
        </w:tc>
        <w:tc>
          <w:tcPr>
            <w:tcW w:w="64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组合组件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组合组件能够实现多个版块可以自由的组合在一起，实现首页的简洁。</w:t>
            </w:r>
          </w:p>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Ifram嵌套组件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用来展示第三方应用的相关数据展示页面等内容，Ifram嵌套组件可以配置嵌套页面地址，访问传参等。</w:t>
            </w:r>
          </w:p>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数据组件用来展现数据指标内容，包括雷达图组件、曲线图组件、柱状图组件等，提供数据接口，第三方应用的相关数据通过数据接口进行对接，数据组件即可呈现相对应的指标维度。</w:t>
            </w:r>
          </w:p>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轮播图组件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支持以图片形式展现内容，呈现重点内容、热门应用、主题宣传等。</w:t>
            </w:r>
          </w:p>
        </w:tc>
      </w:tr>
      <w:tr>
        <w:tblPrEx>
          <w:tblLayout w:type="fixed"/>
          <w:tblCellMar>
            <w:top w:w="0" w:type="dxa"/>
            <w:left w:w="108" w:type="dxa"/>
            <w:bottom w:w="0" w:type="dxa"/>
            <w:right w:w="108" w:type="dxa"/>
          </w:tblCellMar>
        </w:tblPrEx>
        <w:trPr>
          <w:trHeight w:val="429"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移动端工作门户</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宋体" w:hAnsi="宋体" w:eastAsia="宋体"/>
                <w:b w:val="0"/>
                <w:bCs w:val="0"/>
                <w:color w:val="auto"/>
                <w:sz w:val="28"/>
                <w:highlight w:val="none"/>
              </w:rPr>
              <w:t>可视化配置</w:t>
            </w:r>
          </w:p>
        </w:tc>
        <w:tc>
          <w:tcPr>
            <w:tcW w:w="64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户的页面可以一键生成。页面内容可视化配置，允许用户根据平台提供的功能组件以及自定义组件进行拖拽搭建，实现页面零代码构建功能。同时，该功能支持对不同用户身份进行访问控制，也可配置不同用户权限的页面功能。用户可根据自身业务需求增加自定义页面配置。在页面版块配置和内容配置时，系统提供直接预览功能，实现所见即所得。</w:t>
            </w:r>
          </w:p>
        </w:tc>
      </w:tr>
      <w:tr>
        <w:tblPrEx>
          <w:tblLayout w:type="fixed"/>
          <w:tblCellMar>
            <w:top w:w="0" w:type="dxa"/>
            <w:left w:w="108" w:type="dxa"/>
            <w:bottom w:w="0" w:type="dxa"/>
            <w:right w:w="108" w:type="dxa"/>
          </w:tblCellMar>
        </w:tblPrEx>
        <w:trPr>
          <w:trHeight w:val="15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lang w:val="en-US" w:eastAsia="zh-CN"/>
              </w:rPr>
            </w:pP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功能组件库</w:t>
            </w:r>
          </w:p>
        </w:tc>
        <w:tc>
          <w:tcPr>
            <w:tcW w:w="64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样式组件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根据主流APP页面内容样式，构建组件，并形成组件库。在页面构建时，可以从组件库中选择相应的样式组件进行搭建。</w:t>
            </w:r>
          </w:p>
          <w:p>
            <w:pPr>
              <w:widowControl/>
              <w:snapToGrid/>
              <w:spacing w:line="400" w:lineRule="exact"/>
              <w:ind w:firstLine="480" w:firstLineChars="200"/>
              <w:rPr>
                <w:rFonts w:hint="eastAsia"/>
                <w:color w:val="auto"/>
                <w:highlight w:val="none"/>
              </w:rPr>
            </w:pPr>
            <w:r>
              <w:rPr>
                <w:rFonts w:hint="eastAsia" w:asciiTheme="minorEastAsia" w:hAnsiTheme="minorEastAsia" w:eastAsiaTheme="minorEastAsia" w:cstheme="minorEastAsia"/>
                <w:color w:val="auto"/>
                <w:sz w:val="24"/>
                <w:highlight w:val="none"/>
              </w:rPr>
              <w:t>功能组件</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功能组件包括通知组件、会议组件、活动组件、问卷组件等，实现通知公告、会议、活动、问卷等功能在移动端的使用。</w:t>
            </w:r>
          </w:p>
        </w:tc>
      </w:tr>
      <w:tr>
        <w:tblPrEx>
          <w:tblLayout w:type="fixed"/>
          <w:tblCellMar>
            <w:top w:w="0" w:type="dxa"/>
            <w:left w:w="108" w:type="dxa"/>
            <w:bottom w:w="0" w:type="dxa"/>
            <w:right w:w="108" w:type="dxa"/>
          </w:tblCellMar>
        </w:tblPrEx>
        <w:trPr>
          <w:trHeight w:val="950" w:hRule="atLeast"/>
        </w:trPr>
        <w:tc>
          <w:tcPr>
            <w:tcW w:w="74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p>
        </w:tc>
        <w:tc>
          <w:tcPr>
            <w:tcW w:w="9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工作台功能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工作台应用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通知公告：实现通知公告的编辑、审核、发布等功能。编辑具备富文本编辑功能，实现通知对象的选择、发布端的选择（如工作台、浙里办服务端等），内容预览等功能。</w:t>
            </w:r>
          </w:p>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待办事项：集成工作门户集成的所有应用的待办任务，用户在工作门户首页待办任务版块能够对各个应用的待办任务进行一键登录处理。</w:t>
            </w:r>
          </w:p>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会议功能：实现会议通知编辑、会议内容审核及发布、参会者回复、会议签到码、会议签到（扫码签到）等功能。</w:t>
            </w:r>
          </w:p>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活动功能：支持活动内容的发布、活动报名、报名审核、活动作品上传等功能。实现活动发布对象的选择、发布端的选择（如工作台、浙里办服务端等）、内容预览等功能。</w:t>
            </w:r>
          </w:p>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问卷功能：支持问卷内容的编辑、审核及发布，对问卷结果进行统计及分析。实现问卷发布对象的选择、发布端的选择（如工作台、浙里办服务端等）、内容预览等功能。</w:t>
            </w:r>
          </w:p>
          <w:p>
            <w:pPr>
              <w:widowControl/>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提醒功能：系统提供日历，可以在日历上选择任务日期，编辑提醒任务：提醒内容，提醒时间，可以设置多次提醒时间。支持短信、钉钉等消息对接，打通各类应用。</w:t>
            </w:r>
          </w:p>
        </w:tc>
      </w:tr>
      <w:tr>
        <w:tblPrEx>
          <w:tblLayout w:type="fixed"/>
          <w:tblCellMar>
            <w:top w:w="0" w:type="dxa"/>
            <w:left w:w="108" w:type="dxa"/>
            <w:bottom w:w="0" w:type="dxa"/>
            <w:right w:w="108" w:type="dxa"/>
          </w:tblCellMar>
        </w:tblPrEx>
        <w:trPr>
          <w:trHeight w:val="2025" w:hRule="atLeast"/>
        </w:trPr>
        <w:tc>
          <w:tcPr>
            <w:tcW w:w="7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rPr>
              <w:t>综合素质评价系统</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小学</w:t>
            </w:r>
            <w:r>
              <w:rPr>
                <w:rFonts w:hint="eastAsia" w:asciiTheme="minorEastAsia" w:hAnsiTheme="minorEastAsia" w:eastAsiaTheme="minorEastAsia" w:cstheme="minorEastAsia"/>
                <w:b/>
                <w:bCs/>
                <w:color w:val="auto"/>
                <w:sz w:val="24"/>
                <w:lang w:eastAsia="zh-CN"/>
              </w:rPr>
              <w:t>）</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账户管理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rPr>
              <w:t>本级设置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管理县区本级的教师账号</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学校机构的评价管理员和教师账号</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列表上方搜索框可按条件搜索账号，或者导出用户列表进行查看。</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管理员可以输入用户账号、用户姓名、状态和创建时间来进行搜索。</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点击新增即可添加用户，输入用户姓名、手机号码、证件号、邮箱、用户密码、角色、状态，填写备注。提供批量创建功能。</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可以重置用户密码和账号禁用启用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支持对用户信息进行修改和导入导出。</w:t>
            </w:r>
          </w:p>
        </w:tc>
      </w:tr>
      <w:tr>
        <w:tblPrEx>
          <w:tblLayout w:type="fixed"/>
          <w:tblCellMar>
            <w:top w:w="0" w:type="dxa"/>
            <w:left w:w="108" w:type="dxa"/>
            <w:bottom w:w="0" w:type="dxa"/>
            <w:right w:w="108" w:type="dxa"/>
          </w:tblCellMar>
        </w:tblPrEx>
        <w:trPr>
          <w:trHeight w:val="90" w:hRule="atLeast"/>
        </w:trPr>
        <w:tc>
          <w:tcPr>
            <w:tcW w:w="748" w:type="dxa"/>
            <w:vMerge w:val="restart"/>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vMerge w:val="restart"/>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下级设置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县区管理员可在此功能中管理各校学校管理员的账号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学校管理员可在此功能中管理学生用户账号，学生用户初始来源为同步数据，无需重复导入。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县区管理员可以输入用户账号、用户姓名、状态、下级机构、角色类型和创建时间来进行搜索相应学校账号，也可进行学校账号（包含学校管理员和普通教师）的新增和用户密码的禁用启用，支持批量导入和导出用户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支持账号禁用启用和密码重置，支持分类批量操作。</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支持按年级重置、按班级重置、清空条件以及导出数据。</w:t>
            </w:r>
          </w:p>
        </w:tc>
      </w:tr>
      <w:tr>
        <w:tblPrEx>
          <w:tblLayout w:type="fixed"/>
          <w:tblCellMar>
            <w:top w:w="0" w:type="dxa"/>
            <w:left w:w="108" w:type="dxa"/>
            <w:bottom w:w="0" w:type="dxa"/>
            <w:right w:w="108" w:type="dxa"/>
          </w:tblCellMar>
        </w:tblPrEx>
        <w:trPr>
          <w:trHeight w:val="202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注册</w:t>
            </w:r>
          </w:p>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审核</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学校普通教师可通过首页的注册功能自行注册账号，注册信息填写完成后点击确定，提交至学校评价管理员审核。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评价管理员在此功能内，可以选择批量通过或批量拒绝，完成审核，审核通过后账号即生效。同时支持管理员输入用户姓名和手机号码进行账号搜索。</w:t>
            </w:r>
          </w:p>
        </w:tc>
      </w:tr>
      <w:tr>
        <w:tblPrEx>
          <w:tblLayout w:type="fixed"/>
          <w:tblCellMar>
            <w:top w:w="0" w:type="dxa"/>
            <w:left w:w="108" w:type="dxa"/>
            <w:bottom w:w="0" w:type="dxa"/>
            <w:right w:w="108" w:type="dxa"/>
          </w:tblCellMar>
        </w:tblPrEx>
        <w:trPr>
          <w:trHeight w:val="1308"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通知公告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通知公告</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用于教育局和学校管理员用户给下级发布重要通知，发布的通知公告将显示在下级机构首页。输入公告标题、类型以及公告具体内容，进行发布。已发布公告允许删除或修改。</w:t>
            </w:r>
          </w:p>
        </w:tc>
      </w:tr>
      <w:tr>
        <w:tblPrEx>
          <w:tblLayout w:type="fixed"/>
          <w:tblCellMar>
            <w:top w:w="0" w:type="dxa"/>
            <w:left w:w="108" w:type="dxa"/>
            <w:bottom w:w="0" w:type="dxa"/>
            <w:right w:w="108" w:type="dxa"/>
          </w:tblCellMar>
        </w:tblPrEx>
        <w:trPr>
          <w:trHeight w:val="143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vMerge w:val="restart"/>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日志管理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操作日志</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用于所有用户根据权限查看本机构所属账号的操作记录，展示操作的系统模块、操作类型、操作人员、操作日期等，并支持按以上内容进行查找、导出。</w:t>
            </w:r>
          </w:p>
        </w:tc>
      </w:tr>
      <w:tr>
        <w:tblPrEx>
          <w:tblLayout w:type="fixed"/>
          <w:tblCellMar>
            <w:top w:w="0" w:type="dxa"/>
            <w:left w:w="108" w:type="dxa"/>
            <w:bottom w:w="0" w:type="dxa"/>
            <w:right w:w="108" w:type="dxa"/>
          </w:tblCellMar>
        </w:tblPrEx>
        <w:trPr>
          <w:trHeight w:val="1156"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登录日志</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用于所有用户根据权限查看本机构所属账号的登录日志，详细展示登录的用户名称、IP地址、登录状态以及访问时间，并支持按以上内容进行查找、导出。</w:t>
            </w:r>
          </w:p>
        </w:tc>
      </w:tr>
      <w:tr>
        <w:tblPrEx>
          <w:tblLayout w:type="fixed"/>
          <w:tblCellMar>
            <w:top w:w="0" w:type="dxa"/>
            <w:left w:w="108" w:type="dxa"/>
            <w:bottom w:w="0" w:type="dxa"/>
            <w:right w:w="108" w:type="dxa"/>
          </w:tblCellMar>
        </w:tblPrEx>
        <w:trPr>
          <w:trHeight w:val="1492"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lang w:eastAsia="zh-CN"/>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系统首页（局端）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系统首页（局端）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快捷入口包含了数据看板、指标统计、学生信息、指标设置的入口。</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驾驶舱入口：通过入口点击可以进入到数据驾驶舱，局端驾驶舱可以下钻四级，分别为局端、校端、班级端、学生个人画像。</w:t>
            </w:r>
          </w:p>
        </w:tc>
      </w:tr>
      <w:tr>
        <w:tblPrEx>
          <w:tblLayout w:type="fixed"/>
          <w:tblCellMar>
            <w:top w:w="0" w:type="dxa"/>
            <w:left w:w="108" w:type="dxa"/>
            <w:bottom w:w="0" w:type="dxa"/>
            <w:right w:w="108" w:type="dxa"/>
          </w:tblCellMar>
        </w:tblPrEx>
        <w:trPr>
          <w:trHeight w:val="11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个人中心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个人中心</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可查看当前账号的基本个人信息、拥有的角色、账号创建日期等，并可修改姓名、手机号码、邮箱以及本账号的登录密码等信息。</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角色切换</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角色切换</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当一个帐号拥有多角色时，可选择所属机构，即可快速切换到其他用户角色，实现用户根据角色登录不同的页面。比如拥有管理员权限的用户直接进入管理界面，普通教师进入教师操作界面。</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此功能支持教育局管理员、学校管理员、普通教师角色使用。</w:t>
            </w:r>
          </w:p>
        </w:tc>
      </w:tr>
      <w:tr>
        <w:tblPrEx>
          <w:tblLayout w:type="fixed"/>
          <w:tblCellMar>
            <w:top w:w="0" w:type="dxa"/>
            <w:left w:w="108" w:type="dxa"/>
            <w:bottom w:w="0" w:type="dxa"/>
            <w:right w:w="108" w:type="dxa"/>
          </w:tblCellMar>
        </w:tblPrEx>
        <w:trPr>
          <w:trHeight w:val="110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基础信息设置（局端）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学校信息设置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局管理员新增修改学校信息，包括学段、学校名称、学校代码、学校状态和显示顺序等信息，便于局管理员对学校的管理</w:t>
            </w:r>
          </w:p>
        </w:tc>
      </w:tr>
      <w:tr>
        <w:tblPrEx>
          <w:tblLayout w:type="fixed"/>
          <w:tblCellMar>
            <w:top w:w="0" w:type="dxa"/>
            <w:left w:w="108" w:type="dxa"/>
            <w:bottom w:w="0" w:type="dxa"/>
            <w:right w:w="108" w:type="dxa"/>
          </w:tblCellMar>
        </w:tblPrEx>
        <w:trPr>
          <w:trHeight w:val="54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公共课程设置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新增课程，输入课程名称、适用年级，建立的课程自动应用到学校。</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配置管理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获奖加分配置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配置奖励设置是否可以由下级学校管理员进行自定义设置，同时可设置各个奖励级别的指标。如果教育局设置为下级设置，奖励设置可以由校管理员进行自定义设置时，管理员可以在PC端进行获奖加分设置。</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根据县区教育局设置的结果更进一步设置学生获奖加分模式。管理员首先选择年级和学年学期，点击新增按钮，再点击编辑，即可设置对应等级、自定义等级名称，赋国际级、国家级、省区、地级、县级、乡级和学校级不同等级的分数，确认后即添加成功，也可进行删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支持将获奖加分模式复制到其他年级，减轻管理员工作量。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支持清空获奖加分数据及模式。</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局端指标配置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可设置一到三级的指标，最低级的指标需要设置指标名称、加减分方式、指标内容、评价对象和适用年级，设置好的局端指标自动下发到学校，学校不可更改局端统一指标。</w:t>
            </w:r>
          </w:p>
        </w:tc>
      </w:tr>
      <w:tr>
        <w:tblPrEx>
          <w:tblLayout w:type="fixed"/>
          <w:tblCellMar>
            <w:top w:w="0" w:type="dxa"/>
            <w:left w:w="108" w:type="dxa"/>
            <w:bottom w:w="0" w:type="dxa"/>
            <w:right w:w="108" w:type="dxa"/>
          </w:tblCellMar>
        </w:tblPrEx>
        <w:trPr>
          <w:trHeight w:val="103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统计分析（局端）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端数据看板，显示当前学期评价总量，今日总量以及昨日上升或下降的百分比，参与教师人数较上周上升或下降的百分比，教师点评次数与较上周上升或下降的百分比，学生被点评均次及较上周上升或下架的百分比，学生被覆盖率以及较上周上升或下降的百分比。</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学生评价量列表：展示学校名称、学生数量、教师数量、评价总量，点击查看下钻显示具体学校的评价总量、今日总量、参与教师、点评次数、学生被评均次、学生被覆盖率，以及五育维度评价量。</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指标统计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教育局管理员查看各个学校所设置的指标方案，包含各校各级的指标名称、属性、分数、标签和使用状态。</w:t>
            </w:r>
          </w:p>
        </w:tc>
      </w:tr>
      <w:tr>
        <w:tblPrEx>
          <w:tblLayout w:type="fixed"/>
          <w:tblCellMar>
            <w:top w:w="0" w:type="dxa"/>
            <w:left w:w="108" w:type="dxa"/>
            <w:bottom w:w="0" w:type="dxa"/>
            <w:right w:w="108" w:type="dxa"/>
          </w:tblCellMar>
        </w:tblPrEx>
        <w:trPr>
          <w:trHeight w:val="80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校端首页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校端首页</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显示学校当前学期评价总量，今日总量以及昨日上升或下降的百分比，参与教师人数较上周上升或下降的百分比，教师点评次数与较上周上升或下降的百分比，学生被点评均次及较上周上升或下架的百分比，学生被覆盖率以及较上周上升或下降的百分比。</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常用功能入口：包含了指标设置、评价教师设置、任课表设置、教师信息、学生信息等高频使用的功能的入口。</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评价活跃度：可以通过时间维度本日、本周、本月查看本校各个年级的评价量的折线图。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消息中心：展示当前学校待办业务，包含学生提交的需要审核的任务信息、获奖信息等。</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rPr>
              <w:t>基础信息管理</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校端</w:t>
            </w:r>
            <w:r>
              <w:rPr>
                <w:rFonts w:hint="eastAsia" w:asciiTheme="minorEastAsia" w:hAnsiTheme="minorEastAsia" w:eastAsiaTheme="minorEastAsia" w:cstheme="minorEastAsia"/>
                <w:b/>
                <w:bCs/>
                <w:sz w:val="24"/>
                <w:lang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年级</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支持管理员管理学校各年级信息。可以新增年级：选择对应学段和年级名称，进行年级新建，可设置年级组长。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在年级下未建立有效班级的情况下，允许删除年级。降低误操作可能性。支持根据年级状态进行年级信息查询。</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班级</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支持管理员管理学校各年级的教学班。可以新增班级：选择年级、校内班名命名方式，录入新建数量，进行班级创建。支持修改校内班名。</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对于无学生的空班级允许删除。支持根据班级名称、班级状态以及年级进行班级信息查询。</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班主任信息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学校管理员设置各个班级的班主任信息，支持一次性导入，可以根据班主任姓名、年级等条件搜索班主任信息。</w:t>
            </w:r>
          </w:p>
        </w:tc>
      </w:tr>
      <w:tr>
        <w:tblPrEx>
          <w:tblLayout w:type="fixed"/>
          <w:tblCellMar>
            <w:top w:w="0" w:type="dxa"/>
            <w:left w:w="108" w:type="dxa"/>
            <w:bottom w:w="0" w:type="dxa"/>
            <w:right w:w="108" w:type="dxa"/>
          </w:tblCellMar>
        </w:tblPrEx>
        <w:trPr>
          <w:trHeight w:val="248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学校管理员可查看以及修改评价系统内本校各年级在校生情况。学生信息包括：学号、班级名称、学生姓名、证件类型、证件编号、性别和学生状态。</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支持管理员根据相关信息进行搜索，搜索结果显示字段包含年级、班级、学生姓名、学籍号、证件编号和学生状态等。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支持管理员单个和批量修改学生信息。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支持单个查询学生二维码和批量导出学生二维码标识的PDF，导出时可以选择二维码的尺寸，打印导出的二维码标识贴在学生校牌上，可以用于值周评价等的学生的识别。</w:t>
            </w:r>
          </w:p>
        </w:tc>
      </w:tr>
      <w:tr>
        <w:tblPrEx>
          <w:tblLayout w:type="fixed"/>
          <w:tblCellMar>
            <w:top w:w="0" w:type="dxa"/>
            <w:left w:w="108" w:type="dxa"/>
            <w:bottom w:w="0" w:type="dxa"/>
            <w:right w:w="108" w:type="dxa"/>
          </w:tblCellMar>
        </w:tblPrEx>
        <w:trPr>
          <w:trHeight w:val="17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校</w:t>
            </w:r>
            <w:r>
              <w:rPr>
                <w:rFonts w:hint="eastAsia" w:asciiTheme="minorEastAsia" w:hAnsiTheme="minorEastAsia" w:eastAsiaTheme="minorEastAsia" w:cstheme="minorEastAsia"/>
                <w:b/>
                <w:bCs/>
                <w:sz w:val="24"/>
                <w:lang w:val="en-US" w:eastAsia="zh-CN"/>
              </w:rPr>
              <w:t>级</w:t>
            </w:r>
            <w:r>
              <w:rPr>
                <w:rFonts w:hint="eastAsia" w:asciiTheme="minorEastAsia" w:hAnsiTheme="minorEastAsia" w:eastAsiaTheme="minorEastAsia" w:cstheme="minorEastAsia"/>
                <w:b/>
                <w:bCs/>
                <w:sz w:val="24"/>
              </w:rPr>
              <w:t>课程设置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此功能用于学校评价管理员管理本校特色课程库，其中课程代码A开头的课程为省级课程，学校无法编辑删除。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课程代码C开头的课程为学校个性化科目。学校若有其他个性化课程，可以通过新增课程，填写课程名称、适用年级以及备注，保存后即生效。其中课程代码和课程类型为默认，不可更改。学校自建课程允许修改或删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支持管理员通过课程名称和课程类型进行搜索。</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支持对已有的课程进行禁启用，启用状态的课程显示在任课表中。</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任课表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此功能模块用于学校管理员在本校区或者跨校区设置各班级每门科目的任课教师，任课教师拥有评价学生日常表现、录入期末成绩等权限。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进入任课表首页，在页面上方切换学期和年级，页面将展示对应年级下每个班级开设的课程情况，点击对应班级对应科目的设置框，下拉选项中将展示已创建账号的全校教师名单，通过直接选取或搜索选中教师，即可设置完成。</w:t>
            </w:r>
          </w:p>
        </w:tc>
      </w:tr>
      <w:tr>
        <w:tblPrEx>
          <w:tblLayout w:type="fixed"/>
          <w:tblCellMar>
            <w:top w:w="0" w:type="dxa"/>
            <w:left w:w="108" w:type="dxa"/>
            <w:bottom w:w="0" w:type="dxa"/>
            <w:right w:w="108" w:type="dxa"/>
          </w:tblCellMar>
        </w:tblPrEx>
        <w:trPr>
          <w:trHeight w:val="17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配置管理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指标</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县区级设置的指标直接应用到学校，校端管理员可以新增、修改、删除、自己学校的特色指标。在过程指标中可以新增该指标的过程内容，包括名称、图标、类型（加分、减分、等级制）、分值、排序号、指标内容、选择评价对象和选择适用班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支持设置个性化的方案名称，用户在学生手机端首页的展示。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支持对未使用的指标进行删除。</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教师评价</w:t>
            </w:r>
            <w:r>
              <w:rPr>
                <w:rFonts w:hint="eastAsia" w:asciiTheme="minorEastAsia" w:hAnsiTheme="minorEastAsia" w:eastAsiaTheme="minorEastAsia" w:cstheme="minorEastAsia"/>
                <w:b/>
                <w:bCs/>
                <w:sz w:val="24"/>
              </w:rPr>
              <w:t>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评价教师作为重要的评价主体，有多种方式进行关联设置，此功能用于对任课表设置的补充，设置每个班级每学年学期的评价教师，可设置手机端日常评价的教师权限。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选择想要指派评价教师的班级，点击指派操作，选择评价教师的名称，即可指派成功。</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当某位老师被设置为某个班级的评价教师，教师即可在手机端评价学生功能中对所设置的班级的学生进行评价。</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任务</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可以统一发布、审核、查看学生需要完成的任务。输入任务标题、任务要求、起始时间、任务频次、适用班级、选择关联指标、选择是否给分、选择是否需要班主任审核、选择是否定时发送、选择是否需要审核等。任务发布之后在家长在手机端提交学生家庭任务的完成情况。</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发卡</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支持管理员设置发卡详情。管理员先选择学年学期，再新增发卡，设置发卡数量、卡片所关联指标以及卡片样式。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管理员对以设置的卡片进行预览、打印和删除。打印出来的卡片下发给教师手中，由教师直接发给他想奖励的学生手中。卡片上附有具体的奖励指标、增加的积分以及二维码，二维码供家长扫描，且仅可扫描一次。</w:t>
            </w:r>
          </w:p>
        </w:tc>
      </w:tr>
      <w:tr>
        <w:tblPrEx>
          <w:tblLayout w:type="fixed"/>
          <w:tblCellMar>
            <w:top w:w="0" w:type="dxa"/>
            <w:left w:w="108" w:type="dxa"/>
            <w:bottom w:w="0" w:type="dxa"/>
            <w:right w:w="108" w:type="dxa"/>
          </w:tblCellMar>
        </w:tblPrEx>
        <w:trPr>
          <w:trHeight w:val="782"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获星比例设置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该功能为配合成长记录册中星级评价的比例换算，可以根据学校具体要求进行个性化定义。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首先选择学年学期和年级，然后设置星级为三星、四星和五星，最后选择班级来设置获星比例，根据比例和班级人数自动生成不同级别的获星人数。支持批量设置和查看往年信息。</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其他</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设置过程评价教师评分顺序：设置学生端过程评价选择学生和选择指标的先后顺序。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学生奖品设置：设置奖品兑换模式，可由教师设置、可全校统一设置，全校统一设置时需要设置奖品名称、所需积分，设置的奖品信息应用到所有的班级。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设置学期素质发展报告单参数：放假时间、报到时间、正式上课时间、校长、教务主任等信息。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设置学生成长树对应分值：为不同的小树生长阶段设置不同的分值范围。</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设置五育发卡图片：设置对应五育奖卡的显示图片，用于在驾驶舱的展示。</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数据采集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rPr>
              <w:t>阶段测验</w:t>
            </w:r>
            <w:r>
              <w:rPr>
                <w:rFonts w:hint="eastAsia" w:asciiTheme="minorEastAsia" w:hAnsiTheme="minorEastAsia" w:eastAsiaTheme="minorEastAsia" w:cstheme="minorEastAsia"/>
                <w:b/>
                <w:bCs/>
                <w:sz w:val="24"/>
                <w:lang w:val="en-US" w:eastAsia="zh-CN"/>
              </w:rPr>
              <w:t>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学校管理员可以针对任课教师已经开设的阶段测验，可以查看、修改录入结果，可以统一开设期末考查，开设时选择课程、评价方式、适用班级，统一开设之后任课教师不需要再开设。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设置对应积分值：在测验中分数或等级对应的积分值</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新增测验任务：该功能用于在任课表中的教师开设日常的阶段联系任务，新增测验任务时分为平时测验和期末考查，平时测验可以自定义测验名称，选择所属课程和评价方式，评价方式支持多种可选。同可以选择关联指标，将自动将分数或等级对应的积分值加到指标下，用于最终的评价结果生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测验结果导入：支持单个录入和批量导入测验结果，导入时进行校验数据，并且在导入结果中提示具体问题数据原因。</w:t>
            </w:r>
          </w:p>
        </w:tc>
      </w:tr>
      <w:tr>
        <w:tblPrEx>
          <w:tblLayout w:type="fixed"/>
          <w:tblCellMar>
            <w:top w:w="0" w:type="dxa"/>
            <w:left w:w="108" w:type="dxa"/>
            <w:bottom w:w="0" w:type="dxa"/>
            <w:right w:w="108" w:type="dxa"/>
          </w:tblCellMar>
        </w:tblPrEx>
        <w:trPr>
          <w:trHeight w:val="80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获奖情况</w:t>
            </w:r>
            <w:r>
              <w:rPr>
                <w:rFonts w:hint="eastAsia" w:asciiTheme="minorEastAsia" w:hAnsiTheme="minorEastAsia" w:eastAsiaTheme="minorEastAsia" w:cstheme="minorEastAsia"/>
                <w:b/>
                <w:bCs/>
                <w:sz w:val="24"/>
                <w:lang w:val="en-US" w:eastAsia="zh-CN"/>
              </w:rPr>
              <w:t>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评价管理员可以录入、查看、修改、删除、统计学生的获奖情况，并对家校上传的获奖情况申请进行审核。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同时支持教师录入、审核、查询学生的获奖情况。学生获奖记录包括学生姓名、证件后四位、获奖名称、评价项目、获奖级别、获奖等级、获分、获奖时间、颁奖单位、责任人以及操作。</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期末评语</w:t>
            </w:r>
            <w:r>
              <w:rPr>
                <w:rFonts w:hint="eastAsia" w:asciiTheme="minorEastAsia" w:hAnsiTheme="minorEastAsia" w:eastAsiaTheme="minorEastAsia" w:cstheme="minorEastAsia"/>
                <w:b/>
                <w:bCs/>
                <w:sz w:val="24"/>
                <w:lang w:val="en-US" w:eastAsia="zh-CN"/>
              </w:rPr>
              <w:t>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学校管理员、班主任可以通过PC、移动端中的评语功能完成学生的的评语编写与提交，同时提供评语库可供教师进行选择，评语内容将自动在发展综合报告单、成长记录册中进行呈现。</w:t>
            </w:r>
          </w:p>
        </w:tc>
      </w:tr>
      <w:tr>
        <w:tblPrEx>
          <w:tblLayout w:type="fixed"/>
          <w:tblCellMar>
            <w:top w:w="0" w:type="dxa"/>
            <w:left w:w="108" w:type="dxa"/>
            <w:bottom w:w="0" w:type="dxa"/>
            <w:right w:w="108" w:type="dxa"/>
          </w:tblCellMar>
        </w:tblPrEx>
        <w:trPr>
          <w:trHeight w:val="461"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体质健康</w:t>
            </w:r>
            <w:r>
              <w:rPr>
                <w:rFonts w:hint="eastAsia" w:asciiTheme="minorEastAsia" w:hAnsiTheme="minorEastAsia" w:eastAsiaTheme="minorEastAsia" w:cstheme="minorEastAsia"/>
                <w:b/>
                <w:bCs/>
                <w:sz w:val="24"/>
                <w:lang w:val="en-US" w:eastAsia="zh-CN"/>
              </w:rPr>
              <w:t>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支持评价管理员录入、查询，统计学生的体质健康数据，最终这些数据会在学生家长端生成健康报告。</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支持国家体质健康网的导入模版直接一键导入。</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评价结果生成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评价管理员或班主任根据所有的过程记录和“获星比例设置”自动生成最终五育各个维度的结果，可以对生成的结果进行调整，生成的结果最终显示在学生的期末报告单和学生成长记录册的评价信息模块。</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数据统计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成绩</w:t>
            </w:r>
            <w:r>
              <w:rPr>
                <w:rFonts w:hint="eastAsia" w:asciiTheme="minorEastAsia" w:hAnsiTheme="minorEastAsia" w:eastAsiaTheme="minorEastAsia" w:cstheme="minorEastAsia"/>
                <w:b/>
                <w:bCs/>
                <w:sz w:val="24"/>
                <w:lang w:val="en-US" w:eastAsia="zh-CN"/>
              </w:rPr>
              <w:t>情况</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此功能用于学校管理员查询教师录入的阶段测验成绩或者期末考查成绩，查询时可以按照基础条件包含学生姓名、证件编号、班级、学年学期或者业务条件包含业务条件或课程名称查询。</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获奖</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情况</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此功能用于学校管理员查询班主任或者学生提交的获奖信息，可以按照学生姓名、证件编号、班级、学年学期等条件搜索。</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写实</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进度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此功能用于学校管理员查询班主任学期评语的录入进度，可以按照查询条件学年学期、录入状态进行查询。</w:t>
            </w:r>
          </w:p>
        </w:tc>
      </w:tr>
      <w:tr>
        <w:tblPrEx>
          <w:tblLayout w:type="fixed"/>
          <w:tblCellMar>
            <w:top w:w="0" w:type="dxa"/>
            <w:left w:w="108" w:type="dxa"/>
            <w:bottom w:w="0" w:type="dxa"/>
            <w:right w:w="108" w:type="dxa"/>
          </w:tblCellMar>
        </w:tblPrEx>
        <w:trPr>
          <w:trHeight w:val="52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学校管理员手机端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我的评价概况</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根据教师权限不同（学校管理员和年级组长）显示数据汇总，例如年级组长权限，显示本人当前学期表扬评价总分以及在表扬加改进总分中的占比，改进总分及在表扬加改进总分中的占比，并且分析本人评价量</w:t>
            </w:r>
            <w:r>
              <w:rPr>
                <w:rFonts w:hint="eastAsia" w:asciiTheme="minorEastAsia" w:hAnsiTheme="minorEastAsia" w:eastAsiaTheme="minorEastAsia" w:cstheme="minorEastAsia"/>
                <w:sz w:val="24"/>
                <w:lang w:val="en-US" w:eastAsia="zh-CN"/>
              </w:rPr>
              <w:t>按照时间配置要求要求进行</w:t>
            </w:r>
            <w:r>
              <w:rPr>
                <w:rFonts w:hint="eastAsia" w:asciiTheme="minorEastAsia" w:hAnsiTheme="minorEastAsia" w:eastAsiaTheme="minorEastAsia" w:cstheme="minorEastAsia"/>
                <w:sz w:val="24"/>
              </w:rPr>
              <w:t>趋势分析。</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学生动态展示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根据页面权限不同自动显示数据，例如进入的年级组长，展示年级组长所管辖年级的所有学生的动态，包含了教师即时评价、学生获奖上传、学生发卡扫码、学生任务上传所有的最近动态。</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热力标签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根据页面权限不同自动显示数据，展示当前学校被评频次高的指标名称。</w:t>
            </w:r>
          </w:p>
        </w:tc>
      </w:tr>
      <w:tr>
        <w:tblPrEx>
          <w:tblLayout w:type="fixed"/>
          <w:tblCellMar>
            <w:top w:w="0" w:type="dxa"/>
            <w:left w:w="108" w:type="dxa"/>
            <w:bottom w:w="0" w:type="dxa"/>
            <w:right w:w="108" w:type="dxa"/>
          </w:tblCellMar>
        </w:tblPrEx>
        <w:trPr>
          <w:trHeight w:val="188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校级看板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校级管理员可以通过数据看板及时查看评价工作开展情况，主要包含以下几个模块:</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数据总览：可以查看可以查看全校范围内的数据，主要有今日评价总量、当前学期评价评价总量，本周参与评价教师人数以及跟上周比升降的百分比，本周学生平均被评次数，本周点评此时以及跟上周比升降的百分比，本周学生被评的覆盖率以及跟上周比升降的百分比。</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教师评价量统计：可以查看全校范围内，按照本日、本周、本月、本学期筛选查看已评价教师数和未评价教师数的环形对比图，并且点击未评价教师名单根据筛选条件对应可以查看具体的本日（本周、本月、本学期）的名单，名单中的内容包含序号、姓名、未评价教师所在年级、未评价教师的任教科目，当未评价教师所在年级和任教科目有多个时，可并列显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3.年级评价量统计：可以查看全校范围各个年级的评价量的趋势分析，可以按照本日、本周、本月筛选，当选择本日时显示今天、昨天、前天的各年级评价量的趋势分析图。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4.各指标评价量：以查看全校范围内五育各个维度的评价量，可以按照本日、本周、本月、本学期进行条件筛选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5.学生发卡扫码统计：可以查看全校范围内给学生发卡学生已扫码总数、学校发卡总数和剩余已发卡单但未扫码数。</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年级</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年级组长可以通过数据看板及时查看评价工作开展情况，主要包含以下几个模块:数据总览、教师评价量统计、班级评价量统计、各指标评价量、学生发卡扫码统计</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任课教师、班主任功能（手机端）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工作流管理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进入教师的权限自动创建工作流，例如进入的为某个班主任，提示几条未读消息，看到内容分为消息和公告，在消息中可以看到所有的待办业务包含已读未读的状态和是否处理的状态提醒，可以看到的业务包含学生获奖审核、学生任务提交审核，待审核的业务可以直接进行处理，在公告中可以查看学校管理员发布的通知，根据状态分为已读和未读。</w:t>
            </w:r>
          </w:p>
        </w:tc>
      </w:tr>
      <w:tr>
        <w:tblPrEx>
          <w:tblLayout w:type="fixed"/>
          <w:tblCellMar>
            <w:top w:w="0" w:type="dxa"/>
            <w:left w:w="108" w:type="dxa"/>
            <w:bottom w:w="0" w:type="dxa"/>
            <w:right w:w="108" w:type="dxa"/>
          </w:tblCellMar>
        </w:tblPrEx>
        <w:trPr>
          <w:trHeight w:val="17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过程</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师可以按全班点评，按学生点评，也可以按小组点评，也可以一次选中多位学生进行多人点评。支持记录教师的常用指标，在常用指标池中可以查看自己打过记录的记录，支持对常用指标池的维护，可以增减指标池中的指标。</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lang w:val="en-US" w:eastAsia="zh-CN"/>
              </w:rPr>
              <w:t>寻找</w:t>
            </w:r>
            <w:r>
              <w:rPr>
                <w:rFonts w:hint="eastAsia" w:asciiTheme="minorEastAsia" w:hAnsiTheme="minorEastAsia" w:eastAsiaTheme="minorEastAsia" w:cstheme="minorEastAsia"/>
                <w:sz w:val="24"/>
              </w:rPr>
              <w:t>要点评的学生，首先选择二级标签，接着选择评价性质，有表扬章和待改进，最后点击要评价的标签即可完成日常评价。</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在点评过程中也允许教师根据实际情况自行创建评分项，输入评分项名称、所属指标、所赋分值等信息。</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值周</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值周教师可以通过首页右上角的值周入口进入，可以通过扫码或扫脸的方式快速定位到学生，支持连续扫码或扫脸多位学生，再针对已经定位的学生提交评价信息，提交时是选择评价指标，在最后提交时支持再次修改评价信息。</w:t>
            </w:r>
          </w:p>
        </w:tc>
      </w:tr>
      <w:tr>
        <w:tblPrEx>
          <w:tblLayout w:type="fixed"/>
          <w:tblCellMar>
            <w:top w:w="0" w:type="dxa"/>
            <w:left w:w="108" w:type="dxa"/>
            <w:bottom w:w="0" w:type="dxa"/>
            <w:right w:w="108" w:type="dxa"/>
          </w:tblCellMar>
        </w:tblPrEx>
        <w:trPr>
          <w:trHeight w:val="414"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任务布置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班主任或任课教师可以发布、审核、查看学生需要完成的任务。输入任务标题、任务要求、起始时间、任务频次、适用班级、选择关联指标、选择是否给分、选择是否需要班主任审核、选择是否定时发送、选择是否需要审核等。任务发布之后在家长在手机端提交学生家庭任务的完成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查看任务完成情况统计，可以在任务列表中查看任务已进行的天数、当前人任务完成人数等。</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评语采集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班主任可以通过PC、移动端中的评语功能完成对指定对象的评语编写与提交，评语内容将自动在发展综合报告单、成长记录册中进行呈现。</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测验采集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任课教师可以通过手机端录入在PC端已经开设好的阶段测验或者期末考查的成绩。</w:t>
            </w:r>
          </w:p>
        </w:tc>
      </w:tr>
      <w:tr>
        <w:tblPrEx>
          <w:tblLayout w:type="fixed"/>
          <w:tblCellMar>
            <w:top w:w="0" w:type="dxa"/>
            <w:left w:w="108" w:type="dxa"/>
            <w:bottom w:w="0" w:type="dxa"/>
            <w:right w:w="108" w:type="dxa"/>
          </w:tblCellMar>
        </w:tblPrEx>
        <w:trPr>
          <w:trHeight w:val="21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奖品兑换</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设置奖品：对于设置由教师端设置奖品的，教师可以在手机端编辑，编辑时输入奖品名称和积分，可对奖品列表进行修改和删除。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兑换奖品：可通过关键字搜索学生，可多选学生，学生列表支持九宫格和列表模式切换，显示学生头像和可兑换积分数。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兑换记录：在兑换记录中，可以查询兑换信息包含学生姓名、兑换时间、奖品名称、积分，可按照时间进行筛选，可全选，选中后可导出兑换凭证。</w:t>
            </w:r>
          </w:p>
        </w:tc>
      </w:tr>
      <w:tr>
        <w:tblPrEx>
          <w:tblLayout w:type="fixed"/>
          <w:tblCellMar>
            <w:top w:w="0" w:type="dxa"/>
            <w:left w:w="108" w:type="dxa"/>
            <w:bottom w:w="0" w:type="dxa"/>
            <w:right w:w="108" w:type="dxa"/>
          </w:tblCellMar>
        </w:tblPrEx>
        <w:trPr>
          <w:trHeight w:val="17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班级圈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班主任或任课教师可以在班级圈内发布班级的集体活动照片供家长浏览，支持教师输入活动描述并上传多张图片或视频，例如学生在校的一些日常以及重要活动的视频图片，可以选择活动时间和活动地点进行发布。</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选择所属五育：选择本次发布动态的所属五育，五育名称根据各学校设置的名称自定义显示。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选择可见范围：可选择关联班级或者关联学生，选择关联学生时支持同时选择不同班级的学生。选择关联学生时在学生端的同学圈查看中只有关联的学生可查看。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同时教师也可以查询自己所发布的动态记录。</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班主任或任课教师可以通过数据看板及时查看评价工作开展情况，主要包含以下几个模块:</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数据总览、师评价量统计、学生总分排行、各指标评价量、学生发卡扫码统计</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活力榜</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可以选择全校、年级、班级，按照数据权限查看各个层级的榜单，榜单分为周榜、月榜、学期榜，可以根据学校的指标设置，展示综合指标和五育各个维度下面的学生前三名榜单，榜单列表包含学生头像、学生积分排名、学生姓名、学生所获积分。</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★五育档案袋</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此功能用于班主任查询本班学生整个小学阶段的成长档案袋。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按学期查看档案袋：可以查看当前学期以及之前学期的档案信息，内容包含当前学生提交的任务动态的图片、视频，教师在同学圈发布的该学生所在班级的动态信息，包含视频、图片、活动定位、活动时间等，学生的获奖信息，包含获奖证书、获奖时间和奖励等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按五育查看档案袋：可以分组五育分类，德育、智育、体育、美育、劳育、其他分为六个档案袋，档案袋封面显示有数据的学期信息点亮，点击档案袋进入内容包含当前学生提交的任务动态的图片、视频，教师在同学圈发布的该学生所在班级的动态信息，包含视频、图片、活动定位、活动时间等，学生的获奖信息，包含获奖证书、获奖时间和奖励等级。</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我的个人中心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我的所有点评</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用于展示当前登录用户的所有的点评记录，并且能够对自己的点评记录进行撤销，查询点评记录时可以按照时间维度当日、本周、本月、本学期，也可以按照五育分类进行查询。</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教师评价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用于展示教师的评价总量。点击即可跳转到教师端首页的过程评价概况中的我的所有点评。</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用于展示教师在班级圈中发布动态的总量，教师可以在此模块搜索发布记录，支持编辑、修改、删除。</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教师任务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用于展示教师所下发任务的总量以及任务的明细、每项任务完成的学生人数以及完成情况。</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家校通讯录</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教师所带班级的所有学生的家长联系方式以及家庭住址都在此记录，方便教师联系学生家长。</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意见反馈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用于教师提交系统使用的反馈，系统能够更好的优化升级便于用户使用，反馈的类型包含bug、建议、吐槽、其他，描述问题时可上传图片，可以留下联系方式。</w:t>
            </w:r>
          </w:p>
        </w:tc>
      </w:tr>
      <w:tr>
        <w:tblPrEx>
          <w:tblLayout w:type="fixed"/>
          <w:tblCellMar>
            <w:top w:w="0" w:type="dxa"/>
            <w:left w:w="108" w:type="dxa"/>
            <w:bottom w:w="0" w:type="dxa"/>
            <w:right w:w="108" w:type="dxa"/>
          </w:tblCellMar>
        </w:tblPrEx>
        <w:trPr>
          <w:trHeight w:val="8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学生（家长）功能（手机端）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切换子女</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该功能用于家长有多个子女时，可以切换选择，切换后显示当前子女的所有信息，也可以在此功能中新增绑定子女，绑定信息包含学生账号、学生密码。</w:t>
            </w:r>
          </w:p>
        </w:tc>
      </w:tr>
      <w:tr>
        <w:tblPrEx>
          <w:tblLayout w:type="fixed"/>
          <w:tblCellMar>
            <w:top w:w="0" w:type="dxa"/>
            <w:left w:w="108" w:type="dxa"/>
            <w:bottom w:w="0" w:type="dxa"/>
            <w:right w:w="108" w:type="dxa"/>
          </w:tblCellMar>
        </w:tblPrEx>
        <w:trPr>
          <w:trHeight w:val="401"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成长树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该功能用于实时显示学生所获勋章数量以及具体积分情况。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当教师在移动端进行评价学生时，所选的评价指标的分值会自动以气泡的形式出现在学生移动端的界面，气泡上会显示勋章的数量，气泡下会显示老师所评价的具体的一级指标名称。点击对应气泡即弹出收取页面，将显示该积分具体的收获来源。积分自动累加至成长积分或减少积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勋章与积分的来源主要有教师评价、发卡评价、完成任务、学生获奖等，若学生没有及时收取气泡，系统会自动帮助学生收取。</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成长积分中展现学生所得的累计积分。当学生收取积分气泡或扫描成长积分卡后，此处的数值会自动变化。</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扫码加分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主要用于学生去扫描教师所分发的成长积分卡片上的二维码，当看到扫码成功的提示，那么这张卡片的积分已经成功被系统记录，对应积分即可自动加入成长积分中，一张卡片上的二维码只能被扫码一次，一旦扫码成功则二维码就会失效，无法再重复扫描。</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任务公告</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该功能用于提示学生家长领取教师发布的新任务、完成在线作业、完成打卡任务，点击去查看即可查看具体内容。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点击去完成，可以输入任务完成的具体情况并支持上传图片或视频，支持选择活动时间和活动地点。发表完成后会显示已完成和待审核，老师审核通过后即可获得相应的成长积分。如果没有通过也会被告知原因，可以修改并重新提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支持学生多次提交任务完成情况并支持提交后查看。</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获奖上传</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学生上传获奖详情，包括奖励名称、获奖类型、奖励类型、奖励等级、奖励级别、所属指标、获奖时间、获奖文号以及颁奖单位，支持上传相应证明材料。支持上传时针对证明材料ocr技术进行图文识别，快速上传获奖相关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支持学生家长查看获奖记录以及教师对上传材料的审核状态。</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家长评价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评价：根据学校在指标配置中勾选的需要教师评的指标显示，家长可以一次选择多个指标，选择后可再确认编辑后再提交。</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2.记录查看：可以根据五育分类分别查看自己的评价记录，并且可以撤销记录。</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展示学生过程表扬评价得分和过程改进评价得分以及每周得分折线图，直观展示学生每周的进步情况，便于学生补短板促发展。</w:t>
            </w:r>
          </w:p>
          <w:p>
            <w:pPr>
              <w:widowControl/>
              <w:numPr>
                <w:ilvl w:val="0"/>
                <w:numId w:val="3"/>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学生家长可以在评价看板中查看学生详细的过程评价数据，更加深入全面的了解孩子在学校的学习表现、日常习惯、品德表现等。</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数据查询</w:t>
            </w:r>
            <w:r>
              <w:rPr>
                <w:rFonts w:hint="eastAsia" w:asciiTheme="minorEastAsia" w:hAnsiTheme="minorEastAsia" w:eastAsiaTheme="minorEastAsia" w:cstheme="minorEastAsia"/>
                <w:b/>
                <w:bCs/>
                <w:sz w:val="24"/>
                <w:lang w:val="en-US" w:eastAsia="zh-CN"/>
              </w:rPr>
              <w:t>统计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学生综合评价看板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功能用于家长查看子女过程评价数据的汇总和分析，在数据总览中可以查看学生本学期总获分、本周表扬得分及较上周对比的变化、本周改进得分及较上周对比的变化，学生当前所处班级梯队和年级梯队，以及积分值在班级的排名和在年级的排名。在评价详情中可以看到学期当前学期按照当日、本周、本月、本学期的积分汇总，也支持按照五育维度分别查询，在历史学期可以查看学生在之前学期的积分，也支持照当日、本周、本月、本学期和五育维度分别查询。</w:t>
            </w:r>
          </w:p>
        </w:tc>
      </w:tr>
      <w:tr>
        <w:tblPrEx>
          <w:tblLayout w:type="fixed"/>
          <w:tblCellMar>
            <w:top w:w="0" w:type="dxa"/>
            <w:left w:w="108" w:type="dxa"/>
            <w:bottom w:w="0" w:type="dxa"/>
            <w:right w:w="108" w:type="dxa"/>
          </w:tblCellMar>
        </w:tblPrEx>
        <w:trPr>
          <w:trHeight w:val="3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学生被评价记录</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首页可以查看学生今日被评记录，点击可以查看更多记录，查询被点评记录时可以按照时间维度当日、本周、本月、本学期，也可以按照五育分类进行查询。可以查询总分、表扬得分、改进得分和具体的点评记录，同时支持查看历史学期的被点评记录。</w:t>
            </w:r>
          </w:p>
        </w:tc>
      </w:tr>
      <w:tr>
        <w:tblPrEx>
          <w:tblLayout w:type="fixed"/>
          <w:tblCellMar>
            <w:top w:w="0" w:type="dxa"/>
            <w:left w:w="108" w:type="dxa"/>
            <w:bottom w:w="0" w:type="dxa"/>
            <w:right w:w="108" w:type="dxa"/>
          </w:tblCellMar>
        </w:tblPrEx>
        <w:trPr>
          <w:trHeight w:val="106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学期成长记录册</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支持为每位学生生成每学期的个性化成长报告。</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每学期每位学生都将在这里收获一份专属的成长档案，作为线上线下报告单的拓展与丰富，是学生一整个学期的努力成果的汇总与呈现。</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健康档案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健康档案模块中，学生家长可以直观的查看学生的体重是肥胖、超重、标准、偏瘦还是消瘦，身高是超高、偏高、标准、偏矮、还是矮小，肺活量指数、心率是低、正常还是高，BMI指数、视力详情有裸视、矫正视力和矫正视力度数等具体数据，BMI指数和视力详情。</w:t>
            </w:r>
          </w:p>
        </w:tc>
      </w:tr>
      <w:tr>
        <w:tblPrEx>
          <w:tblLayout w:type="fixed"/>
          <w:tblCellMar>
            <w:top w:w="0" w:type="dxa"/>
            <w:left w:w="108" w:type="dxa"/>
            <w:bottom w:w="0" w:type="dxa"/>
            <w:right w:w="108" w:type="dxa"/>
          </w:tblCellMar>
        </w:tblPrEx>
        <w:trPr>
          <w:trHeight w:val="7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五育雷达图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模块支持展示五育雷达图，将根据过程性数据按照学校设置的方式自动折合成星级，来分析学生在哪方面表现最为突出，获得什么学期称号。点击可以查看某条记录的详细记录，支持展示二级指标和三级指标的积分详情。</w:t>
            </w:r>
          </w:p>
        </w:tc>
      </w:tr>
      <w:tr>
        <w:tblPrEx>
          <w:tblLayout w:type="fixed"/>
          <w:tblCellMar>
            <w:top w:w="0" w:type="dxa"/>
            <w:left w:w="108" w:type="dxa"/>
            <w:bottom w:w="0" w:type="dxa"/>
            <w:right w:w="108" w:type="dxa"/>
          </w:tblCellMar>
        </w:tblPrEx>
        <w:trPr>
          <w:trHeight w:val="109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学业成就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该模块分为学业测评、获奖成就以及班主任的话。学业测评用于展示学生学业课程的成绩，获奖成就用于展示学生获奖的整体情况，班主任的话用于展示班主任对学生的学期寄语。</w:t>
            </w:r>
          </w:p>
        </w:tc>
      </w:tr>
      <w:tr>
        <w:tblPrEx>
          <w:tblLayout w:type="fixed"/>
          <w:tblCellMar>
            <w:top w:w="0" w:type="dxa"/>
            <w:left w:w="108" w:type="dxa"/>
            <w:bottom w:w="0" w:type="dxa"/>
            <w:right w:w="108" w:type="dxa"/>
          </w:tblCellMar>
        </w:tblPrEx>
        <w:trPr>
          <w:trHeight w:val="106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时光信箱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时光信箱会展示学生任务足迹和老师的动态汇总，学生生活的点滴会形成一个时光轴。老师发布任务的总数量和学生完成任务的数量会在页面上端展示。</w:t>
            </w:r>
          </w:p>
        </w:tc>
      </w:tr>
      <w:tr>
        <w:tblPrEx>
          <w:tblLayout w:type="fixed"/>
          <w:tblCellMar>
            <w:top w:w="0" w:type="dxa"/>
            <w:left w:w="108" w:type="dxa"/>
            <w:bottom w:w="0" w:type="dxa"/>
            <w:right w:w="108" w:type="dxa"/>
          </w:tblCellMar>
        </w:tblPrEx>
        <w:trPr>
          <w:trHeight w:val="112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平板端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班级绑定</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在教室现有的硬件设备上支持按照平板端应用，为每个学生生成唯一的口令，支持系统按照班级绑定，班级绑定后其他班级不可再绑，支持解绑操作，支持绑定之后自动同步PC端“任课表”设置的数据</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日常评价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绑定之后，打开应用直接免登进入，支持选择多人，选择学生时可按学号、姓名进行排序，支持展示在教师手机端设置的小组，支持全选和反选，选择指标时，展示常用指标，常用指标同教师手机端，支持指标多选，支持调整指标的分值或等级。</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支持在不同的任课教师可以切换科目</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评价记录</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可查询当前选择任课教师在平板端的评价记录，评价记录显示的字段包含指标名称、被评学生姓名、评价教师、评价积分值和评价时间，并且可按照本日、本周、本学期进行筛选，对评价记录可进行撤销。</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数据驾驶舱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★驾驶舱展示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1.教育局端通过系统首页可进入驾驶舱，局端驾驶舱支持四级下钻，依次从局级、校级、班级、个人画像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2.学校管理员可以通过PC端首页进入驾驶舱，校级驾驶舱支持三级下钻，依次从校级、班级、个人画像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3.班主任可以通过PC端首页进入驾驶舱，班级驾驶舱支持二级下钻，从班级到个人画像</w:t>
            </w:r>
          </w:p>
        </w:tc>
      </w:tr>
      <w:tr>
        <w:tblPrEx>
          <w:tblLayout w:type="fixed"/>
          <w:tblCellMar>
            <w:top w:w="0" w:type="dxa"/>
            <w:left w:w="108" w:type="dxa"/>
            <w:bottom w:w="0" w:type="dxa"/>
            <w:right w:w="108" w:type="dxa"/>
          </w:tblCellMar>
        </w:tblPrEx>
        <w:trPr>
          <w:trHeight w:val="8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★局级驾驶舱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【学校数据实时统计】主要汇聚全县学校数、教师数、学生数、学科数、特色学科数以及指标数据。</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【指标评次分析图】可以按照当日、本周、本月查看全县的五育各个维度的指标被评的次数，可以及时了解学校评价开展在五育维度的均衡情况。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【家长参与度统计】统计全县学生在五育维度家长参与评价的参与情况。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【评价量统计】展示本县在当日、昨日和本周的评价次数，范围包含所有学校。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【地形图】以地图形式标注各校所在区域，光标移动到具体校区时，将展示该校的校名、活跃度、排名等。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【教师评价参与实时统计】可以按照时间周期查看教师评价工作的参与情况。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【体质健康监控】BMI指数分析以柱状图展示本县区学生在严重偏瘦、偏瘦、标准、肥胖等几个方面的实际人数。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【指标权重分布】可以即时了解全县的评次高的热门指标</w:t>
            </w:r>
          </w:p>
        </w:tc>
      </w:tr>
      <w:tr>
        <w:tblPrEx>
          <w:tblLayout w:type="fixed"/>
          <w:tblCellMar>
            <w:top w:w="0" w:type="dxa"/>
            <w:left w:w="108" w:type="dxa"/>
            <w:bottom w:w="0" w:type="dxa"/>
            <w:right w:w="108" w:type="dxa"/>
          </w:tblCellMar>
        </w:tblPrEx>
        <w:trPr>
          <w:trHeight w:val="905"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★校级驾驶舱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【学校数据实时统计】主要汇聚本校的班级数、教师数、学生数、学科数、特色学科数以及指标数据。</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【指标评次分析图】可以按照当日、本周、本月查看学校的五育各个维度的指标被评的次数，可以及时了解学校评价开展在五育维度的均衡情况。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【本月教师发布动态墙】展示当前学校教师发布同学圈的展示学生校内活动的图片。</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【评价量统计】展示本校在当日、昨日和本周的评价次数，可以及时了解学校评价量以及前后的对比情况。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【学期评价班级统计】可以按照时间周期（当日、本周、本月、本学期）查看各个班级的学生总积分的排行以及分别在各个五育维度的积分。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【教师评价参与度实时统计】可以按照年级维度查看近期的评价详细记录。</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【BMI指数分析】以柱状图展示本校学生在严重偏瘦、偏瘦、标准、肥胖等几个方面的实际人数。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【学生发卡扫码统计】展示学生五育的代表图片，展示创建发卡数和学生已扫码数，根据时间维度本周、本月、本学期，按照年级统计各个年级的学生扫码数。</w:t>
            </w:r>
          </w:p>
        </w:tc>
      </w:tr>
      <w:tr>
        <w:tblPrEx>
          <w:tblLayout w:type="fixed"/>
          <w:tblCellMar>
            <w:top w:w="0" w:type="dxa"/>
            <w:left w:w="108" w:type="dxa"/>
            <w:bottom w:w="0" w:type="dxa"/>
            <w:right w:w="108" w:type="dxa"/>
          </w:tblCellMar>
        </w:tblPrEx>
        <w:trPr>
          <w:trHeight w:val="142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★班级端驾驶舱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【数据概览】主要汇聚本班的教师数、学生数、班级总分、昨日评次、昨日评价老师数。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【学业水平分析】针对本班的学业水平录入的数据汇聚，可分课程点击，显示各门课程分项数据的雷达分析图。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【本月教师发布动态墙】】展示当前班级教师发布同学圈的展示学生校内活动的图片。</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【评价量统计】展示本校在当日、昨日和本周的评价次数，可以及时了解学校评价量以及前后的对比情况。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【班级之星】可以按照时间周日查看各个五育维度下学生积分排在第一和第二的学生，并展示各个学生的个性头像。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【本周评价记录】滚动展示本周最新记录，包含序号、学生、评价指标、时间、分值。</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【本周标签热力】展示本周被评频次高的指标名称。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体质健康监控】包含近视防控分析和BMI指数分析，滚动展示本校各班的近视、远视人数，以及对应趋势。以折线图展示本校学生的近视、远视人数。以柱状图展示本校学生在严重偏瘦、偏瘦、标准、肥胖等几个方面的实际人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【班级荣誉榜】展示学生所获奖项名称和级别。用环形图直观展示不同奖项级别的占比，奖项级别分为：国家级、省级、市级和校级。</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★学生画像</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【学生基本信息】展示姓名、学号、班级、生日等基础信息。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【我的荣誉展示】展示学生近期所有的获奖证书。</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【学业水平分析】展示学生在学业水平各个细分维度的积分获取情况。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【日常评价趋势分析】可以按照时间维度查看在五育各个维度学生积分获取的趋势分析。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【健康情况】展示学生身高、体重、BMI以及视力的趋势分析。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【数据采集分析】统计当前学生各个业务所采集到的数据条数。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【最新评价】展示当前学生最近五条评价记录。</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【热度排行】展示当前学生的被评价频次的排行。</w:t>
            </w:r>
          </w:p>
        </w:tc>
      </w:tr>
      <w:tr>
        <w:tblPrEx>
          <w:tblLayout w:type="fixed"/>
          <w:tblCellMar>
            <w:top w:w="0" w:type="dxa"/>
            <w:left w:w="108" w:type="dxa"/>
            <w:bottom w:w="0" w:type="dxa"/>
            <w:right w:w="108" w:type="dxa"/>
          </w:tblCellMar>
        </w:tblPrEx>
        <w:trPr>
          <w:trHeight w:val="90" w:hRule="atLeast"/>
        </w:trPr>
        <w:tc>
          <w:tcPr>
            <w:tcW w:w="7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sz w:val="24"/>
                <w:highlight w:val="none"/>
              </w:rPr>
              <w:t>综合素质评价系统</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初中</w:t>
            </w:r>
            <w:r>
              <w:rPr>
                <w:rFonts w:hint="eastAsia" w:asciiTheme="minorEastAsia" w:hAnsiTheme="minorEastAsia" w:eastAsiaTheme="minorEastAsia" w:cstheme="minorEastAsia"/>
                <w:b/>
                <w:bCs/>
                <w:color w:val="auto"/>
                <w:sz w:val="24"/>
                <w:highlight w:val="none"/>
                <w:lang w:eastAsia="zh-CN"/>
              </w:rPr>
              <w:t>）</w:t>
            </w: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学期评价设置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项目设置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按入学年份为下级设定评价项目，操作方式有新增、编辑、删除，设置内容包括项目编号、项目名称、项目描述等。</w:t>
            </w:r>
          </w:p>
        </w:tc>
      </w:tr>
      <w:tr>
        <w:tblPrEx>
          <w:tblLayout w:type="fixed"/>
          <w:tblCellMar>
            <w:top w:w="0" w:type="dxa"/>
            <w:left w:w="108" w:type="dxa"/>
            <w:bottom w:w="0" w:type="dxa"/>
            <w:right w:w="108" w:type="dxa"/>
          </w:tblCellMar>
        </w:tblPrEx>
        <w:trPr>
          <w:trHeight w:val="90" w:hRule="atLeast"/>
        </w:trPr>
        <w:tc>
          <w:tcPr>
            <w:tcW w:w="748" w:type="dxa"/>
            <w:vMerge w:val="restart"/>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restart"/>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分类指标设置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主要设置项目如下：（每个项目下提供若干模式，择一选用）</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（1）分类指标模式：用于控制学校是否可自行进行评价项目分类设置。分为学校自行设置（功能暂未开放）和统一设置两种模式，其中统一设置后的值将自动应用到下属的各个学校。</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（2）学生互评占比模式：用于控制学校在设置【学期评价方案】中的“分类指标权重设置”时学生的互评是否必须大于50%。分为两种模式，学生互评占比大于等于50%，或学生互评占比不限制。</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（3）学生分组模式：学生分组用于学生自互评。分组模式分为自动分配、手动添加或自动分配+手动添加</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（4）获奖加分模式：用于控制学生获奖加分分值由谁设置，分为两种模式，本级设置或下级设置，选择本级设置需输入各种获奖类型下的加分数值，下属学校均依此标准。</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学期等第生成模式：在各个项目及分类指标右侧均设置是否生成等第选项框，若勾选上，则学校生成等第时，等第结果将具体到各个项目，可以自定义生成等第的项目，可以是一级指标、二级指标或三级指标。</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（6）体质健康设置：设置身高、体重、视力、色觉等项目是否展示在学校录入的地方。</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系统设置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★教育局</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1.学期评价设置，教育局管理员设置项目，主要内容如下：</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时间设置：教育局可按业务类型（综合素质录入、成绩录入、获奖情况）、学年学期、年级、下级机构单位，针对性设置业务的起始时间，也可以一次性选择若干条件进行批量设置，学校需在设置时间范围内进行相关操作。</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综合素质比例设置：用于教育局设置学校各年级A和C等人数比例。可使用批量设置，选定项目类型、学年学期和年级，在此前置条件下，输入AC比例应用于下属所有学校。允许单独调整具体学校的AC比例数，总体不得超出上级设定范围。</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2.常规设置：用于教育局设置直接认定是否受比例控制，和设置直接认定是否需要审核。</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3.获奖加分设置：用于教育局设置学校获奖加分的具体数值，加分项包括省级及以上、地市教育局级、县（市、区）教育局级、学校级。</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学校时间设置：学校管理员可按业务类型（综合素质录入、成绩录入、获奖情况）、学年学期、年级，针对性设置业务的起始时间，也可以一次性选择若干条件进行批量设置，各年级需在设置时间范围内进行相关操作。</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★学校管理员</w:t>
            </w:r>
            <w:r>
              <w:rPr>
                <w:rFonts w:hint="eastAsia" w:asciiTheme="minorEastAsia" w:hAnsiTheme="minorEastAsia" w:eastAsiaTheme="minorEastAsia" w:cstheme="minorEastAsia"/>
                <w:b/>
                <w:bCs/>
                <w:color w:val="auto"/>
                <w:sz w:val="24"/>
                <w:highlight w:val="none"/>
                <w:lang w:val="en-US" w:eastAsia="zh-CN"/>
              </w:rPr>
              <w:t>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1.学校学期评价设置，学校评价管理员需在学期评价任务展开之前完成此基础设置，内容如下：</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"（1）设置分类指标：一般情况下，上级已设置完成部分或全部项目指标，在特定情况下，学校可以新增项目指标，调整项目比例</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可以自行填写评价要求与内容；若已有指标和指标比例（上级统一设置应用到各个学校），项目比例未满100%的可自行再增设指标和比例，项目的总比例不能超100%。"</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设置项目比例：可以选择按年级或者按班级设置，各个项目的A和C等的比例，需符合上级标准。若每个班级的AC比例相同可直接“按年级”设置，若班级之间的比例有差别需使用“按班级”模式，可使用批量设置进行统一设置，再针对性按班级修改。</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（3）设置分类指标权重：包括民主评议细则、民主评议和测试评定百分比，若设置了测试评定有占比，则必须选择“关联班级课程”关联某一门课程，这门课程的得分将会用于等第的测算。</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（4）设置重分条件：当出现同分学生时，需按权重高低依次检测项目明细得分，排出学生前后名次。在对应的权重级别右侧选择对应的项目名字，权重由上至下逐渐减弱。</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价小组设置：除评价管理员外，班主任也可自行设置。按照班级和具体项目明细设置对应的评价教师和学生小组，学生小组不得少于两人，设置的评价教师将完成此项目下所有小组成员的教师评。完成一项评价小组设置后，支持使用复制将分组结果复制到其他项目。录入前允许调整小组成员和评价教师。</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课程管理：用于管理本校课程库，其中课程代码A开头的课程为省级课程，学校无法编辑删除。学校若有其他个性化课程，可进行新增，填写课程名称与适用年级，保存后即生效，学校在新建班级课程时，可选到该课程选项。学校自建课程允许修改或删除。</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班级课程设置：用于学校管理员增设各班级的学业课程，设置内容包含课程名称、任课教师及计分方式，支持批量导入课程，也可使用复制功能将课程复制到同年级其他班级，在课程成绩录入之前允许删除和修改课程信息。同时功能内链接课程管理，在省内A类课程外，增加B类个性化科目。若一门课程成绩由若干分项组成，可在课程右侧新增分项，补充分项名称、评价方式和所占比例，选中条件，即可在同年级其他班级相同课程下建立此分项。</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学生申诉、质疑处理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学生申诉、质疑处理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处理学生申请的申诉和质疑，可以查询所有处理的数据。</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审核管理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直接认定审核</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教育局管理员审核学校提交的学生综合素质评价直接认定申请。审核内容展示对应学生姓名、证件编号、班级、学校、修改内容、修改人、修改时间、审核状态与证明材料，支持筛选查询，教育局选择通过、不通过进行单个或批量审核。</w:t>
            </w:r>
          </w:p>
        </w:tc>
      </w:tr>
      <w:tr>
        <w:tblPrEx>
          <w:tblLayout w:type="fixed"/>
          <w:tblCellMar>
            <w:top w:w="0" w:type="dxa"/>
            <w:left w:w="108" w:type="dxa"/>
            <w:bottom w:w="0" w:type="dxa"/>
            <w:right w:w="108" w:type="dxa"/>
          </w:tblCellMar>
        </w:tblPrEx>
        <w:trPr>
          <w:trHeight w:val="1296"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增减学生审核</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用于县区管理员审核学校提交的学生新增与学生减少申请。审核列表显示学生姓名、证件编号、班级、学校以及新增或减少的原因等，支持筛选查询，教育局选择通过、不通过进行单个或批量审核。</w:t>
            </w:r>
          </w:p>
          <w:p>
            <w:pPr>
              <w:widowControl/>
              <w:spacing w:line="400" w:lineRule="exact"/>
              <w:rPr>
                <w:rFonts w:hint="eastAsia" w:asciiTheme="minorEastAsia" w:hAnsiTheme="minorEastAsia" w:eastAsiaTheme="minorEastAsia" w:cstheme="minorEastAsia"/>
                <w:color w:val="auto"/>
                <w:sz w:val="24"/>
                <w:highlight w:val="none"/>
              </w:rPr>
            </w:pP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直接认定</w:t>
            </w:r>
          </w:p>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直接认定</w:t>
            </w:r>
          </w:p>
          <w:p>
            <w:pPr>
              <w:widowControl/>
              <w:spacing w:line="400" w:lineRule="exact"/>
              <w:rPr>
                <w:rFonts w:hint="eastAsia" w:asciiTheme="minorEastAsia" w:hAnsiTheme="minorEastAsia" w:eastAsiaTheme="minorEastAsia" w:cstheme="minorEastAsia"/>
                <w:b/>
                <w:bCs/>
                <w:color w:val="auto"/>
                <w:sz w:val="24"/>
                <w:highlight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学校可以对于直接认定学生各个项目的等第，或者对已有的等第做修改。</w:t>
            </w:r>
          </w:p>
        </w:tc>
      </w:tr>
      <w:tr>
        <w:tblPrEx>
          <w:tblLayout w:type="fixed"/>
          <w:tblCellMar>
            <w:top w:w="0" w:type="dxa"/>
            <w:left w:w="108" w:type="dxa"/>
            <w:bottom w:w="0" w:type="dxa"/>
            <w:right w:w="108" w:type="dxa"/>
          </w:tblCellMar>
        </w:tblPrEx>
        <w:trPr>
          <w:trHeight w:val="90" w:hRule="atLeast"/>
        </w:trPr>
        <w:tc>
          <w:tcPr>
            <w:tcW w:w="748" w:type="dxa"/>
            <w:vMerge w:val="restart"/>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r>
              <w:rPr>
                <w:rFonts w:hint="eastAsia"/>
                <w:color w:val="auto"/>
                <w:highlight w:val="none"/>
              </w:rPr>
              <w:t>★</w:t>
            </w:r>
            <w:r>
              <w:rPr>
                <w:rFonts w:hint="eastAsia" w:asciiTheme="minorEastAsia" w:hAnsiTheme="minorEastAsia" w:eastAsiaTheme="minorEastAsia" w:cstheme="minorEastAsia"/>
                <w:b/>
                <w:bCs/>
                <w:color w:val="auto"/>
                <w:sz w:val="24"/>
                <w:highlight w:val="none"/>
              </w:rPr>
              <w:t>综合素质上报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教育局学期评价生成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教育局查看下级机构各学期评价等第的上报情况，可切换学年学期和年级进行筛选查看，上报记录中展示上报机构、上报人、上报时间、上报状态等，在下级机构全部上报后，查看无误可进行本级上报。在本级上报前，允许退回下级上报。</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学校学期评价生成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用于学校管理员在评价录入完成后，进行如下操作：</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（1）生成学期等第：若评价比例为年级模式，可按年级生成学期等第；若为班级模式，则按班级生成学期等第，等第生成后可导出结果查看，等第在未上报并且不在公示期内允许撤销，撤销之后可重新生成。</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（2）公示发布：在学期等第已生成的前提下，可以进行等第公示，确定公示的年级并设置学生提出质疑时间范围和公示时学生可见范围，后直接公示到学生端。</w:t>
            </w:r>
          </w:p>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（3）学期上报：如果学期等第已生成并确认无误，不需公示或公示已结束，即可进行上报，一旦上报无法撤销请谨慎操作。</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统计</w:t>
            </w:r>
            <w:r>
              <w:rPr>
                <w:rFonts w:hint="eastAsia" w:asciiTheme="minorEastAsia" w:hAnsiTheme="minorEastAsia" w:eastAsiaTheme="minorEastAsia" w:cstheme="minorEastAsia"/>
                <w:b/>
                <w:bCs/>
                <w:color w:val="auto"/>
                <w:sz w:val="24"/>
                <w:highlight w:val="none"/>
                <w:lang w:val="en-US" w:eastAsia="zh-CN"/>
              </w:rPr>
              <w:t>模块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综合素质录入进度统计：用于查询各年级综合素质录入进度。页面显示各评价项目未录入数量，数字“0”代表已完成。支持导出进度表查看年级或班级下未录入详情。</w:t>
            </w:r>
          </w:p>
          <w:p>
            <w:pPr>
              <w:widowControl/>
              <w:numPr>
                <w:ilvl w:val="0"/>
                <w:numId w:val="4"/>
              </w:num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县区、地市可以查询各个学校学生的申诉、质疑的统计数据，也可以查看处理的详细情况，也可以干预处理。</w:t>
            </w:r>
          </w:p>
        </w:tc>
      </w:tr>
      <w:tr>
        <w:tblPrEx>
          <w:tblLayout w:type="fixed"/>
          <w:tblCellMar>
            <w:top w:w="0" w:type="dxa"/>
            <w:left w:w="108" w:type="dxa"/>
            <w:bottom w:w="0" w:type="dxa"/>
            <w:right w:w="108" w:type="dxa"/>
          </w:tblCellMar>
        </w:tblPrEx>
        <w:trPr>
          <w:trHeight w:val="1419"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restart"/>
            <w:tcBorders>
              <w:top w:val="single" w:color="000000" w:sz="4" w:space="0"/>
              <w:left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学生</w:t>
            </w:r>
            <w:r>
              <w:rPr>
                <w:rFonts w:hint="eastAsia" w:asciiTheme="minorEastAsia" w:hAnsiTheme="minorEastAsia" w:eastAsiaTheme="minorEastAsia" w:cstheme="minorEastAsia"/>
                <w:b/>
                <w:bCs/>
                <w:color w:val="auto"/>
                <w:sz w:val="24"/>
                <w:highlight w:val="none"/>
                <w:lang w:val="en-US" w:eastAsia="zh-CN"/>
              </w:rPr>
              <w:t>家长端</w:t>
            </w:r>
          </w:p>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★综合</w:t>
            </w:r>
            <w:r>
              <w:rPr>
                <w:rFonts w:hint="eastAsia" w:asciiTheme="minorEastAsia" w:hAnsiTheme="minorEastAsia" w:eastAsiaTheme="minorEastAsia" w:cstheme="minorEastAsia"/>
                <w:b/>
                <w:bCs/>
                <w:color w:val="auto"/>
                <w:sz w:val="24"/>
                <w:highlight w:val="none"/>
                <w:lang w:val="en-US" w:eastAsia="zh-CN"/>
              </w:rPr>
              <w:t>素质</w:t>
            </w:r>
            <w:r>
              <w:rPr>
                <w:rFonts w:hint="eastAsia" w:asciiTheme="minorEastAsia" w:hAnsiTheme="minorEastAsia" w:eastAsiaTheme="minorEastAsia" w:cstheme="minorEastAsia"/>
                <w:b/>
                <w:bCs/>
                <w:color w:val="auto"/>
                <w:sz w:val="24"/>
                <w:highlight w:val="none"/>
              </w:rPr>
              <w:t>（学生）</w:t>
            </w:r>
          </w:p>
          <w:p>
            <w:pPr>
              <w:widowControl/>
              <w:spacing w:line="400" w:lineRule="exact"/>
              <w:rPr>
                <w:rFonts w:hint="eastAsia" w:asciiTheme="minorEastAsia" w:hAnsiTheme="minorEastAsia" w:eastAsiaTheme="minorEastAsia" w:cstheme="minorEastAsia"/>
                <w:b/>
                <w:bCs/>
                <w:color w:val="auto"/>
                <w:sz w:val="24"/>
                <w:highlight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用于学生录入自评与同小组其他学生的互评成绩。支持批量打分。同时支持PC端和手机端</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等第公示（家长）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用于家长查看等第公示内容，按管理员设置可查看本人、全班级或全年级学生的学期等第。若对结果存疑，可提出质疑提交至学校。</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学期评价（家长）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用于家长查看学生不同学期，对应的评价等第结果、学业成绩获分、该学期获奖情况以该学期的品德表现写实描述。</w:t>
            </w:r>
          </w:p>
        </w:tc>
      </w:tr>
      <w:tr>
        <w:tblPrEx>
          <w:tblLayout w:type="fixed"/>
          <w:tblCellMar>
            <w:top w:w="0" w:type="dxa"/>
            <w:left w:w="108" w:type="dxa"/>
            <w:bottom w:w="0" w:type="dxa"/>
            <w:right w:w="108" w:type="dxa"/>
          </w:tblCellMar>
        </w:tblPrEx>
        <w:trPr>
          <w:trHeight w:val="90" w:hRule="atLeast"/>
        </w:trPr>
        <w:tc>
          <w:tcPr>
            <w:tcW w:w="74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highlight w:val="none"/>
              </w:rPr>
            </w:pPr>
          </w:p>
        </w:tc>
        <w:tc>
          <w:tcPr>
            <w:tcW w:w="95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终评（家长）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页面首先展示毕业生的姓名、出生年月、学籍号、毕业学校、家庭地址、联系电话等个人基本信息。下滑查看学生各个评价项目的终评等第、学业水平考试成绩、获奖情况记录以及毕业写实描述。</w:t>
            </w:r>
          </w:p>
        </w:tc>
      </w:tr>
      <w:tr>
        <w:tblPrEx>
          <w:tblLayout w:type="fixed"/>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人事管理系统</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 用户与权限管理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hint="default" w:asciiTheme="minorEastAsia" w:hAnsiTheme="minorEastAsia" w:eastAsiaTheme="minorEastAsia" w:cstheme="minorEastAsia"/>
                <w:b/>
                <w:bCs/>
                <w:color w:val="auto"/>
                <w:sz w:val="24"/>
                <w:lang w:val="en-US"/>
              </w:rPr>
            </w:pPr>
            <w:r>
              <w:rPr>
                <w:rFonts w:hint="eastAsia" w:asciiTheme="minorEastAsia" w:hAnsiTheme="minorEastAsia" w:eastAsiaTheme="minorEastAsia" w:cstheme="minorEastAsia"/>
                <w:b/>
                <w:bCs/>
                <w:color w:val="auto"/>
                <w:sz w:val="24"/>
                <w:lang w:val="en-US" w:eastAsia="zh-CN"/>
              </w:rPr>
              <w:t>用户认证</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用户通过统一信息门户实现登录，提高信息化管理系统应用系统的安全性。通过指定相应的集中认证技术规范，提供统一的应用系统用户管理接口，最终实现所有新建系统用户认证的集中统一管理。</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提供用户身份认证/注销和用户信息管理等接口。接口规范定义严格的加密技术，确保通信的机密性，完整性和唯一性。</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角色管理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角色管理：最高管理员权限可设置不同角色，如普通教师、学校管理员、区县教育局管理的系统功能权限和数据权限。</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添加角色：管理员可以为每个机构设置不同角色，先选择机构在添加角色，角色信息包括角色名称、级别，级别有区县级、校级、教师等。</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可以编辑、删除、修改角色。</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设置默认角色：设置默认角色，下次登录系统时，默认是该角色。</w:t>
            </w:r>
          </w:p>
        </w:tc>
      </w:tr>
      <w:tr>
        <w:tblPrEx>
          <w:tblLayout w:type="fixed"/>
          <w:tblCellMar>
            <w:top w:w="0" w:type="dxa"/>
            <w:left w:w="108" w:type="dxa"/>
            <w:bottom w:w="0" w:type="dxa"/>
            <w:right w:w="108" w:type="dxa"/>
          </w:tblCellMar>
        </w:tblPrEx>
        <w:trPr>
          <w:trHeight w:val="3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权限管理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权限管理：权限管理，可以按照原子颗粒，对每个页面，每个功能按钮进行权限控制。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页面权限：选择某个角色，点击权限设置按钮，在右侧页面设置列表中，可以勾选页面权限、按钮权限，最后点击保存即可。用该角色用户登录系统后，可以看到已勾选的页面和按钮。</w:t>
            </w:r>
          </w:p>
        </w:tc>
      </w:tr>
      <w:tr>
        <w:tblPrEx>
          <w:tblLayout w:type="fixed"/>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单位信息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查看已有机构的详细信息，也支持自主新增教育局和下属管理学校。可对区县管理学校进行按照学段分类为幼儿园、小学、初中、高中以及其他学段。</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部门架构管理：可直接查看已添加机构或学校，并对机构或学校添加相关架构人员，支持对添加的机构人员信息进行修改和编辑。可新增部门，新增部门，部门信息包括部门名称、负责人、联系电话等关键信息。可修改部门信息或删除部门。</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新增学校：可以新增下属学校，学校信息包括机构名称、机构编码、办学类型等关键信息，新增学校会根据选择的办学类型自动分类，可修改学校信息或删除学校。</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干部管理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干部队伍管理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可查看已添加干部职务信息，支持单项新增和批量导入。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新增干部：可单个添加干部，干部信息包括姓名、行政职务等关键信息。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批量导入：批量导入功能支持管理员批量添加干部，点击导入按钮，可以先下载导入模板，导入成功后，列表中自动显示导入成功的数据。</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骨干教师管理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可查看已添加骨干职务信息，支持单项新增和批量导入。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新增骨干：可单个添加骨干教师，骨干信息包括姓名、职称等关键信息。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批量导入：批量导入功能支持管理员批量添加干部，点击导入按钮，可以先下载导入模板，导入成功后，列表中自动显示导入成功的数据。</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★教师信息管理与维护</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师、学校管理员、区县管理员均可通过个人账号进行信息自主维护、更新，其中每个角色可维护字段可以在设置页面灵活配置；点击详情可查看教师个人的基本信息、特长兼职、学习培训、教学成果、奖惩信息、职称评审相关具体信息。</w:t>
            </w:r>
          </w:p>
        </w:tc>
      </w:tr>
      <w:tr>
        <w:tblPrEx>
          <w:tblLayout w:type="fixed"/>
          <w:tblCellMar>
            <w:top w:w="0" w:type="dxa"/>
            <w:left w:w="108" w:type="dxa"/>
            <w:bottom w:w="0" w:type="dxa"/>
            <w:right w:w="108" w:type="dxa"/>
          </w:tblCellMar>
        </w:tblPrEx>
        <w:trPr>
          <w:trHeight w:val="337"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★基本信息管理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师信息列表中，根据每个用户角色级别，查看教师信息范围不同，区县管理员可以查看所有教师信息，学校管理员可以查看本学校的教师，教师只可以查看本人的信息。点击查看按钮，默认显示教师基本信息页，可切换页签，查看数据。</w:t>
            </w:r>
          </w:p>
        </w:tc>
      </w:tr>
      <w:tr>
        <w:tblPrEx>
          <w:tblLayout w:type="fixed"/>
          <w:tblCellMar>
            <w:top w:w="0" w:type="dxa"/>
            <w:left w:w="108" w:type="dxa"/>
            <w:bottom w:w="0" w:type="dxa"/>
            <w:right w:w="108" w:type="dxa"/>
          </w:tblCellMar>
        </w:tblPrEx>
        <w:trPr>
          <w:trHeight w:val="17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自定义信息管理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对于全国教师信息系统没有的字段及长兴县需要统计的教师信息，在自定义信息管理里，可以进行修改。例如骨干教师学科、艺术教师类别、骨干教师类别、中高级岗位等。.</w:t>
            </w:r>
          </w:p>
        </w:tc>
      </w:tr>
      <w:tr>
        <w:tblPrEx>
          <w:tblLayout w:type="fixed"/>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普通信息修改设置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员可以为学校管理员、教师角色设置修改基本信息的权限，先选择角色，再勾选可以修改的信息保存之后，该角色在修改教师信息页面只能修改已勾选的信息。可以通过区县管理员、学校管理员，进行基本信息的全字段的配置。</w:t>
            </w:r>
          </w:p>
        </w:tc>
      </w:tr>
      <w:tr>
        <w:tblPrEx>
          <w:tblLayout w:type="fixed"/>
          <w:tblCellMar>
            <w:top w:w="0" w:type="dxa"/>
            <w:left w:w="108" w:type="dxa"/>
            <w:bottom w:w="0" w:type="dxa"/>
            <w:right w:w="108" w:type="dxa"/>
          </w:tblCellMar>
        </w:tblPrEx>
        <w:trPr>
          <w:trHeight w:val="10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重要信息修改审批</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对于重要信息，例如需要审核的如证件号码、性别、民族等字段，可以采用申请、审核的方式修改基本信息。</w:t>
            </w:r>
          </w:p>
        </w:tc>
      </w:tr>
      <w:tr>
        <w:tblPrEx>
          <w:tblLayout w:type="fixed"/>
          <w:tblCellMar>
            <w:top w:w="0" w:type="dxa"/>
            <w:left w:w="108" w:type="dxa"/>
            <w:bottom w:w="0" w:type="dxa"/>
            <w:right w:w="108" w:type="dxa"/>
          </w:tblCellMar>
        </w:tblPrEx>
        <w:trPr>
          <w:trHeight w:val="14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教师变动管理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★变动</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申请</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变动申请类型包括人事交流、调动、退休、离职、离岗、返岗，由教师发起的变动申请，需要学校管理员、教育局管理员依次审核，审核通过时才可以进入下一节点，审核操作有审核通过、审核不通过、审核退回；由学校管理员发起的变动申请，学校管理员默认审核通过，提交到教育局管理员审核，审核操作有审核通过、审核不通过。</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变动</w:t>
            </w:r>
          </w:p>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审核</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管理员审核：学校管理员可以对本学校教师提交的变动记录进行审核，审核操作有通过、不通过、退回，审核通过的，变动记录转到教育局管理员进行审核，审核退回的，转回至申请教师，教师可以重新修改后再次提交。</w:t>
            </w:r>
          </w:p>
        </w:tc>
      </w:tr>
      <w:tr>
        <w:tblPrEx>
          <w:tblLayout w:type="fixed"/>
          <w:tblCellMar>
            <w:top w:w="0" w:type="dxa"/>
            <w:left w:w="108" w:type="dxa"/>
            <w:bottom w:w="0" w:type="dxa"/>
            <w:right w:w="108" w:type="dxa"/>
          </w:tblCellMar>
        </w:tblPrEx>
        <w:trPr>
          <w:trHeight w:val="3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教师成长管理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教师信息档案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记录教职工的工作经历：包括教育、工作、培训等方面的经历。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记录教职工的获奖情况：包括各类表扬、奖励等方面的情况。</w:t>
            </w:r>
          </w:p>
        </w:tc>
      </w:tr>
      <w:tr>
        <w:tblPrEx>
          <w:tblLayout w:type="fixed"/>
          <w:tblCellMar>
            <w:top w:w="0" w:type="dxa"/>
            <w:left w:w="108" w:type="dxa"/>
            <w:bottom w:w="0" w:type="dxa"/>
            <w:right w:w="108" w:type="dxa"/>
          </w:tblCellMar>
        </w:tblPrEx>
        <w:trPr>
          <w:trHeight w:val="14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教师成长档案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源数据汇聚，生成区域教师成长档案，包含教师基本信息，教学信息，获奖信息，成长信息等多类信息，并进行数据的归集。提供多样化的查询服务，为学校管理、人事决策以及教职工自身的管理和发展提供方便和支持。</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工资管理系统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基础信息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（1）教师信息管理：维护教师的基本信息，如姓名、部门、职位等。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（2）考勤信息管理：考勤是工资的发放考核内容之一，更是核算标准之一。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工资信息管理：对基本工资信息表、教龄工资信息表、职位职级工资表、奖金表、扣款表 、进行管理 ，进行增加、修改及删除的操作 。</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工资管理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none"/>
              </w:rPr>
              <w:t>（1）工资管理：根据规定，设置工资计算</w:t>
            </w:r>
            <w:r>
              <w:rPr>
                <w:rFonts w:hint="eastAsia" w:asciiTheme="minorEastAsia" w:hAnsiTheme="minorEastAsia" w:eastAsiaTheme="minorEastAsia" w:cstheme="minorEastAsia"/>
                <w:sz w:val="24"/>
                <w:highlight w:val="none"/>
                <w:lang w:val="en-US" w:eastAsia="zh-CN"/>
              </w:rPr>
              <w:t>规则</w:t>
            </w:r>
            <w:r>
              <w:rPr>
                <w:rFonts w:hint="eastAsia" w:asciiTheme="minorEastAsia" w:hAnsiTheme="minorEastAsia" w:eastAsiaTheme="minorEastAsia" w:cstheme="minorEastAsia"/>
                <w:sz w:val="24"/>
                <w:highlight w:val="none"/>
              </w:rPr>
              <w:t>，如基本工资、工龄工资、绩效工资、津贴、考勤、个人所得税等进行管理。</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（2）工资结算：对个人工资自动生成并结算，形成工资条。</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（3）工资报表生成：根据设定的工资</w:t>
            </w:r>
            <w:r>
              <w:rPr>
                <w:rFonts w:hint="eastAsia" w:asciiTheme="minorEastAsia" w:hAnsiTheme="minorEastAsia" w:eastAsiaTheme="minorEastAsia" w:cstheme="minorEastAsia"/>
                <w:sz w:val="24"/>
                <w:highlight w:val="none"/>
                <w:lang w:val="en-US" w:eastAsia="zh-CN"/>
              </w:rPr>
              <w:t>标准</w:t>
            </w:r>
            <w:r>
              <w:rPr>
                <w:rFonts w:hint="eastAsia" w:asciiTheme="minorEastAsia" w:hAnsiTheme="minorEastAsia" w:eastAsiaTheme="minorEastAsia" w:cstheme="minorEastAsia"/>
                <w:sz w:val="24"/>
                <w:highlight w:val="none"/>
              </w:rPr>
              <w:t>，自动生成工资报表，包括个人工资报表和单位工资报表。</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（4）数据报表导出：可以将工资报表导出为Excel或其他格式，方便进一步的数据处理和分析。</w:t>
            </w:r>
          </w:p>
        </w:tc>
      </w:tr>
      <w:tr>
        <w:tblPrEx>
          <w:tblLayout w:type="fixed"/>
          <w:tblCellMar>
            <w:top w:w="0" w:type="dxa"/>
            <w:left w:w="108" w:type="dxa"/>
            <w:bottom w:w="0" w:type="dxa"/>
            <w:right w:w="108" w:type="dxa"/>
          </w:tblCellMar>
        </w:tblPrEx>
        <w:trPr>
          <w:trHeight w:val="7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发放管理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none"/>
              </w:rPr>
              <w:t>（1）工资发放管理：记录工资的发放时间和金额，系统可以自动发送提醒通知，避免遗漏。</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（2）数据分析统计：对工资数据进行统计和分析，为人力资源管理和决策提供数据支持。</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（3）安全性控制：提供严格的数据安全控制机制，确保工资数据的保密性。</w:t>
            </w:r>
          </w:p>
        </w:tc>
      </w:tr>
      <w:tr>
        <w:tblPrEx>
          <w:tblLayout w:type="fixed"/>
          <w:tblCellMar>
            <w:top w:w="0" w:type="dxa"/>
            <w:left w:w="108" w:type="dxa"/>
            <w:bottom w:w="0" w:type="dxa"/>
            <w:right w:w="108" w:type="dxa"/>
          </w:tblCellMar>
        </w:tblPrEx>
        <w:trPr>
          <w:trHeight w:val="106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数据统计与分析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数据看板展示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教职工数、专任教师数、年龄分布、职称分布、生师比、学历分布、学科分布、中高级职称等。</w:t>
            </w:r>
          </w:p>
        </w:tc>
      </w:tr>
      <w:tr>
        <w:tblPrEx>
          <w:tblLayout w:type="fixed"/>
          <w:tblCellMar>
            <w:top w:w="0" w:type="dxa"/>
            <w:left w:w="108" w:type="dxa"/>
            <w:bottom w:w="0" w:type="dxa"/>
            <w:right w:w="108" w:type="dxa"/>
          </w:tblCellMar>
        </w:tblPrEx>
        <w:trPr>
          <w:trHeight w:val="40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统计分析</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师最高学历层次分布情况、学科教师分布情况（含融合型教共体）、学校编制情况统计、骨干教师数占专任教师比例、骨干教师所占比例学校排名、中高级职称占比、中高级教师所占比例学校排名、教师年龄结构、退休教师所占比例排名、拓展课程班级数、领导干部年龄结构、各党派占比、现代化监测数据统计（每百名学生拥有的艺术教师数、骨干教师数、学历要求、中高岗位比例等）；教师岗位需求等。</w:t>
            </w:r>
          </w:p>
        </w:tc>
      </w:tr>
      <w:tr>
        <w:tblPrEx>
          <w:tblLayout w:type="fixed"/>
          <w:tblCellMar>
            <w:top w:w="0" w:type="dxa"/>
            <w:left w:w="108" w:type="dxa"/>
            <w:bottom w:w="0" w:type="dxa"/>
            <w:right w:w="108" w:type="dxa"/>
          </w:tblCellMar>
        </w:tblPrEx>
        <w:trPr>
          <w:trHeight w:val="72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心理预警干预系统</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局端心理管理平台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局端心理管理平台</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局端心理管理平台提供区域级统一督导管理服务，主要保证基础信息的统一管理、构建统一的账号体系、构建局端心理预警干预标准体系，同时提供系统安全保证的审计、日志、角色权限的基础功能。</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基础信息对接</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学生信息对接。学生信息完成和学籍网的信息</w:t>
            </w:r>
            <w:r>
              <w:rPr>
                <w:rFonts w:hint="eastAsia" w:asciiTheme="minorEastAsia" w:hAnsiTheme="minorEastAsia" w:eastAsiaTheme="minorEastAsia" w:cstheme="minorEastAsia"/>
                <w:sz w:val="24"/>
                <w:lang w:val="en-US" w:eastAsia="zh-CN"/>
              </w:rPr>
              <w:t>交互</w:t>
            </w:r>
            <w:r>
              <w:rPr>
                <w:rFonts w:hint="eastAsia" w:asciiTheme="minorEastAsia" w:hAnsiTheme="minorEastAsia" w:eastAsiaTheme="minorEastAsia" w:cstheme="minorEastAsia"/>
                <w:sz w:val="24"/>
              </w:rPr>
              <w:t>：内容包括：姓名、性别、年级、班级、学校、学籍号、监护人姓名、手机号。</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提供基于标准模板的导入</w:t>
            </w:r>
            <w:r>
              <w:rPr>
                <w:rFonts w:hint="eastAsia" w:asciiTheme="minorEastAsia" w:hAnsiTheme="minorEastAsia" w:eastAsiaTheme="minorEastAsia" w:cstheme="minorEastAsia"/>
                <w:sz w:val="24"/>
                <w:lang w:val="en-US" w:eastAsia="zh-CN"/>
              </w:rPr>
              <w:t>等</w:t>
            </w:r>
            <w:r>
              <w:rPr>
                <w:rFonts w:hint="eastAsia" w:asciiTheme="minorEastAsia" w:hAnsiTheme="minorEastAsia" w:eastAsiaTheme="minorEastAsia" w:cstheme="minorEastAsia"/>
                <w:sz w:val="24"/>
              </w:rPr>
              <w:t>对接</w:t>
            </w:r>
            <w:r>
              <w:rPr>
                <w:rFonts w:hint="eastAsia" w:asciiTheme="minorEastAsia" w:hAnsiTheme="minorEastAsia" w:eastAsiaTheme="minorEastAsia" w:cstheme="minorEastAsia"/>
                <w:sz w:val="24"/>
                <w:lang w:val="en-US" w:eastAsia="zh-CN"/>
              </w:rPr>
              <w:t>方</w:t>
            </w:r>
            <w:r>
              <w:rPr>
                <w:rFonts w:hint="eastAsia" w:asciiTheme="minorEastAsia" w:hAnsiTheme="minorEastAsia" w:eastAsiaTheme="minorEastAsia" w:cstheme="minorEastAsia"/>
                <w:sz w:val="24"/>
              </w:rPr>
              <w:t>式，厂家保证技术实现，业务上由政府部门协助同上述系统的协调。</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组织管理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组织机构管理用于展示系统内各组织机构信息，管理员可对组织机构进行添加、编辑、删除等操作，可通过配置筛选条件进行组织机构的筛选。</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部门管理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局、校管理员可依托此功能完成对部门的管理，可对部门执行添加、编辑、删除等操作，可配置筛选条件完成对各部门的筛选。</w:t>
            </w:r>
          </w:p>
        </w:tc>
      </w:tr>
      <w:tr>
        <w:tblPrEx>
          <w:tblLayout w:type="fixed"/>
          <w:tblCellMar>
            <w:top w:w="0" w:type="dxa"/>
            <w:left w:w="108" w:type="dxa"/>
            <w:bottom w:w="0" w:type="dxa"/>
            <w:right w:w="108" w:type="dxa"/>
          </w:tblCellMar>
        </w:tblPrEx>
        <w:trPr>
          <w:trHeight w:val="3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教职工基础信息管理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局、校管理员在此完成对教职工的管理及信息维护。提供基础的信息导入、添加、编辑、状态变更的功能。</w:t>
            </w:r>
          </w:p>
        </w:tc>
      </w:tr>
      <w:tr>
        <w:tblPrEx>
          <w:tblLayout w:type="fixed"/>
          <w:tblCellMar>
            <w:top w:w="0" w:type="dxa"/>
            <w:left w:w="108" w:type="dxa"/>
            <w:bottom w:w="0" w:type="dxa"/>
            <w:right w:w="108" w:type="dxa"/>
          </w:tblCellMar>
        </w:tblPrEx>
        <w:trPr>
          <w:trHeight w:val="10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班级学生管理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端超级管理员可对整个教育局下组织机构的学生进行管理，可维护学校的年级、班级，可对学生进行导入、添加、编辑、分班等操作。校级管理员只能对本校的学生进行管理。班主任可对学生信息进行进行导入、添加、编辑、删除的操作，可配置筛选条件完成对学生的筛选。系统并提供自动学年、学期升级能力。</w:t>
            </w:r>
          </w:p>
        </w:tc>
      </w:tr>
      <w:tr>
        <w:tblPrEx>
          <w:tblLayout w:type="fixed"/>
          <w:tblCellMar>
            <w:top w:w="0" w:type="dxa"/>
            <w:left w:w="108" w:type="dxa"/>
            <w:bottom w:w="0" w:type="dxa"/>
            <w:right w:w="108" w:type="dxa"/>
          </w:tblCellMar>
        </w:tblPrEx>
        <w:trPr>
          <w:trHeight w:val="10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统一账号管理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w:t>
            </w:r>
            <w:r>
              <w:rPr>
                <w:rFonts w:hint="eastAsia" w:asciiTheme="minorEastAsia" w:hAnsiTheme="minorEastAsia" w:eastAsiaTheme="minorEastAsia" w:cstheme="minorEastAsia"/>
                <w:sz w:val="24"/>
                <w:lang w:val="en-US" w:eastAsia="zh-CN"/>
              </w:rPr>
              <w:t>可</w:t>
            </w:r>
            <w:r>
              <w:rPr>
                <w:rFonts w:hint="eastAsia" w:asciiTheme="minorEastAsia" w:hAnsiTheme="minorEastAsia" w:eastAsiaTheme="minorEastAsia" w:cstheme="minorEastAsia"/>
                <w:sz w:val="24"/>
              </w:rPr>
              <w:t>提供统一构建的账号体系，应用于局校一体登录。针对管理员用户系统自动生成账号并提供管理员账号和教职工账号绑定功能。针对教职工用户，以手机号作为用户系统登录账号，提供基于手机验证码的登录方式。针对学生用户，以学籍号或学号作为账号。针对家长用户，以手机号作为用户系统登录账号，并支持家长通过钉钉账号直接登录系统能力。厂家保证技术实现，业务上由政府部门协助同上述系统的对接协调。</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教职工账号管理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局端超级管理员对平台所有的用户进行管理，可对本平台的所有用户进行密码的初始化及用户的激活和冻结操作。校级管理员仅对本校的用户进行管理，可对本校的所有用户进行密码的初始化及用户的激活和冻结操作。</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学生、家长账号管理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校端管理员可配置管理学生账号信息，可对账号进行密码初始化、激活、冻结操作。可基于学生账号关联管理对应的家长账号，提供基于学生姓名、家长手机号等维度的查询服务。</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安全管理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审计日志管理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监控整个系统用户登录情况、系统操作情况及数据导出下载的完全日志，可通过关键字、登录时间、操作模块、操作时间等方式对日志进行查询。</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角色权限管理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角色权限管理包括超级管理员、机构管理员、教职工、班主任、校心理老师、小学部心理老师、初中部心理老师、区心理老师8种类型。每种角色，系统都设有默认权限，同时也提供学校根据学校的管理规范进行权限调整。</w:t>
            </w:r>
          </w:p>
        </w:tc>
      </w:tr>
      <w:tr>
        <w:tblPrEx>
          <w:tblLayout w:type="fixed"/>
          <w:tblCellMar>
            <w:top w:w="0" w:type="dxa"/>
            <w:left w:w="108" w:type="dxa"/>
            <w:bottom w:w="0" w:type="dxa"/>
            <w:right w:w="108" w:type="dxa"/>
          </w:tblCellMar>
        </w:tblPrEx>
        <w:trPr>
          <w:trHeight w:val="358"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交叉预警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交叉预警</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系统提供专业的心理危机交叉预警分析，通过全方位监测重点关注学生，精准分析区域内学生心理情况，做到精准、针对性的部署，提取发现学生的心理危机，并及时进行干预，从而保障学生的心理健康和安全。</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心理测评提醒配置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心理测评提醒配置从学生个体的维度出发，分为1-3年级测评量表和4-9年级测评量表。</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日常行为提醒配置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常行为提醒配置从学校、家庭的维度出发，包括了情绪筛查配置、考勤筛查配置、请假周期筛查配置、请假频次筛查配置、教师日常动态观察、父母日常动态观察、考试临近、学业挫折、开学前后观察、危险禁区监控等内容。可根据配置条件筛选出重点关注人群并将结果推送给对应的老师。</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量表测评应用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量表管理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提供专业心理状态测查量表，包括心理健康、个性测评、风险筛查、人格个性、职业测评、适应应激、能力兴趣、人际关系等相关类别。例如匹兹堡睡眠质量、焦虑筛查问卷、抑郁症筛查、躯体症状、个人信念与态度、SCL-90、嗜睡障碍附加问卷、儿童行为、特质焦虑问卷等专业量表。</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测评管理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系统支持自主创建测评计划，实施心理健康普查和日常心理评估服务，支持自定义量表的创建与施测，支持自定义设置施测对象、施测工具、测评期限等。</w:t>
            </w:r>
          </w:p>
        </w:tc>
      </w:tr>
      <w:tr>
        <w:tblPrEx>
          <w:tblLayout w:type="fixed"/>
          <w:tblCellMar>
            <w:top w:w="0" w:type="dxa"/>
            <w:left w:w="108" w:type="dxa"/>
            <w:bottom w:w="0" w:type="dxa"/>
            <w:right w:w="108"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动态上报应用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动态反馈</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班主任可以针对日常教学中发现的有问题的学生进行动态反馈，如学业挫折反馈、日常动态反馈、开学前后观察、考试临近反馈。</w:t>
            </w:r>
          </w:p>
        </w:tc>
      </w:tr>
      <w:tr>
        <w:tblPrEx>
          <w:tblLayout w:type="fixed"/>
          <w:tblCellMar>
            <w:top w:w="0" w:type="dxa"/>
            <w:left w:w="108" w:type="dxa"/>
            <w:bottom w:w="0" w:type="dxa"/>
            <w:right w:w="108" w:type="dxa"/>
          </w:tblCellMar>
        </w:tblPrEx>
        <w:trPr>
          <w:trHeight w:val="106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全员家访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心理教师可新建全区范围全员家访任务。通过“进度监控”可查看全员家访班级列表与进度，点击“查看”可查看班级学生家访记录。</w:t>
            </w:r>
          </w:p>
        </w:tc>
      </w:tr>
      <w:tr>
        <w:tblPrEx>
          <w:tblLayout w:type="fixed"/>
          <w:tblCellMar>
            <w:top w:w="0" w:type="dxa"/>
            <w:left w:w="108" w:type="dxa"/>
            <w:bottom w:w="0" w:type="dxa"/>
            <w:right w:w="108" w:type="dxa"/>
          </w:tblCellMar>
        </w:tblPrEx>
        <w:trPr>
          <w:trHeight w:val="50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干预跟踪应用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访谈定级</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心理老师可查看通过双重算法模型圈定的目标对象，并对这些对象进行访谈，确认是否需要预警，进行定级操作。</w:t>
            </w:r>
          </w:p>
        </w:tc>
      </w:tr>
      <w:tr>
        <w:tblPrEx>
          <w:tblLayout w:type="fixed"/>
          <w:tblCellMar>
            <w:top w:w="0" w:type="dxa"/>
            <w:left w:w="108" w:type="dxa"/>
            <w:bottom w:w="0" w:type="dxa"/>
            <w:right w:w="108" w:type="dxa"/>
          </w:tblCellMar>
        </w:tblPrEx>
        <w:trPr>
          <w:trHeight w:val="82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干预跟踪</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预警包括了无预警、一类预警、二类预警、三类预警。心理教师或班主任可以在PC端访谈干预中查看重点关注学生、一类预警学生、二类预警学生、三类预警学生各自的信息及预警分类、预警消息、干预进度，并根据学生的预警情况实施不同的干预计划。</w:t>
            </w:r>
          </w:p>
        </w:tc>
      </w:tr>
      <w:tr>
        <w:tblPrEx>
          <w:tblLayout w:type="fixed"/>
          <w:tblCellMar>
            <w:top w:w="0" w:type="dxa"/>
            <w:left w:w="108" w:type="dxa"/>
            <w:bottom w:w="0" w:type="dxa"/>
            <w:right w:w="108" w:type="dxa"/>
          </w:tblCellMar>
        </w:tblPrEx>
        <w:trPr>
          <w:trHeight w:val="82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体育中考监测服务</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体育中考监测服务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中考每年约6000名学生，服务2年，</w:t>
            </w:r>
            <w:r>
              <w:rPr>
                <w:rFonts w:hint="eastAsia" w:ascii="宋体" w:hAnsi="宋体" w:cs="宋体"/>
                <w:sz w:val="24"/>
              </w:rPr>
              <w:t>设备包含中长跑设备2套（含60套芯片背心）、实心球设备1套、引体向上</w:t>
            </w:r>
            <w:r>
              <w:rPr>
                <w:rFonts w:hint="eastAsia" w:ascii="宋体" w:hAnsi="宋体" w:cs="宋体"/>
                <w:sz w:val="24"/>
                <w:lang w:val="en-US" w:eastAsia="zh-CN"/>
              </w:rPr>
              <w:t>设备</w:t>
            </w:r>
            <w:r>
              <w:rPr>
                <w:rFonts w:hint="eastAsia" w:ascii="宋体" w:hAnsi="宋体" w:cs="宋体"/>
                <w:sz w:val="24"/>
              </w:rPr>
              <w:t>4套、仰卧起坐设备4套、立定跳远设备4套、跳绳设备20套、篮球设备4套、足球</w:t>
            </w:r>
            <w:r>
              <w:rPr>
                <w:rFonts w:hint="eastAsia" w:ascii="宋体" w:hAnsi="宋体" w:cs="宋体"/>
                <w:sz w:val="24"/>
                <w:lang w:val="en-US" w:eastAsia="zh-CN"/>
              </w:rPr>
              <w:t>设备</w:t>
            </w:r>
            <w:r>
              <w:rPr>
                <w:rFonts w:hint="eastAsia" w:ascii="宋体" w:hAnsi="宋体" w:cs="宋体"/>
                <w:sz w:val="24"/>
              </w:rPr>
              <w:t>4套、排球</w:t>
            </w:r>
            <w:r>
              <w:rPr>
                <w:rFonts w:hint="eastAsia" w:ascii="宋体" w:hAnsi="宋体" w:cs="宋体"/>
                <w:sz w:val="24"/>
                <w:lang w:val="en-US" w:eastAsia="zh-CN"/>
              </w:rPr>
              <w:t>设备</w:t>
            </w:r>
            <w:r>
              <w:rPr>
                <w:rFonts w:hint="eastAsia" w:ascii="宋体" w:hAnsi="宋体" w:cs="宋体"/>
                <w:sz w:val="24"/>
              </w:rPr>
              <w:t>4套；</w:t>
            </w:r>
            <w:r>
              <w:rPr>
                <w:rFonts w:hint="eastAsia" w:asciiTheme="minorEastAsia" w:hAnsiTheme="minorEastAsia" w:eastAsiaTheme="minorEastAsia" w:cstheme="minorEastAsia"/>
                <w:sz w:val="24"/>
                <w:highlight w:val="none"/>
                <w:lang w:val="en-US" w:eastAsia="zh-CN"/>
              </w:rPr>
              <w:t>涉及测试项目：仰卧起坐测试、立定跳远测试（3次）、800米/1000米中长跑（25人同测）、球类项目等。</w:t>
            </w:r>
            <w:r>
              <w:rPr>
                <w:rFonts w:hint="eastAsia" w:ascii="宋体" w:hAnsi="宋体" w:cs="宋体"/>
                <w:sz w:val="24"/>
              </w:rPr>
              <w:t>功能包括考生智能检入、各体育项目智能检测、考试完成后学生当场扫码打印成绩、成绩的时时统计与汇总、各项目全程无线监控。考试期间保证每个项目一个技术员到现场服务且不另收取费用，</w:t>
            </w:r>
            <w:r>
              <w:rPr>
                <w:rFonts w:hint="eastAsia" w:ascii="宋体" w:hAnsi="宋体" w:cs="宋体"/>
                <w:sz w:val="24"/>
                <w:lang w:val="en-US" w:eastAsia="zh-CN"/>
              </w:rPr>
              <w:t>学生</w:t>
            </w:r>
            <w:r>
              <w:rPr>
                <w:rFonts w:hint="eastAsia" w:ascii="宋体" w:hAnsi="宋体" w:cs="宋体"/>
                <w:sz w:val="24"/>
              </w:rPr>
              <w:t>人数为6000人，时间为5天</w:t>
            </w:r>
            <w:r>
              <w:rPr>
                <w:rFonts w:hint="eastAsia" w:asciiTheme="minorEastAsia" w:hAnsiTheme="minorEastAsia" w:eastAsiaTheme="minorEastAsia" w:cstheme="minorEastAsia"/>
                <w:sz w:val="24"/>
                <w:highlight w:val="none"/>
                <w:lang w:val="en-US" w:eastAsia="zh-CN"/>
              </w:rPr>
              <w:t>。</w:t>
            </w:r>
          </w:p>
        </w:tc>
      </w:tr>
    </w:tbl>
    <w:p>
      <w:pPr>
        <w:rPr>
          <w:rFonts w:ascii="宋体" w:hAnsi="宋体" w:cs="宋体"/>
          <w:sz w:val="24"/>
        </w:rPr>
      </w:pPr>
      <w:r>
        <w:rPr>
          <w:rFonts w:hint="eastAsia" w:ascii="宋体" w:hAnsi="宋体" w:cs="宋体"/>
          <w:sz w:val="24"/>
        </w:rPr>
        <w:br w:type="page"/>
      </w:r>
    </w:p>
    <w:p>
      <w:pPr>
        <w:spacing w:line="400" w:lineRule="exact"/>
        <w:rPr>
          <w:rFonts w:asciiTheme="minorEastAsia" w:hAnsiTheme="minorEastAsia" w:eastAsiaTheme="minorEastAsia" w:cstheme="minorEastAsia"/>
          <w:b/>
          <w:sz w:val="24"/>
          <w:lang w:eastAsia="zh-Hans"/>
        </w:rPr>
      </w:pPr>
      <w:r>
        <w:rPr>
          <w:rFonts w:hint="eastAsia" w:asciiTheme="minorEastAsia" w:hAnsiTheme="minorEastAsia" w:eastAsiaTheme="minorEastAsia" w:cstheme="minorEastAsia"/>
          <w:b/>
          <w:sz w:val="24"/>
        </w:rPr>
        <w:t>六、</w:t>
      </w:r>
      <w:r>
        <w:rPr>
          <w:rFonts w:hint="eastAsia" w:asciiTheme="minorEastAsia" w:hAnsiTheme="minorEastAsia" w:eastAsiaTheme="minorEastAsia" w:cstheme="minorEastAsia"/>
          <w:b/>
          <w:sz w:val="24"/>
          <w:lang w:eastAsia="zh-Hans"/>
        </w:rPr>
        <w:t>商务要求</w:t>
      </w:r>
    </w:p>
    <w:tbl>
      <w:tblPr>
        <w:tblStyle w:val="25"/>
        <w:tblW w:w="847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614" w:type="dxa"/>
            <w:vAlign w:val="center"/>
          </w:tcPr>
          <w:p>
            <w:pPr>
              <w:widowControl/>
              <w:spacing w:line="400" w:lineRule="exact"/>
              <w:rPr>
                <w:rFonts w:asciiTheme="minorEastAsia" w:hAnsiTheme="minorEastAsia" w:eastAsiaTheme="minorEastAsia" w:cstheme="minorEastAsia"/>
                <w:sz w:val="24"/>
              </w:rPr>
            </w:pPr>
            <w:bookmarkStart w:id="29" w:name="_Hlk45005608"/>
            <w:r>
              <w:rPr>
                <w:rFonts w:hint="eastAsia" w:asciiTheme="minorEastAsia" w:hAnsiTheme="minorEastAsia" w:eastAsiaTheme="minorEastAsia" w:cstheme="minorEastAsia"/>
                <w:sz w:val="24"/>
              </w:rPr>
              <w:t>履约保证金</w:t>
            </w:r>
          </w:p>
        </w:tc>
        <w:tc>
          <w:tcPr>
            <w:tcW w:w="6865"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中标人在合同签订前向采购单位交纳中标金额</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%的履约保证金，</w:t>
            </w:r>
            <w:r>
              <w:rPr>
                <w:rFonts w:hint="eastAsia" w:asciiTheme="minorEastAsia" w:hAnsiTheme="minorEastAsia" w:eastAsiaTheme="minorEastAsia" w:cstheme="minorEastAsia"/>
                <w:sz w:val="24"/>
              </w:rPr>
              <w:t>项目终验合格后退回。供应商可以银行、保险公司出具的保函形式提交。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14" w:type="dxa"/>
            <w:vAlign w:val="center"/>
          </w:tcPr>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支付时间及条件</w:t>
            </w:r>
          </w:p>
        </w:tc>
        <w:tc>
          <w:tcPr>
            <w:tcW w:w="6865" w:type="dxa"/>
            <w:vAlign w:val="center"/>
          </w:tcPr>
          <w:p>
            <w:pPr>
              <w:widowControl/>
              <w:spacing w:line="400" w:lineRule="exac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合同</w:t>
            </w:r>
            <w:r>
              <w:rPr>
                <w:rFonts w:hint="eastAsia" w:asciiTheme="minorEastAsia" w:hAnsiTheme="minorEastAsia" w:eastAsiaTheme="minorEastAsia" w:cstheme="minorEastAsia"/>
                <w:sz w:val="24"/>
                <w:highlight w:val="none"/>
                <w:lang w:val="en-US" w:eastAsia="zh-CN"/>
              </w:rPr>
              <w:t>生效后5个工作日内</w:t>
            </w:r>
            <w:r>
              <w:rPr>
                <w:rFonts w:hint="eastAsia" w:asciiTheme="minorEastAsia" w:hAnsiTheme="minorEastAsia" w:eastAsiaTheme="minorEastAsia" w:cstheme="minorEastAsia"/>
                <w:sz w:val="24"/>
                <w:highlight w:val="none"/>
              </w:rPr>
              <w:t>，采购人预付成交供应商合同总价的50%。合同履约至2024年11月，中标人递交试运行报告经相关业务部门审核后采购人支付合同总金额的40%；试运行结束并通过验收后递交验收报告及相关文件资料，经结算审核后支付至结算审定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614" w:type="dxa"/>
            <w:vAlign w:val="center"/>
          </w:tcPr>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交付时间及地点</w:t>
            </w:r>
          </w:p>
        </w:tc>
        <w:tc>
          <w:tcPr>
            <w:tcW w:w="6865" w:type="dxa"/>
            <w:vAlign w:val="center"/>
          </w:tcPr>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1.交付时间：</w:t>
            </w:r>
            <w:r>
              <w:rPr>
                <w:rFonts w:hint="eastAsia" w:ascii="宋体" w:hAnsi="宋体" w:cs="宋体"/>
                <w:kern w:val="44"/>
                <w:sz w:val="24"/>
                <w:highlight w:val="none"/>
                <w:lang w:val="en-US" w:eastAsia="zh-CN"/>
              </w:rPr>
              <w:t>2024年7月30日前</w:t>
            </w:r>
            <w:r>
              <w:rPr>
                <w:rFonts w:hint="eastAsia" w:asciiTheme="minorEastAsia" w:hAnsiTheme="minorEastAsia" w:eastAsiaTheme="minorEastAsia" w:cstheme="minorEastAsia"/>
                <w:sz w:val="24"/>
                <w:highlight w:val="none"/>
              </w:rPr>
              <w:t>；</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14"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6865" w:type="dxa"/>
            <w:vAlign w:val="center"/>
          </w:tcPr>
          <w:p>
            <w:pPr>
              <w:widowControl/>
              <w:spacing w:line="40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自验收合格之日起3年（</w:t>
            </w:r>
            <w:r>
              <w:rPr>
                <w:rFonts w:hint="eastAsia" w:asciiTheme="minorEastAsia" w:hAnsiTheme="minorEastAsia" w:eastAsiaTheme="minorEastAsia" w:cstheme="minorEastAsia"/>
                <w:sz w:val="24"/>
                <w:highlight w:val="none"/>
              </w:rPr>
              <w:t>除体育中考监测服务</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614"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培训</w:t>
            </w:r>
          </w:p>
        </w:tc>
        <w:tc>
          <w:tcPr>
            <w:tcW w:w="6865"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项目建成后，提供不少于3个工作日的现场培训，培训人员包括：技术中心、各科室系统使用人员，培训后各培训人员需熟练使用系统；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614"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售后服务要求</w:t>
            </w:r>
          </w:p>
        </w:tc>
        <w:tc>
          <w:tcPr>
            <w:tcW w:w="6865" w:type="dxa"/>
            <w:vAlign w:val="center"/>
          </w:tcPr>
          <w:p>
            <w:pPr>
              <w:widowControl/>
              <w:spacing w:line="400" w:lineRule="exact"/>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1、项目完成验收之前，提供不少于1人的全天候</w:t>
            </w:r>
            <w:r>
              <w:rPr>
                <w:rFonts w:hint="eastAsia" w:asciiTheme="minorEastAsia" w:hAnsiTheme="minorEastAsia" w:eastAsiaTheme="minorEastAsia" w:cstheme="minorEastAsia"/>
                <w:sz w:val="24"/>
                <w:lang w:val="en-US" w:eastAsia="zh-CN"/>
              </w:rPr>
              <w:t>驻</w:t>
            </w:r>
            <w:r>
              <w:rPr>
                <w:rFonts w:hint="eastAsia" w:asciiTheme="minorEastAsia" w:hAnsiTheme="minorEastAsia" w:eastAsiaTheme="minorEastAsia" w:cstheme="minorEastAsia"/>
                <w:sz w:val="24"/>
                <w:lang w:eastAsia="zh-Hans"/>
              </w:rPr>
              <w:t>场服务；</w:t>
            </w:r>
          </w:p>
          <w:p>
            <w:pPr>
              <w:widowControl/>
              <w:spacing w:line="400" w:lineRule="exact"/>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2、质保期内维护要求：提供3年免费维护服务；</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Hans"/>
              </w:rPr>
              <w:t>、应急响应：投标人须通过电话、电子邮件以及其他方式提供7*24小时的应用支持服务，1小时内给出实质性解决方案，2小时内到达现场，不超过48小时解决问题。其他特殊情况下，按照客户需求抵达现场配合用户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5" w:hRule="atLeast"/>
        </w:trPr>
        <w:tc>
          <w:tcPr>
            <w:tcW w:w="1614"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安装和验收</w:t>
            </w:r>
          </w:p>
        </w:tc>
        <w:tc>
          <w:tcPr>
            <w:tcW w:w="6865" w:type="dxa"/>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1.安装标准：符合我国国家有关技术规范要求和技术标准。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2.中标人安装调试、验收需事先征得采购人同意，方可进行。</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3.验收标准：质量符合国际或国家通用标准，满足招标文件技术标准部分所规定的全部功能。</w:t>
            </w:r>
            <w:r>
              <w:rPr>
                <w:rFonts w:hint="eastAsia" w:asciiTheme="minorEastAsia" w:hAnsiTheme="minorEastAsia" w:eastAsiaTheme="minorEastAsia" w:cstheme="minorEastAsia"/>
                <w:sz w:val="24"/>
                <w:lang w:eastAsia="zh-Hans"/>
              </w:rPr>
              <w:t>需要提供完成的验收材料，包括：需求调研报告、部署报告、测试报告、培训记录及项目投标时响应的所有材料。</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4.验收合格后，除软件之外还应交付相关技术文档，包括但并不限于软件需求说明书、详细设计文档、用户使用说明书等。</w:t>
            </w:r>
          </w:p>
        </w:tc>
      </w:tr>
      <w:bookmarkEnd w:id="29"/>
    </w:tbl>
    <w:p>
      <w:pPr>
        <w:rPr>
          <w:rFonts w:ascii="宋体" w:hAnsi="宋体" w:cs="宋体"/>
          <w:sz w:val="24"/>
          <w:lang w:eastAsia="zh-Hans"/>
        </w:rPr>
      </w:pPr>
    </w:p>
    <w:p>
      <w:pPr>
        <w:rPr>
          <w:rFonts w:ascii="宋体" w:hAnsi="宋体" w:cs="宋体"/>
          <w:sz w:val="24"/>
          <w:lang w:eastAsia="zh-Hans"/>
        </w:rPr>
      </w:pPr>
    </w:p>
    <w:p>
      <w:pPr>
        <w:rPr>
          <w:rFonts w:ascii="宋体" w:hAnsi="宋体" w:cs="宋体"/>
          <w:sz w:val="24"/>
        </w:rPr>
      </w:pPr>
    </w:p>
    <w:p>
      <w:pPr>
        <w:pStyle w:val="19"/>
        <w:rPr>
          <w:rFonts w:ascii="宋体" w:hAnsi="宋体" w:cs="宋体"/>
          <w:sz w:val="24"/>
        </w:rPr>
      </w:pPr>
    </w:p>
    <w:p>
      <w:pPr>
        <w:rPr>
          <w:rFonts w:ascii="宋体" w:hAnsi="宋体" w:cs="宋体"/>
          <w:sz w:val="24"/>
        </w:rPr>
      </w:pPr>
    </w:p>
    <w:p>
      <w:pPr>
        <w:ind w:firstLine="723"/>
        <w:jc w:val="center"/>
        <w:rPr>
          <w:rFonts w:ascii="宋体" w:hAnsi="宋体" w:cs="宋体"/>
          <w:b/>
          <w:sz w:val="36"/>
          <w:szCs w:val="36"/>
        </w:rPr>
      </w:pPr>
      <w:r>
        <w:rPr>
          <w:rFonts w:hint="eastAsia" w:ascii="宋体" w:hAnsi="宋体" w:cs="宋体"/>
          <w:b/>
          <w:sz w:val="36"/>
          <w:szCs w:val="36"/>
        </w:rPr>
        <w:t xml:space="preserve">第四部分   </w:t>
      </w:r>
      <w:bookmarkStart w:id="30" w:name="_Toc184314443"/>
      <w:bookmarkEnd w:id="30"/>
      <w:bookmarkStart w:id="31" w:name="_Toc184312093"/>
      <w:bookmarkEnd w:id="31"/>
      <w:bookmarkStart w:id="32" w:name="_Toc184312133"/>
      <w:bookmarkEnd w:id="32"/>
      <w:bookmarkStart w:id="33" w:name="_Toc184310285"/>
      <w:bookmarkEnd w:id="33"/>
      <w:bookmarkStart w:id="34" w:name="_Toc184310334"/>
      <w:bookmarkEnd w:id="34"/>
      <w:bookmarkStart w:id="35" w:name="_Toc184308102"/>
      <w:bookmarkEnd w:id="35"/>
      <w:bookmarkStart w:id="36" w:name="_Toc184312067"/>
      <w:bookmarkEnd w:id="36"/>
      <w:bookmarkStart w:id="37" w:name="_Toc184310275"/>
      <w:bookmarkEnd w:id="37"/>
      <w:bookmarkStart w:id="38" w:name="_Toc184313288"/>
      <w:bookmarkEnd w:id="38"/>
      <w:bookmarkStart w:id="39" w:name="_Toc184314444"/>
      <w:bookmarkEnd w:id="39"/>
      <w:bookmarkStart w:id="40" w:name="_Toc184310308"/>
      <w:bookmarkEnd w:id="40"/>
      <w:bookmarkStart w:id="41" w:name="_Toc184312100"/>
      <w:bookmarkEnd w:id="41"/>
      <w:bookmarkStart w:id="42" w:name="_Toc184314448"/>
      <w:bookmarkEnd w:id="42"/>
      <w:bookmarkStart w:id="43" w:name="_Toc184314412"/>
      <w:bookmarkEnd w:id="43"/>
      <w:bookmarkStart w:id="44" w:name="_Toc184310304"/>
      <w:bookmarkEnd w:id="44"/>
      <w:bookmarkStart w:id="45" w:name="_Toc184313289"/>
      <w:bookmarkEnd w:id="45"/>
      <w:bookmarkStart w:id="46" w:name="_Toc184314424"/>
      <w:bookmarkEnd w:id="46"/>
      <w:bookmarkStart w:id="47" w:name="_Toc184313241"/>
      <w:bookmarkEnd w:id="47"/>
      <w:bookmarkStart w:id="48" w:name="_Toc184308104"/>
      <w:bookmarkEnd w:id="48"/>
      <w:bookmarkStart w:id="49" w:name="_Toc184310290"/>
      <w:bookmarkEnd w:id="49"/>
      <w:bookmarkStart w:id="50" w:name="_Toc184310316"/>
      <w:bookmarkEnd w:id="50"/>
      <w:bookmarkStart w:id="51" w:name="_Toc184312074"/>
      <w:bookmarkEnd w:id="51"/>
      <w:bookmarkStart w:id="52" w:name="_Toc184314445"/>
      <w:bookmarkEnd w:id="52"/>
      <w:bookmarkStart w:id="53" w:name="_Toc184312113"/>
      <w:bookmarkEnd w:id="53"/>
      <w:bookmarkStart w:id="54" w:name="_Toc184310315"/>
      <w:bookmarkEnd w:id="54"/>
      <w:bookmarkStart w:id="55" w:name="_Toc184314470"/>
      <w:bookmarkEnd w:id="55"/>
      <w:bookmarkStart w:id="56" w:name="_Toc184313272"/>
      <w:bookmarkEnd w:id="56"/>
      <w:bookmarkStart w:id="57" w:name="_Toc184314460"/>
      <w:bookmarkEnd w:id="57"/>
      <w:bookmarkStart w:id="58" w:name="_Toc184313262"/>
      <w:bookmarkEnd w:id="58"/>
      <w:bookmarkStart w:id="59" w:name="_Toc184310303"/>
      <w:bookmarkEnd w:id="59"/>
      <w:bookmarkStart w:id="60" w:name="_Toc184310313"/>
      <w:bookmarkEnd w:id="60"/>
      <w:bookmarkStart w:id="61" w:name="_Toc184312088"/>
      <w:bookmarkEnd w:id="61"/>
      <w:bookmarkStart w:id="62" w:name="_Toc184308100"/>
      <w:bookmarkEnd w:id="62"/>
      <w:bookmarkStart w:id="63" w:name="_Toc184312118"/>
      <w:bookmarkEnd w:id="63"/>
      <w:bookmarkStart w:id="64" w:name="_Toc184313258"/>
      <w:bookmarkEnd w:id="64"/>
      <w:bookmarkStart w:id="65" w:name="_Toc184310300"/>
      <w:bookmarkEnd w:id="65"/>
      <w:bookmarkStart w:id="66" w:name="_Toc184308073"/>
      <w:bookmarkEnd w:id="66"/>
      <w:bookmarkStart w:id="67" w:name="_Toc184314430"/>
      <w:bookmarkEnd w:id="67"/>
      <w:bookmarkStart w:id="68" w:name="_Toc184310317"/>
      <w:bookmarkEnd w:id="68"/>
      <w:bookmarkStart w:id="69" w:name="_Toc184310340"/>
      <w:bookmarkEnd w:id="69"/>
      <w:bookmarkStart w:id="70" w:name="_Toc184308076"/>
      <w:bookmarkEnd w:id="70"/>
      <w:bookmarkStart w:id="71" w:name="_Toc184314415"/>
      <w:bookmarkEnd w:id="71"/>
      <w:bookmarkStart w:id="72" w:name="_Toc184308086"/>
      <w:bookmarkEnd w:id="72"/>
      <w:bookmarkStart w:id="73" w:name="_Toc184314482"/>
      <w:bookmarkEnd w:id="73"/>
      <w:bookmarkStart w:id="74" w:name="_Toc184313296"/>
      <w:bookmarkEnd w:id="74"/>
      <w:bookmarkStart w:id="75" w:name="_Toc184312069"/>
      <w:bookmarkEnd w:id="75"/>
      <w:bookmarkStart w:id="76" w:name="_Toc184314476"/>
      <w:bookmarkEnd w:id="76"/>
      <w:bookmarkStart w:id="77" w:name="_Toc184312103"/>
      <w:bookmarkEnd w:id="77"/>
      <w:bookmarkStart w:id="78" w:name="_Toc184312077"/>
      <w:bookmarkEnd w:id="78"/>
      <w:bookmarkStart w:id="79" w:name="_Toc184313301"/>
      <w:bookmarkEnd w:id="79"/>
      <w:bookmarkStart w:id="80" w:name="_Toc184308055"/>
      <w:bookmarkEnd w:id="80"/>
      <w:bookmarkStart w:id="81" w:name="_Toc184313280"/>
      <w:bookmarkEnd w:id="81"/>
      <w:bookmarkStart w:id="82" w:name="_Toc184310310"/>
      <w:bookmarkEnd w:id="82"/>
      <w:bookmarkStart w:id="83" w:name="_Toc184313304"/>
      <w:bookmarkEnd w:id="83"/>
      <w:bookmarkStart w:id="84" w:name="_Toc184314469"/>
      <w:bookmarkEnd w:id="84"/>
      <w:bookmarkStart w:id="85" w:name="_Toc184312124"/>
      <w:bookmarkEnd w:id="85"/>
      <w:bookmarkStart w:id="86" w:name="_Toc184313255"/>
      <w:bookmarkEnd w:id="86"/>
      <w:bookmarkStart w:id="87" w:name="_Toc184310292"/>
      <w:bookmarkEnd w:id="87"/>
      <w:bookmarkStart w:id="88" w:name="_Toc184310338"/>
      <w:bookmarkEnd w:id="88"/>
      <w:bookmarkStart w:id="89" w:name="_Toc184314458"/>
      <w:bookmarkEnd w:id="89"/>
      <w:bookmarkStart w:id="90" w:name="_Toc184310291"/>
      <w:bookmarkEnd w:id="90"/>
      <w:bookmarkStart w:id="91" w:name="_Toc184313239"/>
      <w:bookmarkEnd w:id="91"/>
      <w:bookmarkStart w:id="92" w:name="_Toc184314461"/>
      <w:bookmarkEnd w:id="92"/>
      <w:bookmarkStart w:id="93" w:name="_Toc184314417"/>
      <w:bookmarkEnd w:id="93"/>
      <w:bookmarkStart w:id="94" w:name="_Toc184310287"/>
      <w:bookmarkEnd w:id="94"/>
      <w:bookmarkStart w:id="95" w:name="_Toc184310332"/>
      <w:bookmarkEnd w:id="95"/>
      <w:bookmarkStart w:id="96" w:name="_Toc184313249"/>
      <w:bookmarkEnd w:id="96"/>
      <w:bookmarkStart w:id="97" w:name="_Toc184310294"/>
      <w:bookmarkEnd w:id="97"/>
      <w:bookmarkStart w:id="98" w:name="_Toc184310314"/>
      <w:bookmarkEnd w:id="98"/>
      <w:bookmarkStart w:id="99" w:name="_Toc184312129"/>
      <w:bookmarkEnd w:id="99"/>
      <w:bookmarkStart w:id="100" w:name="_Toc184310328"/>
      <w:bookmarkEnd w:id="100"/>
      <w:bookmarkStart w:id="101" w:name="_Toc184312089"/>
      <w:bookmarkEnd w:id="101"/>
      <w:bookmarkStart w:id="102" w:name="_Toc184313309"/>
      <w:bookmarkEnd w:id="102"/>
      <w:bookmarkStart w:id="103" w:name="_Toc184313294"/>
      <w:bookmarkEnd w:id="103"/>
      <w:bookmarkStart w:id="104" w:name="_Toc184310320"/>
      <w:bookmarkEnd w:id="104"/>
      <w:bookmarkStart w:id="105" w:name="_Toc184314416"/>
      <w:bookmarkEnd w:id="105"/>
      <w:bookmarkStart w:id="106" w:name="_Toc184314449"/>
      <w:bookmarkEnd w:id="106"/>
      <w:bookmarkStart w:id="107" w:name="_Toc184313238"/>
      <w:bookmarkEnd w:id="107"/>
      <w:bookmarkStart w:id="108" w:name="_Toc184310329"/>
      <w:bookmarkEnd w:id="108"/>
      <w:bookmarkStart w:id="109" w:name="_Toc184310301"/>
      <w:bookmarkEnd w:id="109"/>
      <w:bookmarkStart w:id="110" w:name="_Toc184308047"/>
      <w:bookmarkEnd w:id="110"/>
      <w:bookmarkStart w:id="111" w:name="_Toc184312130"/>
      <w:bookmarkEnd w:id="111"/>
      <w:bookmarkStart w:id="112" w:name="_Toc184308045"/>
      <w:bookmarkEnd w:id="112"/>
      <w:bookmarkStart w:id="113" w:name="_Toc184313308"/>
      <w:bookmarkEnd w:id="113"/>
      <w:bookmarkStart w:id="114" w:name="_Toc184314437"/>
      <w:bookmarkEnd w:id="114"/>
      <w:bookmarkStart w:id="115" w:name="_Toc184310306"/>
      <w:bookmarkEnd w:id="115"/>
      <w:bookmarkStart w:id="116" w:name="_Toc184310311"/>
      <w:bookmarkEnd w:id="116"/>
      <w:bookmarkStart w:id="117" w:name="_Toc184310309"/>
      <w:bookmarkEnd w:id="117"/>
      <w:bookmarkStart w:id="118" w:name="_Toc184310319"/>
      <w:bookmarkEnd w:id="118"/>
      <w:bookmarkStart w:id="119" w:name="_Toc184312073"/>
      <w:bookmarkEnd w:id="119"/>
      <w:bookmarkStart w:id="120" w:name="_Toc184313251"/>
      <w:bookmarkEnd w:id="120"/>
      <w:bookmarkStart w:id="121" w:name="_Toc184314478"/>
      <w:bookmarkEnd w:id="121"/>
      <w:bookmarkStart w:id="122" w:name="_Toc184313261"/>
      <w:bookmarkEnd w:id="122"/>
      <w:bookmarkStart w:id="123" w:name="_Toc184308078"/>
      <w:bookmarkEnd w:id="123"/>
      <w:bookmarkStart w:id="124" w:name="_Toc184313252"/>
      <w:bookmarkEnd w:id="124"/>
      <w:bookmarkStart w:id="125" w:name="_Toc184312120"/>
      <w:bookmarkEnd w:id="125"/>
      <w:bookmarkStart w:id="126" w:name="_Toc184308064"/>
      <w:bookmarkEnd w:id="126"/>
      <w:bookmarkStart w:id="127" w:name="_Toc184313253"/>
      <w:bookmarkEnd w:id="127"/>
      <w:bookmarkStart w:id="128" w:name="_Toc184314472"/>
      <w:bookmarkEnd w:id="128"/>
      <w:bookmarkStart w:id="129" w:name="_Toc184308083"/>
      <w:bookmarkEnd w:id="129"/>
      <w:bookmarkStart w:id="130" w:name="_Toc184314427"/>
      <w:bookmarkEnd w:id="130"/>
      <w:bookmarkStart w:id="131" w:name="_Toc184314434"/>
      <w:bookmarkEnd w:id="131"/>
      <w:bookmarkStart w:id="132" w:name="_Toc184310288"/>
      <w:bookmarkEnd w:id="132"/>
      <w:bookmarkStart w:id="133" w:name="_Toc184308046"/>
      <w:bookmarkEnd w:id="133"/>
      <w:bookmarkStart w:id="134" w:name="_Toc184312117"/>
      <w:bookmarkEnd w:id="134"/>
      <w:bookmarkStart w:id="135" w:name="_Toc184308048"/>
      <w:bookmarkEnd w:id="135"/>
      <w:bookmarkStart w:id="136" w:name="_Toc184314467"/>
      <w:bookmarkEnd w:id="136"/>
      <w:bookmarkStart w:id="137" w:name="_Toc184313300"/>
      <w:bookmarkEnd w:id="137"/>
      <w:bookmarkStart w:id="138" w:name="_Toc184312096"/>
      <w:bookmarkEnd w:id="138"/>
      <w:bookmarkStart w:id="139" w:name="_Toc184308072"/>
      <w:bookmarkEnd w:id="139"/>
      <w:bookmarkStart w:id="140" w:name="_Toc184308039"/>
      <w:bookmarkEnd w:id="140"/>
      <w:bookmarkStart w:id="141" w:name="_Toc184310289"/>
      <w:bookmarkEnd w:id="141"/>
      <w:bookmarkStart w:id="142" w:name="_Toc184314426"/>
      <w:bookmarkEnd w:id="142"/>
      <w:bookmarkStart w:id="143" w:name="_Toc184312116"/>
      <w:bookmarkEnd w:id="143"/>
      <w:bookmarkStart w:id="144" w:name="_Toc184310323"/>
      <w:bookmarkEnd w:id="144"/>
      <w:bookmarkStart w:id="145" w:name="_Toc184313293"/>
      <w:bookmarkEnd w:id="145"/>
      <w:bookmarkStart w:id="146" w:name="_Toc184313250"/>
      <w:bookmarkEnd w:id="146"/>
      <w:bookmarkStart w:id="147" w:name="_Toc184314475"/>
      <w:bookmarkEnd w:id="147"/>
      <w:bookmarkStart w:id="148" w:name="_Toc184313287"/>
      <w:bookmarkEnd w:id="148"/>
      <w:bookmarkStart w:id="149" w:name="_Toc184314480"/>
      <w:bookmarkEnd w:id="149"/>
      <w:bookmarkStart w:id="150" w:name="_Toc184310322"/>
      <w:bookmarkEnd w:id="150"/>
      <w:bookmarkStart w:id="151" w:name="_Toc184314463"/>
      <w:bookmarkEnd w:id="151"/>
      <w:bookmarkStart w:id="152" w:name="_Toc184313299"/>
      <w:bookmarkEnd w:id="152"/>
      <w:bookmarkStart w:id="153" w:name="_Toc184314413"/>
      <w:bookmarkEnd w:id="153"/>
      <w:bookmarkStart w:id="154" w:name="_Toc184308054"/>
      <w:bookmarkEnd w:id="154"/>
      <w:bookmarkStart w:id="155" w:name="_Toc184308097"/>
      <w:bookmarkEnd w:id="155"/>
      <w:bookmarkStart w:id="156" w:name="_Toc184314450"/>
      <w:bookmarkEnd w:id="156"/>
      <w:bookmarkStart w:id="157" w:name="_Toc184313303"/>
      <w:bookmarkEnd w:id="157"/>
      <w:bookmarkStart w:id="158" w:name="_Toc184314425"/>
      <w:bookmarkEnd w:id="158"/>
      <w:bookmarkStart w:id="159" w:name="_Toc184313278"/>
      <w:bookmarkEnd w:id="159"/>
      <w:bookmarkStart w:id="160" w:name="_Toc184312115"/>
      <w:bookmarkEnd w:id="160"/>
      <w:bookmarkStart w:id="161" w:name="_Toc184314471"/>
      <w:bookmarkEnd w:id="161"/>
      <w:bookmarkStart w:id="162" w:name="_Toc184314438"/>
      <w:bookmarkEnd w:id="162"/>
      <w:bookmarkStart w:id="163" w:name="_Toc184313271"/>
      <w:bookmarkEnd w:id="163"/>
      <w:bookmarkStart w:id="164" w:name="_Toc184313246"/>
      <w:bookmarkEnd w:id="164"/>
      <w:bookmarkStart w:id="165" w:name="_Toc184313302"/>
      <w:bookmarkEnd w:id="165"/>
      <w:bookmarkStart w:id="166" w:name="_Toc184313260"/>
      <w:bookmarkEnd w:id="166"/>
      <w:bookmarkStart w:id="167" w:name="_Toc184312091"/>
      <w:bookmarkEnd w:id="167"/>
      <w:bookmarkStart w:id="168" w:name="_Toc184308053"/>
      <w:bookmarkEnd w:id="168"/>
      <w:bookmarkStart w:id="169" w:name="_Toc184310339"/>
      <w:bookmarkEnd w:id="169"/>
      <w:bookmarkStart w:id="170" w:name="_Toc184312135"/>
      <w:bookmarkEnd w:id="170"/>
      <w:bookmarkStart w:id="171" w:name="_Toc184312109"/>
      <w:bookmarkEnd w:id="171"/>
      <w:bookmarkStart w:id="172" w:name="_Toc184308040"/>
      <w:bookmarkEnd w:id="172"/>
      <w:bookmarkStart w:id="173" w:name="_Toc184313259"/>
      <w:bookmarkEnd w:id="173"/>
      <w:bookmarkStart w:id="174" w:name="_Toc184313292"/>
      <w:bookmarkEnd w:id="174"/>
      <w:bookmarkStart w:id="175" w:name="_Toc184310333"/>
      <w:bookmarkEnd w:id="175"/>
      <w:bookmarkStart w:id="176" w:name="_Toc184312099"/>
      <w:bookmarkEnd w:id="176"/>
      <w:bookmarkStart w:id="177" w:name="_Toc184308084"/>
      <w:bookmarkEnd w:id="177"/>
      <w:bookmarkStart w:id="178" w:name="_Toc184312104"/>
      <w:bookmarkEnd w:id="178"/>
      <w:bookmarkStart w:id="179" w:name="_Toc184313306"/>
      <w:bookmarkEnd w:id="179"/>
      <w:bookmarkStart w:id="180" w:name="_Toc184310280"/>
      <w:bookmarkEnd w:id="180"/>
      <w:bookmarkStart w:id="181" w:name="_Toc184313245"/>
      <w:bookmarkEnd w:id="181"/>
      <w:bookmarkStart w:id="182" w:name="_Toc184308095"/>
      <w:bookmarkEnd w:id="182"/>
      <w:bookmarkStart w:id="183" w:name="_Toc184308082"/>
      <w:bookmarkEnd w:id="183"/>
      <w:bookmarkStart w:id="184" w:name="_Toc184313298"/>
      <w:bookmarkEnd w:id="184"/>
      <w:bookmarkStart w:id="185" w:name="_Toc184312139"/>
      <w:bookmarkEnd w:id="185"/>
      <w:bookmarkStart w:id="186" w:name="_Toc184310283"/>
      <w:bookmarkEnd w:id="186"/>
      <w:bookmarkStart w:id="187" w:name="_Toc184314465"/>
      <w:bookmarkEnd w:id="187"/>
      <w:bookmarkStart w:id="188" w:name="_Toc184310286"/>
      <w:bookmarkEnd w:id="188"/>
      <w:bookmarkStart w:id="189" w:name="_Toc184312098"/>
      <w:bookmarkEnd w:id="189"/>
      <w:bookmarkStart w:id="190" w:name="_Toc184313256"/>
      <w:bookmarkEnd w:id="190"/>
      <w:bookmarkStart w:id="191" w:name="_Toc184313264"/>
      <w:bookmarkEnd w:id="191"/>
      <w:bookmarkStart w:id="192" w:name="_Toc184313310"/>
      <w:bookmarkEnd w:id="192"/>
      <w:bookmarkStart w:id="193" w:name="_Toc184314452"/>
      <w:bookmarkEnd w:id="193"/>
      <w:bookmarkStart w:id="194" w:name="_Toc184312134"/>
      <w:bookmarkEnd w:id="194"/>
      <w:bookmarkStart w:id="195" w:name="_Toc184313282"/>
      <w:bookmarkEnd w:id="195"/>
      <w:bookmarkStart w:id="196" w:name="_Toc184314435"/>
      <w:bookmarkEnd w:id="196"/>
      <w:bookmarkStart w:id="197" w:name="_Toc184308099"/>
      <w:bookmarkEnd w:id="197"/>
      <w:bookmarkStart w:id="198" w:name="_Toc184312111"/>
      <w:bookmarkEnd w:id="198"/>
      <w:bookmarkStart w:id="199" w:name="_Toc184312076"/>
      <w:bookmarkEnd w:id="199"/>
      <w:bookmarkStart w:id="200" w:name="_Toc184312094"/>
      <w:bookmarkEnd w:id="200"/>
      <w:bookmarkStart w:id="201" w:name="_Toc184312114"/>
      <w:bookmarkEnd w:id="201"/>
      <w:bookmarkStart w:id="202" w:name="_Toc184312086"/>
      <w:bookmarkEnd w:id="202"/>
      <w:bookmarkStart w:id="203" w:name="_Toc184308038"/>
      <w:bookmarkEnd w:id="203"/>
      <w:bookmarkStart w:id="204" w:name="_Toc184310307"/>
      <w:bookmarkEnd w:id="204"/>
      <w:bookmarkStart w:id="205" w:name="_Toc184312107"/>
      <w:bookmarkEnd w:id="205"/>
      <w:bookmarkStart w:id="206" w:name="_Toc184310321"/>
      <w:bookmarkEnd w:id="206"/>
      <w:bookmarkStart w:id="207" w:name="_Toc184314418"/>
      <w:bookmarkEnd w:id="207"/>
      <w:bookmarkStart w:id="208" w:name="_Toc184313273"/>
      <w:bookmarkEnd w:id="208"/>
      <w:bookmarkStart w:id="209" w:name="_Toc184312126"/>
      <w:bookmarkEnd w:id="209"/>
      <w:bookmarkStart w:id="210" w:name="_Toc184312082"/>
      <w:bookmarkEnd w:id="210"/>
      <w:bookmarkStart w:id="211" w:name="_Toc184314456"/>
      <w:bookmarkEnd w:id="211"/>
      <w:bookmarkStart w:id="212" w:name="_Toc184310295"/>
      <w:bookmarkEnd w:id="212"/>
      <w:bookmarkStart w:id="213" w:name="_Toc184308096"/>
      <w:bookmarkEnd w:id="213"/>
      <w:bookmarkStart w:id="214" w:name="_Toc184310284"/>
      <w:bookmarkEnd w:id="214"/>
      <w:bookmarkStart w:id="215" w:name="_Toc184312138"/>
      <w:bookmarkEnd w:id="215"/>
      <w:bookmarkStart w:id="216" w:name="_Toc184310279"/>
      <w:bookmarkEnd w:id="216"/>
      <w:bookmarkStart w:id="217" w:name="_Toc184312119"/>
      <w:bookmarkEnd w:id="217"/>
      <w:bookmarkStart w:id="218" w:name="_Toc184313266"/>
      <w:bookmarkEnd w:id="218"/>
      <w:bookmarkStart w:id="219" w:name="_Toc184310293"/>
      <w:bookmarkEnd w:id="219"/>
      <w:bookmarkStart w:id="220" w:name="_Toc184312087"/>
      <w:bookmarkEnd w:id="220"/>
      <w:bookmarkStart w:id="221" w:name="_Toc184312125"/>
      <w:bookmarkEnd w:id="221"/>
      <w:bookmarkStart w:id="222" w:name="_Toc184314410"/>
      <w:bookmarkEnd w:id="222"/>
      <w:bookmarkStart w:id="223" w:name="_Toc184308087"/>
      <w:bookmarkEnd w:id="223"/>
      <w:bookmarkStart w:id="224" w:name="_Toc184313267"/>
      <w:bookmarkEnd w:id="224"/>
      <w:bookmarkStart w:id="225" w:name="_Toc184310343"/>
      <w:bookmarkEnd w:id="225"/>
      <w:bookmarkStart w:id="226" w:name="_Toc184314459"/>
      <w:bookmarkEnd w:id="226"/>
      <w:bookmarkStart w:id="227" w:name="_Toc184310302"/>
      <w:bookmarkEnd w:id="227"/>
      <w:bookmarkStart w:id="228" w:name="_Toc184308060"/>
      <w:bookmarkEnd w:id="228"/>
      <w:bookmarkStart w:id="229" w:name="_Toc184308059"/>
      <w:bookmarkEnd w:id="229"/>
      <w:bookmarkStart w:id="230" w:name="_Toc184310324"/>
      <w:bookmarkEnd w:id="230"/>
      <w:bookmarkStart w:id="231" w:name="_Toc184310282"/>
      <w:bookmarkEnd w:id="231"/>
      <w:bookmarkStart w:id="232" w:name="_Toc184314468"/>
      <w:bookmarkEnd w:id="232"/>
      <w:bookmarkStart w:id="233" w:name="_Toc184313277"/>
      <w:bookmarkEnd w:id="233"/>
      <w:bookmarkStart w:id="234" w:name="_Toc184314433"/>
      <w:bookmarkEnd w:id="234"/>
      <w:bookmarkStart w:id="235" w:name="_Toc184314432"/>
      <w:bookmarkEnd w:id="235"/>
      <w:bookmarkStart w:id="236" w:name="_Toc184308089"/>
      <w:bookmarkEnd w:id="236"/>
      <w:bookmarkStart w:id="237" w:name="_Toc184308071"/>
      <w:bookmarkEnd w:id="237"/>
      <w:bookmarkStart w:id="238" w:name="_Toc184308043"/>
      <w:bookmarkEnd w:id="238"/>
      <w:bookmarkStart w:id="239" w:name="_Toc184312106"/>
      <w:bookmarkEnd w:id="239"/>
      <w:bookmarkStart w:id="240" w:name="_Toc184308051"/>
      <w:bookmarkEnd w:id="240"/>
      <w:bookmarkStart w:id="241" w:name="_Toc184308050"/>
      <w:bookmarkEnd w:id="241"/>
      <w:bookmarkStart w:id="242" w:name="_Toc184314453"/>
      <w:bookmarkEnd w:id="242"/>
      <w:bookmarkStart w:id="243" w:name="_Toc184308036"/>
      <w:bookmarkEnd w:id="243"/>
      <w:bookmarkStart w:id="244" w:name="_Toc184312137"/>
      <w:bookmarkEnd w:id="244"/>
      <w:bookmarkStart w:id="245" w:name="_Toc184313295"/>
      <w:bookmarkEnd w:id="245"/>
      <w:bookmarkStart w:id="246" w:name="_Toc184312122"/>
      <w:bookmarkEnd w:id="246"/>
      <w:bookmarkStart w:id="247" w:name="_Toc184310327"/>
      <w:bookmarkEnd w:id="247"/>
      <w:bookmarkStart w:id="248" w:name="_Toc184310299"/>
      <w:bookmarkEnd w:id="248"/>
      <w:bookmarkStart w:id="249" w:name="_Toc184310297"/>
      <w:bookmarkEnd w:id="249"/>
      <w:bookmarkStart w:id="250" w:name="_Toc184313286"/>
      <w:bookmarkEnd w:id="250"/>
      <w:bookmarkStart w:id="251" w:name="_Toc184310335"/>
      <w:bookmarkEnd w:id="251"/>
      <w:bookmarkStart w:id="252" w:name="_Toc184313247"/>
      <w:bookmarkEnd w:id="252"/>
      <w:bookmarkStart w:id="253" w:name="_Toc184313305"/>
      <w:bookmarkEnd w:id="253"/>
      <w:bookmarkStart w:id="254" w:name="_Toc184312108"/>
      <w:bookmarkEnd w:id="254"/>
      <w:bookmarkStart w:id="255" w:name="_Toc184312083"/>
      <w:bookmarkEnd w:id="255"/>
      <w:bookmarkStart w:id="256" w:name="_Toc184312127"/>
      <w:bookmarkEnd w:id="256"/>
      <w:bookmarkStart w:id="257" w:name="_Toc184310281"/>
      <w:bookmarkEnd w:id="257"/>
      <w:bookmarkStart w:id="258" w:name="_Toc184312131"/>
      <w:bookmarkEnd w:id="258"/>
      <w:bookmarkStart w:id="259" w:name="_Toc184314479"/>
      <w:bookmarkEnd w:id="259"/>
      <w:bookmarkStart w:id="260" w:name="_Toc184310342"/>
      <w:bookmarkEnd w:id="260"/>
      <w:bookmarkStart w:id="261" w:name="_Toc184313257"/>
      <w:bookmarkEnd w:id="261"/>
      <w:bookmarkStart w:id="262" w:name="_Toc184313284"/>
      <w:bookmarkEnd w:id="262"/>
      <w:bookmarkStart w:id="263" w:name="_Toc184312079"/>
      <w:bookmarkEnd w:id="263"/>
      <w:bookmarkStart w:id="264" w:name="_Toc184308108"/>
      <w:bookmarkEnd w:id="264"/>
      <w:bookmarkStart w:id="265" w:name="_Toc184310305"/>
      <w:bookmarkEnd w:id="265"/>
      <w:bookmarkStart w:id="266" w:name="_Toc184310330"/>
      <w:bookmarkEnd w:id="266"/>
      <w:bookmarkStart w:id="267" w:name="_Toc184314414"/>
      <w:bookmarkEnd w:id="267"/>
      <w:bookmarkStart w:id="268" w:name="_Toc184310312"/>
      <w:bookmarkEnd w:id="268"/>
      <w:bookmarkStart w:id="269" w:name="_Toc184308070"/>
      <w:bookmarkEnd w:id="269"/>
      <w:bookmarkStart w:id="270" w:name="_Toc184314411"/>
      <w:bookmarkEnd w:id="270"/>
      <w:bookmarkStart w:id="271" w:name="_Toc184314464"/>
      <w:bookmarkEnd w:id="271"/>
      <w:bookmarkStart w:id="272" w:name="_Toc184308067"/>
      <w:bookmarkEnd w:id="272"/>
      <w:bookmarkStart w:id="273" w:name="_Toc184308074"/>
      <w:bookmarkEnd w:id="273"/>
      <w:bookmarkStart w:id="274" w:name="_Toc184313285"/>
      <w:bookmarkEnd w:id="274"/>
      <w:bookmarkStart w:id="275" w:name="_Toc184312080"/>
      <w:bookmarkEnd w:id="275"/>
      <w:bookmarkStart w:id="276" w:name="_Toc184313254"/>
      <w:bookmarkEnd w:id="276"/>
      <w:bookmarkStart w:id="277" w:name="_Toc184314457"/>
      <w:bookmarkEnd w:id="277"/>
      <w:bookmarkStart w:id="278" w:name="_Toc184308079"/>
      <w:bookmarkEnd w:id="278"/>
      <w:bookmarkStart w:id="279" w:name="_Toc184313281"/>
      <w:bookmarkEnd w:id="279"/>
      <w:bookmarkStart w:id="280" w:name="_Toc184312105"/>
      <w:bookmarkEnd w:id="280"/>
      <w:bookmarkStart w:id="281" w:name="_Toc184314455"/>
      <w:bookmarkEnd w:id="281"/>
      <w:bookmarkStart w:id="282" w:name="_Toc184312071"/>
      <w:bookmarkEnd w:id="282"/>
      <w:bookmarkStart w:id="283" w:name="_Toc184313248"/>
      <w:bookmarkEnd w:id="283"/>
      <w:bookmarkStart w:id="284" w:name="_Toc184312128"/>
      <w:bookmarkEnd w:id="284"/>
      <w:bookmarkStart w:id="285" w:name="_Toc184313307"/>
      <w:bookmarkEnd w:id="285"/>
      <w:bookmarkStart w:id="286" w:name="_Toc184308105"/>
      <w:bookmarkEnd w:id="286"/>
      <w:bookmarkStart w:id="287" w:name="_Toc184314454"/>
      <w:bookmarkEnd w:id="287"/>
      <w:bookmarkStart w:id="288" w:name="_Toc184314431"/>
      <w:bookmarkEnd w:id="288"/>
      <w:bookmarkStart w:id="289" w:name="_Toc184308090"/>
      <w:bookmarkEnd w:id="289"/>
      <w:bookmarkStart w:id="290" w:name="_Toc184308062"/>
      <w:bookmarkEnd w:id="290"/>
      <w:bookmarkStart w:id="291" w:name="_Toc184313244"/>
      <w:bookmarkEnd w:id="291"/>
      <w:bookmarkStart w:id="292" w:name="_Toc184313290"/>
      <w:bookmarkEnd w:id="292"/>
      <w:bookmarkStart w:id="293" w:name="_Toc184308052"/>
      <w:bookmarkEnd w:id="293"/>
      <w:bookmarkStart w:id="294" w:name="_Toc184308107"/>
      <w:bookmarkEnd w:id="294"/>
      <w:bookmarkStart w:id="295" w:name="_Toc184310336"/>
      <w:bookmarkEnd w:id="295"/>
      <w:bookmarkStart w:id="296" w:name="_Toc184310337"/>
      <w:bookmarkEnd w:id="296"/>
      <w:bookmarkStart w:id="297" w:name="_Toc184313242"/>
      <w:bookmarkEnd w:id="297"/>
      <w:bookmarkStart w:id="298" w:name="_Toc184308041"/>
      <w:bookmarkEnd w:id="298"/>
      <w:bookmarkStart w:id="299" w:name="_Toc184308101"/>
      <w:bookmarkEnd w:id="299"/>
      <w:bookmarkStart w:id="300" w:name="_Toc184308069"/>
      <w:bookmarkEnd w:id="300"/>
      <w:bookmarkStart w:id="301" w:name="_Toc184308103"/>
      <w:bookmarkEnd w:id="301"/>
      <w:bookmarkStart w:id="302" w:name="_Toc184312121"/>
      <w:bookmarkEnd w:id="302"/>
      <w:bookmarkStart w:id="303" w:name="_Toc184308092"/>
      <w:bookmarkEnd w:id="303"/>
      <w:bookmarkStart w:id="304" w:name="_Toc184308042"/>
      <w:bookmarkEnd w:id="304"/>
      <w:bookmarkStart w:id="305" w:name="_Toc184314423"/>
      <w:bookmarkEnd w:id="305"/>
      <w:bookmarkStart w:id="306" w:name="_Toc184314439"/>
      <w:bookmarkEnd w:id="306"/>
      <w:bookmarkStart w:id="307" w:name="_Toc184312085"/>
      <w:bookmarkEnd w:id="307"/>
      <w:bookmarkStart w:id="308" w:name="_Toc184313268"/>
      <w:bookmarkEnd w:id="308"/>
      <w:bookmarkStart w:id="309" w:name="_Toc184310272"/>
      <w:bookmarkEnd w:id="309"/>
      <w:bookmarkStart w:id="310" w:name="_Toc184308085"/>
      <w:bookmarkEnd w:id="310"/>
      <w:bookmarkStart w:id="311" w:name="_Toc184308063"/>
      <w:bookmarkEnd w:id="311"/>
      <w:bookmarkStart w:id="312" w:name="_Toc184308098"/>
      <w:bookmarkEnd w:id="312"/>
      <w:bookmarkStart w:id="313" w:name="_Toc184310278"/>
      <w:bookmarkEnd w:id="313"/>
      <w:bookmarkStart w:id="314" w:name="_Toc184312097"/>
      <w:bookmarkEnd w:id="314"/>
      <w:bookmarkStart w:id="315" w:name="_Toc184310318"/>
      <w:bookmarkEnd w:id="315"/>
      <w:bookmarkStart w:id="316" w:name="_Toc184314422"/>
      <w:bookmarkEnd w:id="316"/>
      <w:bookmarkStart w:id="317" w:name="_Toc184308057"/>
      <w:bookmarkEnd w:id="317"/>
      <w:bookmarkStart w:id="318" w:name="_Toc184308077"/>
      <w:bookmarkEnd w:id="318"/>
      <w:bookmarkStart w:id="319" w:name="_Toc184313283"/>
      <w:bookmarkEnd w:id="319"/>
      <w:bookmarkStart w:id="320" w:name="_Toc184312068"/>
      <w:bookmarkEnd w:id="320"/>
      <w:bookmarkStart w:id="321" w:name="_Toc184314447"/>
      <w:bookmarkEnd w:id="321"/>
      <w:bookmarkStart w:id="322" w:name="_Toc184310274"/>
      <w:bookmarkEnd w:id="322"/>
      <w:bookmarkStart w:id="323" w:name="_Toc184308037"/>
      <w:bookmarkEnd w:id="323"/>
      <w:bookmarkStart w:id="324" w:name="_Toc184308106"/>
      <w:bookmarkEnd w:id="324"/>
      <w:bookmarkStart w:id="325" w:name="_Toc184313291"/>
      <w:bookmarkEnd w:id="325"/>
      <w:bookmarkStart w:id="326" w:name="_Toc184314428"/>
      <w:bookmarkEnd w:id="326"/>
      <w:bookmarkStart w:id="327" w:name="_Toc184313240"/>
      <w:bookmarkEnd w:id="327"/>
      <w:bookmarkStart w:id="328" w:name="_Toc184308080"/>
      <w:bookmarkEnd w:id="328"/>
      <w:bookmarkStart w:id="329" w:name="_Toc184308049"/>
      <w:bookmarkEnd w:id="329"/>
      <w:bookmarkStart w:id="330" w:name="_Toc184314429"/>
      <w:bookmarkEnd w:id="330"/>
      <w:bookmarkStart w:id="331" w:name="_Toc184314420"/>
      <w:bookmarkEnd w:id="331"/>
      <w:bookmarkStart w:id="332" w:name="_Toc184312102"/>
      <w:bookmarkEnd w:id="332"/>
      <w:bookmarkStart w:id="333" w:name="_Toc184310276"/>
      <w:bookmarkEnd w:id="333"/>
      <w:bookmarkStart w:id="334" w:name="_Toc184310326"/>
      <w:bookmarkEnd w:id="334"/>
      <w:bookmarkStart w:id="335" w:name="_Toc184312081"/>
      <w:bookmarkEnd w:id="335"/>
      <w:bookmarkStart w:id="336" w:name="_Toc184310273"/>
      <w:bookmarkEnd w:id="336"/>
      <w:bookmarkStart w:id="337" w:name="_Toc184312132"/>
      <w:bookmarkEnd w:id="337"/>
      <w:bookmarkStart w:id="338" w:name="_Toc184312075"/>
      <w:bookmarkEnd w:id="338"/>
      <w:bookmarkStart w:id="339" w:name="_Toc184310298"/>
      <w:bookmarkEnd w:id="339"/>
      <w:bookmarkStart w:id="340" w:name="_Toc184312101"/>
      <w:bookmarkEnd w:id="340"/>
      <w:bookmarkStart w:id="341" w:name="_Toc184312110"/>
      <w:bookmarkEnd w:id="341"/>
      <w:bookmarkStart w:id="342" w:name="_Toc184308093"/>
      <w:bookmarkEnd w:id="342"/>
      <w:bookmarkStart w:id="343" w:name="_Toc184312084"/>
      <w:bookmarkEnd w:id="343"/>
      <w:bookmarkStart w:id="344" w:name="_Toc184308081"/>
      <w:bookmarkEnd w:id="344"/>
      <w:bookmarkStart w:id="345" w:name="_Toc184308058"/>
      <w:bookmarkEnd w:id="345"/>
      <w:bookmarkStart w:id="346" w:name="_Toc184308091"/>
      <w:bookmarkEnd w:id="346"/>
      <w:bookmarkStart w:id="347" w:name="_Toc184308075"/>
      <w:bookmarkEnd w:id="347"/>
      <w:bookmarkStart w:id="348" w:name="_Toc184313269"/>
      <w:bookmarkEnd w:id="348"/>
      <w:bookmarkStart w:id="349" w:name="_Toc184308068"/>
      <w:bookmarkEnd w:id="349"/>
      <w:bookmarkStart w:id="350" w:name="_Toc184312112"/>
      <w:bookmarkEnd w:id="350"/>
      <w:bookmarkStart w:id="351" w:name="_Toc184312078"/>
      <w:bookmarkEnd w:id="351"/>
      <w:bookmarkStart w:id="352" w:name="_Toc184314474"/>
      <w:bookmarkEnd w:id="352"/>
      <w:bookmarkStart w:id="353" w:name="_Toc184313275"/>
      <w:bookmarkEnd w:id="353"/>
      <w:bookmarkStart w:id="354" w:name="_Toc184308061"/>
      <w:bookmarkEnd w:id="354"/>
      <w:bookmarkStart w:id="355" w:name="_Toc184314473"/>
      <w:bookmarkEnd w:id="355"/>
      <w:bookmarkStart w:id="356" w:name="_Toc184313243"/>
      <w:bookmarkEnd w:id="356"/>
      <w:bookmarkStart w:id="357" w:name="_Toc184314446"/>
      <w:bookmarkEnd w:id="357"/>
      <w:bookmarkStart w:id="358" w:name="_Toc184308088"/>
      <w:bookmarkEnd w:id="358"/>
      <w:bookmarkStart w:id="359" w:name="_Toc184308056"/>
      <w:bookmarkEnd w:id="359"/>
      <w:bookmarkStart w:id="360" w:name="_Toc184312095"/>
      <w:bookmarkEnd w:id="360"/>
      <w:bookmarkStart w:id="361" w:name="_Toc184313274"/>
      <w:bookmarkEnd w:id="361"/>
      <w:bookmarkStart w:id="362" w:name="_Toc184308044"/>
      <w:bookmarkEnd w:id="362"/>
      <w:bookmarkStart w:id="363" w:name="_Toc184313297"/>
      <w:bookmarkEnd w:id="363"/>
      <w:bookmarkStart w:id="364" w:name="_Toc184313270"/>
      <w:bookmarkEnd w:id="364"/>
      <w:bookmarkStart w:id="365" w:name="_Toc184310277"/>
      <w:bookmarkEnd w:id="365"/>
      <w:bookmarkStart w:id="366" w:name="_Toc184312090"/>
      <w:bookmarkEnd w:id="366"/>
      <w:bookmarkStart w:id="367" w:name="_Toc184314421"/>
      <w:bookmarkEnd w:id="367"/>
      <w:bookmarkStart w:id="368" w:name="_Toc184312070"/>
      <w:bookmarkEnd w:id="368"/>
      <w:bookmarkStart w:id="369" w:name="_Toc184314466"/>
      <w:bookmarkEnd w:id="369"/>
      <w:bookmarkStart w:id="370" w:name="_Toc184314436"/>
      <w:bookmarkEnd w:id="370"/>
      <w:bookmarkStart w:id="371" w:name="_Toc184308065"/>
      <w:bookmarkEnd w:id="371"/>
      <w:bookmarkStart w:id="372" w:name="_Toc184310331"/>
      <w:bookmarkEnd w:id="372"/>
      <w:bookmarkStart w:id="373" w:name="_Toc184313263"/>
      <w:bookmarkEnd w:id="373"/>
      <w:bookmarkStart w:id="374" w:name="_Toc184310341"/>
      <w:bookmarkEnd w:id="374"/>
      <w:bookmarkStart w:id="375" w:name="_Toc184312092"/>
      <w:bookmarkEnd w:id="375"/>
      <w:bookmarkStart w:id="376" w:name="_Toc184313265"/>
      <w:bookmarkEnd w:id="376"/>
      <w:bookmarkStart w:id="377" w:name="_Toc184314477"/>
      <w:bookmarkEnd w:id="377"/>
      <w:bookmarkStart w:id="378" w:name="_Toc184310296"/>
      <w:bookmarkEnd w:id="378"/>
      <w:bookmarkStart w:id="379" w:name="_Toc184314419"/>
      <w:bookmarkEnd w:id="379"/>
      <w:bookmarkStart w:id="380" w:name="_Toc184310325"/>
      <w:bookmarkEnd w:id="380"/>
      <w:bookmarkStart w:id="381" w:name="_Toc184314481"/>
      <w:bookmarkEnd w:id="381"/>
      <w:bookmarkStart w:id="382" w:name="_Toc184313279"/>
      <w:bookmarkEnd w:id="382"/>
      <w:bookmarkStart w:id="383" w:name="_Toc184314440"/>
      <w:bookmarkEnd w:id="383"/>
      <w:bookmarkStart w:id="384" w:name="_Toc184313276"/>
      <w:bookmarkEnd w:id="384"/>
      <w:bookmarkStart w:id="385" w:name="_Toc184308094"/>
      <w:bookmarkEnd w:id="385"/>
      <w:bookmarkStart w:id="386" w:name="_Toc184312072"/>
      <w:bookmarkEnd w:id="386"/>
      <w:bookmarkStart w:id="387" w:name="_Toc184310344"/>
      <w:bookmarkEnd w:id="387"/>
      <w:bookmarkStart w:id="388" w:name="_Toc184314451"/>
      <w:bookmarkEnd w:id="388"/>
      <w:bookmarkStart w:id="389" w:name="_Toc184312123"/>
      <w:bookmarkEnd w:id="389"/>
      <w:bookmarkStart w:id="390" w:name="_Toc184314441"/>
      <w:bookmarkEnd w:id="390"/>
      <w:bookmarkStart w:id="391" w:name="_Toc184312136"/>
      <w:bookmarkEnd w:id="391"/>
      <w:bookmarkStart w:id="392" w:name="_Toc184314442"/>
      <w:bookmarkEnd w:id="392"/>
      <w:bookmarkStart w:id="393" w:name="_Toc184308066"/>
      <w:bookmarkEnd w:id="393"/>
      <w:bookmarkStart w:id="394" w:name="_Toc184314462"/>
      <w:bookmarkEnd w:id="394"/>
      <w:r>
        <w:rPr>
          <w:rFonts w:hint="eastAsia" w:ascii="宋体" w:hAnsi="宋体" w:cs="宋体"/>
          <w:b/>
          <w:sz w:val="36"/>
          <w:szCs w:val="36"/>
        </w:rPr>
        <w:t>评标办法</w:t>
      </w:r>
    </w:p>
    <w:p>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bookmarkEnd w:id="6"/>
    <w:tbl>
      <w:tblPr>
        <w:tblStyle w:val="25"/>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56"/>
        <w:gridCol w:w="863"/>
        <w:gridCol w:w="527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b/>
                <w:bCs/>
                <w:sz w:val="24"/>
              </w:rPr>
            </w:pPr>
            <w:bookmarkStart w:id="395" w:name="第五部分"/>
            <w:bookmarkStart w:id="396" w:name="_Toc86217003"/>
            <w:r>
              <w:rPr>
                <w:rFonts w:hint="eastAsia" w:asciiTheme="minorEastAsia" w:hAnsiTheme="minorEastAsia" w:eastAsiaTheme="minorEastAsia" w:cstheme="minorEastAsia"/>
                <w:b/>
                <w:bCs/>
                <w:sz w:val="24"/>
              </w:rPr>
              <w:t>序号</w:t>
            </w:r>
          </w:p>
        </w:tc>
        <w:tc>
          <w:tcPr>
            <w:tcW w:w="856"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评审项目</w:t>
            </w: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评审办法</w:t>
            </w:r>
          </w:p>
        </w:tc>
        <w:tc>
          <w:tcPr>
            <w:tcW w:w="740"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491" w:type="dxa"/>
            <w:gridSpan w:val="4"/>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（一）商务分（1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tc>
        <w:tc>
          <w:tcPr>
            <w:tcW w:w="740" w:type="dxa"/>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99"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w:t>
            </w:r>
          </w:p>
        </w:tc>
        <w:tc>
          <w:tcPr>
            <w:tcW w:w="856"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体系认证</w:t>
            </w: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1.投标人具有ISO9001质量管理体系认证的得2分；</w:t>
            </w:r>
          </w:p>
        </w:tc>
        <w:tc>
          <w:tcPr>
            <w:tcW w:w="740" w:type="dxa"/>
            <w:vMerge w:val="restart"/>
            <w:shd w:val="clear" w:color="auto" w:fill="auto"/>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2.投标人具有ISO14001环境管理体系认证的得2分；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3.投标人具有ISO27001信息安全管理体系认证的得2分；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4.投标人具有ISO37301合规管理体系认证的得2分；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注：提供证书复印件及全国认证认可信息公共服务平台（http://cx.cnca.cn/）查询验证截图，要求在有效期内，若无法查询或查询结果与证书不符的不得分，未提供或提供不齐全的不得分。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w:t>
            </w:r>
          </w:p>
        </w:tc>
        <w:tc>
          <w:tcPr>
            <w:tcW w:w="856"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企业实力</w:t>
            </w:r>
          </w:p>
        </w:tc>
        <w:tc>
          <w:tcPr>
            <w:tcW w:w="6136" w:type="dxa"/>
            <w:gridSpan w:val="2"/>
            <w:shd w:val="clear" w:color="auto" w:fill="auto"/>
            <w:vAlign w:val="center"/>
          </w:tcPr>
          <w:p>
            <w:pPr>
              <w:widowControl/>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、投标人具备信息安全服务资质（安全开发）的得1分。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、投标人具备知识产权管理体系认证的得1分。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、投标人具备ISO27701隐私管理体系认证的得1分。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注：（需提供证书原件扫描件，不提供不得分）。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p>
        </w:tc>
        <w:tc>
          <w:tcPr>
            <w:tcW w:w="856"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类似项目业绩</w:t>
            </w:r>
          </w:p>
        </w:tc>
        <w:tc>
          <w:tcPr>
            <w:tcW w:w="6136" w:type="dxa"/>
            <w:gridSpan w:val="2"/>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投标人2021年1月1日以来（以合同签订时间为准）类似案例，每提供1个得1分，最多得1分。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注：（须同时提供中标通知书、合同原件的扫描件否则不得分。） </w:t>
            </w:r>
          </w:p>
        </w:tc>
        <w:tc>
          <w:tcPr>
            <w:tcW w:w="740" w:type="dxa"/>
            <w:shd w:val="clear" w:color="auto" w:fill="auto"/>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491" w:type="dxa"/>
            <w:gridSpan w:val="4"/>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（二）技术分（7</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p>
        </w:tc>
        <w:tc>
          <w:tcPr>
            <w:tcW w:w="740" w:type="dxa"/>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w:t>
            </w:r>
          </w:p>
        </w:tc>
        <w:tc>
          <w:tcPr>
            <w:tcW w:w="856"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技术方案</w:t>
            </w: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项目理解</w:t>
            </w:r>
          </w:p>
        </w:tc>
        <w:tc>
          <w:tcPr>
            <w:tcW w:w="5273" w:type="dxa"/>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根据投标人对本项目信息化现状、问题、提升、需求、总体规划理解和分析情况评分：</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1、认识准确、分析到位的，得3-4分；</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2、认识较准确、分析较到位的，得1-2分；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3、认识不准确、分析不到位的，得0分。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系统分析及方案设计</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能够充分理解项目需求，架构合理，产品和技术成熟，提供详细的技术方案与系统演示响应。对需求理解、解决方案、系统演示响应程度综合评价</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1、总体设计架构清晰、内容详实、描述合理的，得5分；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2、总体设计架构较清晰、内容较详实、描述较合理的，得2.5分；</w:t>
            </w:r>
          </w:p>
          <w:p>
            <w:pPr>
              <w:widowControl/>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3、总体</w:t>
            </w:r>
            <w:r>
              <w:rPr>
                <w:rFonts w:hint="eastAsia" w:asciiTheme="minorEastAsia" w:hAnsiTheme="minorEastAsia" w:eastAsiaTheme="minorEastAsia" w:cstheme="minorEastAsia"/>
                <w:sz w:val="24"/>
                <w:highlight w:val="none"/>
              </w:rPr>
              <w:t>设计架构不清晰、内容不详实、描述不合理的，得0分。</w:t>
            </w:r>
          </w:p>
          <w:p>
            <w:pPr>
              <w:widowControl/>
              <w:spacing w:line="40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highlight w:val="none"/>
                <w:lang w:val="en-US" w:eastAsia="zh-CN"/>
              </w:rPr>
              <w:t>4、数据共享：</w:t>
            </w:r>
            <w:r>
              <w:rPr>
                <w:rFonts w:ascii="宋体" w:hAnsi="宋体" w:eastAsia="宋体" w:cs="宋体"/>
                <w:sz w:val="24"/>
                <w:szCs w:val="24"/>
                <w:highlight w:val="none"/>
              </w:rPr>
              <w:t>学生基础数据实现与浙江省中小学学籍系统交互，综合素质评价小学与初中学段与浙江省义务教育阶段成长记录系统实现评价交互，综合素质评价初中学段可继承、溯源学生的小学阶段成长档案袋记录，多渠道实现一体化数据平台</w:t>
            </w:r>
            <w:r>
              <w:rPr>
                <w:rFonts w:hint="eastAsia" w:asciiTheme="minorEastAsia" w:hAnsiTheme="minorEastAsia" w:eastAsiaTheme="minorEastAsia" w:cstheme="minorEastAsia"/>
                <w:sz w:val="24"/>
                <w:highlight w:val="none"/>
                <w:lang w:val="en-US" w:eastAsia="zh-CN"/>
              </w:rPr>
              <w:t>（3分）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b/>
                <w:bCs/>
                <w:sz w:val="24"/>
              </w:rPr>
            </w:pP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技术响应</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根据投标技术响应情况进行评分：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参数低于招标文件要求（非实质性偏离）的技术参数、技术规格、技术规范和技术要求的每项扣0.2分，扣完为止；</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标“★”为核心参数，每条不满足的扣0.5分，必须提供有软件功能截图并加盖公章。</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99"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w:t>
            </w:r>
          </w:p>
        </w:tc>
        <w:tc>
          <w:tcPr>
            <w:tcW w:w="856"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实施和售后服务</w:t>
            </w: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实施方案</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1、对投标人提供的针对本项目的实施方案，包含项目组织及人员安排、项目实施计划、项目进度保障措施、项目质量保障措施等，根据方案描述综合评分（0-</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具有有效的项目管理工具且具备项目启动管理功能、项目进场管理功能、项目实施管理功能、项目上线管理功能、项目验收管理功能、项目转维管理功能（需提供功能界面截图，功能截图上需有公司名称或简称，不提供不得分），</w:t>
            </w:r>
            <w:r>
              <w:rPr>
                <w:rFonts w:hint="eastAsia" w:asciiTheme="minorEastAsia" w:hAnsiTheme="minorEastAsia" w:eastAsiaTheme="minorEastAsia" w:cstheme="minorEastAsia"/>
                <w:sz w:val="24"/>
                <w:highlight w:val="none"/>
                <w:lang w:val="en-US" w:eastAsia="zh-CN"/>
              </w:rPr>
              <w:t>共2</w:t>
            </w:r>
            <w:r>
              <w:rPr>
                <w:rFonts w:hint="eastAsia" w:asciiTheme="minorEastAsia" w:hAnsiTheme="minorEastAsia" w:eastAsiaTheme="minorEastAsia" w:cstheme="minorEastAsia"/>
                <w:sz w:val="24"/>
                <w:highlight w:val="none"/>
              </w:rPr>
              <w:t>分，每</w:t>
            </w:r>
            <w:r>
              <w:rPr>
                <w:rFonts w:hint="eastAsia" w:asciiTheme="minorEastAsia" w:hAnsiTheme="minorEastAsia" w:eastAsiaTheme="minorEastAsia" w:cstheme="minorEastAsia"/>
                <w:sz w:val="24"/>
                <w:highlight w:val="none"/>
                <w:lang w:val="en-US" w:eastAsia="zh-CN"/>
              </w:rPr>
              <w:t>缺少1</w:t>
            </w:r>
            <w:r>
              <w:rPr>
                <w:rFonts w:hint="eastAsia" w:asciiTheme="minorEastAsia" w:hAnsiTheme="minorEastAsia" w:eastAsiaTheme="minorEastAsia" w:cstheme="minorEastAsia"/>
                <w:sz w:val="24"/>
                <w:highlight w:val="none"/>
              </w:rPr>
              <w:t>个功能</w:t>
            </w:r>
            <w:r>
              <w:rPr>
                <w:rFonts w:hint="eastAsia" w:asciiTheme="minorEastAsia" w:hAnsiTheme="minorEastAsia" w:eastAsiaTheme="minorEastAsia" w:cstheme="minorEastAsia"/>
                <w:sz w:val="24"/>
                <w:highlight w:val="none"/>
                <w:lang w:val="en-US" w:eastAsia="zh-CN"/>
              </w:rPr>
              <w:t>扣</w:t>
            </w:r>
            <w:r>
              <w:rPr>
                <w:rFonts w:hint="eastAsia" w:asciiTheme="minorEastAsia" w:hAnsiTheme="minorEastAsia" w:eastAsiaTheme="minorEastAsia" w:cstheme="minorEastAsia"/>
                <w:sz w:val="24"/>
                <w:highlight w:val="none"/>
              </w:rPr>
              <w:t>0.5分。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培训方案</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1.投标人提供培训方案中包括培训计划、培训内容、培训方式等详细说明，提供详细完整可行的得2分，提供基本完整、基本可行的得1分；未提供或提供的方案不可行的不得分。</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2.投标人通过ISO10015培训管理体系认证的得2分。（提供证书复印件，不提供不得分）</w:t>
            </w:r>
          </w:p>
        </w:tc>
        <w:tc>
          <w:tcPr>
            <w:tcW w:w="740" w:type="dxa"/>
            <w:shd w:val="clear" w:color="auto" w:fill="auto"/>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售后服务方案</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对投标人提供的运维服务及售后服务方案，包括维保方案、应急响应措施、巡检计划等进行评估，根据方案完整合理、可行性强、满足要求等方面进行综合评分（0-</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投标人通过ISO10002 顾客投诉管理体系的得2分。（提供证书复印件，不提供不得分）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服务团队能力</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1.项目拟派项目负责人具有系统分析师证书，且同时具有软件设计师、PMP、CISAW证书得2分；</w:t>
            </w:r>
          </w:p>
        </w:tc>
        <w:tc>
          <w:tcPr>
            <w:tcW w:w="740" w:type="dxa"/>
            <w:vMerge w:val="restart"/>
            <w:shd w:val="clear" w:color="auto" w:fill="auto"/>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2.项目拟派项目采购商务经理具有CPPM（注册职业采购经理）及采购师证书得2分；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3.项目拟派基础架构团队，团队人员中具有ITIL(IT基础架构库)认证证书的，每有1人，得1分，满分3分。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4.项目拟派项目实施团队，团队人员中具有软注册信息安全（CISP）证书、IT服务工程师证书，CISAW信息安全保障人员认证证书，每类得1分，最多得3分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99"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1）.提供项目团队成员相关有效证书复印件且加盖公章；</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2）.提供项目团队近3个月任意一个月的社保证明扫描件；</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3）.上述材料以上两者缺一不可，不提供或者提供不全的视为不得分。</w:t>
            </w:r>
          </w:p>
        </w:tc>
        <w:tc>
          <w:tcPr>
            <w:tcW w:w="740" w:type="dxa"/>
            <w:vMerge w:val="continue"/>
            <w:shd w:val="clear" w:color="auto" w:fill="auto"/>
            <w:vAlign w:val="center"/>
          </w:tcPr>
          <w:p>
            <w:pPr>
              <w:widowControl/>
              <w:spacing w:line="4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w:t>
            </w:r>
          </w:p>
        </w:tc>
        <w:tc>
          <w:tcPr>
            <w:tcW w:w="856" w:type="dxa"/>
            <w:vMerge w:val="restart"/>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系统演示</w:t>
            </w:r>
          </w:p>
        </w:tc>
        <w:tc>
          <w:tcPr>
            <w:tcW w:w="863" w:type="dxa"/>
            <w:shd w:val="clear" w:color="auto" w:fill="auto"/>
            <w:vAlign w:val="center"/>
          </w:tcPr>
          <w:p>
            <w:pPr>
              <w:widowControl/>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学在本地功能演示</w:t>
            </w:r>
          </w:p>
        </w:tc>
        <w:tc>
          <w:tcPr>
            <w:tcW w:w="5273" w:type="dxa"/>
            <w:shd w:val="clear" w:color="auto" w:fill="auto"/>
            <w:vAlign w:val="center"/>
          </w:tcPr>
          <w:p>
            <w:pPr>
              <w:widowControl/>
              <w:numPr>
                <w:ilvl w:val="0"/>
                <w:numId w:val="0"/>
              </w:numPr>
              <w:spacing w:line="400" w:lineRule="exact"/>
              <w:rPr>
                <w:rFonts w:hint="default" w:asciiTheme="minorEastAsia" w:hAnsiTheme="minorEastAsia" w:eastAsiaTheme="minorEastAsia" w:cstheme="minorEastAsia"/>
                <w:sz w:val="24"/>
                <w:highlight w:val="none"/>
                <w:lang w:val="en-US"/>
              </w:rPr>
            </w:pPr>
            <w:r>
              <w:rPr>
                <w:rFonts w:ascii="宋体" w:hAnsi="宋体" w:eastAsia="宋体" w:cs="宋体"/>
                <w:sz w:val="24"/>
                <w:szCs w:val="24"/>
                <w:highlight w:val="none"/>
              </w:rPr>
              <w:t>说明：本次采用真实系统进行演示（</w:t>
            </w:r>
            <w:r>
              <w:rPr>
                <w:rFonts w:hint="eastAsia" w:ascii="宋体" w:hAnsi="宋体" w:cs="宋体"/>
                <w:sz w:val="24"/>
                <w:szCs w:val="24"/>
                <w:highlight w:val="none"/>
                <w:lang w:val="en-US" w:eastAsia="zh-CN"/>
              </w:rPr>
              <w:t>现场演示</w:t>
            </w:r>
            <w:r>
              <w:rPr>
                <w:rFonts w:ascii="宋体" w:hAnsi="宋体" w:eastAsia="宋体" w:cs="宋体"/>
                <w:sz w:val="24"/>
                <w:szCs w:val="24"/>
                <w:highlight w:val="none"/>
              </w:rPr>
              <w:t>），演示时间不超过</w:t>
            </w:r>
            <w:r>
              <w:rPr>
                <w:rFonts w:hint="eastAsia" w:ascii="宋体" w:hAnsi="宋体" w:cs="宋体"/>
                <w:sz w:val="24"/>
                <w:szCs w:val="24"/>
                <w:highlight w:val="none"/>
                <w:lang w:val="en-US" w:eastAsia="zh-CN"/>
              </w:rPr>
              <w:t>20</w:t>
            </w:r>
            <w:r>
              <w:rPr>
                <w:rFonts w:ascii="宋体" w:hAnsi="宋体" w:eastAsia="宋体" w:cs="宋体"/>
                <w:sz w:val="24"/>
                <w:szCs w:val="24"/>
                <w:highlight w:val="none"/>
              </w:rPr>
              <w:t>分钟，</w:t>
            </w:r>
            <w:r>
              <w:rPr>
                <w:rFonts w:hint="eastAsia" w:ascii="宋体" w:hAnsi="宋体" w:cs="宋体"/>
                <w:sz w:val="24"/>
                <w:szCs w:val="24"/>
                <w:highlight w:val="none"/>
                <w:lang w:val="en-US" w:eastAsia="zh-CN"/>
              </w:rPr>
              <w:t>演示分</w:t>
            </w:r>
            <w:r>
              <w:rPr>
                <w:rFonts w:ascii="宋体" w:hAnsi="宋体" w:eastAsia="宋体" w:cs="宋体"/>
                <w:sz w:val="24"/>
                <w:szCs w:val="24"/>
                <w:highlight w:val="none"/>
              </w:rPr>
              <w:t>最高</w:t>
            </w:r>
            <w:r>
              <w:rPr>
                <w:rFonts w:hint="eastAsia" w:ascii="宋体" w:hAnsi="宋体" w:cs="宋体"/>
                <w:sz w:val="24"/>
                <w:szCs w:val="24"/>
                <w:highlight w:val="none"/>
                <w:lang w:val="en-US" w:eastAsia="zh-CN"/>
              </w:rPr>
              <w:t>30</w:t>
            </w:r>
            <w:r>
              <w:rPr>
                <w:rFonts w:ascii="宋体" w:hAnsi="宋体" w:eastAsia="宋体" w:cs="宋体"/>
                <w:sz w:val="24"/>
                <w:szCs w:val="24"/>
                <w:highlight w:val="none"/>
              </w:rPr>
              <w:t>分。设计原型或PPT演示不得分，未提供演示或因投标方自身原因所造成的不能正常演示或演示不满足要求的不得分</w:t>
            </w:r>
            <w:r>
              <w:rPr>
                <w:rFonts w:hint="eastAsia" w:asciiTheme="minorEastAsia" w:hAnsiTheme="minorEastAsia" w:eastAsiaTheme="minorEastAsia" w:cstheme="minorEastAsia"/>
                <w:sz w:val="24"/>
                <w:highlight w:val="none"/>
                <w:lang w:val="en-US" w:eastAsia="zh-CN"/>
              </w:rPr>
              <w:t>。</w:t>
            </w:r>
          </w:p>
          <w:p>
            <w:pPr>
              <w:widowControl/>
              <w:numPr>
                <w:ilvl w:val="0"/>
                <w:numId w:val="5"/>
              </w:numPr>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站点可视化管理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1.演示页面构建：页面版块样式从组件库中一键创建。（1分）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2.演示页面内容排序：可通过拖拽排序组件，实现内容版块位置的灵活配置。（1分）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3.演示自定义组件：版块内容在配置完成后，可以将配置的内容一键保存为自定义组件，在下次配置相同版块内容是，可以从自定义组件库中一键选择，并且可以修改编辑。（1分）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4.演示回收站功能：配置好的二级页面可以进行删除，删除后进入回收站；进入回收站的二级页面可以一键恢复，重新使用。（1分）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5.演示页面复制功能：配置好的页面可以一键复制保存为二级页面，以便在其它配置的时候利用。（1分）</w:t>
            </w:r>
          </w:p>
          <w:p>
            <w:pPr>
              <w:widowControl/>
              <w:spacing w:line="4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二、页面实时预览及快速发布</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1.演示实时预览功能：在站点内容配置操作时，用户能够在同一页面上实时看到站点内容效果；同时实现“浙里办”APP端、“浙里办”微信小程序端、“浙里办”支付宝小程序端分别预览呈现。（</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2.演示内容快速发布功能：“学在长兴”平台内容可通过配置的方式（零代码）快速调整，调整变化可实时预览，发布后在“浙里办”端即可实现内容的更新。（1分）</w:t>
            </w:r>
          </w:p>
          <w:p>
            <w:pPr>
              <w:widowControl/>
              <w:spacing w:line="4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三、“浙里办”三端发布</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演示“浙里办”APP端、“浙里办”微信小程序端、“浙里办”支付宝小程序端的服务内容可通过站点内容管理进行配置，只需在内容配置时选择好发布端即可实现在哪一端发布，在预览区可以实时预览。（1分）</w:t>
            </w:r>
          </w:p>
          <w:p>
            <w:pPr>
              <w:widowControl/>
              <w:spacing w:line="400" w:lineRule="exac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四、PC端工作门户演示</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1.演示个人门户自定义配置功能：可以自由的配置个人门户的版块内容，可以一键增加或删除的内容版块，配置好的内容通过鼠标的拖拽改变摆放的位置和版块的大小。（1分）</w:t>
            </w:r>
          </w:p>
          <w:p>
            <w:pPr>
              <w:widowControl/>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演示组合组件功能：组合组件能够实现多个版块可以自由的组合在一起，通过切合组件版块的Tab切换到相应的版块内容。如演示在组合组件中添加活动版块，只要点击组合组件中的显示“+”符号的Tab页，系统自动弹出用户能够添加全部功能应用，点击“添加”即可添加到组合组件Tab页中使用。（</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演示待办事项功能：在一个工作台已经集成的应用中，发起一个新的待办任务给用户，该用户在登录工作台后，在待办事项栏中能够看到该条待办任务（包括应用名称、发起时间等），点击该待办任务，能够直接登录发起该待办任务的系统的办理页面进行处理。（1分）</w:t>
            </w:r>
          </w:p>
          <w:p>
            <w:pPr>
              <w:widowControl/>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演示多端发布功能：以活动发布为例，在活动发布的时候可以进行发布端的选择。在选择浙里办端时，可以按用户类型（学生、教师、家长、社会学习者）进行发布，选择好的类型用户可以看到该活动，为选择的类型用户看不到该活动；选择工作台端时，可以按组织或按角色选择用户，选定的用户可以看到该活动，未选定的用户看不到该活动。（</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演示提醒功能：提醒功能在工作台首页以组件的模式展现并提供服务，提醒组件是以万年历为基础，有提醒任务的日期，在该日期下方以小点形式进行提示，点击该日期，在组件的右侧部分展示提醒任务的内容。提醒功能既实现对自己的提醒，也可以提醒他人：演示模拟建立一个提醒任务，既提醒自己又提醒他人，被提醒的用户在登录工作门户后，可以看到该提醒内容。（1分）</w:t>
            </w:r>
          </w:p>
          <w:p>
            <w:pPr>
              <w:widowControl/>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演示会议功能与提醒功能的结合：在会议功能中新建一个会议通知，设定好会议参会对象，参会用户在登录工作门户后，在会议模块能够看到该会议通知，同时在提醒功能模块中也能看到会议召开日期那天系统自动建立了一个会议参会提醒任务。（1分）</w:t>
            </w:r>
          </w:p>
          <w:p>
            <w:pPr>
              <w:widowControl/>
              <w:spacing w:line="4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 演示活动功能与提醒功能的结合：在活动功能中新建一个活动通知，设定好活动参加对象，活动参加用户在登录工作门户后，在活动模块能够看到该活动通知，同时在提醒功能模块中也能看到活动开始日期那天系统自动建立了一个参加活动的提醒任务。（1分）</w:t>
            </w:r>
          </w:p>
        </w:tc>
        <w:tc>
          <w:tcPr>
            <w:tcW w:w="740" w:type="dxa"/>
            <w:shd w:val="clear" w:color="auto" w:fill="auto"/>
            <w:vAlign w:val="center"/>
          </w:tcPr>
          <w:p>
            <w:pPr>
              <w:widowControl/>
              <w:spacing w:line="4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vMerge w:val="continue"/>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综合素质评价系统演示</w:t>
            </w:r>
          </w:p>
        </w:tc>
        <w:tc>
          <w:tcPr>
            <w:tcW w:w="5273" w:type="dxa"/>
            <w:shd w:val="clear" w:color="auto" w:fill="auto"/>
            <w:vAlign w:val="center"/>
          </w:tcPr>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数据看板。学校内不同角色可以通过数据看板查看自己权限范围内的评价工作开展情况(从校、年级、班级到学生个人):学校管理员可以查看全校范围内的数据，包括但不限于评价总量、参与评价教师，学生评价情况、覆盖率等相关维度数据，可查看教师评价量统计形成的环形对比图以及教师信息。可查看各个年级的评价量的趋势分析，可以按照日期筛选，当选择本日时显示今天、昨天、前天的各年级评价量的趋势分析图。可查看各指标评价量。可查看全校范围内给学生发卡学生已扫码总数、学校发卡总数和剩余已发卡单但未扫码数。年级组长可以通过数据看板及时查看评价工作开展情况，主要包含:数据总览、教师评价量统计、班级评价量统计、各指标评价量、学生发卡扫码统计。班主任或任课教师可以查看班级的数据总览、教师评价量统计、学生总分排行、各指标评价量、学生发卡扫码统计等。各项数据通过系统采集实现数据实时更新。（2分）</w:t>
            </w:r>
          </w:p>
          <w:p>
            <w:pPr>
              <w:widowControl/>
              <w:spacing w:line="400" w:lineRule="exact"/>
              <w:rPr>
                <w:rFonts w:hint="eastAsia" w:asciiTheme="minorEastAsia" w:hAnsiTheme="minorEastAsia" w:eastAsiaTheme="minorEastAsia" w:cstheme="minorEastAsia"/>
                <w:sz w:val="24"/>
              </w:rPr>
            </w:pP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学期评价设置。1、设置分类指标：学校可以新增项目指标，调整项目比例，可以自行填写评价要求与内容；若已有指标和指标比例（上级统一设置应用到各个学校），项目比例未满100%的可自行再增设指标和比例，项目的总比例不能超100%。2、设置项目比例：可以选择按年级或者按班级设置，各个项目的A和C等的比例，需符合上级标准。若每个班级的AC比例相同可直接“按年级”设置，若班级之间的比例有差别需使用“按班级”模式，可使用批量设置进行统一设置，再针对性按班级修改。3、设置分类指标权重：包括民主评议细则、民主评议和测试评定百分比，若设置了测试评定有占比，则必须选择“关联班级课程”关联某一门课程，这门课程的得分将会用于等第的测算。4、设置重分条件：当出现同分学生时，需按权重高低依次检测项目明细得分，排出学生前后名次。在对应的权重级别右侧选择对应的项目名字，权重由上至下逐渐减弱。5、评价小组设置：除评价管理员外，班主任也可自行设置。按照班级和具体项目明细设置对应的评价教师和学生小组，学生小组不得少于两人，设置的评价教师将完成此项目下所有小组成员的教师评。完成一项评价小组设置后，支持使用复制将分组结果复制到其他项目。录入前允许调整小组成员和评价教师。（2分）</w:t>
            </w:r>
          </w:p>
          <w:p>
            <w:pPr>
              <w:widowControl/>
              <w:spacing w:line="400" w:lineRule="exact"/>
              <w:rPr>
                <w:rFonts w:hint="eastAsia" w:asciiTheme="minorEastAsia" w:hAnsiTheme="minorEastAsia" w:eastAsiaTheme="minorEastAsia" w:cstheme="minorEastAsia"/>
                <w:sz w:val="24"/>
              </w:rPr>
            </w:pP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学生成长树。1、设置成长树对应分值。支持配置不同的积分区间值对应的成长的图片，区间的个数可自定义。2、学生主页树随着积分长大。当学生被通过各种途径评价后，所选的评价指标的分值会自动以气泡的形式出现在学生移动端的界面，气泡上会显示勋章的数量，气泡下会显示老师所评价的具体的一级指标名称。点击对应气泡即弹出收取页面，将显示该积分具体的收获来源。积分自动累加至成长积分或减少积分。树对应设置的积分值显示。勋章与积分的来源主要有教师评价、发卡评价、完成任务、学生获奖、家长评价等，若学生没有及时收取气泡，系统会自动帮助学生收取。成长积分中展现学生所得的累计积分。当学生收取积分气泡或扫描成长积分卡后，此处的数值会自动变化。（1分）</w:t>
            </w:r>
          </w:p>
          <w:p>
            <w:pPr>
              <w:widowControl/>
              <w:spacing w:line="400" w:lineRule="exact"/>
              <w:rPr>
                <w:rFonts w:hint="eastAsia" w:asciiTheme="minorEastAsia" w:hAnsiTheme="minorEastAsia" w:eastAsiaTheme="minorEastAsia" w:cstheme="minorEastAsia"/>
                <w:sz w:val="24"/>
              </w:rPr>
            </w:pP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学生成长记录册。每个学期为学生生成一份成长记录册，支持查看过往学期的记录册，记录册包含：1.健康档案：学展示学生的身高、体重参数，并自动根据统一标准判断并显示学生身高体重所处的状态，展示学生BMI发展趋势和视力的发展趋势分析。2.评价信息：此模块支持展示五育雷达图，将根据过程性数据按照学校设置的方式自动折合成星级，来分析学生在哪方面表现最为突出。点击可以查看某条记录的详细记录，支持展示二级指标和三级指标的积分详情。3.学业成就：该模块分为学业测评、获奖成就以及班主任的话。学业测评用于展示学生学业课程的成绩，获奖成就用于展示学生获奖的整体情况，班主任的话用于展示班主任对学生的学期寄语。</w:t>
            </w:r>
          </w:p>
          <w:p>
            <w:pPr>
              <w:widowControl/>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时光信箱：展示学生任务足迹和老师的动态汇总，学生生活的点滴会形成一个时光轴。老师发布任务的总数量和学生完成任务的数量会在页面上端展示。展示教师发布的同学圈、学生上传的任务和学生获奖。（1分）</w:t>
            </w:r>
          </w:p>
          <w:p>
            <w:pPr>
              <w:widowControl/>
              <w:spacing w:line="400" w:lineRule="exact"/>
              <w:rPr>
                <w:rFonts w:hint="eastAsia" w:asciiTheme="minorEastAsia" w:hAnsiTheme="minorEastAsia" w:eastAsiaTheme="minorEastAsia" w:cstheme="minorEastAsia"/>
                <w:sz w:val="24"/>
              </w:rPr>
            </w:pP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综合素质上报。1、教育局查看下级机构各学期评价等第的上报情况，可切换学年学期和年级进行筛选查看，在下级机构全部上报后，查看无误可进行本级上报。在本级上报前，允许退回下级上报。2、学校学期评价生成：学校管理员在评价录入完成后，进行如下操作：</w:t>
            </w:r>
            <w:r>
              <w:rPr>
                <w:rFonts w:hint="eastAsia" w:asciiTheme="minorEastAsia" w:hAnsiTheme="minorEastAsia" w:eastAsiaTheme="minorEastAsia" w:cstheme="minorEastAsia"/>
                <w:sz w:val="24"/>
                <w:lang w:val="en-US" w:eastAsia="zh-CN"/>
              </w:rPr>
              <w:t>首先</w:t>
            </w:r>
            <w:r>
              <w:rPr>
                <w:rFonts w:hint="eastAsia" w:asciiTheme="minorEastAsia" w:hAnsiTheme="minorEastAsia" w:eastAsiaTheme="minorEastAsia" w:cstheme="minorEastAsia"/>
                <w:sz w:val="24"/>
              </w:rPr>
              <w:t>生成学期等第：若评价比例为年级模式，可按年级生成学期等第；若为班级模式，则按班级生成学期等第，等第生成后可导出结果查看，等第在未上报并且不在公示期内允许撤销，撤销之后可重新生成。</w:t>
            </w:r>
            <w:r>
              <w:rPr>
                <w:rFonts w:hint="eastAsia" w:asciiTheme="minorEastAsia" w:hAnsiTheme="minorEastAsia" w:eastAsiaTheme="minorEastAsia" w:cstheme="minorEastAsia"/>
                <w:sz w:val="24"/>
                <w:lang w:val="en-US" w:eastAsia="zh-CN"/>
              </w:rPr>
              <w:t>其次</w:t>
            </w:r>
            <w:r>
              <w:rPr>
                <w:rFonts w:hint="eastAsia" w:asciiTheme="minorEastAsia" w:hAnsiTheme="minorEastAsia" w:eastAsiaTheme="minorEastAsia" w:cstheme="minorEastAsia"/>
                <w:sz w:val="24"/>
              </w:rPr>
              <w:t>公示发布：在学期等第已生成的前提下，可以进行等第公示，确定公示的年级并设置学生提出质疑时间范围和公示时学生可见范围，后直接公示。家长查看等第公示内容，按管理员设置可查看本人、全班级或全年级学生的学期等第。若对结果存疑，可提出质疑提交至学校。</w:t>
            </w:r>
            <w:r>
              <w:rPr>
                <w:rFonts w:hint="eastAsia" w:asciiTheme="minorEastAsia" w:hAnsiTheme="minorEastAsia" w:eastAsiaTheme="minorEastAsia" w:cstheme="minorEastAsia"/>
                <w:sz w:val="24"/>
                <w:lang w:val="en-US" w:eastAsia="zh-CN"/>
              </w:rPr>
              <w:t>最后</w:t>
            </w:r>
            <w:r>
              <w:rPr>
                <w:rFonts w:hint="eastAsia" w:asciiTheme="minorEastAsia" w:hAnsiTheme="minorEastAsia" w:eastAsiaTheme="minorEastAsia" w:cstheme="minorEastAsia"/>
                <w:sz w:val="24"/>
              </w:rPr>
              <w:t>学期上报：学期等第已生成并确认无误，可进行上报。（2分）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499" w:type="dxa"/>
            <w:shd w:val="clear" w:color="auto" w:fill="auto"/>
            <w:vAlign w:val="center"/>
          </w:tcPr>
          <w:p>
            <w:pPr>
              <w:widowControl/>
              <w:spacing w:line="400" w:lineRule="exact"/>
              <w:rPr>
                <w:rFonts w:asciiTheme="minorEastAsia" w:hAnsiTheme="minorEastAsia" w:eastAsiaTheme="minorEastAsia" w:cstheme="minorEastAsia"/>
                <w:sz w:val="24"/>
              </w:rPr>
            </w:pPr>
          </w:p>
        </w:tc>
        <w:tc>
          <w:tcPr>
            <w:tcW w:w="856" w:type="dxa"/>
            <w:shd w:val="clear" w:color="auto" w:fill="auto"/>
            <w:vAlign w:val="center"/>
          </w:tcPr>
          <w:p>
            <w:pPr>
              <w:widowControl/>
              <w:spacing w:line="400" w:lineRule="exact"/>
              <w:rPr>
                <w:rFonts w:asciiTheme="minorEastAsia" w:hAnsiTheme="minorEastAsia" w:eastAsiaTheme="minorEastAsia" w:cstheme="minorEastAsia"/>
                <w:sz w:val="24"/>
              </w:rPr>
            </w:pPr>
          </w:p>
        </w:tc>
        <w:tc>
          <w:tcPr>
            <w:tcW w:w="863" w:type="dxa"/>
            <w:shd w:val="clear" w:color="auto" w:fill="auto"/>
            <w:vAlign w:val="center"/>
          </w:tcPr>
          <w:p>
            <w:pPr>
              <w:widowControl/>
              <w:spacing w:line="4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人事系统</w:t>
            </w:r>
            <w:r>
              <w:rPr>
                <w:rFonts w:hint="eastAsia" w:asciiTheme="minorEastAsia" w:hAnsiTheme="minorEastAsia" w:eastAsiaTheme="minorEastAsia" w:cstheme="minorEastAsia"/>
                <w:b/>
                <w:bCs/>
                <w:sz w:val="24"/>
              </w:rPr>
              <w:t>演示</w:t>
            </w:r>
          </w:p>
        </w:tc>
        <w:tc>
          <w:tcPr>
            <w:tcW w:w="5273" w:type="dxa"/>
            <w:shd w:val="clear" w:color="auto" w:fill="auto"/>
            <w:vAlign w:val="center"/>
          </w:tcPr>
          <w:p>
            <w:pPr>
              <w:widowControl/>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教师基本信息</w:t>
            </w:r>
            <w:r>
              <w:rPr>
                <w:rFonts w:hint="eastAsia" w:asciiTheme="minorEastAsia" w:hAnsiTheme="minorEastAsia" w:eastAsiaTheme="minorEastAsia" w:cstheme="minorEastAsia"/>
                <w:sz w:val="24"/>
                <w:szCs w:val="24"/>
                <w:lang w:val="en-US" w:eastAsia="zh-CN"/>
              </w:rPr>
              <w:t>与全国教师管理系统一致，</w:t>
            </w:r>
            <w:r>
              <w:rPr>
                <w:rFonts w:hint="eastAsia" w:asciiTheme="minorEastAsia" w:hAnsiTheme="minorEastAsia" w:eastAsiaTheme="minorEastAsia" w:cstheme="minorEastAsia"/>
                <w:sz w:val="24"/>
                <w:szCs w:val="24"/>
              </w:rPr>
              <w:t>可查看教师的基本信息、学习培训、教学成果、奖惩信息等，同全国教师信息相同，同时有自定义信息；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2分</w:t>
            </w:r>
            <w:r>
              <w:rPr>
                <w:rFonts w:hint="eastAsia" w:asciiTheme="minorEastAsia" w:hAnsiTheme="minorEastAsia" w:eastAsiaTheme="minorEastAsia" w:cstheme="minorEastAsia"/>
                <w:sz w:val="24"/>
                <w:szCs w:val="24"/>
                <w:lang w:eastAsia="zh-CN"/>
              </w:rPr>
              <w:t>）</w:t>
            </w:r>
          </w:p>
          <w:p>
            <w:pPr>
              <w:widowControl/>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教师入编、人事异动、调离、退休等管理流程演示（2分）</w:t>
            </w:r>
          </w:p>
        </w:tc>
        <w:tc>
          <w:tcPr>
            <w:tcW w:w="740" w:type="dxa"/>
            <w:shd w:val="clear" w:color="auto" w:fill="auto"/>
            <w:vAlign w:val="center"/>
          </w:tcPr>
          <w:p>
            <w:pPr>
              <w:widowControl/>
              <w:spacing w:line="40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2218" w:type="dxa"/>
            <w:gridSpan w:val="3"/>
            <w:shd w:val="clear" w:color="auto" w:fill="auto"/>
            <w:vAlign w:val="center"/>
          </w:tcPr>
          <w:p>
            <w:pPr>
              <w:widowControl/>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价格分</w:t>
            </w:r>
          </w:p>
        </w:tc>
        <w:tc>
          <w:tcPr>
            <w:tcW w:w="5273" w:type="dxa"/>
            <w:shd w:val="clear" w:color="auto" w:fill="auto"/>
            <w:vAlign w:val="center"/>
          </w:tcPr>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价格分采用低价优先法计算，即满足招标文件要求且最后报价最低的投标单位的价格为招标基准价，其他投标单位的价格分按照下列公式计算：</w:t>
            </w:r>
          </w:p>
          <w:p>
            <w:pPr>
              <w:widowControl/>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投标报价得分=（投标基准价/最后投标报价）×10%×100</w:t>
            </w:r>
          </w:p>
        </w:tc>
        <w:tc>
          <w:tcPr>
            <w:tcW w:w="740" w:type="dxa"/>
            <w:shd w:val="clear" w:color="auto" w:fill="auto"/>
            <w:vAlign w:val="center"/>
          </w:tcPr>
          <w:p>
            <w:pPr>
              <w:widowControl/>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bl>
    <w:p>
      <w:pPr>
        <w:snapToGrid w:val="0"/>
        <w:spacing w:line="360" w:lineRule="auto"/>
        <w:ind w:firstLine="480" w:firstLineChars="200"/>
        <w:rPr>
          <w:rFonts w:hint="eastAsia" w:ascii="宋体" w:hAnsi="宋体" w:cs="宋体"/>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lang w:eastAsia="zh-CN"/>
        </w:rPr>
        <w:t>评标小组</w:t>
      </w:r>
      <w:r>
        <w:rPr>
          <w:rFonts w:hint="eastAsia" w:cs="仿宋_GB2312" w:asciiTheme="minorEastAsia" w:hAnsiTheme="minorEastAsia" w:eastAsiaTheme="minorEastAsia"/>
          <w:b/>
          <w:sz w:val="32"/>
        </w:rPr>
        <w:t>的组成</w:t>
      </w:r>
    </w:p>
    <w:p>
      <w:pPr>
        <w:pStyle w:val="28"/>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w:t>
      </w:r>
      <w:r>
        <w:rPr>
          <w:rFonts w:hint="eastAsia" w:cs="Arial" w:asciiTheme="minorEastAsia" w:hAnsiTheme="minorEastAsia" w:eastAsiaTheme="minorEastAsia"/>
          <w:b/>
          <w:kern w:val="0"/>
          <w:lang w:eastAsia="zh-CN"/>
        </w:rPr>
        <w:t>评标小组</w:t>
      </w:r>
      <w:r>
        <w:rPr>
          <w:rFonts w:hint="eastAsia" w:cs="Arial" w:asciiTheme="minorEastAsia" w:hAnsiTheme="minorEastAsia" w:eastAsiaTheme="minorEastAsia"/>
          <w:b/>
          <w:kern w:val="0"/>
        </w:rPr>
        <w:t>的组成。</w:t>
      </w:r>
    </w:p>
    <w:p>
      <w:pPr>
        <w:pStyle w:val="28"/>
        <w:spacing w:before="0"/>
        <w:ind w:firstLine="480"/>
        <w:rPr>
          <w:rFonts w:asciiTheme="minorEastAsia" w:hAnsiTheme="minorEastAsia" w:eastAsiaTheme="minorEastAsia"/>
        </w:rPr>
      </w:pPr>
      <w:r>
        <w:rPr>
          <w:rFonts w:hint="eastAsia" w:asciiTheme="minorEastAsia" w:hAnsiTheme="minorEastAsia" w:eastAsiaTheme="minorEastAsia"/>
          <w:lang w:eastAsia="zh-CN"/>
        </w:rPr>
        <w:t>评标小组</w:t>
      </w:r>
      <w:r>
        <w:rPr>
          <w:rFonts w:hint="eastAsia" w:asciiTheme="minorEastAsia" w:hAnsiTheme="minorEastAsia" w:eastAsiaTheme="minorEastAsia"/>
        </w:rPr>
        <w:t>由采购人代表和评审专家共</w:t>
      </w:r>
      <w:r>
        <w:rPr>
          <w:rFonts w:hint="eastAsia" w:asciiTheme="minorEastAsia" w:hAnsiTheme="minorEastAsia" w:eastAsiaTheme="minorEastAsia"/>
          <w:lang w:val="en-US" w:eastAsia="zh-CN"/>
        </w:rPr>
        <w:t>5</w:t>
      </w:r>
      <w:r>
        <w:rPr>
          <w:rFonts w:hint="eastAsia" w:asciiTheme="minorEastAsia" w:hAnsiTheme="minorEastAsia" w:eastAsiaTheme="minorEastAsia"/>
        </w:rPr>
        <w:t>人以上单数组成，其中评审专家人数不得少于</w:t>
      </w:r>
      <w:r>
        <w:rPr>
          <w:rFonts w:hint="eastAsia" w:asciiTheme="minorEastAsia" w:hAnsiTheme="minorEastAsia" w:eastAsiaTheme="minorEastAsia"/>
          <w:lang w:eastAsia="zh-CN"/>
        </w:rPr>
        <w:t>评标小组</w:t>
      </w:r>
      <w:r>
        <w:rPr>
          <w:rFonts w:hint="eastAsia" w:asciiTheme="minorEastAsia" w:hAnsiTheme="minorEastAsia" w:eastAsiaTheme="minorEastAsia"/>
        </w:rPr>
        <w:t>成员总数的2/3。采购人代表不得以评审专家身份参加本部门或本单位采购项目的评审。采购代理机构人员不得参加本机构代理的采购项目的评审。</w:t>
      </w:r>
    </w:p>
    <w:p>
      <w:pPr>
        <w:pStyle w:val="28"/>
        <w:spacing w:before="0"/>
        <w:ind w:firstLine="480"/>
        <w:rPr>
          <w:rFonts w:asciiTheme="minorEastAsia" w:hAnsiTheme="minorEastAsia" w:eastAsiaTheme="minorEastAsia"/>
        </w:rPr>
      </w:pPr>
      <w:r>
        <w:rPr>
          <w:rFonts w:hint="eastAsia" w:asciiTheme="minorEastAsia" w:hAnsiTheme="minorEastAsia" w:eastAsiaTheme="minorEastAsia"/>
        </w:rPr>
        <w:t>采用</w:t>
      </w:r>
      <w:r>
        <w:rPr>
          <w:rFonts w:hint="eastAsia" w:asciiTheme="minorEastAsia" w:hAnsiTheme="minorEastAsia" w:eastAsiaTheme="minorEastAsia"/>
          <w:lang w:eastAsia="zh-CN"/>
        </w:rPr>
        <w:t>公开招标</w:t>
      </w:r>
      <w:r>
        <w:rPr>
          <w:rFonts w:hint="eastAsia" w:asciiTheme="minorEastAsia" w:hAnsiTheme="minorEastAsia" w:eastAsiaTheme="minorEastAsia"/>
        </w:rPr>
        <w:t>方式的政府采购项目，评审专家应当从政府采购评审专家库内相关专业的专家名单中随机抽取。技术复杂、专业性强的采购项目，评审专家中应当包含1名法律专家。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w:t>
      </w:r>
      <w:r>
        <w:rPr>
          <w:rFonts w:hint="eastAsia" w:cs="Arial" w:asciiTheme="minorEastAsia" w:hAnsiTheme="minorEastAsia" w:eastAsiaTheme="minorEastAsia"/>
          <w:b/>
          <w:kern w:val="0"/>
          <w:sz w:val="24"/>
          <w:szCs w:val="20"/>
          <w:lang w:eastAsia="zh-CN"/>
        </w:rPr>
        <w:t>评标小组</w:t>
      </w:r>
      <w:r>
        <w:rPr>
          <w:rFonts w:hint="eastAsia" w:cs="Arial" w:asciiTheme="minorEastAsia" w:hAnsiTheme="minorEastAsia" w:eastAsiaTheme="minorEastAsia"/>
          <w:b/>
          <w:kern w:val="0"/>
          <w:sz w:val="24"/>
          <w:szCs w:val="20"/>
        </w:rPr>
        <w:t>的组成人员的回避。</w:t>
      </w:r>
    </w:p>
    <w:p>
      <w:pPr>
        <w:pStyle w:val="28"/>
        <w:spacing w:before="0"/>
        <w:ind w:firstLine="480"/>
        <w:rPr>
          <w:rFonts w:asciiTheme="minorEastAsia" w:hAnsiTheme="minorEastAsia" w:eastAsiaTheme="minorEastAsia"/>
        </w:rPr>
      </w:pPr>
      <w:r>
        <w:rPr>
          <w:rFonts w:hint="eastAsia" w:asciiTheme="minorEastAsia" w:hAnsiTheme="minorEastAsia" w:eastAsiaTheme="minorEastAsia"/>
        </w:rPr>
        <w:t>在政府采购活动中，</w:t>
      </w:r>
      <w:r>
        <w:rPr>
          <w:rFonts w:hint="eastAsia" w:asciiTheme="minorEastAsia" w:hAnsiTheme="minorEastAsia" w:eastAsiaTheme="minorEastAsia"/>
          <w:lang w:eastAsia="zh-CN"/>
        </w:rPr>
        <w:t>评标小组</w:t>
      </w:r>
      <w:r>
        <w:rPr>
          <w:rFonts w:hint="eastAsia" w:asciiTheme="minorEastAsia" w:hAnsiTheme="minorEastAsia" w:eastAsiaTheme="minorEastAsia"/>
        </w:rPr>
        <w:t>的组成人员与供应商有下列利害关系之一的，应当回避：</w:t>
      </w:r>
    </w:p>
    <w:p>
      <w:pPr>
        <w:pStyle w:val="28"/>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28"/>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28"/>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28"/>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w:t>
      </w:r>
      <w:r>
        <w:rPr>
          <w:rFonts w:hint="eastAsia" w:cs="Arial" w:asciiTheme="minorEastAsia" w:hAnsiTheme="minorEastAsia" w:eastAsiaTheme="minorEastAsia"/>
          <w:kern w:val="0"/>
          <w:lang w:eastAsia="zh-CN"/>
        </w:rPr>
        <w:t>投标单位</w:t>
      </w:r>
      <w:r>
        <w:rPr>
          <w:rFonts w:hint="eastAsia" w:cs="Arial" w:asciiTheme="minorEastAsia" w:hAnsiTheme="minorEastAsia" w:eastAsiaTheme="minorEastAsia"/>
          <w:kern w:val="0"/>
        </w:rPr>
        <w:t>的法定代表人或者负责人有夫妻、直系血亲、三代以内旁系血亲或者近姻亲关系；</w:t>
      </w:r>
    </w:p>
    <w:p>
      <w:pPr>
        <w:pStyle w:val="28"/>
        <w:spacing w:before="0"/>
        <w:ind w:firstLine="480" w:firstLineChars="0"/>
      </w:pPr>
      <w:r>
        <w:rPr>
          <w:rFonts w:hint="eastAsia" w:cs="Arial" w:asciiTheme="minorEastAsia" w:hAnsiTheme="minorEastAsia" w:eastAsiaTheme="minorEastAsia"/>
          <w:kern w:val="0"/>
        </w:rPr>
        <w:t>2.5与</w:t>
      </w:r>
      <w:r>
        <w:rPr>
          <w:rFonts w:hint="eastAsia" w:cs="Arial" w:asciiTheme="minorEastAsia" w:hAnsiTheme="minorEastAsia" w:eastAsiaTheme="minorEastAsia"/>
          <w:kern w:val="0"/>
          <w:lang w:eastAsia="zh-CN"/>
        </w:rPr>
        <w:t>投标单位</w:t>
      </w:r>
      <w:r>
        <w:rPr>
          <w:rFonts w:hint="eastAsia" w:cs="Arial" w:asciiTheme="minorEastAsia" w:hAnsiTheme="minorEastAsia" w:eastAsiaTheme="minorEastAsia"/>
          <w:kern w:val="0"/>
        </w:rPr>
        <w:t>有其他可能影响政府采购活动公平、公正进行的关系。</w:t>
      </w:r>
    </w:p>
    <w:p>
      <w:pPr>
        <w:snapToGrid w:val="0"/>
        <w:spacing w:line="360" w:lineRule="auto"/>
        <w:rPr>
          <w:rFonts w:ascii="宋体" w:hAnsi="宋体" w:cs="宋体"/>
          <w:b/>
          <w:sz w:val="24"/>
        </w:rPr>
      </w:pPr>
      <w:r>
        <w:rPr>
          <w:rFonts w:hint="eastAsia" w:ascii="宋体" w:hAnsi="宋体" w:cs="宋体"/>
          <w:b/>
          <w:sz w:val="24"/>
        </w:rPr>
        <w:t>一、评标方法</w:t>
      </w:r>
    </w:p>
    <w:p>
      <w:pPr>
        <w:snapToGrid w:val="0"/>
        <w:spacing w:line="360" w:lineRule="auto"/>
        <w:ind w:firstLine="472" w:firstLineChars="196"/>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宋体"/>
          <w:kern w:val="0"/>
          <w:sz w:val="24"/>
        </w:rPr>
      </w:pPr>
      <w:r>
        <w:rPr>
          <w:rFonts w:hint="eastAsia" w:ascii="宋体" w:hAnsi="宋体" w:cs="宋体"/>
          <w:b/>
          <w:sz w:val="24"/>
        </w:rPr>
        <w:t>二、评标标准</w:t>
      </w:r>
    </w:p>
    <w:p>
      <w:pPr>
        <w:snapToGrid w:val="0"/>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outlineLvl w:val="0"/>
        <w:rPr>
          <w:rFonts w:ascii="宋体" w:hAnsi="宋体" w:cs="宋体"/>
          <w:b/>
          <w:sz w:val="24"/>
        </w:rPr>
      </w:pPr>
      <w:r>
        <w:rPr>
          <w:rFonts w:hint="eastAsia" w:ascii="宋体" w:hAnsi="宋体" w:cs="宋体"/>
          <w:b/>
          <w:sz w:val="24"/>
        </w:rPr>
        <w:t>三、评标程序</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napToGrid w:val="0"/>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8"/>
        <w:snapToGrid w:val="0"/>
        <w:spacing w:before="0"/>
        <w:ind w:firstLine="508" w:firstLineChars="212"/>
        <w:rPr>
          <w:rFonts w:ascii="宋体" w:hAnsi="宋体" w:cs="宋体"/>
          <w:kern w:val="0"/>
          <w:szCs w:val="24"/>
        </w:rPr>
      </w:pPr>
      <w:r>
        <w:rPr>
          <w:rFonts w:hint="eastAsia" w:ascii="宋体" w:hAnsi="宋体" w:cs="宋体"/>
          <w:kern w:val="0"/>
          <w:szCs w:val="24"/>
        </w:rPr>
        <w:t>3.4.1投标文件报价出现前后不一致的，按照下列规定修正：</w:t>
      </w:r>
    </w:p>
    <w:p>
      <w:pPr>
        <w:pStyle w:val="28"/>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8"/>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8"/>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8"/>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8"/>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8"/>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8"/>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0000FF"/>
          <w:kern w:val="0"/>
          <w:szCs w:val="24"/>
        </w:rPr>
        <w:t>10%的</w:t>
      </w:r>
      <w:r>
        <w:rPr>
          <w:rFonts w:hint="eastAsia" w:ascii="宋体" w:hAnsi="宋体" w:cs="宋体"/>
          <w:kern w:val="0"/>
          <w:szCs w:val="24"/>
        </w:rPr>
        <w:t>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FF"/>
          <w:kern w:val="0"/>
          <w:szCs w:val="24"/>
        </w:rPr>
        <w:t>6%的</w:t>
      </w:r>
      <w:r>
        <w:rPr>
          <w:rFonts w:hint="eastAsia" w:ascii="宋体" w:hAnsi="宋体" w:cs="宋体"/>
          <w:kern w:val="0"/>
          <w:szCs w:val="24"/>
        </w:rPr>
        <w:t>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宋体" w:hAnsi="宋体" w:cs="宋体"/>
          <w:b/>
          <w:sz w:val="24"/>
        </w:rPr>
      </w:pPr>
      <w:r>
        <w:rPr>
          <w:rFonts w:hint="eastAsia" w:ascii="宋体" w:hAnsi="宋体" w:cs="宋体"/>
          <w:b/>
          <w:sz w:val="24"/>
        </w:rPr>
        <w:t>四、评标中的其他事项</w:t>
      </w:r>
    </w:p>
    <w:p>
      <w:pPr>
        <w:pStyle w:val="28"/>
        <w:snapToGrid w:val="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
        <w:snapToGrid w:val="0"/>
        <w:spacing w:line="360" w:lineRule="auto"/>
        <w:ind w:left="954" w:leftChars="226" w:hanging="479" w:firstLineChars="0"/>
        <w:rPr>
          <w:rFonts w:cs="宋体"/>
        </w:rPr>
      </w:pPr>
      <w:r>
        <w:rPr>
          <w:rFonts w:hint="eastAsia" w:cs="宋体"/>
          <w:b/>
          <w:kern w:val="0"/>
        </w:rPr>
        <w:t>4.2投标无效。</w:t>
      </w:r>
      <w:r>
        <w:rPr>
          <w:rFonts w:hint="eastAsia" w:cs="宋体"/>
        </w:rPr>
        <w:t>有下列情形之一的，投标无效：</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4.2.13 投标文件不满足招标文件的其它实质性要求的；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11"/>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1"/>
        <w:snapToGrid w:val="0"/>
        <w:spacing w:line="360" w:lineRule="auto"/>
        <w:rPr>
          <w:rFonts w:cs="宋体"/>
        </w:rPr>
      </w:pPr>
      <w:r>
        <w:rPr>
          <w:rFonts w:hint="eastAsia" w:cs="宋体"/>
        </w:rPr>
        <w:t>5.1符合专业条件的供应商或者对招标文件作实质响应的供应商不足3家的；</w:t>
      </w:r>
    </w:p>
    <w:p>
      <w:pPr>
        <w:pStyle w:val="11"/>
        <w:snapToGrid w:val="0"/>
        <w:spacing w:line="360" w:lineRule="auto"/>
        <w:rPr>
          <w:rFonts w:cs="宋体"/>
        </w:rPr>
      </w:pPr>
      <w:r>
        <w:rPr>
          <w:rFonts w:hint="eastAsia" w:cs="宋体"/>
        </w:rPr>
        <w:t>5.2出现影响采购公正的违法、违规行为的；</w:t>
      </w:r>
    </w:p>
    <w:p>
      <w:pPr>
        <w:pStyle w:val="11"/>
        <w:snapToGrid w:val="0"/>
        <w:spacing w:line="360" w:lineRule="auto"/>
        <w:rPr>
          <w:rFonts w:cs="宋体"/>
        </w:rPr>
      </w:pPr>
      <w:r>
        <w:rPr>
          <w:rFonts w:hint="eastAsia" w:cs="宋体"/>
        </w:rPr>
        <w:t>5.3投标人的报价均超过了采购预算，采购人不能支付的；</w:t>
      </w:r>
    </w:p>
    <w:p>
      <w:pPr>
        <w:pStyle w:val="11"/>
        <w:snapToGrid w:val="0"/>
        <w:spacing w:line="360" w:lineRule="auto"/>
        <w:rPr>
          <w:rFonts w:cs="宋体"/>
        </w:rPr>
      </w:pPr>
      <w:r>
        <w:rPr>
          <w:rFonts w:hint="eastAsia" w:cs="宋体"/>
        </w:rPr>
        <w:t>5.4因重大变故，采购任务取消的。</w:t>
      </w:r>
    </w:p>
    <w:p>
      <w:pPr>
        <w:pStyle w:val="11"/>
        <w:snapToGrid w:val="0"/>
        <w:spacing w:line="360" w:lineRule="auto"/>
        <w:rPr>
          <w:rFonts w:cs="宋体"/>
        </w:rPr>
      </w:pPr>
      <w:r>
        <w:rPr>
          <w:rFonts w:hint="eastAsia" w:cs="宋体"/>
        </w:rPr>
        <w:t>废标后，采购代理机构应当将废标理由通知所有投标人。</w:t>
      </w:r>
    </w:p>
    <w:p>
      <w:pPr>
        <w:pStyle w:val="11"/>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1"/>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1"/>
        <w:snapToGrid w:val="0"/>
        <w:spacing w:line="360" w:lineRule="auto"/>
        <w:rPr>
          <w:rFonts w:cs="宋体"/>
        </w:rPr>
      </w:pPr>
      <w:r>
        <w:rPr>
          <w:rFonts w:hint="eastAsia" w:cs="宋体"/>
        </w:rPr>
        <w:t>7.1未确定中标供应商的，终止本次政府采购活动，重新开展政府采购活动。</w:t>
      </w:r>
    </w:p>
    <w:p>
      <w:pPr>
        <w:pStyle w:val="11"/>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1"/>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1"/>
        <w:snapToGrid w:val="0"/>
        <w:spacing w:line="360" w:lineRule="auto"/>
        <w:rPr>
          <w:rFonts w:cs="宋体"/>
        </w:rPr>
      </w:pPr>
      <w:r>
        <w:rPr>
          <w:rFonts w:hint="eastAsia" w:cs="宋体"/>
        </w:rPr>
        <w:t>7.4政府采购合同已经履行，给采购人、供应商造成损失的，由责任人承担赔偿责任。</w:t>
      </w:r>
    </w:p>
    <w:p>
      <w:pPr>
        <w:pStyle w:val="11"/>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ind w:firstLine="640"/>
        <w:rPr>
          <w:rFonts w:ascii="宋体" w:hAnsi="宋体"/>
          <w:sz w:val="24"/>
        </w:rPr>
      </w:pPr>
      <w:r>
        <w:br w:type="page"/>
      </w:r>
    </w:p>
    <w:p>
      <w:pPr>
        <w:pStyle w:val="11"/>
        <w:snapToGrid w:val="0"/>
        <w:spacing w:line="360" w:lineRule="auto"/>
        <w:rPr>
          <w:rFonts w:cs="宋体"/>
        </w:rPr>
      </w:pPr>
    </w:p>
    <w:p>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bookmarkEnd w:id="395"/>
    <w:bookmarkEnd w:id="396"/>
    <w:p>
      <w:pPr>
        <w:pStyle w:val="32"/>
        <w:spacing w:before="240" w:beforeLines="100" w:after="0"/>
        <w:ind w:left="0" w:leftChars="0" w:firstLine="0" w:firstLineChars="0"/>
        <w:jc w:val="center"/>
        <w:rPr>
          <w:rFonts w:ascii="宋体" w:hAnsi="宋体" w:cs="宋体"/>
          <w:b/>
          <w:sz w:val="72"/>
          <w:szCs w:val="72"/>
        </w:rPr>
      </w:pPr>
      <w:r>
        <w:rPr>
          <w:rFonts w:hint="eastAsia" w:ascii="宋体" w:hAnsi="宋体" w:cs="宋体"/>
          <w:b/>
          <w:sz w:val="72"/>
          <w:szCs w:val="72"/>
        </w:rPr>
        <w:t>政府采购合同</w:t>
      </w:r>
    </w:p>
    <w:p>
      <w:pPr>
        <w:pStyle w:val="11"/>
        <w:ind w:left="480"/>
        <w:rPr>
          <w:rFonts w:cs="宋体"/>
        </w:rPr>
      </w:pPr>
    </w:p>
    <w:p>
      <w:pPr>
        <w:spacing w:line="480" w:lineRule="auto"/>
        <w:ind w:firstLine="723"/>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服务</w:t>
      </w:r>
      <w:r>
        <w:rPr>
          <w:rFonts w:hint="eastAsia" w:ascii="宋体" w:hAnsi="宋体" w:cs="宋体"/>
          <w:b/>
          <w:sz w:val="36"/>
          <w:szCs w:val="36"/>
        </w:rPr>
        <w:t>类）</w:t>
      </w:r>
    </w:p>
    <w:p>
      <w:pPr>
        <w:pStyle w:val="32"/>
        <w:ind w:left="0" w:leftChars="0" w:firstLine="0" w:firstLineChars="0"/>
        <w:jc w:val="center"/>
        <w:rPr>
          <w:rFonts w:ascii="宋体" w:hAnsi="宋体" w:cs="宋体"/>
          <w:b/>
          <w:sz w:val="36"/>
          <w:szCs w:val="36"/>
        </w:rPr>
      </w:pPr>
    </w:p>
    <w:p>
      <w:pPr>
        <w:pStyle w:val="32"/>
        <w:ind w:left="0" w:leftChars="0" w:firstLine="0" w:firstLineChars="0"/>
        <w:jc w:val="center"/>
        <w:rPr>
          <w:rFonts w:ascii="宋体" w:hAnsi="宋体" w:cs="宋体"/>
          <w:b/>
          <w:sz w:val="36"/>
          <w:szCs w:val="36"/>
        </w:rPr>
      </w:pPr>
      <w:r>
        <w:rPr>
          <w:rFonts w:hint="eastAsia" w:ascii="宋体" w:hAnsi="宋体" w:cs="宋体"/>
          <w:b/>
          <w:sz w:val="36"/>
          <w:szCs w:val="36"/>
        </w:rPr>
        <w:t>第一部分 合同书</w:t>
      </w:r>
    </w:p>
    <w:p>
      <w:pPr>
        <w:pStyle w:val="32"/>
        <w:rPr>
          <w:rFonts w:ascii="宋体" w:hAnsi="宋体" w:cs="宋体"/>
          <w:szCs w:val="24"/>
        </w:rPr>
      </w:pPr>
    </w:p>
    <w:p>
      <w:pPr>
        <w:pStyle w:val="11"/>
        <w:ind w:left="480"/>
        <w:rPr>
          <w:rFonts w:cs="宋体"/>
        </w:rPr>
      </w:pPr>
    </w:p>
    <w:p>
      <w:pPr>
        <w:pStyle w:val="11"/>
        <w:ind w:left="480"/>
        <w:rPr>
          <w:rFonts w:cs="宋体"/>
        </w:rPr>
      </w:pPr>
    </w:p>
    <w:p>
      <w:pPr>
        <w:spacing w:line="480" w:lineRule="auto"/>
        <w:ind w:right="-298" w:rightChars="-142" w:firstLine="280" w:firstLineChars="100"/>
        <w:jc w:val="left"/>
        <w:rPr>
          <w:rFonts w:ascii="宋体" w:hAnsi="宋体" w:cs="宋体"/>
          <w:sz w:val="28"/>
          <w:szCs w:val="28"/>
          <w:u w:val="single"/>
        </w:rPr>
      </w:pPr>
      <w:r>
        <w:rPr>
          <w:rFonts w:hint="eastAsia" w:ascii="宋体" w:hAnsi="宋体" w:cs="宋体"/>
          <w:bCs/>
          <w:sz w:val="28"/>
          <w:szCs w:val="28"/>
        </w:rPr>
        <w:t>项目名称：</w:t>
      </w:r>
      <w:r>
        <w:rPr>
          <w:rFonts w:hint="eastAsia" w:ascii="宋体" w:hAnsi="宋体" w:cs="宋体"/>
          <w:sz w:val="28"/>
          <w:szCs w:val="28"/>
          <w:u w:val="single"/>
        </w:rPr>
        <w:t>长兴县教育信息技术中心“学在长兴”智慧教育平台采购项目</w:t>
      </w:r>
    </w:p>
    <w:p>
      <w:pPr>
        <w:spacing w:line="480" w:lineRule="auto"/>
        <w:ind w:firstLine="280" w:firstLineChars="100"/>
        <w:jc w:val="left"/>
        <w:rPr>
          <w:rFonts w:ascii="宋体" w:hAnsi="宋体" w:cs="宋体"/>
          <w:bCs/>
          <w:sz w:val="28"/>
          <w:szCs w:val="28"/>
        </w:rPr>
      </w:pPr>
      <w:r>
        <w:rPr>
          <w:rFonts w:hint="eastAsia" w:ascii="宋体" w:hAnsi="宋体" w:cs="宋体"/>
          <w:bCs/>
          <w:sz w:val="28"/>
          <w:szCs w:val="28"/>
        </w:rPr>
        <w:t>项目编号：</w:t>
      </w:r>
      <w:r>
        <w:rPr>
          <w:rFonts w:hint="eastAsia" w:ascii="宋体" w:hAnsi="宋体" w:cs="宋体"/>
          <w:bCs/>
          <w:sz w:val="28"/>
          <w:szCs w:val="28"/>
          <w:u w:val="single"/>
        </w:rPr>
        <w:t xml:space="preserve">                            </w:t>
      </w:r>
    </w:p>
    <w:p>
      <w:pPr>
        <w:spacing w:line="480" w:lineRule="auto"/>
        <w:ind w:firstLine="280" w:firstLineChars="100"/>
        <w:jc w:val="left"/>
        <w:rPr>
          <w:rFonts w:ascii="宋体" w:hAnsi="宋体" w:cs="宋体"/>
          <w:sz w:val="28"/>
          <w:szCs w:val="28"/>
        </w:rPr>
      </w:pPr>
      <w:r>
        <w:rPr>
          <w:rFonts w:hint="eastAsia" w:ascii="宋体" w:hAnsi="宋体" w:cs="宋体"/>
          <w:bCs/>
          <w:sz w:val="28"/>
          <w:szCs w:val="28"/>
        </w:rPr>
        <w:t>甲    方</w:t>
      </w:r>
      <w:r>
        <w:rPr>
          <w:rFonts w:hint="eastAsia" w:ascii="宋体" w:hAnsi="宋体" w:cs="宋体"/>
          <w:sz w:val="28"/>
          <w:szCs w:val="28"/>
        </w:rPr>
        <w:t>：</w:t>
      </w:r>
      <w:r>
        <w:rPr>
          <w:rFonts w:hint="eastAsia" w:ascii="宋体" w:hAnsi="宋体" w:cs="宋体"/>
          <w:bCs/>
          <w:sz w:val="28"/>
          <w:szCs w:val="28"/>
          <w:u w:val="single"/>
        </w:rPr>
        <w:t xml:space="preserve">          </w:t>
      </w:r>
      <w:r>
        <w:rPr>
          <w:rFonts w:hint="eastAsia" w:ascii="宋体" w:hAnsi="宋体" w:cs="宋体"/>
          <w:sz w:val="28"/>
          <w:szCs w:val="28"/>
          <w:u w:val="single"/>
        </w:rPr>
        <w:t xml:space="preserve">长兴县教育信息技术中心 </w:t>
      </w:r>
      <w:r>
        <w:rPr>
          <w:rFonts w:hint="eastAsia" w:ascii="宋体" w:hAnsi="宋体" w:cs="宋体"/>
          <w:bCs/>
          <w:sz w:val="28"/>
          <w:szCs w:val="28"/>
          <w:u w:val="single"/>
        </w:rPr>
        <w:t xml:space="preserve">   </w:t>
      </w:r>
    </w:p>
    <w:p>
      <w:pPr>
        <w:spacing w:line="480" w:lineRule="auto"/>
        <w:ind w:firstLine="280" w:firstLineChars="100"/>
        <w:jc w:val="left"/>
        <w:rPr>
          <w:rFonts w:ascii="宋体" w:hAnsi="宋体" w:cs="宋体"/>
          <w:sz w:val="28"/>
          <w:szCs w:val="28"/>
        </w:rPr>
      </w:pPr>
      <w:r>
        <w:rPr>
          <w:rFonts w:hint="eastAsia" w:ascii="宋体" w:hAnsi="宋体" w:cs="宋体"/>
          <w:bCs/>
          <w:sz w:val="28"/>
          <w:szCs w:val="28"/>
        </w:rPr>
        <w:t>乙    方：</w:t>
      </w:r>
      <w:r>
        <w:rPr>
          <w:rFonts w:hint="eastAsia" w:ascii="宋体" w:hAnsi="宋体" w:cs="宋体"/>
          <w:sz w:val="28"/>
          <w:szCs w:val="28"/>
          <w:u w:val="single"/>
        </w:rPr>
        <w:t xml:space="preserve">                            </w:t>
      </w:r>
    </w:p>
    <w:p>
      <w:pPr>
        <w:spacing w:line="480" w:lineRule="auto"/>
        <w:ind w:firstLine="280" w:firstLineChars="100"/>
        <w:jc w:val="left"/>
        <w:rPr>
          <w:rFonts w:ascii="宋体" w:hAnsi="宋体" w:cs="宋体"/>
          <w:bCs/>
          <w:sz w:val="28"/>
          <w:szCs w:val="28"/>
        </w:rPr>
      </w:pPr>
    </w:p>
    <w:p>
      <w:pPr>
        <w:spacing w:line="480" w:lineRule="auto"/>
        <w:ind w:firstLine="280" w:firstLineChars="100"/>
        <w:jc w:val="left"/>
        <w:rPr>
          <w:rFonts w:ascii="宋体" w:hAnsi="宋体" w:cs="宋体"/>
          <w:sz w:val="28"/>
          <w:szCs w:val="28"/>
        </w:rPr>
      </w:pPr>
      <w:r>
        <w:rPr>
          <w:rFonts w:hint="eastAsia" w:ascii="宋体" w:hAnsi="宋体" w:cs="宋体"/>
          <w:bCs/>
          <w:sz w:val="28"/>
          <w:szCs w:val="28"/>
        </w:rPr>
        <w:t>签订地点：</w:t>
      </w:r>
      <w:r>
        <w:rPr>
          <w:rFonts w:hint="eastAsia" w:ascii="宋体" w:hAnsi="宋体" w:cs="宋体"/>
          <w:bCs/>
          <w:sz w:val="28"/>
          <w:szCs w:val="28"/>
          <w:u w:val="single"/>
        </w:rPr>
        <w:t xml:space="preserve">  </w:t>
      </w:r>
      <w:r>
        <w:rPr>
          <w:rFonts w:hint="eastAsia" w:ascii="宋体" w:hAnsi="宋体" w:cs="宋体"/>
          <w:sz w:val="28"/>
          <w:szCs w:val="28"/>
          <w:u w:val="single"/>
        </w:rPr>
        <w:t xml:space="preserve">浙江  </w:t>
      </w:r>
      <w:r>
        <w:rPr>
          <w:rFonts w:hint="eastAsia" w:ascii="宋体" w:hAnsi="宋体" w:cs="宋体"/>
          <w:sz w:val="28"/>
          <w:szCs w:val="28"/>
        </w:rPr>
        <w:t>省</w:t>
      </w:r>
      <w:r>
        <w:rPr>
          <w:rFonts w:hint="eastAsia" w:ascii="宋体" w:hAnsi="宋体" w:cs="宋体"/>
          <w:sz w:val="28"/>
          <w:szCs w:val="28"/>
          <w:u w:val="single"/>
        </w:rPr>
        <w:t xml:space="preserve">  长兴  </w:t>
      </w:r>
      <w:r>
        <w:rPr>
          <w:rFonts w:hint="eastAsia" w:ascii="宋体" w:hAnsi="宋体" w:cs="宋体"/>
          <w:sz w:val="28"/>
          <w:szCs w:val="28"/>
        </w:rPr>
        <w:t>县</w:t>
      </w:r>
    </w:p>
    <w:p>
      <w:pPr>
        <w:spacing w:line="480" w:lineRule="auto"/>
        <w:ind w:firstLine="280" w:firstLineChars="100"/>
        <w:jc w:val="left"/>
        <w:rPr>
          <w:rFonts w:ascii="宋体" w:hAnsi="宋体" w:cs="宋体"/>
          <w:sz w:val="28"/>
          <w:szCs w:val="28"/>
        </w:rPr>
      </w:pPr>
      <w:r>
        <w:rPr>
          <w:rFonts w:hint="eastAsia" w:ascii="宋体" w:hAnsi="宋体" w:cs="宋体"/>
          <w:bCs/>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ind w:firstLine="562"/>
        <w:rPr>
          <w:rFonts w:ascii="宋体" w:hAnsi="宋体" w:cs="宋体"/>
          <w:sz w:val="28"/>
          <w:szCs w:val="28"/>
        </w:rPr>
      </w:pPr>
    </w:p>
    <w:p>
      <w:pPr>
        <w:widowControl/>
        <w:rPr>
          <w:rFonts w:ascii="宋体" w:hAnsi="宋体" w:cs="宋体"/>
          <w:b/>
          <w:bCs/>
        </w:rPr>
      </w:pPr>
      <w:r>
        <w:rPr>
          <w:rFonts w:hint="eastAsia" w:ascii="宋体" w:hAnsi="宋体" w:cs="宋体"/>
          <w:b/>
          <w:bCs/>
        </w:rPr>
        <w:br w:type="page"/>
      </w:r>
    </w:p>
    <w:p>
      <w:pPr>
        <w:spacing w:line="560" w:lineRule="exact"/>
        <w:ind w:firstLine="482" w:firstLineChars="200"/>
        <w:jc w:val="center"/>
        <w:rPr>
          <w:rFonts w:hint="eastAsia" w:ascii="宋体" w:hAnsi="宋体" w:cs="宋体"/>
          <w:sz w:val="24"/>
          <w:u w:val="single"/>
        </w:rPr>
      </w:pPr>
      <w:r>
        <w:rPr>
          <w:rFonts w:hint="eastAsia" w:ascii="宋体" w:hAnsi="宋体" w:cs="宋体"/>
          <w:b/>
          <w:color w:val="1552D1"/>
          <w:sz w:val="24"/>
          <w:szCs w:val="24"/>
          <w:highlight w:val="none"/>
        </w:rPr>
        <w:t>（本合同仅供签约参考，具体已正式签订合同文本为准）</w:t>
      </w:r>
    </w:p>
    <w:p>
      <w:pPr>
        <w:spacing w:line="560" w:lineRule="exact"/>
        <w:ind w:firstLine="480" w:firstLineChars="200"/>
        <w:rPr>
          <w:rFonts w:ascii="宋体" w:hAnsi="宋体" w:cs="宋体"/>
          <w:sz w:val="24"/>
        </w:rPr>
      </w:pPr>
      <w:r>
        <w:rPr>
          <w:rFonts w:hint="eastAsia" w:ascii="宋体" w:hAnsi="宋体" w:cs="宋体"/>
          <w:sz w:val="24"/>
          <w:u w:val="single"/>
        </w:rPr>
        <w:t>2024</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长兴县教育信息技术中心 </w:t>
      </w:r>
      <w:r>
        <w:rPr>
          <w:rFonts w:hint="eastAsia" w:ascii="宋体" w:hAnsi="宋体" w:cs="宋体"/>
          <w:sz w:val="24"/>
        </w:rPr>
        <w:t>以</w:t>
      </w:r>
      <w:r>
        <w:rPr>
          <w:rFonts w:hint="eastAsia" w:ascii="宋体" w:hAnsi="宋体" w:cs="宋体"/>
          <w:sz w:val="24"/>
          <w:u w:val="single"/>
        </w:rPr>
        <w:t xml:space="preserve"> 政府采购公开招标方式 </w:t>
      </w:r>
      <w:r>
        <w:rPr>
          <w:rFonts w:hint="eastAsia" w:ascii="宋体" w:hAnsi="宋体" w:cs="宋体"/>
          <w:sz w:val="24"/>
        </w:rPr>
        <w:t>对</w:t>
      </w:r>
      <w:r>
        <w:rPr>
          <w:rFonts w:hint="eastAsia" w:ascii="宋体" w:hAnsi="宋体" w:cs="宋体"/>
          <w:bCs/>
          <w:kern w:val="0"/>
          <w:sz w:val="24"/>
          <w:u w:val="single"/>
        </w:rPr>
        <w:t>长兴县教育信息技术中心“学在长兴”智慧教育平台采购项目</w:t>
      </w:r>
      <w:r>
        <w:rPr>
          <w:rFonts w:hint="eastAsia" w:ascii="宋体" w:hAnsi="宋体" w:cs="宋体"/>
          <w:sz w:val="24"/>
        </w:rPr>
        <w:t>进行了公开采购。经</w:t>
      </w:r>
      <w:r>
        <w:rPr>
          <w:rFonts w:hint="eastAsia" w:ascii="宋体" w:hAnsi="宋体" w:cs="宋体"/>
          <w:sz w:val="24"/>
          <w:u w:val="single"/>
        </w:rPr>
        <w:t xml:space="preserve">评标委员会 </w:t>
      </w:r>
      <w:r>
        <w:rPr>
          <w:rFonts w:hint="eastAsia" w:ascii="宋体" w:hAnsi="宋体" w:cs="宋体"/>
          <w:sz w:val="24"/>
        </w:rPr>
        <w:t>评定，</w:t>
      </w:r>
      <w:r>
        <w:rPr>
          <w:rFonts w:hint="eastAsia" w:ascii="宋体" w:hAnsi="宋体" w:cs="宋体"/>
          <w:sz w:val="24"/>
          <w:u w:val="single"/>
        </w:rPr>
        <w:t>（中标供应商名称）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7" w:name="_Toc2232"/>
      <w:bookmarkStart w:id="398" w:name="_Toc3029"/>
      <w:bookmarkStart w:id="399" w:name="_Toc24059"/>
      <w:r>
        <w:rPr>
          <w:rFonts w:hint="eastAsia" w:ascii="宋体" w:hAnsi="宋体" w:cs="宋体"/>
          <w:b/>
          <w:sz w:val="24"/>
        </w:rPr>
        <w:t>1.1 合同组成部分</w:t>
      </w:r>
      <w:bookmarkEnd w:id="397"/>
      <w:bookmarkEnd w:id="398"/>
      <w:bookmarkEnd w:id="399"/>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0" w:name="_Toc24300"/>
      <w:bookmarkStart w:id="401" w:name="_Toc27126"/>
      <w:bookmarkStart w:id="402" w:name="_Toc21295"/>
      <w:r>
        <w:rPr>
          <w:rFonts w:hint="eastAsia" w:ascii="宋体" w:hAnsi="宋体" w:cs="宋体"/>
          <w:b/>
          <w:sz w:val="24"/>
        </w:rPr>
        <w:t>1.2 货物</w:t>
      </w:r>
      <w:bookmarkEnd w:id="400"/>
      <w:bookmarkEnd w:id="401"/>
      <w:bookmarkEnd w:id="402"/>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详见采购需求中“项目建设清单”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详见采购需求中“项目建设清单”</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所供产品是符合国家技术规范和质量标准，合格产品，为全新、未使用过的原装正品，制造标准及技术规范要求必须符合我国相关标准</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3" w:name="_Toc21551"/>
      <w:bookmarkStart w:id="404" w:name="_Toc21631"/>
      <w:bookmarkStart w:id="405" w:name="_Toc23292"/>
      <w:r>
        <w:rPr>
          <w:rFonts w:hint="eastAsia" w:ascii="宋体" w:hAnsi="宋体" w:cs="宋体"/>
          <w:b/>
          <w:sz w:val="24"/>
        </w:rPr>
        <w:t>1.3 价款</w:t>
      </w:r>
      <w:bookmarkEnd w:id="403"/>
      <w:bookmarkEnd w:id="404"/>
      <w:bookmarkEnd w:id="405"/>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元人民币），固定综合单价，按实际供货数量结算。</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789"/>
        <w:gridCol w:w="1987"/>
        <w:gridCol w:w="975"/>
        <w:gridCol w:w="875"/>
        <w:gridCol w:w="1213"/>
        <w:gridCol w:w="88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ind w:firstLine="402"/>
              <w:jc w:val="center"/>
              <w:textAlignment w:val="center"/>
              <w:rPr>
                <w:rFonts w:ascii="宋体" w:hAnsi="宋体" w:cs="宋体"/>
                <w:b/>
                <w:bCs/>
                <w:sz w:val="20"/>
                <w:szCs w:val="20"/>
              </w:rPr>
            </w:pPr>
            <w:r>
              <w:rPr>
                <w:rFonts w:hint="eastAsia" w:ascii="宋体" w:hAnsi="宋体" w:cs="宋体"/>
                <w:b/>
                <w:bCs/>
                <w:kern w:val="0"/>
                <w:sz w:val="20"/>
                <w:szCs w:val="20"/>
                <w:lang w:bidi="ar"/>
              </w:rPr>
              <w:t>项目名称</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02"/>
              <w:jc w:val="center"/>
              <w:textAlignment w:val="center"/>
              <w:rPr>
                <w:rFonts w:ascii="宋体" w:hAnsi="宋体" w:cs="宋体"/>
                <w:b/>
                <w:bCs/>
                <w:sz w:val="20"/>
                <w:szCs w:val="20"/>
              </w:rPr>
            </w:pPr>
            <w:r>
              <w:rPr>
                <w:rFonts w:hint="eastAsia" w:ascii="宋体" w:hAnsi="宋体" w:cs="宋体"/>
                <w:b/>
                <w:bCs/>
                <w:kern w:val="0"/>
                <w:sz w:val="20"/>
                <w:szCs w:val="20"/>
                <w:lang w:bidi="ar"/>
              </w:rPr>
              <w:t>功能或技术参数</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综合单价</w:t>
            </w:r>
          </w:p>
        </w:tc>
        <w:tc>
          <w:tcPr>
            <w:tcW w:w="8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小计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668" w:type="dxa"/>
            <w:gridSpan w:val="2"/>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r>
              <w:rPr>
                <w:rFonts w:hint="eastAsia" w:hAnsi="宋体" w:cs="宋体"/>
                <w:sz w:val="24"/>
                <w:szCs w:val="24"/>
              </w:rPr>
              <w:t>总价/元</w:t>
            </w:r>
          </w:p>
        </w:tc>
        <w:tc>
          <w:tcPr>
            <w:tcW w:w="19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560" w:lineRule="exact"/>
              <w:ind w:firstLine="482"/>
              <w:jc w:val="center"/>
              <w:rPr>
                <w:rFonts w:hAnsi="宋体" w:cs="宋体"/>
                <w:sz w:val="24"/>
                <w:szCs w:val="24"/>
              </w:rPr>
            </w:pPr>
          </w:p>
        </w:tc>
      </w:tr>
    </w:tbl>
    <w:p>
      <w:pPr>
        <w:spacing w:line="360" w:lineRule="auto"/>
        <w:ind w:firstLine="482" w:firstLineChars="200"/>
        <w:outlineLvl w:val="0"/>
        <w:rPr>
          <w:rFonts w:ascii="宋体" w:hAnsi="宋体" w:cs="宋体"/>
          <w:b/>
          <w:sz w:val="24"/>
        </w:rPr>
      </w:pPr>
      <w:bookmarkStart w:id="406" w:name="_Toc22618"/>
      <w:bookmarkStart w:id="407" w:name="_Toc10340"/>
      <w:bookmarkStart w:id="408" w:name="_Toc1814"/>
      <w:r>
        <w:rPr>
          <w:rFonts w:hint="eastAsia" w:ascii="宋体" w:hAnsi="宋体" w:cs="宋体"/>
          <w:b/>
          <w:sz w:val="24"/>
        </w:rPr>
        <w:t>1.4 付款</w:t>
      </w:r>
      <w:bookmarkEnd w:id="406"/>
      <w:bookmarkEnd w:id="407"/>
      <w:bookmarkEnd w:id="408"/>
      <w:r>
        <w:rPr>
          <w:rFonts w:hint="eastAsia" w:ascii="宋体" w:hAnsi="宋体" w:cs="宋体"/>
          <w:b/>
          <w:sz w:val="24"/>
        </w:rPr>
        <w:t>方式、时间和条件</w:t>
      </w:r>
    </w:p>
    <w:p>
      <w:pPr>
        <w:pStyle w:val="34"/>
        <w:spacing w:before="0" w:beforeAutospacing="0" w:after="0" w:afterAutospacing="0" w:line="360" w:lineRule="auto"/>
        <w:ind w:firstLine="482"/>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9" w:name="_Toc2846"/>
      <w:bookmarkStart w:id="410" w:name="_Toc32071"/>
      <w:bookmarkStart w:id="411" w:name="_Toc19304"/>
      <w:r>
        <w:rPr>
          <w:rFonts w:hint="eastAsia" w:ascii="宋体" w:hAnsi="宋体" w:cs="宋体"/>
          <w:b/>
          <w:sz w:val="24"/>
        </w:rPr>
        <w:t>1.5 货物交付期限、地点和方式</w:t>
      </w:r>
      <w:bookmarkEnd w:id="409"/>
      <w:bookmarkEnd w:id="410"/>
      <w:bookmarkEnd w:id="411"/>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2" w:name="_Toc19554"/>
      <w:bookmarkStart w:id="413" w:name="_Toc21423"/>
      <w:bookmarkStart w:id="414" w:name="_Toc27250"/>
      <w:r>
        <w:rPr>
          <w:rFonts w:hint="eastAsia" w:ascii="宋体" w:hAnsi="宋体" w:cs="宋体"/>
          <w:b/>
          <w:sz w:val="24"/>
        </w:rPr>
        <w:t>1.6 违约责任</w:t>
      </w:r>
      <w:bookmarkEnd w:id="412"/>
      <w:bookmarkEnd w:id="413"/>
      <w:bookmarkEnd w:id="414"/>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5" w:name="_Toc16021"/>
      <w:bookmarkStart w:id="416" w:name="_Toc28375"/>
      <w:bookmarkStart w:id="417" w:name="_Toc15583"/>
      <w:r>
        <w:rPr>
          <w:rFonts w:hint="eastAsia" w:ascii="宋体" w:hAnsi="宋体" w:cs="宋体"/>
          <w:b/>
          <w:sz w:val="24"/>
        </w:rPr>
        <w:t>1.7 合同争议的解决</w:t>
      </w:r>
      <w:bookmarkEnd w:id="415"/>
      <w:bookmarkEnd w:id="416"/>
      <w:bookmarkEnd w:id="41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8" w:name="_Toc11173"/>
      <w:bookmarkStart w:id="419" w:name="_Toc15322"/>
      <w:bookmarkStart w:id="420" w:name="_Toc7245"/>
      <w:r>
        <w:rPr>
          <w:rFonts w:hint="eastAsia" w:ascii="宋体" w:hAnsi="宋体" w:cs="宋体"/>
          <w:b/>
          <w:sz w:val="24"/>
        </w:rPr>
        <w:t>1.8 合同生效</w:t>
      </w:r>
      <w:bookmarkEnd w:id="418"/>
      <w:bookmarkEnd w:id="419"/>
      <w:bookmarkEnd w:id="420"/>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pStyle w:val="3"/>
        <w:rPr>
          <w:rFonts w:ascii="宋体" w:hAnsi="宋体" w:cs="宋体"/>
          <w:sz w:val="24"/>
          <w:lang w:val="zh-CN"/>
        </w:rPr>
      </w:pPr>
    </w:p>
    <w:p>
      <w:pPr>
        <w:pStyle w:val="4"/>
        <w:rPr>
          <w:rFonts w:ascii="宋体" w:hAnsi="宋体" w:cs="宋体"/>
          <w:sz w:val="24"/>
          <w:lang w:val="zh-CN"/>
        </w:rPr>
      </w:pPr>
    </w:p>
    <w:p>
      <w:pPr>
        <w:pStyle w:val="5"/>
        <w:rPr>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adjustRightInd/>
        <w:jc w:val="left"/>
        <w:rPr>
          <w:rFonts w:ascii="宋体" w:hAnsi="宋体" w:cs="宋体"/>
          <w:b/>
          <w:sz w:val="24"/>
        </w:rPr>
      </w:pPr>
      <w:bookmarkStart w:id="421" w:name="_Toc331685783"/>
      <w:r>
        <w:rPr>
          <w:rFonts w:ascii="宋体" w:hAnsi="宋体" w:cs="宋体"/>
          <w:b/>
          <w:sz w:val="24"/>
        </w:rPr>
        <w:br w:type="page"/>
      </w:r>
    </w:p>
    <w:p>
      <w:pPr>
        <w:pStyle w:val="32"/>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bookmarkEnd w:id="421"/>
    </w:p>
    <w:p>
      <w:pPr>
        <w:spacing w:line="560" w:lineRule="exact"/>
        <w:ind w:firstLine="482" w:firstLineChars="200"/>
        <w:outlineLvl w:val="0"/>
        <w:rPr>
          <w:rFonts w:ascii="宋体" w:hAnsi="宋体" w:cs="宋体"/>
          <w:b/>
          <w:sz w:val="24"/>
        </w:rPr>
      </w:pPr>
      <w:bookmarkStart w:id="422" w:name="_Ref467379094"/>
      <w:bookmarkStart w:id="423" w:name="_Toc487900349"/>
      <w:bookmarkStart w:id="424" w:name="_Toc28763"/>
      <w:bookmarkStart w:id="425" w:name="_Ref467379109"/>
      <w:bookmarkStart w:id="426" w:name="_Toc16917"/>
      <w:bookmarkStart w:id="427" w:name="_Ref467379205"/>
      <w:bookmarkStart w:id="428" w:name="_Toc19614"/>
      <w:bookmarkStart w:id="429" w:name="_Ref467379214"/>
      <w:bookmarkStart w:id="430" w:name="_Ref467378463"/>
      <w:bookmarkStart w:id="431" w:name="_Ref467378404"/>
      <w:bookmarkStart w:id="432" w:name="_Ref467379225"/>
      <w:bookmarkStart w:id="433" w:name="_Ref467379101"/>
      <w:bookmarkStart w:id="434" w:name="_Toc279701240"/>
      <w:bookmarkStart w:id="435" w:name="_Toc259093669"/>
      <w:bookmarkStart w:id="436" w:name="_Ref467379195"/>
      <w:bookmarkStart w:id="437" w:name="_Ref467378499"/>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“甲方”系指与中标供应商签署合同的采购人</w:t>
      </w:r>
      <w:bookmarkEnd w:id="438"/>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pPr>
        <w:spacing w:line="560" w:lineRule="exact"/>
        <w:ind w:firstLine="482" w:firstLineChars="200"/>
        <w:outlineLvl w:val="0"/>
        <w:rPr>
          <w:rFonts w:ascii="宋体" w:hAnsi="宋体" w:cs="宋体"/>
          <w:b/>
          <w:sz w:val="24"/>
        </w:rPr>
      </w:pPr>
      <w:bookmarkStart w:id="441" w:name="_Toc259093670"/>
      <w:bookmarkStart w:id="442" w:name="_Toc279701241"/>
      <w:bookmarkStart w:id="443" w:name="_Toc32504"/>
      <w:bookmarkStart w:id="444" w:name="_Toc13336"/>
      <w:bookmarkStart w:id="445" w:name="_Toc487900350"/>
      <w:bookmarkStart w:id="446" w:name="_Toc27635"/>
      <w:r>
        <w:rPr>
          <w:rFonts w:hint="eastAsia" w:ascii="宋体" w:hAnsi="宋体" w:cs="宋体"/>
          <w:b/>
          <w:sz w:val="24"/>
        </w:rPr>
        <w:t>2.2 技术规范</w:t>
      </w:r>
      <w:bookmarkEnd w:id="441"/>
      <w:bookmarkEnd w:id="442"/>
      <w:bookmarkEnd w:id="443"/>
      <w:bookmarkEnd w:id="444"/>
      <w:bookmarkEnd w:id="445"/>
      <w:bookmarkEnd w:id="446"/>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7" w:name="_Toc487900351"/>
      <w:bookmarkStart w:id="448" w:name="_Toc27853"/>
      <w:bookmarkStart w:id="449" w:name="_Toc279701242"/>
      <w:bookmarkStart w:id="450" w:name="_Toc259093671"/>
      <w:bookmarkStart w:id="451" w:name="_Toc31634"/>
      <w:bookmarkStart w:id="452" w:name="_Toc9829"/>
      <w:r>
        <w:rPr>
          <w:rFonts w:hint="eastAsia" w:ascii="宋体" w:hAnsi="宋体" w:cs="宋体"/>
          <w:b/>
          <w:sz w:val="24"/>
        </w:rPr>
        <w:t>2.3 知识产权</w:t>
      </w:r>
      <w:bookmarkEnd w:id="447"/>
      <w:bookmarkEnd w:id="448"/>
      <w:bookmarkEnd w:id="449"/>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Toc11932"/>
      <w:bookmarkStart w:id="454" w:name="_Toc29149"/>
      <w:bookmarkStart w:id="455" w:name="_Toc4194"/>
      <w:r>
        <w:rPr>
          <w:rFonts w:hint="eastAsia" w:ascii="宋体" w:hAnsi="宋体" w:cs="宋体"/>
          <w:b/>
          <w:sz w:val="24"/>
        </w:rPr>
        <w:t>2.4 包装和装运</w:t>
      </w:r>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Toc259093674"/>
      <w:bookmarkStart w:id="457" w:name="_Ref467378541"/>
      <w:bookmarkStart w:id="458" w:name="_Ref467378591"/>
      <w:bookmarkStart w:id="459" w:name="_Ref467379542"/>
      <w:bookmarkStart w:id="460" w:name="_Toc487900354"/>
      <w:bookmarkStart w:id="461" w:name="_Toc279701245"/>
      <w:bookmarkStart w:id="462" w:name="_Ref467379527"/>
      <w:bookmarkStart w:id="463" w:name="_Ref467379536"/>
      <w:bookmarkStart w:id="464" w:name="_Toc30272"/>
      <w:bookmarkStart w:id="465" w:name="_Toc19074"/>
      <w:bookmarkStart w:id="466" w:name="_Toc26182"/>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Ref467379807"/>
      <w:bookmarkStart w:id="470" w:name="_Toc259093676"/>
      <w:bookmarkStart w:id="471" w:name="_Toc487900357"/>
      <w:bookmarkStart w:id="472" w:name="_Ref467379793"/>
      <w:bookmarkStart w:id="47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pPr>
        <w:spacing w:line="560" w:lineRule="exact"/>
        <w:ind w:firstLine="482" w:firstLineChars="200"/>
        <w:outlineLvl w:val="0"/>
        <w:rPr>
          <w:rFonts w:ascii="宋体" w:hAnsi="宋体" w:cs="宋体"/>
          <w:b/>
          <w:sz w:val="24"/>
        </w:rPr>
      </w:pPr>
      <w:bookmarkStart w:id="475" w:name="_Toc279701248"/>
      <w:bookmarkStart w:id="476" w:name="_Ref467379863"/>
      <w:bookmarkStart w:id="477" w:name="_Ref467379923"/>
      <w:bookmarkStart w:id="478" w:name="_Toc259093677"/>
      <w:bookmarkStart w:id="479" w:name="_Ref467379852"/>
      <w:bookmarkStart w:id="480" w:name="_Toc487900358"/>
      <w:bookmarkStart w:id="481" w:name="_Toc16110"/>
      <w:bookmarkStart w:id="482" w:name="_Toc3225"/>
      <w:bookmarkStart w:id="483" w:name="_Toc774"/>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5" w:name="_Toc17244"/>
      <w:bookmarkStart w:id="486" w:name="_Toc487900362"/>
      <w:bookmarkStart w:id="487" w:name="_Toc259093681"/>
      <w:bookmarkStart w:id="488" w:name="_Toc279701252"/>
      <w:r>
        <w:rPr>
          <w:rFonts w:hint="eastAsia" w:ascii="宋体" w:hAnsi="宋体" w:cs="宋体"/>
          <w:b/>
          <w:sz w:val="24"/>
        </w:rPr>
        <w:t>2.8 货物的风险负担</w:t>
      </w:r>
      <w:bookmarkEnd w:id="485"/>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0" w:name="_Toc7502"/>
      <w:bookmarkStart w:id="491" w:name="_Toc259093683"/>
      <w:bookmarkStart w:id="492" w:name="_Ref467378121"/>
      <w:bookmarkStart w:id="493" w:name="_Toc279701254"/>
      <w:bookmarkStart w:id="494" w:name="_Toc487900364"/>
      <w:r>
        <w:rPr>
          <w:rFonts w:hint="eastAsia" w:ascii="宋体" w:hAnsi="宋体" w:cs="宋体"/>
          <w:b/>
          <w:sz w:val="24"/>
        </w:rPr>
        <w:t>2.10 合同变更</w:t>
      </w:r>
      <w:bookmarkEnd w:id="490"/>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pPr>
        <w:spacing w:line="560" w:lineRule="exact"/>
        <w:ind w:firstLine="482" w:firstLineChars="200"/>
        <w:outlineLvl w:val="0"/>
        <w:rPr>
          <w:rFonts w:ascii="宋体" w:hAnsi="宋体" w:cs="宋体"/>
          <w:b/>
          <w:sz w:val="24"/>
        </w:rPr>
      </w:pPr>
      <w:bookmarkStart w:id="498" w:name="_Toc15237"/>
      <w:bookmarkStart w:id="499" w:name="_Toc22955"/>
      <w:bookmarkStart w:id="500" w:name="_Toc10366"/>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1" w:name="_Toc13566"/>
      <w:bookmarkStart w:id="502" w:name="_Toc16508"/>
      <w:bookmarkStart w:id="503" w:name="_Toc14066"/>
      <w:r>
        <w:rPr>
          <w:rFonts w:hint="eastAsia" w:ascii="宋体" w:hAnsi="宋体" w:cs="宋体"/>
          <w:b/>
          <w:sz w:val="24"/>
        </w:rPr>
        <w:t>2.12 不可抗力</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4" w:name="_Toc689"/>
      <w:bookmarkStart w:id="505" w:name="_Toc6969"/>
      <w:bookmarkStart w:id="506" w:name="_Toc259093684"/>
      <w:bookmarkStart w:id="507" w:name="_Toc279701255"/>
      <w:bookmarkStart w:id="508" w:name="_Toc30676"/>
      <w:bookmarkStart w:id="509" w:name="_Toc487900365"/>
      <w:r>
        <w:rPr>
          <w:rFonts w:hint="eastAsia" w:ascii="宋体" w:hAnsi="宋体" w:cs="宋体"/>
          <w:b/>
          <w:sz w:val="24"/>
        </w:rPr>
        <w:t>2.13 税费</w:t>
      </w:r>
      <w:bookmarkEnd w:id="504"/>
      <w:bookmarkEnd w:id="505"/>
      <w:bookmarkEnd w:id="506"/>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0" w:name="_Toc487900368"/>
      <w:bookmarkStart w:id="511" w:name="_Toc259093687"/>
      <w:bookmarkStart w:id="512" w:name="_Toc8298"/>
      <w:bookmarkStart w:id="513" w:name="_Toc279701258"/>
      <w:bookmarkStart w:id="514" w:name="_Toc7102"/>
      <w:bookmarkStart w:id="515" w:name="_Toc16959"/>
      <w:r>
        <w:rPr>
          <w:rFonts w:hint="eastAsia" w:ascii="宋体" w:hAnsi="宋体" w:cs="宋体"/>
          <w:b/>
          <w:sz w:val="24"/>
        </w:rPr>
        <w:t>2.14乙方破产</w:t>
      </w:r>
      <w:bookmarkEnd w:id="510"/>
      <w:bookmarkEnd w:id="511"/>
      <w:bookmarkEnd w:id="512"/>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6" w:name="_Toc15387"/>
      <w:bookmarkStart w:id="517" w:name="_Toc6134"/>
      <w:bookmarkStart w:id="518" w:name="_Toc29333"/>
      <w:r>
        <w:rPr>
          <w:rFonts w:hint="eastAsia" w:ascii="宋体" w:hAnsi="宋体" w:cs="宋体"/>
          <w:b/>
          <w:sz w:val="24"/>
        </w:rPr>
        <w:t>2.15 合同中止、终止</w:t>
      </w:r>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9" w:name="_Toc1125"/>
      <w:bookmarkStart w:id="520" w:name="_Toc14563"/>
      <w:bookmarkStart w:id="521" w:name="_Toc6596"/>
      <w:r>
        <w:rPr>
          <w:rFonts w:hint="eastAsia" w:ascii="宋体" w:hAnsi="宋体" w:cs="宋体"/>
          <w:b/>
          <w:sz w:val="24"/>
        </w:rPr>
        <w:t>2.16检验和验收</w:t>
      </w:r>
      <w:bookmarkEnd w:id="519"/>
      <w:bookmarkEnd w:id="520"/>
      <w:bookmarkEnd w:id="521"/>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pPr>
        <w:spacing w:line="560" w:lineRule="exact"/>
        <w:ind w:firstLine="482" w:firstLineChars="200"/>
        <w:outlineLvl w:val="0"/>
        <w:rPr>
          <w:rFonts w:ascii="宋体" w:hAnsi="宋体" w:cs="宋体"/>
          <w:b/>
          <w:sz w:val="24"/>
        </w:rPr>
      </w:pPr>
      <w:bookmarkStart w:id="522" w:name="_Toc487900371"/>
      <w:bookmarkStart w:id="523" w:name="_Toc259093690"/>
      <w:bookmarkStart w:id="524" w:name="_Toc279701261"/>
      <w:bookmarkStart w:id="525" w:name="_Toc25182"/>
      <w:bookmarkStart w:id="526" w:name="_Toc11284"/>
      <w:bookmarkStart w:id="527" w:name="_Toc19604"/>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pPr>
        <w:spacing w:line="560" w:lineRule="exact"/>
        <w:ind w:firstLine="480" w:firstLineChars="200"/>
        <w:rPr>
          <w:rFonts w:ascii="宋体" w:hAnsi="宋体" w:cs="宋体"/>
          <w:sz w:val="24"/>
        </w:rPr>
      </w:pPr>
      <w:bookmarkStart w:id="528" w:name="_Toc6698"/>
      <w:bookmarkStart w:id="529" w:name="_Toc3135"/>
      <w:bookmarkStart w:id="530" w:name="_Toc487900372"/>
      <w:bookmarkStart w:id="531" w:name="_Toc279701262"/>
      <w:bookmarkStart w:id="532"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宋体" w:hAnsi="宋体" w:cs="宋体"/>
          <w:b/>
          <w:sz w:val="24"/>
        </w:rPr>
      </w:pPr>
      <w:bookmarkStart w:id="535" w:name="_Toc18540"/>
      <w:bookmarkStart w:id="536" w:name="_Toc4355"/>
      <w:bookmarkStart w:id="537" w:name="_Toc30599"/>
      <w:r>
        <w:rPr>
          <w:rFonts w:hint="eastAsia" w:ascii="宋体" w:hAnsi="宋体" w:cs="宋体"/>
          <w:b/>
          <w:sz w:val="24"/>
        </w:rPr>
        <w:t>2.18 计量单位</w:t>
      </w:r>
      <w:bookmarkEnd w:id="530"/>
      <w:bookmarkEnd w:id="531"/>
      <w:bookmarkEnd w:id="532"/>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8" w:name="_Toc10330"/>
      <w:bookmarkStart w:id="539" w:name="_Toc487900373"/>
      <w:bookmarkStart w:id="540" w:name="_Toc259093692"/>
      <w:bookmarkStart w:id="541" w:name="_Toc279701263"/>
      <w:bookmarkStart w:id="542" w:name="_Toc18567"/>
      <w:bookmarkStart w:id="543" w:name="_Toc12773"/>
      <w:r>
        <w:rPr>
          <w:rFonts w:hint="eastAsia" w:ascii="宋体" w:hAnsi="宋体" w:cs="宋体"/>
          <w:b/>
          <w:sz w:val="24"/>
        </w:rPr>
        <w:t>2.19 合同使用的文字和适用的法律</w:t>
      </w:r>
      <w:bookmarkEnd w:id="538"/>
      <w:bookmarkEnd w:id="539"/>
      <w:bookmarkEnd w:id="540"/>
      <w:bookmarkEnd w:id="541"/>
      <w:bookmarkEnd w:id="542"/>
      <w:bookmarkEnd w:id="543"/>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4" w:name="_Toc12004"/>
      <w:bookmarkStart w:id="545" w:name="_Toc259093693"/>
      <w:bookmarkStart w:id="546" w:name="_Toc16673"/>
      <w:bookmarkStart w:id="547" w:name="_Toc279701264"/>
      <w:bookmarkStart w:id="548" w:name="_Toc3148"/>
      <w:bookmarkStart w:id="549" w:name="_Toc487900374"/>
      <w:r>
        <w:rPr>
          <w:rFonts w:hint="eastAsia" w:ascii="宋体" w:hAnsi="宋体" w:cs="宋体"/>
          <w:b/>
          <w:sz w:val="24"/>
        </w:rPr>
        <w:t>2.20 履约保证金</w:t>
      </w:r>
      <w:bookmarkEnd w:id="544"/>
      <w:bookmarkEnd w:id="545"/>
      <w:bookmarkEnd w:id="546"/>
      <w:bookmarkEnd w:id="547"/>
      <w:bookmarkEnd w:id="548"/>
    </w:p>
    <w:p>
      <w:pPr>
        <w:pStyle w:val="34"/>
        <w:spacing w:before="0" w:beforeAutospacing="0" w:after="0" w:afterAutospacing="0" w:line="360" w:lineRule="auto"/>
        <w:ind w:firstLine="482"/>
      </w:pPr>
      <w:r>
        <w:rPr>
          <w:rFonts w:hint="eastAsia"/>
        </w:rPr>
        <w:t>2.20.1 采</w:t>
      </w:r>
      <w:r>
        <w:rPr>
          <w:rFonts w:hint="eastAsia" w:asciiTheme="minorEastAsia" w:hAnsiTheme="minorEastAsia" w:eastAsiaTheme="minorEastAsia" w:cstheme="minorEastAsia"/>
          <w:sz w:val="24"/>
          <w:lang w:val="zh-CN"/>
        </w:rPr>
        <w:t>中标人在合同签订前向采购单位交纳中标金额</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%的履约保证金，</w:t>
      </w:r>
      <w:r>
        <w:rPr>
          <w:rFonts w:hint="eastAsia" w:asciiTheme="minorEastAsia" w:hAnsiTheme="minorEastAsia" w:eastAsiaTheme="minorEastAsia" w:cstheme="minorEastAsia"/>
          <w:sz w:val="24"/>
        </w:rPr>
        <w:t>项目终验合格后退回。供应商可以银行、保险公司出具的保函形式提交。</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甲方根据湖州市政府采购网公布的供应商履约评价情况减免履约保证金。乙方履约验收评价总分为100分的，甲方免收履约保证金。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9"/>
    <w:p>
      <w:pPr>
        <w:spacing w:line="560" w:lineRule="exact"/>
        <w:ind w:firstLine="482" w:firstLineChars="200"/>
        <w:outlineLvl w:val="0"/>
        <w:rPr>
          <w:rFonts w:ascii="宋体" w:hAnsi="宋体" w:cs="宋体"/>
          <w:b/>
          <w:sz w:val="24"/>
        </w:rPr>
      </w:pPr>
      <w:bookmarkStart w:id="550" w:name="_Toc19890"/>
      <w:bookmarkStart w:id="551" w:name="_Toc6885"/>
      <w:bookmarkStart w:id="552" w:name="_Toc14001"/>
      <w:r>
        <w:rPr>
          <w:rFonts w:hint="eastAsia" w:ascii="宋体" w:hAnsi="宋体" w:cs="宋体"/>
          <w:b/>
          <w:sz w:val="24"/>
        </w:rPr>
        <w:t>2.22合同份数</w:t>
      </w:r>
      <w:bookmarkEnd w:id="550"/>
      <w:bookmarkEnd w:id="551"/>
      <w:bookmarkEnd w:id="55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32"/>
        <w:spacing w:line="560" w:lineRule="exact"/>
        <w:ind w:firstLine="482"/>
        <w:jc w:val="center"/>
        <w:rPr>
          <w:rFonts w:ascii="宋体" w:hAnsi="宋体" w:cs="宋体"/>
          <w:b/>
          <w:szCs w:val="24"/>
        </w:rPr>
      </w:pPr>
      <w:bookmarkStart w:id="553" w:name="_Toc331685784"/>
      <w:r>
        <w:rPr>
          <w:rFonts w:hint="eastAsia" w:ascii="宋体" w:hAnsi="宋体" w:cs="宋体"/>
          <w:b/>
          <w:szCs w:val="24"/>
        </w:rPr>
        <w:t xml:space="preserve"> </w:t>
      </w:r>
      <w:bookmarkEnd w:id="553"/>
    </w:p>
    <w:p>
      <w:pPr>
        <w:pStyle w:val="19"/>
        <w:rPr>
          <w:sz w:val="24"/>
        </w:rPr>
      </w:pPr>
      <w:r>
        <w:br w:type="page"/>
      </w:r>
    </w:p>
    <w:p>
      <w:pPr>
        <w:pStyle w:val="32"/>
        <w:spacing w:line="560" w:lineRule="exact"/>
        <w:ind w:firstLine="482"/>
        <w:jc w:val="center"/>
        <w:rPr>
          <w:rFonts w:ascii="宋体" w:hAnsi="宋体" w:cs="宋体"/>
          <w:b/>
          <w:szCs w:val="24"/>
        </w:rPr>
      </w:pPr>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525"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0"/>
        <w:gridCol w:w="8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0"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6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675" w:type="dxa"/>
            <w:vAlign w:val="center"/>
          </w:tcPr>
          <w:p>
            <w:pPr>
              <w:widowControl/>
              <w:adjustRightInd/>
              <w:spacing w:line="360" w:lineRule="auto"/>
              <w:ind w:firstLine="480" w:firstLineChars="200"/>
              <w:jc w:val="left"/>
              <w:rPr>
                <w:rFonts w:ascii="宋体" w:hAnsi="宋体" w:cs="宋体"/>
                <w:sz w:val="24"/>
                <w:highlight w:val="yellow"/>
                <w:lang w:eastAsia="zh-Hans"/>
              </w:rPr>
            </w:pPr>
            <w:r>
              <w:rPr>
                <w:rFonts w:hint="eastAsia" w:ascii="宋体" w:hAnsi="宋体" w:cs="宋体"/>
                <w:sz w:val="24"/>
                <w:highlight w:val="yellow"/>
              </w:rPr>
              <w:t>1.合同签订后5个工作日内，乙方按湖州市政府采购网公布的乙方履约评价情况（乙方履约验收评价总分为100分的，甲方应当免收履约保证金；其余的，收取履约保证金不得高于合同总价1%）缴纳履约保证金。甲方在合同生效后5个工作日内支付合同总价的</w:t>
            </w:r>
            <w:r>
              <w:rPr>
                <w:rFonts w:hint="eastAsia" w:ascii="宋体" w:hAnsi="宋体" w:cs="宋体"/>
                <w:sz w:val="24"/>
                <w:highlight w:val="yellow"/>
                <w:lang w:val="en-US" w:eastAsia="zh-CN"/>
              </w:rPr>
              <w:t>5</w:t>
            </w:r>
            <w:r>
              <w:rPr>
                <w:rFonts w:hint="eastAsia" w:ascii="宋体" w:hAnsi="宋体" w:cs="宋体"/>
                <w:sz w:val="24"/>
                <w:highlight w:val="yellow"/>
              </w:rPr>
              <w:t>0%</w:t>
            </w:r>
            <w:r>
              <w:rPr>
                <w:rFonts w:hint="eastAsia" w:ascii="宋体" w:hAnsi="宋体" w:cs="宋体"/>
                <w:sz w:val="24"/>
                <w:highlight w:val="yellow"/>
                <w:lang w:eastAsia="zh-Hans"/>
              </w:rPr>
              <w:t>。</w:t>
            </w:r>
          </w:p>
          <w:p>
            <w:pPr>
              <w:widowControl/>
              <w:adjustRightInd/>
              <w:spacing w:line="360" w:lineRule="auto"/>
              <w:ind w:firstLine="480" w:firstLineChars="200"/>
              <w:jc w:val="left"/>
              <w:rPr>
                <w:rFonts w:ascii="宋体" w:hAnsi="宋体" w:cs="宋体"/>
                <w:sz w:val="24"/>
                <w:highlight w:val="yellow"/>
              </w:rPr>
            </w:pPr>
            <w:r>
              <w:rPr>
                <w:rFonts w:hint="eastAsia" w:ascii="宋体" w:hAnsi="宋体" w:cs="宋体"/>
                <w:sz w:val="24"/>
                <w:highlight w:val="yellow"/>
              </w:rPr>
              <w:t>2.乙方完成全部产品的到货后，凭到货核验清单、产品合格证、说明书、双方签字盖章的</w:t>
            </w:r>
            <w:r>
              <w:rPr>
                <w:rFonts w:hint="eastAsia" w:ascii="宋体" w:hAnsi="宋体" w:cs="宋体"/>
                <w:sz w:val="24"/>
                <w:highlight w:val="yellow"/>
                <w:lang w:val="en-US" w:eastAsia="zh-CN"/>
              </w:rPr>
              <w:t>试运行</w:t>
            </w:r>
            <w:r>
              <w:rPr>
                <w:rFonts w:hint="eastAsia" w:ascii="宋体" w:hAnsi="宋体" w:cs="宋体"/>
                <w:sz w:val="24"/>
                <w:highlight w:val="yellow"/>
              </w:rPr>
              <w:t>验收意见等资料</w:t>
            </w:r>
            <w:r>
              <w:rPr>
                <w:rFonts w:hint="eastAsia" w:ascii="宋体" w:hAnsi="宋体" w:cs="宋体"/>
                <w:b/>
                <w:bCs/>
                <w:sz w:val="24"/>
                <w:highlight w:val="yellow"/>
              </w:rPr>
              <w:t>。</w:t>
            </w:r>
          </w:p>
          <w:p>
            <w:pPr>
              <w:widowControl/>
              <w:adjustRightInd/>
              <w:spacing w:line="360" w:lineRule="auto"/>
              <w:ind w:firstLine="480" w:firstLineChars="200"/>
              <w:jc w:val="left"/>
              <w:rPr>
                <w:rFonts w:ascii="宋体" w:hAnsi="宋体" w:cs="宋体"/>
                <w:sz w:val="24"/>
                <w:highlight w:val="yellow"/>
              </w:rPr>
            </w:pPr>
            <w:r>
              <w:rPr>
                <w:rFonts w:hint="eastAsia" w:ascii="宋体" w:hAnsi="宋体" w:cs="宋体"/>
                <w:sz w:val="24"/>
                <w:highlight w:val="yellow"/>
                <w:lang w:bidi="ar"/>
              </w:rPr>
              <w:t>3.项目完成安装、调试，经甲方组织验收合格后，且待财政资金到位后</w:t>
            </w:r>
            <w:r>
              <w:rPr>
                <w:rFonts w:hint="eastAsia" w:ascii="宋体" w:hAnsi="宋体" w:cs="宋体"/>
                <w:sz w:val="24"/>
                <w:highlight w:val="yellow"/>
              </w:rPr>
              <w:t>，凭验收证明资料，</w:t>
            </w:r>
            <w:r>
              <w:rPr>
                <w:rFonts w:hint="eastAsia" w:ascii="宋体" w:hAnsi="宋体" w:cs="宋体"/>
                <w:b/>
                <w:bCs/>
                <w:sz w:val="24"/>
                <w:highlight w:val="yellow"/>
              </w:rPr>
              <w:t>验收中</w:t>
            </w:r>
            <w:r>
              <w:rPr>
                <w:rFonts w:hint="eastAsia" w:ascii="宋体" w:hAnsi="宋体" w:cs="宋体"/>
                <w:b/>
                <w:bCs/>
                <w:sz w:val="24"/>
                <w:highlight w:val="yellow"/>
                <w:lang w:val="zh-CN"/>
              </w:rPr>
              <w:t>如遇部分清单设备</w:t>
            </w:r>
            <w:r>
              <w:rPr>
                <w:rFonts w:hint="eastAsia" w:ascii="宋体" w:hAnsi="宋体" w:cs="宋体"/>
                <w:b/>
                <w:bCs/>
                <w:sz w:val="24"/>
                <w:highlight w:val="yellow"/>
              </w:rPr>
              <w:t>供货实际</w:t>
            </w:r>
            <w:r>
              <w:rPr>
                <w:rFonts w:hint="eastAsia" w:ascii="宋体" w:hAnsi="宋体" w:cs="宋体"/>
                <w:b/>
                <w:bCs/>
                <w:sz w:val="24"/>
                <w:highlight w:val="yellow"/>
                <w:lang w:val="zh-CN"/>
              </w:rPr>
              <w:t>数量有变，则按投标单价价格按实结算（</w:t>
            </w:r>
            <w:r>
              <w:rPr>
                <w:rFonts w:hint="eastAsia" w:ascii="宋体" w:hAnsi="宋体" w:cs="宋体"/>
                <w:b/>
                <w:bCs/>
                <w:sz w:val="24"/>
                <w:highlight w:val="yellow"/>
              </w:rPr>
              <w:t>支付金额=按实际供货数量*中标综合单价</w:t>
            </w:r>
            <w:r>
              <w:rPr>
                <w:rFonts w:hint="eastAsia" w:ascii="宋体" w:hAnsi="宋体" w:cs="宋体"/>
                <w:b/>
                <w:bCs/>
                <w:sz w:val="24"/>
                <w:highlight w:val="yellow"/>
                <w:lang w:val="zh-CN"/>
              </w:rPr>
              <w:t>）</w:t>
            </w:r>
            <w:r>
              <w:rPr>
                <w:rFonts w:hint="eastAsia" w:ascii="宋体" w:hAnsi="宋体" w:cs="宋体"/>
                <w:sz w:val="24"/>
                <w:highlight w:val="yellow"/>
              </w:rPr>
              <w:t>，</w:t>
            </w:r>
            <w:r>
              <w:rPr>
                <w:rFonts w:hint="eastAsia" w:ascii="宋体" w:hAnsi="宋体" w:cs="宋体"/>
                <w:b/>
                <w:bCs/>
                <w:sz w:val="24"/>
                <w:highlight w:val="yellow"/>
              </w:rPr>
              <w:t>5个工作日内结算合同款项余款，</w:t>
            </w:r>
            <w:r>
              <w:rPr>
                <w:rFonts w:hint="eastAsia" w:ascii="宋体" w:hAnsi="宋体" w:cs="宋体"/>
                <w:sz w:val="24"/>
                <w:highlight w:val="yellow"/>
              </w:rPr>
              <w:t>同时扣除违约金。</w:t>
            </w:r>
          </w:p>
          <w:p>
            <w:pPr>
              <w:pStyle w:val="28"/>
              <w:tabs>
                <w:tab w:val="left" w:pos="0"/>
              </w:tabs>
              <w:spacing w:before="0"/>
              <w:ind w:firstLine="480"/>
              <w:jc w:val="left"/>
              <w:rPr>
                <w:rFonts w:ascii="宋体" w:hAnsi="宋体" w:cs="宋体"/>
                <w:szCs w:val="24"/>
              </w:rPr>
            </w:pPr>
            <w:r>
              <w:rPr>
                <w:rFonts w:hint="eastAsia" w:ascii="宋体" w:hAnsi="宋体" w:cs="宋体"/>
                <w:szCs w:val="24"/>
              </w:rPr>
              <w:t>4、付款条件:</w:t>
            </w:r>
          </w:p>
          <w:p>
            <w:pPr>
              <w:pStyle w:val="28"/>
              <w:tabs>
                <w:tab w:val="left" w:pos="0"/>
              </w:tabs>
              <w:spacing w:before="0"/>
              <w:ind w:firstLine="480"/>
              <w:jc w:val="left"/>
              <w:rPr>
                <w:rFonts w:ascii="宋体" w:hAnsi="宋体" w:cs="宋体"/>
                <w:szCs w:val="24"/>
              </w:rPr>
            </w:pPr>
            <w:r>
              <w:rPr>
                <w:rFonts w:hint="eastAsia" w:ascii="宋体" w:hAnsi="宋体" w:cs="宋体"/>
                <w:szCs w:val="24"/>
              </w:rPr>
              <w:t>（1）</w:t>
            </w:r>
            <w:r>
              <w:rPr>
                <w:rFonts w:hint="eastAsia" w:asciiTheme="minorEastAsia" w:hAnsiTheme="minorEastAsia" w:eastAsiaTheme="minorEastAsia" w:cstheme="minorEastAsia"/>
              </w:rPr>
              <w:t>合同签订后</w:t>
            </w:r>
            <w:r>
              <w:rPr>
                <w:rFonts w:hint="eastAsia" w:ascii="宋体" w:hAnsi="宋体" w:cs="宋体"/>
                <w:sz w:val="24"/>
                <w:highlight w:val="yellow"/>
              </w:rPr>
              <w:t>5个工作日内</w:t>
            </w:r>
            <w:r>
              <w:rPr>
                <w:rFonts w:hint="eastAsia" w:asciiTheme="minorEastAsia" w:hAnsiTheme="minorEastAsia" w:eastAsiaTheme="minorEastAsia" w:cstheme="minorEastAsia"/>
              </w:rPr>
              <w:t>，采购人预付成交供应商合同总价的50%。合同履约至2024年11月，中标人递交试运行报告经相关业务部门审核后采购人支付合同总金额的</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0%；试运行结束并通过验收后递交验收报告及相关文件资料，经结算审核后支付至结算审定金额的100%；</w:t>
            </w:r>
          </w:p>
          <w:p>
            <w:pPr>
              <w:pStyle w:val="28"/>
              <w:tabs>
                <w:tab w:val="left" w:pos="0"/>
              </w:tabs>
              <w:spacing w:before="0"/>
              <w:ind w:firstLine="480"/>
              <w:jc w:val="left"/>
              <w:rPr>
                <w:rFonts w:ascii="宋体" w:hAnsi="宋体" w:cs="宋体"/>
                <w:szCs w:val="24"/>
              </w:rPr>
            </w:pPr>
            <w:r>
              <w:rPr>
                <w:rFonts w:hint="eastAsia" w:ascii="宋体" w:hAnsi="宋体" w:cs="宋体"/>
                <w:szCs w:val="24"/>
              </w:rPr>
              <w:t>（2）甲方凭中标人开具的开具增值税普通发票和甲方认可的各项记录复印件向乙方支付服务费。由于乙方上报或者开票不及时引起的延迟支付，责任由乙方自负。</w:t>
            </w:r>
          </w:p>
          <w:p>
            <w:pPr>
              <w:pStyle w:val="28"/>
              <w:tabs>
                <w:tab w:val="left" w:pos="0"/>
              </w:tabs>
              <w:spacing w:before="0"/>
              <w:ind w:firstLine="480"/>
              <w:jc w:val="left"/>
              <w:rPr>
                <w:rFonts w:ascii="宋体" w:hAnsi="宋体" w:cs="宋体"/>
                <w:szCs w:val="24"/>
                <w:lang w:val="zh-CN"/>
              </w:rPr>
            </w:pPr>
            <w:r>
              <w:rPr>
                <w:rFonts w:hint="eastAsia" w:ascii="宋体" w:hAnsi="宋体" w:cs="宋体"/>
                <w:szCs w:val="24"/>
              </w:rPr>
              <w:t>（3）</w:t>
            </w:r>
            <w:r>
              <w:rPr>
                <w:rFonts w:hint="eastAsia" w:ascii="宋体" w:hAnsi="宋体" w:cs="宋体"/>
                <w:szCs w:val="24"/>
                <w:lang w:val="zh-CN"/>
              </w:rPr>
              <w:t>货物在通过验收并交付</w:t>
            </w:r>
            <w:r>
              <w:rPr>
                <w:rFonts w:hint="eastAsia" w:ascii="宋体" w:hAnsi="宋体" w:cs="宋体"/>
                <w:szCs w:val="24"/>
              </w:rPr>
              <w:t>甲方</w:t>
            </w:r>
            <w:r>
              <w:rPr>
                <w:rFonts w:hint="eastAsia" w:ascii="宋体" w:hAnsi="宋体" w:cs="宋体"/>
                <w:szCs w:val="24"/>
                <w:lang w:val="zh-CN"/>
              </w:rPr>
              <w:t>前发生的风险均由</w:t>
            </w:r>
            <w:r>
              <w:rPr>
                <w:rFonts w:hint="eastAsia" w:ascii="宋体" w:hAnsi="宋体" w:cs="宋体"/>
                <w:szCs w:val="24"/>
              </w:rPr>
              <w:t>乙方</w:t>
            </w:r>
            <w:r>
              <w:rPr>
                <w:rFonts w:hint="eastAsia" w:ascii="宋体" w:hAnsi="宋体" w:cs="宋体"/>
                <w:szCs w:val="24"/>
                <w:lang w:val="zh-CN"/>
              </w:rPr>
              <w:t>负责。</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（4）</w:t>
            </w:r>
            <w:r>
              <w:rPr>
                <w:rFonts w:hint="eastAsia" w:ascii="宋体" w:hAnsi="宋体" w:cs="宋体"/>
                <w:szCs w:val="24"/>
                <w:lang w:val="zh-CN"/>
              </w:rPr>
              <w:t>安全责任：</w:t>
            </w:r>
            <w:r>
              <w:rPr>
                <w:rFonts w:hint="eastAsia" w:ascii="宋体" w:hAnsi="宋体" w:cs="宋体"/>
                <w:szCs w:val="24"/>
              </w:rPr>
              <w:t>乙方</w:t>
            </w:r>
            <w:r>
              <w:rPr>
                <w:rFonts w:hint="eastAsia" w:ascii="宋体" w:hAnsi="宋体" w:cs="宋体"/>
                <w:szCs w:val="24"/>
                <w:lang w:val="zh-CN"/>
              </w:rPr>
              <w:t>承担货物在送达指定地点前及运输和保存、安装过程（包括堆放和卸装期间）中货物的毁损、灭失等和发生人身伤亡事故等风险和安全责任，并承担一切经济损失和法律责任。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675" w:type="dxa"/>
            <w:vAlign w:val="center"/>
          </w:tcPr>
          <w:p>
            <w:pPr>
              <w:spacing w:line="360" w:lineRule="auto"/>
              <w:rPr>
                <w:rFonts w:ascii="宋体" w:hAnsi="宋体" w:cs="宋体"/>
                <w:sz w:val="24"/>
              </w:rPr>
            </w:pPr>
            <w:r>
              <w:rPr>
                <w:rFonts w:hint="eastAsia" w:ascii="宋体" w:hAnsi="宋体" w:cs="宋体"/>
                <w:kern w:val="44"/>
                <w:sz w:val="24"/>
                <w:highlight w:val="yellow"/>
              </w:rPr>
              <w:t>合同履约期限：</w:t>
            </w:r>
            <w:r>
              <w:rPr>
                <w:rFonts w:hint="eastAsia" w:ascii="宋体" w:hAnsi="宋体" w:cs="宋体"/>
                <w:kern w:val="44"/>
                <w:sz w:val="24"/>
                <w:highlight w:val="yellow"/>
                <w:lang w:val="en-US" w:eastAsia="zh-CN"/>
              </w:rPr>
              <w:t>2024年7月30日前</w:t>
            </w:r>
            <w:r>
              <w:rPr>
                <w:rFonts w:hint="eastAsia" w:ascii="宋体" w:hAnsi="宋体" w:cs="宋体"/>
                <w:kern w:val="44"/>
                <w:sz w:val="24"/>
                <w:highlight w:val="yellow"/>
              </w:rPr>
              <w:t>（具体时间按合同签订为准。其中含完成设备供货、安装及内容系统的部署等，经测试运行及培训，并通过甲方组织验收合格，正式交付使用</w:t>
            </w:r>
            <w:r>
              <w:rPr>
                <w:rFonts w:hint="eastAsia" w:ascii="宋体" w:hAnsi="宋体" w:cs="宋体"/>
                <w:b/>
                <w:bCs/>
                <w:kern w:val="44"/>
                <w:sz w:val="24"/>
                <w:highlight w:val="yellow"/>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675" w:type="dxa"/>
            <w:vAlign w:val="center"/>
          </w:tcPr>
          <w:p>
            <w:pPr>
              <w:spacing w:line="360" w:lineRule="auto"/>
              <w:rPr>
                <w:rFonts w:ascii="宋体" w:hAnsi="宋体" w:cs="宋体"/>
                <w:sz w:val="24"/>
              </w:rPr>
            </w:pPr>
            <w:r>
              <w:rPr>
                <w:rFonts w:hint="eastAsia" w:ascii="宋体" w:hAnsi="宋体" w:cs="宋体"/>
                <w:sz w:val="24"/>
              </w:rPr>
              <w:t>履行合同的地点：湖州市长兴县。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675" w:type="dxa"/>
            <w:vAlign w:val="center"/>
          </w:tcPr>
          <w:p>
            <w:pPr>
              <w:pStyle w:val="28"/>
              <w:tabs>
                <w:tab w:val="left" w:pos="0"/>
              </w:tabs>
              <w:snapToGrid w:val="0"/>
              <w:spacing w:before="0"/>
              <w:ind w:firstLine="0" w:firstLineChars="0"/>
              <w:jc w:val="left"/>
              <w:rPr>
                <w:rFonts w:ascii="宋体" w:hAnsi="宋体" w:cs="宋体"/>
                <w:szCs w:val="24"/>
              </w:rPr>
            </w:pPr>
            <w:r>
              <w:rPr>
                <w:rFonts w:hint="eastAsia" w:ascii="宋体" w:hAnsi="宋体" w:cs="宋体"/>
                <w:szCs w:val="24"/>
              </w:rPr>
              <w:t>交付方式：送货上门，乙方负责安装调试，并经验收合格后并交付甲方使用。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1．合同签订后，任何一方不履行或不完全履行本合同约定条款的，即构成违约。任何一方违约时，守约方有权要求违约方继续履行本合同，同时有权要求违约方支付违约金。</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4．乙方逾期履行合同的，自逾期之日起，向甲方每日偿付合同总价万分之五的违约金。</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5．甲方逾期支付货款或逾期退还履约保证金的，自逾期之日起，向乙方每日偿付未付价款或未退还履约保证金万分之五的违约金。</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7．上述第6项应退回或更换的货物，由乙方在验收后一周内运离安装地点，所需费用由乙方承担。如乙方在二周内不处理（搬走）的，视为乙方放弃，甲方有权自行处置（包括废物处理）。</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8．乙方未按采购文件及合同约定履行质保义务的，每次应向甲方承担 2000 元的违约金，并赔偿甲方的损失；同时，乙方应继续履行质保义务。</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675" w:type="dxa"/>
            <w:vAlign w:val="center"/>
          </w:tcPr>
          <w:p>
            <w:pPr>
              <w:pStyle w:val="28"/>
              <w:tabs>
                <w:tab w:val="left" w:pos="0"/>
              </w:tabs>
              <w:snapToGrid w:val="0"/>
              <w:spacing w:before="0"/>
              <w:ind w:firstLine="0" w:firstLineChars="0"/>
              <w:jc w:val="left"/>
              <w:rPr>
                <w:rFonts w:ascii="宋体" w:hAnsi="宋体" w:cs="宋体"/>
                <w:szCs w:val="24"/>
              </w:rPr>
            </w:pPr>
            <w:r>
              <w:rPr>
                <w:rFonts w:hint="eastAsia" w:ascii="宋体" w:hAnsi="宋体" w:cs="宋体"/>
                <w:szCs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湖州仲裁委员会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675" w:type="dxa"/>
            <w:vAlign w:val="center"/>
          </w:tcPr>
          <w:p>
            <w:pPr>
              <w:spacing w:line="360" w:lineRule="auto"/>
              <w:ind w:firstLine="480"/>
              <w:rPr>
                <w:rFonts w:hint="eastAsia" w:ascii="宋体" w:hAnsi="宋体"/>
                <w:color w:val="FF0000"/>
                <w:sz w:val="24"/>
                <w:highlight w:val="none"/>
              </w:rPr>
            </w:pPr>
          </w:p>
          <w:p>
            <w:pPr>
              <w:spacing w:line="360" w:lineRule="auto"/>
              <w:ind w:firstLine="480"/>
              <w:rPr>
                <w:rFonts w:ascii="宋体" w:hAnsi="宋体" w:cs="宋体"/>
                <w:szCs w:val="24"/>
              </w:rPr>
            </w:pPr>
            <w:r>
              <w:rPr>
                <w:rFonts w:hint="eastAsia" w:ascii="宋体" w:hAnsi="宋体" w:cs="Times New Roman"/>
                <w:sz w:val="24"/>
              </w:rPr>
              <w:t>乙方应保证提供的商品不侵犯第三方的专利权、商标权或者其他知识产权。如乙方行为侵犯第三方知识产权并造成第三方追究甲方责任的，甲方因此受到的损失由乙方承担。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1、包装：</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使用说明书、质量检验证明书、随配附件和工具以及清单一并附于货物内。</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2、运输及交付：</w:t>
            </w:r>
          </w:p>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675" w:type="dxa"/>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货物或者在途货物或者交付给第一承运人后的货物毁损、灭失的风险由乙方全权负责。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满足验收条件之日起10日内组织验收。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675" w:type="dxa"/>
            <w:vAlign w:val="center"/>
          </w:tcPr>
          <w:p>
            <w:pPr>
              <w:adjustRightInd/>
              <w:spacing w:line="360" w:lineRule="auto"/>
              <w:ind w:firstLine="480" w:firstLineChars="200"/>
              <w:jc w:val="left"/>
              <w:rPr>
                <w:rFonts w:ascii="宋体" w:hAnsi="宋体" w:cs="宋体"/>
                <w:sz w:val="24"/>
              </w:rPr>
            </w:pPr>
            <w:r>
              <w:rPr>
                <w:rFonts w:hint="eastAsia" w:ascii="宋体" w:hAnsi="宋体" w:cs="宋体"/>
                <w:sz w:val="24"/>
              </w:rPr>
              <w:t>1.甲方按照规定组织对乙方履约的验收。验收方成员应当在验收书上签字，并承担相应的法律责任。如果发现与合同中要求不符，乙方须承担由此发生的一切损失和费用，并接受相应的处理。</w:t>
            </w:r>
          </w:p>
          <w:p>
            <w:pPr>
              <w:tabs>
                <w:tab w:val="left" w:pos="630"/>
              </w:tabs>
              <w:snapToGrid w:val="0"/>
              <w:spacing w:line="360" w:lineRule="auto"/>
              <w:ind w:firstLine="480" w:firstLineChars="200"/>
              <w:rPr>
                <w:rFonts w:ascii="宋体" w:hAnsi="宋体" w:cs="宋体"/>
                <w:sz w:val="24"/>
              </w:rPr>
            </w:pPr>
            <w:r>
              <w:rPr>
                <w:rFonts w:hint="eastAsia" w:ascii="宋体" w:hAnsi="宋体" w:cs="宋体"/>
                <w:sz w:val="24"/>
              </w:rPr>
              <w:t xml:space="preserve">  2、设备验收应当由甲方在指定地点进行，甲方对乙方所交货物依照采购文件上的技术规格要求或国家（设备制造国）有关标准会同浙江省文物安全技术防范工程审核组进行验收，性能达到技术要求的，给予签收。验收不合格的不予以签收，后果由乙方负责。</w:t>
            </w:r>
          </w:p>
          <w:p>
            <w:pPr>
              <w:tabs>
                <w:tab w:val="left" w:pos="630"/>
              </w:tabs>
              <w:snapToGrid w:val="0"/>
              <w:spacing w:line="360" w:lineRule="auto"/>
              <w:ind w:firstLine="480" w:firstLineChars="200"/>
              <w:rPr>
                <w:rFonts w:ascii="宋体" w:hAnsi="宋体" w:cs="宋体"/>
                <w:sz w:val="24"/>
              </w:rPr>
            </w:pPr>
            <w:r>
              <w:rPr>
                <w:rFonts w:hint="eastAsia" w:ascii="宋体" w:hAnsi="宋体" w:cs="宋体"/>
                <w:sz w:val="24"/>
              </w:rPr>
              <w:t>3、设备满足合同中规定的各项技术规格、指标和性能要求，符合厂家提供的正式技术文件的说明。</w:t>
            </w:r>
          </w:p>
          <w:p>
            <w:pPr>
              <w:pStyle w:val="28"/>
              <w:tabs>
                <w:tab w:val="left" w:pos="0"/>
              </w:tabs>
              <w:adjustRightInd/>
              <w:spacing w:before="0"/>
              <w:ind w:firstLine="482"/>
              <w:jc w:val="left"/>
              <w:rPr>
                <w:rFonts w:ascii="宋体" w:hAnsi="宋体" w:cs="宋体"/>
                <w:b/>
                <w:bCs/>
                <w:szCs w:val="24"/>
              </w:rPr>
            </w:pPr>
            <w:r>
              <w:rPr>
                <w:rFonts w:hint="eastAsia" w:ascii="宋体" w:hAnsi="宋体" w:cs="宋体"/>
                <w:b/>
                <w:bCs/>
              </w:rPr>
              <w:t>4、验收产生的费用，属于首次验收过程中产生的，由甲方承担；属于首次验收不合格，重新验收过程中产生的，由乙方承担，该项费用已由乙方综合考虑在投标总价中。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0"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675" w:type="dxa"/>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履约保证金：合同签订7天内乙方应向甲方交纳合同金额的1%作为履约保证金，履约保证金的形式不限于现金、汇款、支票、银行保函等。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履约保证金在项目履约验收合格前不予退还。乙方在前述约定期间届满前能履行完合同约定义务事项的，甲方在前述约定期间届满之日起5个工作日内，按原递交方式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675" w:type="dxa"/>
            <w:vAlign w:val="center"/>
          </w:tcPr>
          <w:p>
            <w:pPr>
              <w:pStyle w:val="28"/>
              <w:tabs>
                <w:tab w:val="left" w:pos="0"/>
              </w:tabs>
              <w:snapToGrid w:val="0"/>
              <w:spacing w:before="0"/>
              <w:ind w:firstLine="480"/>
              <w:jc w:val="left"/>
              <w:rPr>
                <w:rFonts w:ascii="宋体" w:hAnsi="宋体" w:cs="宋体"/>
                <w:szCs w:val="24"/>
              </w:rPr>
            </w:pPr>
            <w:r>
              <w:rPr>
                <w:rFonts w:hint="eastAsia" w:ascii="宋体" w:hAnsi="宋体" w:cs="宋体"/>
                <w:szCs w:val="24"/>
              </w:rPr>
              <w:t>合同份数按甲方执陆份，乙方执叁份规定，每份均具有同等法律效力。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adjustRightInd/>
              <w:spacing w:line="360" w:lineRule="auto"/>
              <w:jc w:val="center"/>
              <w:rPr>
                <w:rFonts w:ascii="宋体" w:hAnsi="宋体" w:cs="宋体"/>
                <w:sz w:val="24"/>
              </w:rPr>
            </w:pPr>
            <w:r>
              <w:rPr>
                <w:rFonts w:hint="eastAsia" w:ascii="宋体" w:hAnsi="宋体" w:cs="宋体"/>
                <w:sz w:val="24"/>
              </w:rPr>
              <w:t>3</w:t>
            </w:r>
          </w:p>
        </w:tc>
        <w:tc>
          <w:tcPr>
            <w:tcW w:w="8675" w:type="dxa"/>
            <w:vAlign w:val="center"/>
          </w:tcPr>
          <w:p>
            <w:pPr>
              <w:adjustRightInd/>
              <w:spacing w:line="360" w:lineRule="auto"/>
              <w:ind w:firstLine="480" w:firstLineChars="200"/>
              <w:rPr>
                <w:rFonts w:ascii="宋体" w:hAnsi="宋体" w:cs="宋体"/>
                <w:sz w:val="24"/>
              </w:rPr>
            </w:pPr>
            <w:r>
              <w:rPr>
                <w:rFonts w:hint="eastAsia" w:ascii="宋体" w:hAnsi="宋体" w:cs="宋体"/>
                <w:sz w:val="24"/>
              </w:rPr>
              <w:t>项目组人员要求：乙方需配备1名项目负责人，负责与甲方对接，对接处理技术及其他售后问题，以保证甲方的正常使用。乙方根据采购需求配备充足的服务人员，包括设备安装调试人员及售后维护的技术服务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850" w:type="dxa"/>
            <w:tcBorders>
              <w:left w:val="single" w:color="auto" w:sz="4" w:space="0"/>
            </w:tcBorders>
            <w:vAlign w:val="center"/>
          </w:tcPr>
          <w:p>
            <w:pPr>
              <w:widowControl/>
              <w:adjustRightInd/>
              <w:spacing w:line="360" w:lineRule="auto"/>
              <w:ind w:firstLine="240" w:firstLineChars="100"/>
              <w:rPr>
                <w:rFonts w:ascii="宋体" w:hAnsi="宋体" w:cs="宋体"/>
                <w:sz w:val="24"/>
              </w:rPr>
            </w:pPr>
            <w:r>
              <w:rPr>
                <w:rFonts w:hint="eastAsia" w:ascii="宋体" w:hAnsi="宋体" w:cs="宋体"/>
                <w:sz w:val="24"/>
              </w:rPr>
              <w:t>4</w:t>
            </w:r>
          </w:p>
        </w:tc>
        <w:tc>
          <w:tcPr>
            <w:tcW w:w="8675" w:type="dxa"/>
            <w:vAlign w:val="center"/>
          </w:tcPr>
          <w:p>
            <w:pPr>
              <w:adjustRightInd/>
              <w:spacing w:line="360" w:lineRule="auto"/>
              <w:ind w:firstLine="480" w:firstLineChars="200"/>
              <w:rPr>
                <w:rFonts w:ascii="宋体" w:hAnsi="宋体" w:cs="宋体"/>
                <w:sz w:val="24"/>
              </w:rPr>
            </w:pPr>
            <w:r>
              <w:rPr>
                <w:rFonts w:hint="eastAsia" w:ascii="宋体" w:hAnsi="宋体" w:cs="宋体"/>
                <w:kern w:val="0"/>
                <w:sz w:val="24"/>
              </w:rPr>
              <w:t>保密条款：</w:t>
            </w:r>
            <w:r>
              <w:rPr>
                <w:rFonts w:hint="eastAsia" w:ascii="宋体" w:hAnsi="宋体" w:cs="宋体"/>
                <w:sz w:val="24"/>
              </w:rPr>
              <w:t>1.甲方对乙方及工作人员开展常态化安全保密教育，组织签订安全保密承诺书，明确具体安全管理内容、安全保密义务和责任；</w:t>
            </w:r>
          </w:p>
          <w:p>
            <w:pPr>
              <w:adjustRightInd/>
              <w:spacing w:line="360" w:lineRule="auto"/>
              <w:ind w:firstLine="480" w:firstLineChars="200"/>
              <w:rPr>
                <w:rFonts w:ascii="宋体" w:hAnsi="宋体" w:cs="宋体"/>
                <w:sz w:val="24"/>
              </w:rPr>
            </w:pPr>
            <w:r>
              <w:rPr>
                <w:rFonts w:hint="eastAsia" w:ascii="宋体" w:hAnsi="宋体" w:cs="宋体"/>
                <w:sz w:val="24"/>
              </w:rPr>
              <w:t>2.乙方及工作人员违反安全管理要求，构成违法犯罪的，甲方将及时报送本级政府采购和市场监督管理部门，提请列入政府采购严重违法失信行为记录名单、市场监督管理严重失信名单，并追究相关责任。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adjustRightInd/>
              <w:spacing w:line="360" w:lineRule="auto"/>
              <w:ind w:left="-420" w:leftChars="-200" w:right="-420" w:rightChars="-200"/>
              <w:jc w:val="center"/>
              <w:outlineLvl w:val="0"/>
              <w:rPr>
                <w:rFonts w:ascii="宋体" w:hAnsi="宋体" w:cs="宋体"/>
                <w:sz w:val="24"/>
              </w:rPr>
            </w:pPr>
            <w:r>
              <w:rPr>
                <w:rFonts w:hint="eastAsia" w:ascii="宋体" w:hAnsi="宋体" w:cs="宋体"/>
                <w:sz w:val="24"/>
              </w:rPr>
              <w:t>5</w:t>
            </w:r>
          </w:p>
        </w:tc>
        <w:tc>
          <w:tcPr>
            <w:tcW w:w="8675" w:type="dxa"/>
            <w:vAlign w:val="center"/>
          </w:tcPr>
          <w:p>
            <w:pPr>
              <w:pStyle w:val="31"/>
              <w:spacing w:line="360" w:lineRule="auto"/>
              <w:ind w:firstLine="482"/>
              <w:rPr>
                <w:rFonts w:cs="宋体"/>
                <w:kern w:val="2"/>
                <w:szCs w:val="24"/>
              </w:rPr>
            </w:pPr>
            <w:r>
              <w:rPr>
                <w:rFonts w:hint="eastAsia" w:cs="宋体"/>
                <w:kern w:val="2"/>
                <w:szCs w:val="24"/>
              </w:rPr>
              <w:t>售后服务要求</w:t>
            </w:r>
          </w:p>
          <w:p>
            <w:pPr>
              <w:numPr>
                <w:ilvl w:val="0"/>
                <w:numId w:val="6"/>
              </w:numPr>
              <w:snapToGrid w:val="0"/>
              <w:spacing w:line="360" w:lineRule="auto"/>
              <w:ind w:firstLine="480" w:firstLineChars="200"/>
              <w:jc w:val="left"/>
              <w:rPr>
                <w:rFonts w:ascii="宋体" w:hAnsi="宋体" w:cs="宋体"/>
                <w:sz w:val="24"/>
              </w:rPr>
            </w:pPr>
            <w:r>
              <w:rPr>
                <w:rFonts w:hint="eastAsia" w:ascii="宋体" w:hAnsi="宋体" w:cs="宋体"/>
                <w:sz w:val="24"/>
              </w:rPr>
              <w:t>乙方须对本项目硬件和软件后期质保期2年（如厂家出厂质保期超过2年的，以厂家出厂质保期为准），质保服务期限内所有产生的费用已经含在合同总价内，甲方不另行支付任何费用，包括零碎附件、配件等的损坏更换（人为造成的除外）。中标后还提供厂商授权或者售后服务承诺的免费质保期。</w:t>
            </w:r>
          </w:p>
          <w:p>
            <w:pPr>
              <w:snapToGrid w:val="0"/>
              <w:spacing w:line="360" w:lineRule="auto"/>
              <w:ind w:firstLine="480" w:firstLineChars="200"/>
              <w:jc w:val="left"/>
              <w:rPr>
                <w:rFonts w:ascii="宋体" w:hAnsi="宋体" w:cs="宋体"/>
                <w:sz w:val="24"/>
              </w:rPr>
            </w:pPr>
            <w:r>
              <w:rPr>
                <w:rFonts w:hint="eastAsia" w:ascii="宋体" w:hAnsi="宋体" w:cs="宋体"/>
                <w:sz w:val="24"/>
              </w:rPr>
              <w:t>2、免费质保期起算节点为项目验收确认合格后之日起，质保期内承诺均提供上门维护、系统做好免费升级服务； 乙方针对本项目具有完善的售后服务方案，有较强的本地化服务能力。对于各类故障必须提供7*24小时立即响应服务，在2小时内提出解决方案并做出明确安排，若远程不能解决问题，须在4小时内派人到现场上门服务，排除故障，并分析故障原因，提出书面故障分析报告及防范措施，不间断服务直至故障解除。不能修复的，必须采取无偿提供备品、备件或备机等措施，以保证甲方的正常使用。质保期内配件更换费用包含在投标报价中。</w:t>
            </w:r>
          </w:p>
          <w:p>
            <w:pPr>
              <w:snapToGrid w:val="0"/>
              <w:spacing w:line="360" w:lineRule="auto"/>
              <w:ind w:firstLine="480" w:firstLineChars="200"/>
              <w:jc w:val="left"/>
              <w:rPr>
                <w:rFonts w:ascii="宋体" w:hAnsi="宋体" w:cs="宋体"/>
                <w:sz w:val="24"/>
              </w:rPr>
            </w:pPr>
            <w:r>
              <w:rPr>
                <w:rFonts w:hint="eastAsia" w:ascii="宋体" w:hAnsi="宋体" w:cs="宋体"/>
                <w:sz w:val="24"/>
              </w:rPr>
              <w:t>3、在质保期内，乙方有责任解决所提供的投标设备和软件系统的任何问题，在质保期满后，当需要时，乙方仍须对因投标设备本身的固有缺陷和瑕疵承担相应责任。</w:t>
            </w:r>
          </w:p>
          <w:p>
            <w:pPr>
              <w:snapToGrid w:val="0"/>
              <w:spacing w:line="360" w:lineRule="auto"/>
              <w:ind w:firstLine="480" w:firstLineChars="200"/>
              <w:jc w:val="left"/>
              <w:rPr>
                <w:rFonts w:ascii="宋体" w:hAnsi="宋体" w:cs="宋体"/>
                <w:sz w:val="24"/>
              </w:rPr>
            </w:pPr>
            <w:r>
              <w:rPr>
                <w:rFonts w:hint="eastAsia" w:ascii="宋体" w:hAnsi="宋体" w:cs="宋体"/>
                <w:sz w:val="24"/>
              </w:rPr>
              <w:t>4、在质保期内的工作应包括对所有设备常规检查和维护，具体的操作程序和内容须在投标时说明。</w:t>
            </w:r>
          </w:p>
          <w:p>
            <w:pPr>
              <w:snapToGrid w:val="0"/>
              <w:spacing w:line="360" w:lineRule="auto"/>
              <w:ind w:firstLine="480" w:firstLineChars="200"/>
              <w:jc w:val="left"/>
              <w:rPr>
                <w:rFonts w:ascii="宋体" w:hAnsi="宋体" w:cs="宋体"/>
                <w:sz w:val="24"/>
              </w:rPr>
            </w:pPr>
            <w:r>
              <w:rPr>
                <w:rFonts w:hint="eastAsia" w:ascii="宋体" w:hAnsi="宋体" w:cs="宋体"/>
                <w:sz w:val="24"/>
              </w:rPr>
              <w:t>5、质保期内，为更好的做好项目的服务工作，乙方提供专门的技术工程师，负责项目的运行维护，具体人员由甲方在中标人项目实施人员中指定。</w:t>
            </w:r>
          </w:p>
          <w:p>
            <w:pPr>
              <w:snapToGrid w:val="0"/>
              <w:spacing w:line="360" w:lineRule="auto"/>
              <w:ind w:firstLine="480" w:firstLineChars="200"/>
              <w:jc w:val="left"/>
              <w:rPr>
                <w:rFonts w:ascii="宋体" w:hAnsi="宋体" w:cs="宋体"/>
                <w:sz w:val="24"/>
              </w:rPr>
            </w:pPr>
            <w:r>
              <w:rPr>
                <w:rFonts w:hint="eastAsia" w:ascii="宋体" w:hAnsi="宋体" w:cs="宋体"/>
                <w:sz w:val="24"/>
              </w:rPr>
              <w:t>6、维护期内应用系统的任何更新（包括升级和调整）都需提供最新的需求说明、业务流程图、数据流程图，并在原有基础上及时更新。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adjustRightInd/>
              <w:spacing w:line="360" w:lineRule="auto"/>
              <w:ind w:left="-420" w:leftChars="-200" w:right="-420" w:rightChars="-200"/>
              <w:jc w:val="center"/>
              <w:outlineLvl w:val="0"/>
              <w:rPr>
                <w:rFonts w:ascii="宋体" w:hAnsi="宋体" w:cs="宋体"/>
                <w:sz w:val="24"/>
              </w:rPr>
            </w:pPr>
            <w:r>
              <w:rPr>
                <w:rFonts w:hint="eastAsia" w:ascii="宋体" w:hAnsi="宋体" w:cs="宋体"/>
                <w:sz w:val="24"/>
              </w:rPr>
              <w:t>6</w:t>
            </w:r>
          </w:p>
        </w:tc>
        <w:tc>
          <w:tcPr>
            <w:tcW w:w="8675" w:type="dxa"/>
            <w:vAlign w:val="center"/>
          </w:tcPr>
          <w:p>
            <w:pPr>
              <w:pStyle w:val="31"/>
              <w:spacing w:line="360" w:lineRule="auto"/>
              <w:ind w:firstLine="482"/>
              <w:rPr>
                <w:rFonts w:cs="宋体"/>
                <w:szCs w:val="24"/>
              </w:rPr>
            </w:pPr>
            <w:r>
              <w:rPr>
                <w:rFonts w:hint="eastAsia" w:cs="宋体"/>
                <w:szCs w:val="24"/>
              </w:rPr>
              <w:t>培训要求</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为保证设备正常工作，乙方应负责培训用户维护人员，使维护工作人员能完全熟悉并掌握设备使用、配置、软件维护技能，具备排除一般的设备故障的能力。用户有权复制乙方提供的各种技术资料，作为维护管理用。培训所需一切资料由中标人免费提供。负责免费提供操作人员培训，培训人数不少于两人。</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2、提供完整详尽的技术培训方案，项目验收前必须完成相关技术培训。</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3、培训内容：确保用户能够对设备、系统有足够的了解和熟悉，能够独立进行设备、系统的日常运营、管理和维护，培训所需一切资料由乙方免费提供。</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4、培训地点：在甲方指定地点。</w:t>
            </w:r>
          </w:p>
        </w:tc>
      </w:tr>
    </w:tbl>
    <w:p>
      <w:pPr>
        <w:pStyle w:val="11"/>
        <w:spacing w:line="360" w:lineRule="auto"/>
        <w:rPr>
          <w:rFonts w:cs="宋体"/>
        </w:rPr>
      </w:pPr>
    </w:p>
    <w:p>
      <w:pPr>
        <w:pStyle w:val="19"/>
      </w:pPr>
    </w:p>
    <w:p>
      <w:pPr>
        <w:widowControl/>
        <w:adjustRightInd/>
        <w:jc w:val="left"/>
      </w:pPr>
    </w:p>
    <w:p>
      <w:pPr>
        <w:pStyle w:val="3"/>
      </w:pPr>
    </w:p>
    <w:p>
      <w:pPr>
        <w:pStyle w:val="4"/>
      </w:pPr>
    </w:p>
    <w:p>
      <w:pPr>
        <w:pStyle w:val="5"/>
      </w:pPr>
    </w:p>
    <w:p/>
    <w:p>
      <w:pPr>
        <w:pStyle w:val="3"/>
      </w:pPr>
    </w:p>
    <w:p>
      <w:pPr>
        <w:pStyle w:val="4"/>
      </w:pPr>
    </w:p>
    <w:p>
      <w:pPr>
        <w:pStyle w:val="5"/>
      </w:pPr>
    </w:p>
    <w:p/>
    <w:p>
      <w:pPr>
        <w:pStyle w:val="3"/>
      </w:pPr>
    </w:p>
    <w:p>
      <w:pPr>
        <w:pStyle w:val="4"/>
      </w:pPr>
    </w:p>
    <w:p>
      <w:pPr>
        <w:pStyle w:val="5"/>
      </w:pPr>
    </w:p>
    <w:p/>
    <w:p>
      <w:pPr>
        <w:pStyle w:val="3"/>
      </w:pPr>
    </w:p>
    <w:p>
      <w:pPr>
        <w:pStyle w:val="4"/>
      </w:pPr>
    </w:p>
    <w:p>
      <w:pPr>
        <w:pStyle w:val="5"/>
      </w:pPr>
    </w:p>
    <w:p/>
    <w:p>
      <w:pPr>
        <w:pStyle w:val="3"/>
      </w:pPr>
    </w:p>
    <w:p>
      <w:pPr>
        <w:pStyle w:val="4"/>
      </w:pPr>
    </w:p>
    <w:p>
      <w:pPr>
        <w:pStyle w:val="5"/>
      </w:pPr>
    </w:p>
    <w:p/>
    <w:p>
      <w:pPr>
        <w:pStyle w:val="3"/>
      </w:pPr>
    </w:p>
    <w:p>
      <w:pPr>
        <w:pStyle w:val="4"/>
      </w:pPr>
    </w:p>
    <w:p>
      <w:pPr>
        <w:pStyle w:val="5"/>
      </w:pPr>
    </w:p>
    <w:p/>
    <w:p>
      <w:pPr>
        <w:pStyle w:val="3"/>
      </w:pPr>
    </w:p>
    <w:p>
      <w:pPr>
        <w:pStyle w:val="4"/>
      </w:pPr>
    </w:p>
    <w:p/>
    <w:p>
      <w:pPr>
        <w:pStyle w:val="6"/>
        <w:ind w:firstLine="640"/>
        <w:rPr>
          <w:sz w:val="24"/>
          <w:szCs w:val="24"/>
          <w:lang w:val="zh-TW" w:eastAsia="zh-TW"/>
        </w:rPr>
      </w:pPr>
      <w:r>
        <w:rPr>
          <w:rFonts w:hint="eastAsia"/>
        </w:rPr>
        <w:t>第六部分 应提交的有关格式范例</w:t>
      </w:r>
    </w:p>
    <w:p>
      <w:pPr>
        <w:spacing w:line="360" w:lineRule="auto"/>
        <w:ind w:firstLine="720"/>
        <w:jc w:val="center"/>
        <w:outlineLvl w:val="0"/>
        <w:rPr>
          <w:rFonts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0"/>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长兴县教育信息技术中心、湖州建致招标代理有限公司：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我方参与长兴县教育信息技术中心“学在长兴”智慧教育平台采购项目【招标编号：HZJZCG-2024(002)】政府采购活动，郑重承诺：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rPr>
          <w:rFonts w:ascii="宋体" w:hAnsi="宋体" w:cs="宋体"/>
        </w:rPr>
      </w:pPr>
    </w:p>
    <w:p>
      <w:pPr>
        <w:snapToGrid w:val="0"/>
        <w:spacing w:line="360" w:lineRule="auto"/>
        <w:ind w:right="480" w:firstLine="640"/>
        <w:jc w:val="center"/>
        <w:rPr>
          <w:rFonts w:ascii="宋体" w:hAnsi="宋体" w:cs="宋体"/>
          <w:b/>
          <w:kern w:val="0"/>
          <w:sz w:val="32"/>
          <w:szCs w:val="32"/>
        </w:rPr>
      </w:pPr>
    </w:p>
    <w:p>
      <w:pPr>
        <w:widowControl/>
        <w:spacing w:line="360" w:lineRule="auto"/>
        <w:ind w:firstLine="640"/>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snapToGrid w:val="0"/>
        <w:spacing w:before="50" w:after="50" w:line="360" w:lineRule="auto"/>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B、</w:t>
      </w:r>
      <w:r>
        <w:rPr>
          <w:rFonts w:hint="eastAsia" w:ascii="宋体" w:hAnsi="宋体" w:cs="宋体"/>
          <w:sz w:val="24"/>
        </w:rPr>
        <w:t>要求合同分包的，提供分包意向协议（附件5）和中小企业声明函（附件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firstLine="640"/>
        <w:jc w:val="center"/>
        <w:rPr>
          <w:rFonts w:ascii="宋体" w:hAnsi="宋体" w:cs="宋体"/>
          <w:b/>
          <w:kern w:val="0"/>
          <w:sz w:val="32"/>
          <w:szCs w:val="32"/>
        </w:rPr>
      </w:pPr>
    </w:p>
    <w:p>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pStyle w:val="3"/>
        <w:ind w:firstLine="640"/>
        <w:rPr>
          <w:lang w:val="en-US"/>
        </w:rPr>
      </w:pPr>
    </w:p>
    <w:p>
      <w:pPr>
        <w:pStyle w:val="4"/>
      </w:pPr>
    </w:p>
    <w:p>
      <w:pPr>
        <w:pStyle w:val="5"/>
      </w:pPr>
    </w:p>
    <w:p/>
    <w:p>
      <w:pPr>
        <w:pStyle w:val="7"/>
        <w:rPr>
          <w:lang w:val="en-US"/>
        </w:rPr>
      </w:pPr>
    </w:p>
    <w:p>
      <w:pPr>
        <w:pStyle w:val="9"/>
      </w:pPr>
    </w:p>
    <w:p/>
    <w:p>
      <w:pPr>
        <w:pStyle w:val="7"/>
        <w:rPr>
          <w:lang w:val="en-US"/>
        </w:rPr>
      </w:pPr>
    </w:p>
    <w:p>
      <w:pPr>
        <w:pStyle w:val="9"/>
      </w:pPr>
    </w:p>
    <w:p/>
    <w:p/>
    <w:p>
      <w:pPr>
        <w:widowControl/>
        <w:adjustRightInd/>
        <w:ind w:firstLine="640"/>
        <w:jc w:val="left"/>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rPr>
          <w:rFonts w:ascii="宋体" w:hAnsi="宋体" w:cs="宋体"/>
          <w:sz w:val="24"/>
        </w:rPr>
      </w:pPr>
      <w:r>
        <w:rPr>
          <w:rFonts w:hint="eastAsia" w:ascii="宋体" w:hAnsi="宋体" w:cs="宋体"/>
          <w:sz w:val="24"/>
        </w:rPr>
        <w:t>（1）投标函…………………………………………………………………（页码）（2）授权委托书或法定代表人（单位负责人、自然人本人）身份证明…（页码）</w:t>
      </w:r>
    </w:p>
    <w:p>
      <w:pPr>
        <w:snapToGrid w:val="0"/>
        <w:spacing w:line="360" w:lineRule="auto"/>
        <w:rPr>
          <w:rFonts w:ascii="宋体" w:hAnsi="宋体" w:cs="宋体"/>
          <w:sz w:val="24"/>
        </w:rPr>
      </w:pPr>
      <w:r>
        <w:rPr>
          <w:rFonts w:hint="eastAsia" w:ascii="宋体" w:hAnsi="宋体" w:cs="宋体"/>
          <w:sz w:val="24"/>
        </w:rPr>
        <w:t>（3）分包意向协议…………………………………………………………（页码）</w:t>
      </w:r>
    </w:p>
    <w:p>
      <w:pPr>
        <w:snapToGrid w:val="0"/>
        <w:spacing w:line="360" w:lineRule="auto"/>
        <w:rPr>
          <w:rFonts w:ascii="宋体" w:hAnsi="宋体" w:cs="宋体"/>
          <w:sz w:val="24"/>
        </w:rPr>
      </w:pPr>
      <w:r>
        <w:rPr>
          <w:rFonts w:hint="eastAsia" w:ascii="宋体" w:hAnsi="宋体" w:cs="宋体"/>
          <w:sz w:val="24"/>
        </w:rPr>
        <w:t>（4）符合性审查资料………………………………………………………（页码）</w:t>
      </w:r>
    </w:p>
    <w:p>
      <w:pPr>
        <w:snapToGrid w:val="0"/>
        <w:spacing w:line="360" w:lineRule="auto"/>
        <w:rPr>
          <w:rFonts w:ascii="宋体" w:hAnsi="宋体" w:cs="宋体"/>
          <w:sz w:val="24"/>
        </w:rPr>
      </w:pPr>
      <w:r>
        <w:rPr>
          <w:rFonts w:hint="eastAsia" w:ascii="宋体" w:hAnsi="宋体" w:cs="宋体"/>
          <w:sz w:val="24"/>
        </w:rPr>
        <w:t>（5）评标标准应的商务技术资料…………………………………………（页码）（6）投标标的清单…………………………………………………………（页码）（7）商务技术偏离表…………………………………………………………（页码）</w:t>
      </w:r>
    </w:p>
    <w:p>
      <w:pPr>
        <w:snapToGrid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）项目组人员汇总表</w:t>
      </w:r>
      <w:r>
        <w:rPr>
          <w:rFonts w:hint="eastAsia" w:ascii="宋体" w:hAnsi="宋体" w:cs="宋体"/>
          <w:sz w:val="24"/>
        </w:rPr>
        <w:t>………………………………………………………（页码）</w:t>
      </w:r>
    </w:p>
    <w:p>
      <w:pPr>
        <w:snapToGrid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）投标人业绩情况一览表</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firstLine="640"/>
        <w:jc w:val="center"/>
        <w:rPr>
          <w:rFonts w:ascii="宋体" w:hAnsi="宋体" w:cs="宋体"/>
          <w:b/>
          <w:kern w:val="0"/>
          <w:sz w:val="32"/>
          <w:szCs w:val="32"/>
          <w:lang w:val="zh-CN"/>
        </w:rPr>
      </w:pPr>
    </w:p>
    <w:p>
      <w:pPr>
        <w:snapToGrid w:val="0"/>
        <w:spacing w:line="360" w:lineRule="auto"/>
        <w:ind w:firstLine="640"/>
        <w:jc w:val="center"/>
        <w:rPr>
          <w:rFonts w:ascii="宋体" w:hAnsi="宋体" w:cs="宋体"/>
          <w:b/>
          <w:kern w:val="0"/>
          <w:sz w:val="32"/>
          <w:szCs w:val="32"/>
          <w:lang w:val="zh-CN"/>
        </w:rPr>
      </w:pPr>
    </w:p>
    <w:p>
      <w:pPr>
        <w:snapToGrid w:val="0"/>
        <w:spacing w:line="360" w:lineRule="auto"/>
        <w:ind w:firstLine="640"/>
        <w:jc w:val="center"/>
        <w:rPr>
          <w:rFonts w:ascii="宋体" w:hAnsi="宋体" w:cs="宋体"/>
          <w:b/>
          <w:kern w:val="0"/>
          <w:sz w:val="32"/>
          <w:szCs w:val="32"/>
          <w:lang w:val="zh-CN"/>
        </w:rPr>
      </w:pPr>
    </w:p>
    <w:p>
      <w:pPr>
        <w:snapToGrid w:val="0"/>
        <w:spacing w:line="360" w:lineRule="auto"/>
        <w:ind w:firstLine="640"/>
        <w:jc w:val="center"/>
        <w:rPr>
          <w:rFonts w:ascii="宋体" w:hAnsi="宋体" w:cs="宋体"/>
          <w:b/>
          <w:kern w:val="0"/>
          <w:sz w:val="32"/>
          <w:szCs w:val="32"/>
          <w:lang w:val="zh-CN"/>
        </w:rPr>
      </w:pPr>
    </w:p>
    <w:p>
      <w:pPr>
        <w:snapToGrid w:val="0"/>
        <w:spacing w:line="360" w:lineRule="auto"/>
        <w:ind w:firstLine="640"/>
        <w:jc w:val="center"/>
        <w:rPr>
          <w:rFonts w:ascii="宋体" w:hAnsi="宋体" w:cs="宋体"/>
          <w:b/>
          <w:kern w:val="0"/>
          <w:sz w:val="32"/>
          <w:szCs w:val="32"/>
          <w:lang w:val="zh-CN"/>
        </w:rPr>
      </w:pPr>
    </w:p>
    <w:p>
      <w:pPr>
        <w:snapToGrid w:val="0"/>
        <w:spacing w:line="360" w:lineRule="auto"/>
        <w:ind w:firstLine="640"/>
        <w:jc w:val="center"/>
        <w:outlineLvl w:val="0"/>
        <w:rPr>
          <w:rFonts w:ascii="宋体" w:hAnsi="宋体" w:cs="宋体"/>
          <w:b/>
          <w:kern w:val="0"/>
          <w:sz w:val="32"/>
          <w:szCs w:val="32"/>
        </w:rPr>
      </w:pPr>
    </w:p>
    <w:p>
      <w:pPr>
        <w:snapToGrid w:val="0"/>
        <w:spacing w:line="360" w:lineRule="auto"/>
        <w:ind w:firstLine="640"/>
        <w:jc w:val="center"/>
        <w:outlineLvl w:val="0"/>
        <w:rPr>
          <w:rFonts w:ascii="宋体" w:hAnsi="宋体" w:cs="宋体"/>
          <w:b/>
          <w:kern w:val="0"/>
          <w:sz w:val="32"/>
          <w:szCs w:val="32"/>
        </w:rPr>
      </w:pPr>
    </w:p>
    <w:p>
      <w:pPr>
        <w:rPr>
          <w:rFonts w:ascii="宋体" w:hAnsi="宋体" w:cs="宋体"/>
        </w:rPr>
      </w:pPr>
    </w:p>
    <w:p>
      <w:pPr>
        <w:snapToGrid w:val="0"/>
        <w:spacing w:line="360" w:lineRule="auto"/>
        <w:ind w:firstLine="640"/>
        <w:jc w:val="center"/>
        <w:outlineLvl w:val="0"/>
        <w:rPr>
          <w:rFonts w:ascii="宋体" w:hAnsi="宋体" w:cs="宋体"/>
          <w:b/>
          <w:kern w:val="0"/>
          <w:sz w:val="32"/>
          <w:szCs w:val="32"/>
        </w:rPr>
      </w:pPr>
    </w:p>
    <w:p>
      <w:pPr>
        <w:snapToGrid w:val="0"/>
        <w:spacing w:line="360" w:lineRule="auto"/>
        <w:ind w:firstLine="640"/>
        <w:jc w:val="center"/>
        <w:outlineLvl w:val="0"/>
        <w:rPr>
          <w:rFonts w:ascii="宋体" w:hAnsi="宋体" w:cs="宋体"/>
          <w:b/>
          <w:kern w:val="0"/>
          <w:sz w:val="32"/>
          <w:szCs w:val="32"/>
        </w:rPr>
      </w:pPr>
    </w:p>
    <w:p>
      <w:pPr>
        <w:pStyle w:val="3"/>
        <w:ind w:firstLine="640"/>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ind w:firstLine="640"/>
        <w:jc w:val="left"/>
        <w:rPr>
          <w:rFonts w:ascii="宋体" w:hAnsi="宋体" w:cs="宋体"/>
          <w:b/>
          <w:kern w:val="0"/>
          <w:sz w:val="32"/>
          <w:szCs w:val="32"/>
        </w:rPr>
      </w:pP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276" w:lineRule="auto"/>
        <w:rPr>
          <w:rFonts w:ascii="宋体" w:hAnsi="宋体" w:cs="宋体"/>
          <w:sz w:val="24"/>
        </w:rPr>
      </w:pPr>
      <w:r>
        <w:rPr>
          <w:rFonts w:hint="eastAsia" w:ascii="宋体" w:hAnsi="宋体" w:cs="宋体"/>
          <w:sz w:val="24"/>
        </w:rPr>
        <w:t>长兴县教育信息技术中心、湖州建致招标代理有限公司：</w:t>
      </w:r>
    </w:p>
    <w:p>
      <w:pPr>
        <w:snapToGrid w:val="0"/>
        <w:spacing w:line="276"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长兴县教育信息技术中心“学在长兴”智慧教育平台采购项目</w:t>
      </w:r>
      <w:r>
        <w:rPr>
          <w:rFonts w:hint="eastAsia" w:ascii="宋体" w:hAnsi="宋体" w:cs="宋体"/>
          <w:sz w:val="24"/>
        </w:rPr>
        <w:t>【招标编号：</w:t>
      </w:r>
      <w:r>
        <w:rPr>
          <w:rFonts w:hint="eastAsia" w:ascii="宋体" w:hAnsi="宋体" w:cs="宋体"/>
          <w:sz w:val="24"/>
          <w:u w:val="single"/>
        </w:rPr>
        <w:t>HZJZCG-2024(002)</w:t>
      </w:r>
      <w:r>
        <w:rPr>
          <w:rFonts w:hint="eastAsia" w:ascii="宋体" w:hAnsi="宋体" w:cs="宋体"/>
          <w:sz w:val="24"/>
        </w:rPr>
        <w:t>】招标的有关活动，并对此项目进行投标。为此：</w:t>
      </w:r>
    </w:p>
    <w:p>
      <w:pPr>
        <w:snapToGrid w:val="0"/>
        <w:spacing w:line="276"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276"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276"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276"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276"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276"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276"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276"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276"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276" w:lineRule="auto"/>
        <w:jc w:val="center"/>
        <w:rPr>
          <w:rFonts w:ascii="宋体" w:hAnsi="宋体" w:cs="宋体"/>
          <w:sz w:val="24"/>
        </w:rPr>
      </w:pPr>
      <w:r>
        <w:rPr>
          <w:rFonts w:hint="eastAsia" w:ascii="宋体" w:hAnsi="宋体" w:cs="宋体"/>
          <w:sz w:val="24"/>
        </w:rPr>
        <w:t xml:space="preserve">     日期：  年   月   日</w:t>
      </w:r>
    </w:p>
    <w:p>
      <w:pPr>
        <w:snapToGrid w:val="0"/>
        <w:spacing w:line="276" w:lineRule="auto"/>
        <w:ind w:left="420" w:leftChars="200" w:firstLine="4200" w:firstLineChars="1750"/>
        <w:rPr>
          <w:rFonts w:ascii="宋体" w:hAnsi="宋体" w:cs="宋体"/>
          <w:kern w:val="0"/>
          <w:sz w:val="24"/>
          <w:u w:val="single"/>
        </w:rPr>
      </w:pPr>
    </w:p>
    <w:p>
      <w:pPr>
        <w:spacing w:line="276" w:lineRule="auto"/>
        <w:ind w:right="420"/>
        <w:rPr>
          <w:rFonts w:ascii="宋体" w:hAnsi="宋体" w:cs="宋体"/>
          <w:sz w:val="24"/>
        </w:rPr>
      </w:pPr>
      <w:r>
        <w:rPr>
          <w:rFonts w:hint="eastAsia" w:ascii="宋体" w:hAnsi="宋体" w:cs="宋体"/>
          <w:sz w:val="24"/>
        </w:rPr>
        <w:t>注：按本格式和要求提供。</w:t>
      </w:r>
    </w:p>
    <w:p>
      <w:pPr>
        <w:ind w:firstLine="643"/>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长兴县教育信息技术中心、湖州建致招标代理有限公司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长兴县教育信息技术中心“学在长兴”智慧教育平台采购项目</w:t>
      </w:r>
      <w:r>
        <w:rPr>
          <w:rFonts w:hint="eastAsia" w:ascii="宋体" w:hAnsi="宋体" w:cs="宋体"/>
          <w:sz w:val="24"/>
        </w:rPr>
        <w:t>【招标编号：HZJZCG-2024(002)】</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pStyle w:val="3"/>
        <w:ind w:left="0" w:firstLine="640"/>
        <w:rPr>
          <w:lang w:val="en-US"/>
        </w:rPr>
      </w:pPr>
    </w:p>
    <w:p>
      <w:pPr>
        <w:snapToGrid w:val="0"/>
        <w:spacing w:line="360" w:lineRule="auto"/>
        <w:rPr>
          <w:rFonts w:ascii="宋体" w:hAnsi="宋体" w:cs="宋体"/>
          <w:sz w:val="24"/>
        </w:rPr>
      </w:pPr>
    </w:p>
    <w:p>
      <w:pPr>
        <w:snapToGrid w:val="0"/>
        <w:spacing w:line="360" w:lineRule="auto"/>
        <w:jc w:val="right"/>
        <w:rPr>
          <w:rFonts w:ascii="宋体" w:hAnsi="宋体" w:cs="宋体"/>
          <w:kern w:val="0"/>
          <w:sz w:val="24"/>
          <w:lang w:val="zh-CN"/>
        </w:rPr>
      </w:pPr>
      <w:r>
        <w:rPr>
          <w:rFonts w:hint="eastAsia" w:ascii="宋体" w:hAnsi="宋体" w:cs="宋体"/>
          <w:b/>
          <w:kern w:val="0"/>
          <w:sz w:val="32"/>
          <w:szCs w:val="32"/>
          <w:lang w:val="zh-CN"/>
        </w:rPr>
        <w:t xml:space="preserve">     </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35"/>
        <w:spacing w:line="360" w:lineRule="auto"/>
        <w:rPr>
          <w:rFonts w:hAnsi="宋体" w:cs="宋体"/>
          <w:bCs/>
          <w:sz w:val="24"/>
        </w:rPr>
      </w:pPr>
      <w:r>
        <w:rPr>
          <w:rFonts w:hint="eastAsia" w:hAnsi="宋体" w:cs="宋体"/>
          <w:bCs/>
          <w:sz w:val="24"/>
        </w:rPr>
        <w:t>身份证件扫描件：</w:t>
      </w:r>
    </w:p>
    <w:tbl>
      <w:tblPr>
        <w:tblStyle w:val="2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35"/>
              <w:adjustRightInd w:val="0"/>
              <w:spacing w:line="360" w:lineRule="auto"/>
              <w:rPr>
                <w:rFonts w:hAnsi="宋体" w:cs="宋体"/>
                <w:bCs/>
                <w:sz w:val="24"/>
              </w:rPr>
            </w:pPr>
            <w:r>
              <w:rPr>
                <w:rFonts w:hint="eastAsia" w:hAnsi="宋体" w:cs="宋体"/>
                <w:bCs/>
                <w:sz w:val="24"/>
              </w:rPr>
              <w:t>正面：                                 反面：</w:t>
            </w:r>
          </w:p>
          <w:p>
            <w:pPr>
              <w:pStyle w:val="35"/>
              <w:adjustRightInd w:val="0"/>
              <w:spacing w:line="360" w:lineRule="auto"/>
              <w:rPr>
                <w:rFonts w:hAnsi="宋体" w:cs="宋体"/>
                <w:bCs/>
                <w:sz w:val="24"/>
              </w:rPr>
            </w:pPr>
          </w:p>
        </w:tc>
      </w:tr>
    </w:tbl>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snapToGrid w:val="0"/>
        <w:spacing w:line="360" w:lineRule="auto"/>
        <w:ind w:right="480" w:firstLine="640"/>
        <w:rPr>
          <w:rFonts w:ascii="宋体" w:hAnsi="宋体" w:cs="宋体"/>
          <w:b/>
          <w:kern w:val="0"/>
          <w:sz w:val="32"/>
          <w:szCs w:val="32"/>
        </w:rPr>
        <w:sectPr>
          <w:footerReference r:id="rId8" w:type="first"/>
          <w:footerReference r:id="rId7" w:type="default"/>
          <w:pgSz w:w="11906" w:h="16838"/>
          <w:pgMar w:top="1440" w:right="1800" w:bottom="1440" w:left="1800" w:header="851" w:footer="992" w:gutter="0"/>
          <w:pgNumType w:start="1"/>
          <w:cols w:space="720" w:num="1"/>
          <w:docGrid w:linePitch="312" w:charSpace="0"/>
        </w:sectPr>
      </w:pPr>
    </w:p>
    <w:p>
      <w:pPr>
        <w:snapToGrid w:val="0"/>
        <w:spacing w:line="360" w:lineRule="auto"/>
        <w:ind w:firstLine="643"/>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4"/>
    <w:p>
      <w:pPr>
        <w:pStyle w:val="3"/>
        <w:ind w:firstLine="640"/>
        <w:rPr>
          <w:lang w:val="en-US"/>
        </w:rPr>
      </w:pPr>
    </w:p>
    <w:p>
      <w:pPr>
        <w:ind w:firstLine="640"/>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四、符合性审查资料</w:t>
      </w:r>
    </w:p>
    <w:p>
      <w:pPr>
        <w:ind w:firstLine="640"/>
        <w:jc w:val="center"/>
        <w:rPr>
          <w:rFonts w:ascii="宋体" w:hAnsi="宋体" w:cs="宋体"/>
          <w:b/>
          <w:kern w:val="0"/>
          <w:sz w:val="32"/>
          <w:szCs w:val="32"/>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57"/>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57"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85"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57"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85" w:type="dxa"/>
            <w:vAlign w:val="center"/>
          </w:tcPr>
          <w:p>
            <w:pPr>
              <w:jc w:val="cente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3857"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3685" w:type="dxa"/>
            <w:vAlign w:val="center"/>
          </w:tcPr>
          <w:p>
            <w:pPr>
              <w:rPr>
                <w:rFonts w:ascii="宋体" w:hAnsi="宋体" w:cs="宋体"/>
                <w:sz w:val="24"/>
              </w:rPr>
            </w:pPr>
            <w:r>
              <w:rPr>
                <w:rFonts w:hint="eastAsia" w:ascii="宋体" w:hAnsi="宋体" w:cs="宋体"/>
                <w:sz w:val="24"/>
              </w:rPr>
              <w:t>本项目拟采购的部分产品属于政府强制采购的节能产品品目清单范围的，提供国家确定的认证机构出具的、处于有效期之内的节能产品认证证书。</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3"/>
              <w:ind w:firstLine="480"/>
              <w:rPr>
                <w:rFonts w:ascii="宋体" w:hAnsi="宋体" w:cs="宋体"/>
                <w:sz w:val="24"/>
              </w:rPr>
            </w:pPr>
            <w:r>
              <w:rPr>
                <w:rFonts w:hint="eastAsia" w:ascii="宋体" w:hAnsi="宋体" w:eastAsia="宋体" w:cs="宋体"/>
                <w:b w:val="0"/>
                <w:bCs w:val="0"/>
                <w:sz w:val="24"/>
                <w:szCs w:val="24"/>
              </w:rPr>
              <w:t>第</w:t>
            </w:r>
            <w:r>
              <w:rPr>
                <w:rFonts w:hint="eastAsia" w:ascii="宋体" w:hAnsi="宋体" w:cs="宋体"/>
                <w:sz w:val="24"/>
                <w:u w:val="single"/>
              </w:rPr>
              <w:t xml:space="preserve">  </w:t>
            </w:r>
            <w:r>
              <w:rPr>
                <w:rFonts w:hint="eastAsia" w:ascii="宋体" w:hAnsi="宋体" w:eastAsia="宋体" w:cs="宋体"/>
                <w:b w:val="0"/>
                <w:bCs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3857" w:type="dxa"/>
            <w:vAlign w:val="center"/>
          </w:tcPr>
          <w:p>
            <w:pPr>
              <w:spacing w:line="360" w:lineRule="auto"/>
              <w:rPr>
                <w:rFonts w:ascii="宋体" w:hAnsi="宋体" w:cs="宋体"/>
                <w:sz w:val="24"/>
              </w:rPr>
            </w:pPr>
            <w:r>
              <w:rPr>
                <w:rFonts w:hint="eastAsia" w:ascii="宋体" w:hAnsi="宋体" w:cs="宋体"/>
                <w:sz w:val="24"/>
              </w:rPr>
              <w:t>投标文件中承诺的投标有效期不少于采购文件中载明的投标有效期。</w:t>
            </w:r>
          </w:p>
        </w:tc>
        <w:tc>
          <w:tcPr>
            <w:tcW w:w="3685"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3857" w:type="dxa"/>
            <w:vAlign w:val="center"/>
          </w:tcPr>
          <w:p>
            <w:pPr>
              <w:spacing w:line="360" w:lineRule="auto"/>
              <w:rPr>
                <w:rFonts w:ascii="宋体" w:hAnsi="宋体" w:cs="宋体"/>
                <w:sz w:val="24"/>
              </w:rPr>
            </w:pPr>
            <w:r>
              <w:rPr>
                <w:rFonts w:hint="eastAsia" w:ascii="宋体" w:hAnsi="宋体" w:cs="宋体"/>
                <w:sz w:val="24"/>
              </w:rPr>
              <w:t>投标文件满足采购文件的其它实质性要求。</w:t>
            </w:r>
          </w:p>
        </w:tc>
        <w:tc>
          <w:tcPr>
            <w:tcW w:w="3685" w:type="dxa"/>
            <w:vAlign w:val="center"/>
          </w:tcPr>
          <w:p>
            <w:pPr>
              <w:jc w:val="left"/>
              <w:rPr>
                <w:rFonts w:ascii="宋体" w:hAnsi="宋体" w:cs="宋体"/>
                <w:sz w:val="24"/>
              </w:rPr>
            </w:pPr>
            <w:r>
              <w:rPr>
                <w:rFonts w:hint="eastAsia" w:ascii="宋体" w:hAnsi="宋体" w:cs="宋体"/>
                <w:sz w:val="24"/>
              </w:rPr>
              <w:t>采购文件其它实质性要求相应的材料（“▲” 系指实质性要求条款）。</w:t>
            </w:r>
          </w:p>
          <w:p>
            <w:pPr>
              <w:jc w:val="left"/>
              <w:rPr>
                <w:rFonts w:ascii="宋体" w:hAnsi="宋体" w:cs="宋体"/>
                <w:sz w:val="24"/>
              </w:rPr>
            </w:pPr>
            <w:r>
              <w:rPr>
                <w:rFonts w:hint="eastAsia" w:ascii="宋体" w:hAnsi="宋体" w:cs="宋体"/>
                <w:sz w:val="24"/>
              </w:rPr>
              <w:t>要求根据采购文件及技术规格书中的实质性要求条款逐条响应。</w:t>
            </w:r>
          </w:p>
          <w:p>
            <w:pPr>
              <w:jc w:val="left"/>
              <w:rPr>
                <w:rFonts w:hAnsi="宋体" w:cs="宋体"/>
                <w:snapToGrid w:val="0"/>
                <w:sz w:val="24"/>
              </w:rPr>
            </w:pPr>
            <w:r>
              <w:rPr>
                <w:rFonts w:hint="eastAsia" w:ascii="宋体" w:hAnsi="宋体" w:cs="宋体"/>
                <w:sz w:val="24"/>
              </w:rPr>
              <w:t>由于相关条款较多，请提供“实质性要求条款响应表”。</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0"/>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ind w:firstLine="640"/>
        <w:jc w:val="center"/>
        <w:rPr>
          <w:rFonts w:ascii="宋体" w:hAnsi="宋体" w:cs="宋体"/>
          <w:b/>
          <w:kern w:val="0"/>
          <w:sz w:val="32"/>
          <w:szCs w:val="32"/>
        </w:rPr>
      </w:pPr>
    </w:p>
    <w:p>
      <w:pPr>
        <w:widowControl/>
        <w:adjustRightInd/>
        <w:ind w:firstLine="1285" w:firstLineChars="400"/>
        <w:jc w:val="left"/>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25"/>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373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0"/>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0"/>
        <w:jc w:val="center"/>
        <w:rPr>
          <w:rFonts w:ascii="宋体" w:hAnsi="宋体" w:cs="宋体"/>
          <w:b/>
          <w:kern w:val="0"/>
          <w:sz w:val="32"/>
          <w:szCs w:val="32"/>
        </w:rPr>
      </w:pPr>
    </w:p>
    <w:p>
      <w:pPr>
        <w:ind w:firstLine="640"/>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26"/>
        <w:tblW w:w="9637"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683"/>
        <w:gridCol w:w="354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宋体" w:hAnsi="宋体" w:cs="宋体"/>
                <w:b/>
                <w:bCs/>
                <w:kern w:val="0"/>
                <w:sz w:val="24"/>
              </w:rPr>
            </w:pPr>
            <w:r>
              <w:rPr>
                <w:rFonts w:hint="eastAsia" w:ascii="宋体" w:hAnsi="宋体" w:cs="宋体"/>
                <w:b/>
                <w:bCs/>
                <w:kern w:val="0"/>
                <w:sz w:val="24"/>
              </w:rPr>
              <w:t>序号</w:t>
            </w:r>
          </w:p>
        </w:tc>
        <w:tc>
          <w:tcPr>
            <w:tcW w:w="3683" w:type="dxa"/>
          </w:tcPr>
          <w:p>
            <w:pPr>
              <w:jc w:val="center"/>
              <w:rPr>
                <w:rFonts w:ascii="宋体" w:hAnsi="宋体" w:cs="宋体"/>
                <w:b/>
                <w:bCs/>
                <w:kern w:val="0"/>
                <w:sz w:val="24"/>
              </w:rPr>
            </w:pPr>
            <w:r>
              <w:rPr>
                <w:rFonts w:hint="eastAsia" w:ascii="宋体" w:hAnsi="宋体" w:cs="宋体"/>
                <w:b/>
                <w:bCs/>
                <w:kern w:val="0"/>
                <w:sz w:val="24"/>
              </w:rPr>
              <w:t>招标文件章节及具体内容</w:t>
            </w:r>
          </w:p>
        </w:tc>
        <w:tc>
          <w:tcPr>
            <w:tcW w:w="3546" w:type="dxa"/>
          </w:tcPr>
          <w:p>
            <w:pPr>
              <w:jc w:val="center"/>
              <w:rPr>
                <w:rFonts w:ascii="宋体" w:hAnsi="宋体" w:cs="宋体"/>
                <w:b/>
                <w:bCs/>
                <w:kern w:val="0"/>
                <w:sz w:val="24"/>
              </w:rPr>
            </w:pPr>
            <w:r>
              <w:rPr>
                <w:rFonts w:hint="eastAsia" w:ascii="宋体" w:hAnsi="宋体" w:cs="宋体"/>
                <w:b/>
                <w:bCs/>
                <w:kern w:val="0"/>
                <w:sz w:val="24"/>
              </w:rPr>
              <w:t>投标文件章节及具体内容</w:t>
            </w:r>
          </w:p>
        </w:tc>
        <w:tc>
          <w:tcPr>
            <w:tcW w:w="898" w:type="dxa"/>
          </w:tcPr>
          <w:p>
            <w:pPr>
              <w:jc w:val="center"/>
              <w:rPr>
                <w:rFonts w:ascii="宋体" w:hAnsi="宋体" w:cs="宋体"/>
                <w:b/>
                <w:bCs/>
                <w:kern w:val="0"/>
                <w:sz w:val="24"/>
              </w:rPr>
            </w:pPr>
            <w:r>
              <w:rPr>
                <w:rFonts w:hint="eastAsia" w:ascii="宋体" w:hAnsi="宋体" w:cs="宋体"/>
                <w:b/>
                <w:bCs/>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40"/>
              <w:jc w:val="center"/>
              <w:rPr>
                <w:rFonts w:ascii="宋体" w:hAnsi="宋体" w:cs="宋体"/>
                <w:b/>
                <w:kern w:val="0"/>
                <w:sz w:val="32"/>
                <w:szCs w:val="32"/>
              </w:rPr>
            </w:pPr>
          </w:p>
        </w:tc>
        <w:tc>
          <w:tcPr>
            <w:tcW w:w="3546" w:type="dxa"/>
          </w:tcPr>
          <w:p>
            <w:pPr>
              <w:ind w:firstLine="640"/>
              <w:jc w:val="center"/>
              <w:rPr>
                <w:rFonts w:ascii="宋体" w:hAnsi="宋体" w:cs="宋体"/>
                <w:b/>
                <w:kern w:val="0"/>
                <w:sz w:val="32"/>
                <w:szCs w:val="32"/>
              </w:rPr>
            </w:pPr>
          </w:p>
        </w:tc>
        <w:tc>
          <w:tcPr>
            <w:tcW w:w="898" w:type="dxa"/>
          </w:tcPr>
          <w:p>
            <w:pPr>
              <w:ind w:firstLine="640"/>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40"/>
              <w:jc w:val="center"/>
              <w:rPr>
                <w:rFonts w:ascii="宋体" w:hAnsi="宋体" w:cs="宋体"/>
                <w:b/>
                <w:kern w:val="0"/>
                <w:sz w:val="32"/>
                <w:szCs w:val="32"/>
              </w:rPr>
            </w:pPr>
          </w:p>
        </w:tc>
        <w:tc>
          <w:tcPr>
            <w:tcW w:w="3546" w:type="dxa"/>
          </w:tcPr>
          <w:p>
            <w:pPr>
              <w:ind w:firstLine="640"/>
              <w:jc w:val="center"/>
              <w:rPr>
                <w:rFonts w:ascii="宋体" w:hAnsi="宋体" w:cs="宋体"/>
                <w:b/>
                <w:kern w:val="0"/>
                <w:sz w:val="32"/>
                <w:szCs w:val="32"/>
              </w:rPr>
            </w:pPr>
          </w:p>
        </w:tc>
        <w:tc>
          <w:tcPr>
            <w:tcW w:w="898" w:type="dxa"/>
          </w:tcPr>
          <w:p>
            <w:pPr>
              <w:ind w:firstLine="640"/>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40"/>
              <w:jc w:val="center"/>
              <w:rPr>
                <w:rFonts w:ascii="宋体" w:hAnsi="宋体" w:cs="宋体"/>
                <w:b/>
                <w:kern w:val="0"/>
                <w:sz w:val="32"/>
                <w:szCs w:val="32"/>
              </w:rPr>
            </w:pPr>
          </w:p>
        </w:tc>
        <w:tc>
          <w:tcPr>
            <w:tcW w:w="3546" w:type="dxa"/>
          </w:tcPr>
          <w:p>
            <w:pPr>
              <w:ind w:firstLine="640"/>
              <w:jc w:val="center"/>
              <w:rPr>
                <w:rFonts w:ascii="宋体" w:hAnsi="宋体" w:cs="宋体"/>
                <w:b/>
                <w:kern w:val="0"/>
                <w:sz w:val="32"/>
                <w:szCs w:val="32"/>
              </w:rPr>
            </w:pPr>
          </w:p>
        </w:tc>
        <w:tc>
          <w:tcPr>
            <w:tcW w:w="898" w:type="dxa"/>
          </w:tcPr>
          <w:p>
            <w:pPr>
              <w:ind w:firstLine="640"/>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640"/>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643"/>
        <w:jc w:val="left"/>
        <w:rPr>
          <w:rFonts w:ascii="宋体" w:hAnsi="宋体" w:cs="宋体"/>
          <w:b/>
          <w:bCs/>
          <w:sz w:val="32"/>
          <w:szCs w:val="32"/>
        </w:rPr>
      </w:pPr>
      <w:r>
        <w:rPr>
          <w:rFonts w:ascii="宋体" w:hAnsi="宋体" w:cs="宋体"/>
          <w:b/>
          <w:bCs/>
          <w:sz w:val="32"/>
          <w:szCs w:val="32"/>
        </w:rPr>
        <w:br w:type="page"/>
      </w:r>
    </w:p>
    <w:p>
      <w:pPr>
        <w:widowControl/>
        <w:adjustRightInd/>
        <w:ind w:firstLine="640"/>
        <w:jc w:val="left"/>
        <w:rPr>
          <w:rFonts w:ascii="宋体" w:hAnsi="宋体" w:cs="宋体"/>
          <w:b/>
          <w:bCs/>
          <w:sz w:val="32"/>
          <w:szCs w:val="32"/>
        </w:rPr>
      </w:pPr>
    </w:p>
    <w:p>
      <w:pPr>
        <w:ind w:firstLine="643"/>
        <w:jc w:val="center"/>
        <w:rPr>
          <w:rFonts w:ascii="宋体" w:hAnsi="宋体" w:cs="宋体"/>
          <w:b/>
          <w:kern w:val="0"/>
          <w:sz w:val="36"/>
          <w:szCs w:val="36"/>
        </w:rPr>
      </w:pPr>
      <w:r>
        <w:rPr>
          <w:rFonts w:hint="eastAsia" w:ascii="宋体" w:hAnsi="宋体" w:cs="宋体"/>
          <w:b/>
          <w:kern w:val="0"/>
          <w:sz w:val="32"/>
          <w:szCs w:val="32"/>
        </w:rPr>
        <w:t>八、项目组人员汇总表</w:t>
      </w:r>
    </w:p>
    <w:p>
      <w:pPr>
        <w:snapToGrid w:val="0"/>
        <w:spacing w:before="120" w:beforeLines="50" w:after="50"/>
        <w:ind w:firstLine="600"/>
        <w:rPr>
          <w:rFonts w:ascii="宋体" w:hAnsi="宋体" w:cs="宋体"/>
          <w:b/>
          <w:sz w:val="30"/>
          <w:szCs w:val="30"/>
        </w:rPr>
      </w:pPr>
    </w:p>
    <w:tbl>
      <w:tblPr>
        <w:tblStyle w:val="2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646"/>
        <w:gridCol w:w="1746"/>
        <w:gridCol w:w="1651"/>
        <w:gridCol w:w="2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cs="宋体"/>
                <w:sz w:val="24"/>
              </w:rPr>
            </w:pPr>
            <w:r>
              <w:rPr>
                <w:rFonts w:hint="eastAsia" w:ascii="宋体" w:hAnsi="宋体" w:cs="宋体"/>
                <w:sz w:val="24"/>
              </w:rPr>
              <w:t>姓名</w:t>
            </w:r>
          </w:p>
        </w:tc>
        <w:tc>
          <w:tcPr>
            <w:tcW w:w="16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cs="宋体"/>
                <w:kern w:val="0"/>
                <w:sz w:val="24"/>
              </w:rPr>
            </w:pPr>
            <w:r>
              <w:rPr>
                <w:rFonts w:hint="eastAsia" w:ascii="宋体" w:hAnsi="宋体" w:cs="宋体"/>
                <w:kern w:val="0"/>
                <w:sz w:val="24"/>
              </w:rPr>
              <w:t>年龄</w:t>
            </w:r>
          </w:p>
        </w:tc>
        <w:tc>
          <w:tcPr>
            <w:tcW w:w="1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cs="宋体"/>
                <w:kern w:val="0"/>
                <w:sz w:val="24"/>
              </w:rPr>
            </w:pPr>
            <w:r>
              <w:rPr>
                <w:rFonts w:hint="eastAsia" w:ascii="宋体" w:hAnsi="宋体" w:cs="宋体"/>
                <w:kern w:val="0"/>
                <w:sz w:val="24"/>
              </w:rPr>
              <w:t>拟在本项目中担任职务</w:t>
            </w:r>
          </w:p>
        </w:tc>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cs="宋体"/>
                <w:bCs/>
                <w:kern w:val="0"/>
                <w:sz w:val="24"/>
              </w:rPr>
            </w:pPr>
            <w:r>
              <w:rPr>
                <w:rFonts w:hint="eastAsia" w:ascii="宋体" w:hAnsi="宋体" w:cs="宋体"/>
                <w:sz w:val="24"/>
              </w:rPr>
              <w:t>职称</w:t>
            </w:r>
          </w:p>
        </w:tc>
        <w:tc>
          <w:tcPr>
            <w:tcW w:w="23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cs="宋体"/>
                <w:bCs/>
                <w:kern w:val="0"/>
                <w:sz w:val="24"/>
              </w:rPr>
            </w:pPr>
            <w:r>
              <w:rPr>
                <w:rFonts w:hint="eastAsia" w:ascii="宋体" w:hAnsi="宋体" w:cs="宋体"/>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120" w:line="460" w:lineRule="exact"/>
              <w:ind w:left="5250" w:firstLine="600"/>
              <w:rPr>
                <w:rFonts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宋体" w:hAnsi="宋体" w:cs="宋体"/>
                <w:sz w:val="30"/>
                <w:szCs w:val="30"/>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74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16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c>
          <w:tcPr>
            <w:tcW w:w="235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0"/>
              <w:rPr>
                <w:rFonts w:ascii="宋体" w:hAnsi="宋体" w:cs="宋体"/>
                <w:b/>
                <w:bCs/>
                <w:kern w:val="0"/>
                <w:sz w:val="30"/>
                <w:szCs w:val="30"/>
              </w:rPr>
            </w:pPr>
          </w:p>
        </w:tc>
      </w:tr>
    </w:tbl>
    <w:p>
      <w:pPr>
        <w:snapToGrid w:val="0"/>
        <w:spacing w:before="50" w:after="120" w:afterLines="50" w:line="460" w:lineRule="exact"/>
        <w:ind w:firstLine="602"/>
        <w:jc w:val="left"/>
        <w:rPr>
          <w:rFonts w:ascii="宋体" w:hAnsi="宋体" w:cs="宋体"/>
          <w:sz w:val="30"/>
          <w:szCs w:val="30"/>
        </w:rPr>
      </w:pPr>
      <w:r>
        <w:rPr>
          <w:rFonts w:hint="eastAsia" w:ascii="宋体" w:hAnsi="宋体" w:cs="宋体"/>
          <w:sz w:val="30"/>
          <w:szCs w:val="30"/>
        </w:rPr>
        <w:t xml:space="preserve">注：在填写时，如本表格不适合投标单位的实际情况，可根据本表格式自行划表填写。 </w:t>
      </w:r>
    </w:p>
    <w:p>
      <w:pPr>
        <w:snapToGrid w:val="0"/>
        <w:spacing w:before="50" w:after="120" w:afterLines="50" w:line="460" w:lineRule="exact"/>
        <w:ind w:firstLine="602"/>
        <w:jc w:val="left"/>
        <w:rPr>
          <w:rFonts w:ascii="仿宋" w:hAnsi="仿宋" w:eastAsia="仿宋"/>
          <w:sz w:val="30"/>
          <w:szCs w:val="30"/>
        </w:rPr>
      </w:pPr>
    </w:p>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adjustRightInd/>
        <w:ind w:firstLine="640"/>
        <w:jc w:val="left"/>
        <w:rPr>
          <w:rFonts w:ascii="宋体" w:hAnsi="宋体" w:cs="宋体"/>
          <w:b/>
          <w:bCs/>
          <w:sz w:val="32"/>
          <w:szCs w:val="32"/>
        </w:rPr>
      </w:pPr>
    </w:p>
    <w:p>
      <w:pPr>
        <w:widowControl/>
        <w:adjustRightInd/>
        <w:ind w:firstLine="640"/>
        <w:jc w:val="left"/>
        <w:rPr>
          <w:rFonts w:ascii="宋体" w:hAnsi="宋体" w:cs="宋体"/>
          <w:b/>
          <w:bCs/>
          <w:sz w:val="32"/>
          <w:szCs w:val="32"/>
        </w:rPr>
      </w:pPr>
    </w:p>
    <w:p>
      <w:pPr>
        <w:widowControl/>
        <w:adjustRightInd/>
        <w:ind w:firstLine="640"/>
        <w:jc w:val="left"/>
        <w:rPr>
          <w:rFonts w:ascii="宋体" w:hAnsi="宋体" w:cs="宋体"/>
          <w:b/>
          <w:bCs/>
          <w:sz w:val="32"/>
          <w:szCs w:val="32"/>
        </w:rPr>
      </w:pPr>
    </w:p>
    <w:p>
      <w:pPr>
        <w:widowControl/>
        <w:adjustRightInd/>
        <w:ind w:firstLine="640"/>
        <w:jc w:val="left"/>
        <w:rPr>
          <w:rFonts w:ascii="宋体" w:hAnsi="宋体" w:cs="宋体"/>
          <w:b/>
          <w:bCs/>
          <w:sz w:val="32"/>
          <w:szCs w:val="32"/>
        </w:rPr>
      </w:pPr>
    </w:p>
    <w:p>
      <w:pPr>
        <w:widowControl/>
        <w:adjustRightInd/>
        <w:ind w:firstLine="640"/>
        <w:jc w:val="left"/>
        <w:rPr>
          <w:rFonts w:ascii="宋体" w:hAnsi="宋体" w:cs="宋体"/>
          <w:b/>
          <w:bCs/>
          <w:sz w:val="32"/>
          <w:szCs w:val="32"/>
        </w:rPr>
        <w:sectPr>
          <w:headerReference r:id="rId10" w:type="first"/>
          <w:footerReference r:id="rId12" w:type="first"/>
          <w:headerReference r:id="rId9" w:type="default"/>
          <w:footerReference r:id="rId11" w:type="default"/>
          <w:pgSz w:w="11906" w:h="16838"/>
          <w:pgMar w:top="1440" w:right="1800" w:bottom="1440" w:left="1800" w:header="851" w:footer="992" w:gutter="0"/>
          <w:cols w:space="720" w:num="1"/>
          <w:titlePg/>
          <w:docGrid w:linePitch="312" w:charSpace="0"/>
        </w:sectPr>
      </w:pPr>
    </w:p>
    <w:p>
      <w:pPr>
        <w:widowControl/>
        <w:adjustRightInd/>
        <w:ind w:firstLine="640"/>
        <w:jc w:val="left"/>
        <w:rPr>
          <w:rFonts w:ascii="宋体" w:hAnsi="宋体" w:cs="宋体"/>
          <w:b/>
          <w:bCs/>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九、投标人业绩情况一览表</w:t>
      </w:r>
    </w:p>
    <w:tbl>
      <w:tblPr>
        <w:tblStyle w:val="25"/>
        <w:tblW w:w="145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2793"/>
        <w:gridCol w:w="3244"/>
        <w:gridCol w:w="2594"/>
        <w:gridCol w:w="1622"/>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5" w:hRule="atLeast"/>
        </w:trPr>
        <w:tc>
          <w:tcPr>
            <w:tcW w:w="2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采购单位名称</w:t>
            </w:r>
          </w:p>
        </w:tc>
        <w:tc>
          <w:tcPr>
            <w:tcW w:w="2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项目名称</w:t>
            </w:r>
          </w:p>
        </w:tc>
        <w:tc>
          <w:tcPr>
            <w:tcW w:w="32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服务内容</w:t>
            </w:r>
          </w:p>
        </w:tc>
        <w:tc>
          <w:tcPr>
            <w:tcW w:w="25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合同</w:t>
            </w:r>
          </w:p>
          <w:p>
            <w:pPr>
              <w:snapToGrid w:val="0"/>
              <w:jc w:val="center"/>
              <w:rPr>
                <w:rFonts w:ascii="宋体" w:hAnsi="宋体" w:cs="宋体"/>
                <w:sz w:val="24"/>
              </w:rPr>
            </w:pPr>
            <w:r>
              <w:rPr>
                <w:rFonts w:hint="eastAsia" w:ascii="宋体" w:hAnsi="宋体" w:cs="宋体"/>
                <w:sz w:val="24"/>
              </w:rPr>
              <w:t>金额</w:t>
            </w:r>
          </w:p>
          <w:p>
            <w:pPr>
              <w:snapToGrid w:val="0"/>
              <w:jc w:val="center"/>
              <w:rPr>
                <w:rFonts w:ascii="宋体" w:hAnsi="宋体" w:cs="宋体"/>
                <w:sz w:val="24"/>
              </w:rPr>
            </w:pPr>
            <w:r>
              <w:rPr>
                <w:rFonts w:hint="eastAsia" w:ascii="宋体" w:hAnsi="宋体" w:cs="宋体"/>
                <w:sz w:val="24"/>
              </w:rPr>
              <w:t>（万元）</w:t>
            </w: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合同签订日期</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采购单位联系人及</w:t>
            </w:r>
          </w:p>
          <w:p>
            <w:pPr>
              <w:snapToGrid w:val="0"/>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27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32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25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27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32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25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27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32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25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27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2"/>
              <w:jc w:val="left"/>
              <w:rPr>
                <w:rFonts w:ascii="宋体" w:hAnsi="宋体" w:cs="宋体"/>
                <w:sz w:val="30"/>
                <w:szCs w:val="30"/>
              </w:rPr>
            </w:pPr>
          </w:p>
        </w:tc>
        <w:tc>
          <w:tcPr>
            <w:tcW w:w="32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25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c>
          <w:tcPr>
            <w:tcW w:w="16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firstLine="600"/>
              <w:jc w:val="left"/>
              <w:rPr>
                <w:rFonts w:ascii="宋体" w:hAnsi="宋体" w:cs="宋体"/>
                <w:b/>
                <w:bCs/>
                <w:kern w:val="0"/>
                <w:sz w:val="30"/>
                <w:szCs w:val="30"/>
              </w:rPr>
            </w:pPr>
          </w:p>
        </w:tc>
      </w:tr>
    </w:tbl>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1911" w:firstLineChars="595"/>
        <w:rPr>
          <w:rFonts w:ascii="宋体" w:hAnsi="宋体" w:cs="宋体"/>
          <w:b/>
          <w:bCs/>
          <w:sz w:val="32"/>
          <w:szCs w:val="32"/>
        </w:rPr>
        <w:sectPr>
          <w:pgSz w:w="16838" w:h="11906" w:orient="landscape"/>
          <w:pgMar w:top="1440" w:right="1800" w:bottom="1440" w:left="1800" w:header="851" w:footer="992" w:gutter="0"/>
          <w:cols w:space="0" w:num="1"/>
          <w:titlePg/>
          <w:docGrid w:linePitch="312" w:charSpace="0"/>
        </w:sectPr>
      </w:pPr>
    </w:p>
    <w:p>
      <w:pPr>
        <w:ind w:firstLine="1911" w:firstLineChars="595"/>
        <w:rPr>
          <w:rFonts w:ascii="宋体" w:hAnsi="宋体" w:cs="宋体"/>
          <w:b/>
          <w:kern w:val="0"/>
          <w:sz w:val="32"/>
          <w:szCs w:val="32"/>
        </w:rPr>
      </w:pPr>
      <w:r>
        <w:rPr>
          <w:rFonts w:hint="eastAsia" w:ascii="宋体" w:hAnsi="宋体" w:cs="宋体"/>
          <w:b/>
          <w:bCs/>
          <w:sz w:val="32"/>
          <w:szCs w:val="32"/>
        </w:rPr>
        <w:t>十</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长兴县教育信息技术中心、湖州建致招标代理有限公司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480"/>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firstLine="480"/>
        <w:jc w:val="center"/>
        <w:rPr>
          <w:rFonts w:ascii="宋体" w:hAnsi="宋体" w:cs="宋体"/>
          <w:b/>
          <w:bCs/>
          <w:sz w:val="24"/>
        </w:rPr>
        <w:sectPr>
          <w:pgSz w:w="11906" w:h="16838"/>
          <w:pgMar w:top="1440" w:right="1800" w:bottom="1440" w:left="1800" w:header="851" w:footer="992" w:gutter="0"/>
          <w:cols w:space="720" w:num="1"/>
          <w:titlePg/>
          <w:docGrid w:linePitch="312" w:charSpace="0"/>
        </w:sect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0"/>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（2）投标报价明细表…………………………………………………………（页码）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snapToGrid w:val="0"/>
        <w:spacing w:line="360" w:lineRule="auto"/>
        <w:ind w:right="480" w:firstLine="640"/>
        <w:jc w:val="center"/>
        <w:rPr>
          <w:rFonts w:ascii="宋体" w:hAnsi="宋体" w:cs="宋体"/>
          <w:b/>
          <w:kern w:val="0"/>
          <w:sz w:val="32"/>
          <w:szCs w:val="32"/>
        </w:rPr>
      </w:pPr>
    </w:p>
    <w:p>
      <w:pPr>
        <w:pStyle w:val="37"/>
        <w:keepNext w:val="0"/>
        <w:pageBreakBefore w:val="0"/>
        <w:tabs>
          <w:tab w:val="clear" w:pos="720"/>
        </w:tabs>
        <w:snapToGrid w:val="0"/>
        <w:spacing w:before="120" w:after="120"/>
        <w:ind w:firstLine="640"/>
        <w:jc w:val="both"/>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440" w:right="1800" w:bottom="1440" w:left="1800" w:header="851" w:footer="992" w:gutter="0"/>
          <w:cols w:space="720" w:num="1"/>
          <w:titlePg/>
          <w:docGrid w:linePitch="312" w:charSpace="0"/>
        </w:sectPr>
      </w:pPr>
    </w:p>
    <w:p>
      <w:pPr>
        <w:pStyle w:val="37"/>
        <w:keepNext w:val="0"/>
        <w:pageBreakBefore w:val="0"/>
        <w:tabs>
          <w:tab w:val="clear" w:pos="720"/>
        </w:tabs>
        <w:snapToGrid w:val="0"/>
        <w:spacing w:before="120" w:after="120"/>
        <w:ind w:firstLine="640"/>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长兴县教育信息技术中心、湖州建致招标代理有限公司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按你方招标文件要求，本投标文件签字方，谨此向你方发出要约如下：如你方接受本投标，我方承诺按照如下开标一览表（报价表）的价格完成</w:t>
      </w:r>
      <w:r>
        <w:rPr>
          <w:rFonts w:hint="eastAsia" w:ascii="宋体" w:hAnsi="宋体" w:cs="宋体"/>
          <w:sz w:val="24"/>
          <w:u w:val="single"/>
        </w:rPr>
        <w:t>长兴县教育信息技术中心“学在长兴”智慧教育平台采购项目</w:t>
      </w:r>
      <w:r>
        <w:rPr>
          <w:rFonts w:hint="eastAsia" w:ascii="宋体" w:hAnsi="宋体" w:cs="宋体"/>
          <w:kern w:val="0"/>
          <w:sz w:val="24"/>
          <w:lang w:val="zh-CN"/>
        </w:rPr>
        <w:t>【招标编号：</w:t>
      </w:r>
      <w:r>
        <w:rPr>
          <w:rFonts w:hint="eastAsia" w:ascii="宋体" w:hAnsi="宋体" w:cs="宋体"/>
          <w:sz w:val="24"/>
          <w:u w:val="single"/>
        </w:rPr>
        <w:t>HZJZCG-2024(002)</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5"/>
        <w:tblW w:w="1451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0"/>
        <w:gridCol w:w="4719"/>
        <w:gridCol w:w="2032"/>
        <w:gridCol w:w="690"/>
        <w:gridCol w:w="990"/>
        <w:gridCol w:w="1283"/>
        <w:gridCol w:w="900"/>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2760" w:type="dxa"/>
            <w:tcBorders>
              <w:tl2br w:val="nil"/>
              <w:tr2bl w:val="nil"/>
            </w:tcBorders>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4719" w:type="dxa"/>
            <w:tcBorders>
              <w:tl2br w:val="nil"/>
              <w:tr2bl w:val="nil"/>
            </w:tcBorders>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项目名称（分项名称）</w:t>
            </w:r>
          </w:p>
        </w:tc>
        <w:tc>
          <w:tcPr>
            <w:tcW w:w="2032" w:type="dxa"/>
            <w:tcBorders>
              <w:tl2br w:val="nil"/>
              <w:tr2bl w:val="nil"/>
            </w:tcBorders>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功能或技术参数</w:t>
            </w:r>
          </w:p>
        </w:tc>
        <w:tc>
          <w:tcPr>
            <w:tcW w:w="690" w:type="dxa"/>
            <w:tcBorders>
              <w:tl2br w:val="nil"/>
              <w:tr2bl w:val="nil"/>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c>
          <w:tcPr>
            <w:tcW w:w="990" w:type="dxa"/>
            <w:tcBorders>
              <w:tl2br w:val="nil"/>
              <w:tr2bl w:val="nil"/>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1283" w:type="dxa"/>
            <w:tcBorders>
              <w:tl2br w:val="nil"/>
              <w:tr2bl w:val="nil"/>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综合单价（元）</w:t>
            </w:r>
          </w:p>
        </w:tc>
        <w:tc>
          <w:tcPr>
            <w:tcW w:w="900" w:type="dxa"/>
            <w:tcBorders>
              <w:tl2br w:val="nil"/>
              <w:tr2bl w:val="nil"/>
            </w:tcBorders>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小计（元）</w:t>
            </w:r>
          </w:p>
        </w:tc>
        <w:tc>
          <w:tcPr>
            <w:tcW w:w="1143" w:type="dxa"/>
            <w:tcBorders>
              <w:tl2br w:val="nil"/>
              <w:tr2bl w:val="nil"/>
            </w:tcBorders>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品牌（如有）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2760" w:type="dxa"/>
            <w:tcBorders>
              <w:tl2br w:val="nil"/>
              <w:tr2bl w:val="nil"/>
            </w:tcBorders>
            <w:vAlign w:val="center"/>
          </w:tcPr>
          <w:p>
            <w:pPr>
              <w:pStyle w:val="33"/>
              <w:spacing w:line="560" w:lineRule="exact"/>
              <w:jc w:val="center"/>
              <w:rPr>
                <w:rFonts w:hAnsi="宋体" w:cs="宋体"/>
                <w:sz w:val="24"/>
                <w:szCs w:val="24"/>
              </w:rPr>
            </w:pPr>
          </w:p>
        </w:tc>
        <w:tc>
          <w:tcPr>
            <w:tcW w:w="4719" w:type="dxa"/>
            <w:tcBorders>
              <w:tl2br w:val="nil"/>
              <w:tr2bl w:val="nil"/>
            </w:tcBorders>
            <w:vAlign w:val="center"/>
          </w:tcPr>
          <w:p>
            <w:pPr>
              <w:pStyle w:val="33"/>
              <w:spacing w:line="560" w:lineRule="exact"/>
              <w:jc w:val="center"/>
              <w:rPr>
                <w:rFonts w:hAnsi="宋体" w:cs="宋体"/>
                <w:sz w:val="24"/>
                <w:szCs w:val="24"/>
              </w:rPr>
            </w:pPr>
          </w:p>
        </w:tc>
        <w:tc>
          <w:tcPr>
            <w:tcW w:w="2032" w:type="dxa"/>
            <w:tcBorders>
              <w:tl2br w:val="nil"/>
              <w:tr2bl w:val="nil"/>
            </w:tcBorders>
            <w:vAlign w:val="center"/>
          </w:tcPr>
          <w:p>
            <w:pPr>
              <w:pStyle w:val="33"/>
              <w:spacing w:line="560" w:lineRule="exact"/>
              <w:jc w:val="center"/>
              <w:rPr>
                <w:rFonts w:hAnsi="宋体" w:cs="宋体"/>
                <w:sz w:val="24"/>
                <w:szCs w:val="24"/>
              </w:rPr>
            </w:pPr>
          </w:p>
        </w:tc>
        <w:tc>
          <w:tcPr>
            <w:tcW w:w="690" w:type="dxa"/>
            <w:tcBorders>
              <w:tl2br w:val="nil"/>
              <w:tr2bl w:val="nil"/>
            </w:tcBorders>
            <w:vAlign w:val="center"/>
          </w:tcPr>
          <w:p>
            <w:pPr>
              <w:pStyle w:val="33"/>
              <w:spacing w:line="560" w:lineRule="exact"/>
              <w:jc w:val="center"/>
              <w:rPr>
                <w:rFonts w:hAnsi="宋体" w:cs="宋体"/>
                <w:sz w:val="24"/>
                <w:szCs w:val="24"/>
              </w:rPr>
            </w:pPr>
          </w:p>
        </w:tc>
        <w:tc>
          <w:tcPr>
            <w:tcW w:w="990" w:type="dxa"/>
            <w:tcBorders>
              <w:tl2br w:val="nil"/>
              <w:tr2bl w:val="nil"/>
            </w:tcBorders>
            <w:vAlign w:val="center"/>
          </w:tcPr>
          <w:p>
            <w:pPr>
              <w:pStyle w:val="33"/>
              <w:spacing w:line="560" w:lineRule="exact"/>
              <w:jc w:val="center"/>
              <w:rPr>
                <w:rFonts w:hAnsi="宋体" w:cs="宋体"/>
                <w:sz w:val="24"/>
                <w:szCs w:val="24"/>
              </w:rPr>
            </w:pPr>
          </w:p>
        </w:tc>
        <w:tc>
          <w:tcPr>
            <w:tcW w:w="1283" w:type="dxa"/>
            <w:tcBorders>
              <w:tl2br w:val="nil"/>
              <w:tr2bl w:val="nil"/>
            </w:tcBorders>
            <w:vAlign w:val="center"/>
          </w:tcPr>
          <w:p>
            <w:pPr>
              <w:pStyle w:val="33"/>
              <w:spacing w:line="560" w:lineRule="exact"/>
              <w:jc w:val="center"/>
              <w:rPr>
                <w:rFonts w:hAnsi="宋体" w:cs="宋体"/>
                <w:sz w:val="24"/>
                <w:szCs w:val="24"/>
              </w:rPr>
            </w:pPr>
          </w:p>
        </w:tc>
        <w:tc>
          <w:tcPr>
            <w:tcW w:w="900" w:type="dxa"/>
            <w:tcBorders>
              <w:tl2br w:val="nil"/>
              <w:tr2bl w:val="nil"/>
            </w:tcBorders>
            <w:vAlign w:val="center"/>
          </w:tcPr>
          <w:p>
            <w:pPr>
              <w:pStyle w:val="33"/>
              <w:spacing w:line="560" w:lineRule="exact"/>
              <w:jc w:val="center"/>
              <w:rPr>
                <w:rFonts w:hAnsi="宋体" w:cs="宋体"/>
                <w:sz w:val="24"/>
                <w:szCs w:val="24"/>
              </w:rPr>
            </w:pPr>
          </w:p>
        </w:tc>
        <w:tc>
          <w:tcPr>
            <w:tcW w:w="1143" w:type="dxa"/>
            <w:tcBorders>
              <w:tl2br w:val="nil"/>
              <w:tr2bl w:val="nil"/>
            </w:tcBorders>
            <w:vAlign w:val="center"/>
          </w:tcPr>
          <w:p>
            <w:pPr>
              <w:pStyle w:val="33"/>
              <w:spacing w:line="560" w:lineRule="exact"/>
              <w:jc w:val="center"/>
              <w:rPr>
                <w:rFonts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2760" w:type="dxa"/>
            <w:tcBorders>
              <w:tl2br w:val="nil"/>
              <w:tr2bl w:val="nil"/>
            </w:tcBorders>
            <w:vAlign w:val="center"/>
          </w:tcPr>
          <w:p>
            <w:pPr>
              <w:pStyle w:val="33"/>
              <w:spacing w:line="560" w:lineRule="exact"/>
              <w:jc w:val="center"/>
              <w:rPr>
                <w:rFonts w:hAnsi="宋体" w:cs="宋体"/>
                <w:sz w:val="24"/>
                <w:szCs w:val="24"/>
              </w:rPr>
            </w:pPr>
          </w:p>
        </w:tc>
        <w:tc>
          <w:tcPr>
            <w:tcW w:w="4719" w:type="dxa"/>
            <w:tcBorders>
              <w:tl2br w:val="nil"/>
              <w:tr2bl w:val="nil"/>
            </w:tcBorders>
            <w:vAlign w:val="center"/>
          </w:tcPr>
          <w:p>
            <w:pPr>
              <w:pStyle w:val="33"/>
              <w:spacing w:line="560" w:lineRule="exact"/>
              <w:jc w:val="center"/>
              <w:rPr>
                <w:rFonts w:hAnsi="宋体" w:cs="宋体"/>
                <w:sz w:val="24"/>
                <w:szCs w:val="24"/>
              </w:rPr>
            </w:pPr>
          </w:p>
        </w:tc>
        <w:tc>
          <w:tcPr>
            <w:tcW w:w="2032" w:type="dxa"/>
            <w:tcBorders>
              <w:tl2br w:val="nil"/>
              <w:tr2bl w:val="nil"/>
            </w:tcBorders>
            <w:vAlign w:val="center"/>
          </w:tcPr>
          <w:p>
            <w:pPr>
              <w:pStyle w:val="33"/>
              <w:spacing w:line="560" w:lineRule="exact"/>
              <w:jc w:val="center"/>
              <w:rPr>
                <w:rFonts w:hAnsi="宋体" w:cs="宋体"/>
                <w:sz w:val="24"/>
                <w:szCs w:val="24"/>
              </w:rPr>
            </w:pPr>
          </w:p>
        </w:tc>
        <w:tc>
          <w:tcPr>
            <w:tcW w:w="690" w:type="dxa"/>
            <w:tcBorders>
              <w:tl2br w:val="nil"/>
              <w:tr2bl w:val="nil"/>
            </w:tcBorders>
            <w:vAlign w:val="center"/>
          </w:tcPr>
          <w:p>
            <w:pPr>
              <w:pStyle w:val="33"/>
              <w:spacing w:line="560" w:lineRule="exact"/>
              <w:jc w:val="center"/>
              <w:rPr>
                <w:rFonts w:hAnsi="宋体" w:cs="宋体"/>
                <w:sz w:val="24"/>
                <w:szCs w:val="24"/>
              </w:rPr>
            </w:pPr>
          </w:p>
        </w:tc>
        <w:tc>
          <w:tcPr>
            <w:tcW w:w="990" w:type="dxa"/>
            <w:tcBorders>
              <w:tl2br w:val="nil"/>
              <w:tr2bl w:val="nil"/>
            </w:tcBorders>
            <w:vAlign w:val="center"/>
          </w:tcPr>
          <w:p>
            <w:pPr>
              <w:pStyle w:val="33"/>
              <w:spacing w:line="560" w:lineRule="exact"/>
              <w:jc w:val="center"/>
              <w:rPr>
                <w:rFonts w:hAnsi="宋体" w:cs="宋体"/>
                <w:sz w:val="24"/>
                <w:szCs w:val="24"/>
              </w:rPr>
            </w:pPr>
          </w:p>
        </w:tc>
        <w:tc>
          <w:tcPr>
            <w:tcW w:w="1283" w:type="dxa"/>
            <w:tcBorders>
              <w:tl2br w:val="nil"/>
              <w:tr2bl w:val="nil"/>
            </w:tcBorders>
            <w:vAlign w:val="center"/>
          </w:tcPr>
          <w:p>
            <w:pPr>
              <w:pStyle w:val="33"/>
              <w:spacing w:line="560" w:lineRule="exact"/>
              <w:jc w:val="center"/>
              <w:rPr>
                <w:rFonts w:hAnsi="宋体" w:cs="宋体"/>
                <w:sz w:val="24"/>
                <w:szCs w:val="24"/>
              </w:rPr>
            </w:pPr>
          </w:p>
        </w:tc>
        <w:tc>
          <w:tcPr>
            <w:tcW w:w="900" w:type="dxa"/>
            <w:tcBorders>
              <w:tl2br w:val="nil"/>
              <w:tr2bl w:val="nil"/>
            </w:tcBorders>
            <w:vAlign w:val="center"/>
          </w:tcPr>
          <w:p>
            <w:pPr>
              <w:pStyle w:val="33"/>
              <w:spacing w:line="560" w:lineRule="exact"/>
              <w:jc w:val="center"/>
              <w:rPr>
                <w:rFonts w:hAnsi="宋体" w:cs="宋体"/>
                <w:sz w:val="24"/>
                <w:szCs w:val="24"/>
              </w:rPr>
            </w:pPr>
          </w:p>
        </w:tc>
        <w:tc>
          <w:tcPr>
            <w:tcW w:w="1143" w:type="dxa"/>
            <w:tcBorders>
              <w:tl2br w:val="nil"/>
              <w:tr2bl w:val="nil"/>
            </w:tcBorders>
            <w:vAlign w:val="center"/>
          </w:tcPr>
          <w:p>
            <w:pPr>
              <w:pStyle w:val="33"/>
              <w:spacing w:line="560" w:lineRule="exact"/>
              <w:jc w:val="center"/>
              <w:rPr>
                <w:rFonts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2760" w:type="dxa"/>
            <w:tcBorders>
              <w:tl2br w:val="nil"/>
              <w:tr2bl w:val="nil"/>
            </w:tcBorders>
            <w:vAlign w:val="center"/>
          </w:tcPr>
          <w:p>
            <w:pPr>
              <w:pStyle w:val="33"/>
              <w:spacing w:line="560" w:lineRule="exact"/>
              <w:jc w:val="center"/>
              <w:rPr>
                <w:rFonts w:hAnsi="宋体" w:cs="宋体"/>
                <w:sz w:val="24"/>
                <w:szCs w:val="24"/>
              </w:rPr>
            </w:pPr>
          </w:p>
        </w:tc>
        <w:tc>
          <w:tcPr>
            <w:tcW w:w="4719" w:type="dxa"/>
            <w:tcBorders>
              <w:tl2br w:val="nil"/>
              <w:tr2bl w:val="nil"/>
            </w:tcBorders>
            <w:vAlign w:val="center"/>
          </w:tcPr>
          <w:p>
            <w:pPr>
              <w:pStyle w:val="33"/>
              <w:spacing w:line="560" w:lineRule="exact"/>
              <w:jc w:val="center"/>
              <w:rPr>
                <w:rFonts w:hAnsi="宋体" w:cs="宋体"/>
                <w:sz w:val="24"/>
                <w:szCs w:val="24"/>
              </w:rPr>
            </w:pPr>
          </w:p>
        </w:tc>
        <w:tc>
          <w:tcPr>
            <w:tcW w:w="2032" w:type="dxa"/>
            <w:tcBorders>
              <w:tl2br w:val="nil"/>
              <w:tr2bl w:val="nil"/>
            </w:tcBorders>
            <w:vAlign w:val="center"/>
          </w:tcPr>
          <w:p>
            <w:pPr>
              <w:pStyle w:val="33"/>
              <w:spacing w:line="560" w:lineRule="exact"/>
              <w:jc w:val="center"/>
              <w:rPr>
                <w:rFonts w:hAnsi="宋体" w:cs="宋体"/>
                <w:sz w:val="24"/>
                <w:szCs w:val="24"/>
              </w:rPr>
            </w:pPr>
          </w:p>
        </w:tc>
        <w:tc>
          <w:tcPr>
            <w:tcW w:w="690" w:type="dxa"/>
            <w:tcBorders>
              <w:tl2br w:val="nil"/>
              <w:tr2bl w:val="nil"/>
            </w:tcBorders>
            <w:vAlign w:val="center"/>
          </w:tcPr>
          <w:p>
            <w:pPr>
              <w:pStyle w:val="33"/>
              <w:spacing w:line="560" w:lineRule="exact"/>
              <w:jc w:val="center"/>
              <w:rPr>
                <w:rFonts w:hAnsi="宋体" w:cs="宋体"/>
                <w:sz w:val="24"/>
                <w:szCs w:val="24"/>
              </w:rPr>
            </w:pPr>
          </w:p>
        </w:tc>
        <w:tc>
          <w:tcPr>
            <w:tcW w:w="990" w:type="dxa"/>
            <w:tcBorders>
              <w:tl2br w:val="nil"/>
              <w:tr2bl w:val="nil"/>
            </w:tcBorders>
            <w:vAlign w:val="center"/>
          </w:tcPr>
          <w:p>
            <w:pPr>
              <w:pStyle w:val="33"/>
              <w:spacing w:line="560" w:lineRule="exact"/>
              <w:jc w:val="center"/>
              <w:rPr>
                <w:rFonts w:hAnsi="宋体" w:cs="宋体"/>
                <w:sz w:val="24"/>
                <w:szCs w:val="24"/>
              </w:rPr>
            </w:pPr>
          </w:p>
        </w:tc>
        <w:tc>
          <w:tcPr>
            <w:tcW w:w="1283" w:type="dxa"/>
            <w:tcBorders>
              <w:tl2br w:val="nil"/>
              <w:tr2bl w:val="nil"/>
            </w:tcBorders>
            <w:vAlign w:val="center"/>
          </w:tcPr>
          <w:p>
            <w:pPr>
              <w:pStyle w:val="33"/>
              <w:spacing w:line="560" w:lineRule="exact"/>
              <w:jc w:val="center"/>
              <w:rPr>
                <w:rFonts w:hAnsi="宋体" w:cs="宋体"/>
                <w:sz w:val="24"/>
                <w:szCs w:val="24"/>
              </w:rPr>
            </w:pPr>
          </w:p>
        </w:tc>
        <w:tc>
          <w:tcPr>
            <w:tcW w:w="900" w:type="dxa"/>
            <w:tcBorders>
              <w:tl2br w:val="nil"/>
              <w:tr2bl w:val="nil"/>
            </w:tcBorders>
            <w:vAlign w:val="center"/>
          </w:tcPr>
          <w:p>
            <w:pPr>
              <w:pStyle w:val="33"/>
              <w:spacing w:line="560" w:lineRule="exact"/>
              <w:jc w:val="center"/>
              <w:rPr>
                <w:rFonts w:hAnsi="宋体" w:cs="宋体"/>
                <w:sz w:val="24"/>
                <w:szCs w:val="24"/>
              </w:rPr>
            </w:pPr>
          </w:p>
        </w:tc>
        <w:tc>
          <w:tcPr>
            <w:tcW w:w="1143" w:type="dxa"/>
            <w:tcBorders>
              <w:tl2br w:val="nil"/>
              <w:tr2bl w:val="nil"/>
            </w:tcBorders>
            <w:vAlign w:val="center"/>
          </w:tcPr>
          <w:p>
            <w:pPr>
              <w:pStyle w:val="33"/>
              <w:spacing w:line="560" w:lineRule="exact"/>
              <w:jc w:val="center"/>
              <w:rPr>
                <w:rFonts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7479" w:type="dxa"/>
            <w:gridSpan w:val="2"/>
            <w:tcBorders>
              <w:tl2br w:val="nil"/>
              <w:tr2bl w:val="nil"/>
            </w:tcBorders>
            <w:vAlign w:val="center"/>
          </w:tcPr>
          <w:p>
            <w:pPr>
              <w:snapToGrid w:val="0"/>
              <w:spacing w:line="360" w:lineRule="auto"/>
              <w:jc w:val="center"/>
              <w:rPr>
                <w:rFonts w:ascii="宋体" w:hAnsi="宋体" w:cs="仿宋_GB2312"/>
                <w:sz w:val="24"/>
              </w:rPr>
            </w:pPr>
            <w:r>
              <w:rPr>
                <w:rFonts w:hint="eastAsia" w:ascii="宋体" w:hAnsi="宋体" w:cs="仿宋_GB2312"/>
                <w:sz w:val="24"/>
              </w:rPr>
              <w:t>投标报价（小写）</w:t>
            </w:r>
          </w:p>
        </w:tc>
        <w:tc>
          <w:tcPr>
            <w:tcW w:w="7038" w:type="dxa"/>
            <w:gridSpan w:val="6"/>
            <w:tcBorders>
              <w:tl2br w:val="nil"/>
              <w:tr2bl w:val="nil"/>
            </w:tcBorders>
            <w:vAlign w:val="center"/>
          </w:tcPr>
          <w:p>
            <w:pPr>
              <w:snapToGrid w:val="0"/>
              <w:spacing w:line="360" w:lineRule="auto"/>
              <w:rPr>
                <w:rFonts w:ascii="宋体" w:hAnsi="宋体" w:cs="仿宋_GB2312"/>
                <w:sz w:val="24"/>
              </w:rPr>
            </w:pPr>
            <w:r>
              <w:rPr>
                <w:rFonts w:hint="eastAsia" w:ascii="宋体" w:hAnsi="宋体" w:cs="宋体"/>
                <w:sz w:val="24"/>
                <w:u w:val="single"/>
              </w:rPr>
              <w:t>¥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7479" w:type="dxa"/>
            <w:gridSpan w:val="2"/>
            <w:tcBorders>
              <w:tl2br w:val="nil"/>
              <w:tr2bl w:val="nil"/>
            </w:tcBorders>
            <w:vAlign w:val="center"/>
          </w:tcPr>
          <w:p>
            <w:pPr>
              <w:snapToGrid w:val="0"/>
              <w:spacing w:line="360" w:lineRule="auto"/>
              <w:jc w:val="center"/>
              <w:rPr>
                <w:rFonts w:ascii="宋体" w:hAnsi="宋体" w:cs="仿宋_GB2312"/>
                <w:sz w:val="24"/>
              </w:rPr>
            </w:pPr>
            <w:r>
              <w:rPr>
                <w:rFonts w:hint="eastAsia" w:ascii="宋体" w:hAnsi="宋体" w:cs="仿宋_GB2312"/>
                <w:sz w:val="24"/>
              </w:rPr>
              <w:t>投标报价（大写）</w:t>
            </w:r>
          </w:p>
        </w:tc>
        <w:tc>
          <w:tcPr>
            <w:tcW w:w="7038" w:type="dxa"/>
            <w:gridSpan w:val="6"/>
            <w:tcBorders>
              <w:tl2br w:val="nil"/>
              <w:tr2bl w:val="nil"/>
            </w:tcBorders>
            <w:vAlign w:val="center"/>
          </w:tcPr>
          <w:p>
            <w:pPr>
              <w:snapToGrid w:val="0"/>
              <w:spacing w:line="360" w:lineRule="auto"/>
              <w:rPr>
                <w:rFonts w:ascii="宋体" w:hAnsi="宋体" w:cs="仿宋_GB2312"/>
                <w:sz w:val="24"/>
              </w:rPr>
            </w:pPr>
            <w:r>
              <w:rPr>
                <w:rFonts w:hint="eastAsia" w:ascii="宋体" w:hAnsi="宋体" w:cs="宋体"/>
                <w:b/>
                <w:bCs/>
                <w:sz w:val="24"/>
                <w:u w:val="single"/>
              </w:rPr>
              <w:t>（按此报价唱标）</w:t>
            </w:r>
            <w:r>
              <w:rPr>
                <w:rFonts w:hint="eastAsia" w:ascii="宋体" w:hAnsi="宋体" w:cs="宋体"/>
                <w:sz w:val="24"/>
                <w:u w:val="single"/>
              </w:rPr>
              <w:t xml:space="preserve">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9" w:hRule="atLeast"/>
          <w:jc w:val="center"/>
        </w:trPr>
        <w:tc>
          <w:tcPr>
            <w:tcW w:w="14517" w:type="dxa"/>
            <w:gridSpan w:val="8"/>
            <w:tcBorders>
              <w:tl2br w:val="nil"/>
              <w:tr2bl w:val="nil"/>
            </w:tcBorders>
            <w:vAlign w:val="center"/>
          </w:tcPr>
          <w:p>
            <w:pPr>
              <w:adjustRightInd/>
              <w:spacing w:line="360" w:lineRule="auto"/>
              <w:jc w:val="left"/>
              <w:rPr>
                <w:rFonts w:ascii="宋体" w:hAnsi="宋体" w:cs="宋体"/>
                <w:sz w:val="24"/>
                <w:u w:val="single"/>
              </w:rPr>
            </w:pPr>
            <w:r>
              <w:rPr>
                <w:rFonts w:hint="eastAsia" w:ascii="宋体" w:hAnsi="宋体" w:cs="宋体"/>
                <w:sz w:val="24"/>
              </w:rPr>
              <w:t>1、项目负责人：</w:t>
            </w:r>
            <w:r>
              <w:rPr>
                <w:rFonts w:hint="eastAsia" w:ascii="宋体" w:hAnsi="宋体" w:cs="宋体"/>
                <w:sz w:val="24"/>
                <w:u w:val="single"/>
              </w:rPr>
              <w:t xml:space="preserve">             </w:t>
            </w:r>
            <w:r>
              <w:rPr>
                <w:rFonts w:hint="eastAsia" w:ascii="宋体" w:hAnsi="宋体" w:cs="宋体"/>
                <w:sz w:val="24"/>
              </w:rPr>
              <w:t xml:space="preserve"> 联系电话： </w:t>
            </w:r>
            <w:r>
              <w:rPr>
                <w:rFonts w:hint="eastAsia" w:ascii="宋体" w:hAnsi="宋体" w:cs="宋体"/>
                <w:sz w:val="24"/>
                <w:u w:val="single"/>
              </w:rPr>
              <w:t xml:space="preserve">                </w:t>
            </w:r>
          </w:p>
          <w:p>
            <w:pPr>
              <w:pStyle w:val="28"/>
              <w:adjustRightInd/>
              <w:spacing w:before="0"/>
              <w:ind w:firstLine="0" w:firstLineChars="0"/>
              <w:jc w:val="left"/>
              <w:outlineLvl w:val="2"/>
              <w:rPr>
                <w:rFonts w:ascii="宋体" w:hAnsi="宋体" w:cs="宋体"/>
                <w:szCs w:val="24"/>
              </w:rPr>
            </w:pPr>
            <w:r>
              <w:rPr>
                <w:rFonts w:hint="eastAsia" w:ascii="宋体" w:hAnsi="宋体" w:cs="宋体"/>
                <w:szCs w:val="24"/>
              </w:rPr>
              <w:t>2、</w:t>
            </w:r>
            <w:r>
              <w:rPr>
                <w:rFonts w:hint="eastAsia" w:ascii="宋体" w:hAnsi="宋体" w:cs="宋体"/>
                <w:b/>
                <w:szCs w:val="24"/>
              </w:rPr>
              <w:t>合同履约期限：</w:t>
            </w:r>
            <w:r>
              <w:rPr>
                <w:rFonts w:hint="eastAsia" w:ascii="宋体" w:hAnsi="宋体" w:cs="宋体"/>
                <w:szCs w:val="24"/>
                <w:u w:val="single"/>
              </w:rPr>
              <w:t xml:space="preserve">      </w:t>
            </w:r>
            <w:r>
              <w:rPr>
                <w:rFonts w:hint="eastAsia" w:ascii="宋体" w:hAnsi="宋体" w:cs="宋体"/>
                <w:szCs w:val="24"/>
              </w:rPr>
              <w:t>日历天</w:t>
            </w:r>
            <w:r>
              <w:rPr>
                <w:rFonts w:hint="eastAsia" w:ascii="宋体" w:hAnsi="宋体" w:cs="宋体"/>
                <w:kern w:val="44"/>
                <w:szCs w:val="24"/>
              </w:rPr>
              <w:t>（具体时间按合同签订为准。其中含完成设备供货、安装及内容系统的部署等，经测试运行及培训，并通过采购人组织验收合格，正式交付使用，进入质保期）</w:t>
            </w:r>
            <w:r>
              <w:rPr>
                <w:rFonts w:hint="eastAsia" w:ascii="宋体" w:hAnsi="宋体" w:cs="宋体"/>
                <w:szCs w:val="24"/>
              </w:rPr>
              <w:t>。</w:t>
            </w:r>
          </w:p>
          <w:p>
            <w:pPr>
              <w:spacing w:line="360" w:lineRule="auto"/>
              <w:rPr>
                <w:rFonts w:ascii="宋体" w:hAnsi="宋体" w:cs="宋体"/>
                <w:kern w:val="44"/>
                <w:sz w:val="24"/>
              </w:rPr>
            </w:pPr>
            <w:r>
              <w:rPr>
                <w:rFonts w:hint="eastAsia" w:ascii="宋体" w:hAnsi="宋体" w:cs="宋体"/>
                <w:kern w:val="44"/>
                <w:sz w:val="24"/>
              </w:rPr>
              <w:t>3、合同履约地点：甲方指定。</w:t>
            </w:r>
          </w:p>
          <w:p>
            <w:pPr>
              <w:keepNext/>
              <w:keepLines/>
              <w:spacing w:line="360" w:lineRule="auto"/>
              <w:outlineLvl w:val="1"/>
              <w:rPr>
                <w:rFonts w:ascii="宋体" w:hAnsi="宋体" w:cs="宋体"/>
              </w:rPr>
            </w:pPr>
            <w:r>
              <w:rPr>
                <w:rFonts w:hint="eastAsia" w:ascii="宋体" w:hAnsi="宋体" w:cs="宋体"/>
                <w:sz w:val="24"/>
                <w:lang w:val="en-US" w:eastAsia="zh-CN"/>
              </w:rPr>
              <w:t>4</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rPr>
              <w:t>年。</w:t>
            </w:r>
          </w:p>
        </w:tc>
      </w:tr>
    </w:tbl>
    <w:p>
      <w:pPr>
        <w:snapToGrid w:val="0"/>
        <w:spacing w:line="360" w:lineRule="auto"/>
        <w:ind w:left="480" w:firstLine="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38"/>
        <w:tabs>
          <w:tab w:val="left" w:pos="720"/>
        </w:tabs>
        <w:spacing w:line="360" w:lineRule="auto"/>
        <w:ind w:firstLine="482"/>
        <w:jc w:val="right"/>
        <w:rPr>
          <w:rFonts w:ascii="宋体" w:hAnsi="宋体" w:eastAsia="宋体" w:cs="宋体"/>
          <w:color w:val="auto"/>
          <w:kern w:val="0"/>
          <w:sz w:val="24"/>
          <w:szCs w:val="24"/>
        </w:rPr>
      </w:pPr>
    </w:p>
    <w:p>
      <w:pPr>
        <w:pStyle w:val="38"/>
        <w:spacing w:line="360" w:lineRule="auto"/>
        <w:ind w:right="960" w:firstLine="4920" w:firstLineChars="2050"/>
        <w:jc w:val="right"/>
        <w:rPr>
          <w:rFonts w:ascii="宋体" w:hAnsi="宋体" w:eastAsia="宋体" w:cs="宋体"/>
          <w:color w:val="auto"/>
          <w:kern w:val="0"/>
          <w:sz w:val="24"/>
          <w:szCs w:val="24"/>
          <w:lang w:val="zh-TW"/>
        </w:rPr>
      </w:pPr>
      <w:r>
        <w:rPr>
          <w:rFonts w:ascii="宋体" w:hAnsi="宋体" w:eastAsia="宋体" w:cs="宋体"/>
          <w:color w:val="auto"/>
          <w:kern w:val="0"/>
          <w:sz w:val="24"/>
          <w:szCs w:val="24"/>
          <w:lang w:val="zh-TW" w:eastAsia="zh-TW"/>
        </w:rPr>
        <w:t>投标人名称(公章)：</w:t>
      </w:r>
    </w:p>
    <w:p>
      <w:pPr>
        <w:pStyle w:val="38"/>
        <w:spacing w:line="360" w:lineRule="auto"/>
        <w:ind w:right="960" w:firstLine="4920" w:firstLineChars="2050"/>
        <w:rPr>
          <w:rFonts w:ascii="宋体" w:hAnsi="宋体" w:eastAsia="宋体" w:cs="宋体"/>
          <w:color w:val="auto"/>
          <w:kern w:val="0"/>
          <w:sz w:val="24"/>
          <w:szCs w:val="24"/>
          <w:lang w:val="zh-TW"/>
        </w:rPr>
      </w:pPr>
    </w:p>
    <w:p>
      <w:pPr>
        <w:pStyle w:val="38"/>
        <w:spacing w:line="360" w:lineRule="auto"/>
        <w:jc w:val="right"/>
        <w:rPr>
          <w:rFonts w:ascii="宋体" w:hAnsi="宋体" w:eastAsia="宋体" w:cs="宋体"/>
          <w:color w:val="auto"/>
          <w:kern w:val="0"/>
          <w:sz w:val="24"/>
          <w:szCs w:val="24"/>
          <w:u w:val="single"/>
          <w:lang w:val="zh-TW" w:eastAsia="zh-TW"/>
        </w:rPr>
      </w:pPr>
      <w:r>
        <w:rPr>
          <w:rFonts w:ascii="宋体" w:hAnsi="宋体" w:eastAsia="宋体" w:cs="宋体"/>
          <w:color w:val="auto"/>
          <w:kern w:val="0"/>
          <w:sz w:val="24"/>
          <w:szCs w:val="24"/>
          <w:lang w:val="zh-TW" w:eastAsia="zh-TW"/>
        </w:rPr>
        <w:t>法定代表人或授权委托人(签字)：</w:t>
      </w:r>
    </w:p>
    <w:p>
      <w:pPr>
        <w:pStyle w:val="38"/>
        <w:spacing w:line="360" w:lineRule="auto"/>
        <w:jc w:val="right"/>
        <w:rPr>
          <w:rFonts w:ascii="宋体" w:hAnsi="宋体" w:eastAsia="宋体" w:cs="宋体"/>
          <w:color w:val="auto"/>
          <w:kern w:val="0"/>
          <w:sz w:val="24"/>
          <w:szCs w:val="24"/>
          <w:lang w:val="zh-TW"/>
        </w:rPr>
      </w:pPr>
    </w:p>
    <w:p>
      <w:pPr>
        <w:pStyle w:val="38"/>
        <w:spacing w:line="360" w:lineRule="auto"/>
        <w:jc w:val="right"/>
        <w:rPr>
          <w:rFonts w:ascii="宋体" w:hAnsi="宋体" w:eastAsia="宋体" w:cs="宋体"/>
          <w:color w:val="auto"/>
          <w:kern w:val="0"/>
          <w:sz w:val="24"/>
          <w:szCs w:val="24"/>
          <w:u w:val="single"/>
        </w:rPr>
      </w:pPr>
      <w:r>
        <w:rPr>
          <w:rFonts w:ascii="宋体" w:hAnsi="宋体" w:eastAsia="宋体" w:cs="宋体"/>
          <w:color w:val="auto"/>
          <w:kern w:val="0"/>
          <w:sz w:val="24"/>
          <w:szCs w:val="24"/>
          <w:lang w:val="zh-TW" w:eastAsia="zh-TW"/>
        </w:rPr>
        <w:t>日期： 年</w:t>
      </w:r>
      <w:r>
        <w:rPr>
          <w:rFonts w:ascii="宋体" w:hAnsi="宋体" w:eastAsia="宋体" w:cs="宋体"/>
          <w:color w:val="auto"/>
          <w:kern w:val="0"/>
          <w:sz w:val="24"/>
          <w:szCs w:val="24"/>
          <w:u w:val="single"/>
        </w:rPr>
        <w:tab/>
      </w:r>
      <w:r>
        <w:rPr>
          <w:rFonts w:ascii="宋体" w:hAnsi="宋体" w:eastAsia="宋体" w:cs="宋体"/>
          <w:color w:val="auto"/>
          <w:kern w:val="0"/>
          <w:sz w:val="24"/>
          <w:szCs w:val="24"/>
          <w:lang w:val="zh-TW" w:eastAsia="zh-TW"/>
        </w:rPr>
        <w:t>月</w:t>
      </w:r>
      <w:r>
        <w:rPr>
          <w:rFonts w:ascii="宋体" w:hAnsi="宋体" w:eastAsia="宋体" w:cs="宋体"/>
          <w:color w:val="auto"/>
          <w:kern w:val="0"/>
          <w:sz w:val="24"/>
          <w:szCs w:val="24"/>
          <w:u w:val="single"/>
        </w:rPr>
        <w:tab/>
      </w:r>
      <w:r>
        <w:rPr>
          <w:rFonts w:ascii="宋体" w:hAnsi="宋体" w:eastAsia="宋体" w:cs="宋体"/>
          <w:color w:val="auto"/>
          <w:kern w:val="0"/>
          <w:sz w:val="24"/>
          <w:szCs w:val="24"/>
          <w:lang w:val="zh-TW" w:eastAsia="zh-TW"/>
        </w:rPr>
        <w:t>日</w:t>
      </w:r>
    </w:p>
    <w:p>
      <w:pPr>
        <w:pStyle w:val="38"/>
        <w:shd w:val="clear" w:color="auto" w:fill="FFFFFF"/>
        <w:spacing w:line="360" w:lineRule="auto"/>
        <w:outlineLvl w:val="2"/>
        <w:rPr>
          <w:rFonts w:ascii="宋体" w:hAnsi="宋体" w:eastAsia="宋体" w:cs="宋体"/>
          <w:sz w:val="32"/>
          <w:szCs w:val="32"/>
        </w:rPr>
        <w:sectPr>
          <w:pgSz w:w="16838" w:h="11906" w:orient="landscape"/>
          <w:pgMar w:top="1440" w:right="1800" w:bottom="1440" w:left="1800" w:header="851" w:footer="992" w:gutter="0"/>
          <w:cols w:space="0" w:num="1"/>
          <w:titlePg/>
          <w:docGrid w:linePitch="312" w:charSpace="0"/>
        </w:sectPr>
      </w:pPr>
      <w:r>
        <w:rPr>
          <w:rFonts w:ascii="宋体" w:hAnsi="宋体" w:eastAsia="宋体" w:cs="宋体"/>
          <w:sz w:val="32"/>
          <w:szCs w:val="32"/>
        </w:rPr>
        <w:br w:type="page"/>
      </w:r>
    </w:p>
    <w:p>
      <w:pPr>
        <w:widowControl/>
        <w:adjustRightInd/>
        <w:ind w:firstLine="643"/>
        <w:jc w:val="center"/>
        <w:rPr>
          <w:rFonts w:ascii="宋体" w:hAnsi="宋体" w:cs="宋体"/>
          <w:b/>
          <w:bCs/>
          <w:sz w:val="32"/>
          <w:szCs w:val="32"/>
        </w:rPr>
      </w:pPr>
      <w:r>
        <w:rPr>
          <w:rFonts w:hint="eastAsia" w:ascii="宋体" w:hAnsi="宋体" w:cs="宋体"/>
          <w:b/>
          <w:bCs/>
          <w:sz w:val="32"/>
          <w:szCs w:val="32"/>
        </w:rPr>
        <w:t>二、中小企业声明函</w:t>
      </w:r>
      <w:bookmarkStart w:id="555" w:name="_Hlk101259491"/>
      <w:r>
        <w:rPr>
          <w:rFonts w:hint="eastAsia" w:ascii="宋体" w:hAnsi="宋体" w:cs="宋体"/>
          <w:b/>
          <w:bCs/>
          <w:sz w:val="32"/>
          <w:szCs w:val="32"/>
        </w:rPr>
        <w:t>（如果有）</w:t>
      </w:r>
      <w:bookmarkEnd w:id="555"/>
    </w:p>
    <w:p>
      <w:pPr>
        <w:pStyle w:val="19"/>
      </w:pP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6</w:t>
      </w:r>
      <w:r>
        <w:rPr>
          <w:rFonts w:hint="eastAsia" w:ascii="宋体" w:hAnsi="宋体" w:cs="宋体"/>
          <w:b/>
          <w:sz w:val="24"/>
        </w:rPr>
        <w:t>）。]</w:t>
      </w:r>
    </w:p>
    <w:p>
      <w:pPr>
        <w:pStyle w:val="37"/>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7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6" w:name="_Toc465665161"/>
      <w:r>
        <w:rPr>
          <w:rFonts w:hint="eastAsia" w:ascii="宋体" w:hAnsi="宋体" w:cs="宋体"/>
        </w:rPr>
        <w:t>附件</w:t>
      </w:r>
      <w:bookmarkEnd w:id="556"/>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667"/>
        <w:jc w:val="center"/>
        <w:rPr>
          <w:rFonts w:ascii="宋体" w:hAnsi="宋体" w:cs="宋体"/>
          <w:b/>
          <w:spacing w:val="6"/>
          <w:sz w:val="32"/>
          <w:szCs w:val="32"/>
        </w:rPr>
      </w:pPr>
      <w:bookmarkStart w:id="557" w:name="OLE_LINK13"/>
      <w:bookmarkStart w:id="558" w:name="OLE_LINK14"/>
      <w:r>
        <w:rPr>
          <w:rFonts w:hint="eastAsia" w:ascii="宋体" w:hAnsi="宋体" w:cs="宋体"/>
          <w:b/>
          <w:spacing w:val="6"/>
          <w:sz w:val="32"/>
          <w:szCs w:val="32"/>
        </w:rPr>
        <w:t>残疾人福利性单位声明函</w:t>
      </w:r>
    </w:p>
    <w:bookmarkEnd w:id="557"/>
    <w:bookmarkEnd w:id="558"/>
    <w:p>
      <w:pPr>
        <w:spacing w:line="360" w:lineRule="auto"/>
        <w:ind w:firstLine="624"/>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长兴县教育信息技术中心</w:t>
      </w:r>
      <w:r>
        <w:rPr>
          <w:rFonts w:hint="eastAsia" w:ascii="宋体" w:hAnsi="宋体" w:cs="宋体"/>
          <w:sz w:val="24"/>
        </w:rPr>
        <w:t>_单位的_</w:t>
      </w:r>
      <w:r>
        <w:rPr>
          <w:rFonts w:hint="eastAsia" w:ascii="宋体" w:hAnsi="宋体" w:cs="宋体"/>
          <w:sz w:val="24"/>
          <w:u w:val="single"/>
        </w:rPr>
        <w:t>长兴县教育信息技术中心“学在长兴”智慧教育平台采购项目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0"/>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spacing w:line="360" w:lineRule="auto"/>
        <w:ind w:firstLine="664"/>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ind w:firstLine="480"/>
        <w:jc w:val="center"/>
        <w:rPr>
          <w:rFonts w:ascii="宋体" w:hAnsi="宋体" w:cs="宋体"/>
          <w:b/>
          <w:sz w:val="24"/>
        </w:rPr>
      </w:pP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0"/>
        <w:rPr>
          <w:rFonts w:ascii="宋体" w:hAnsi="宋体" w:cs="宋体"/>
          <w:b/>
          <w:sz w:val="24"/>
        </w:rPr>
      </w:pPr>
    </w:p>
    <w:p>
      <w:pPr>
        <w:spacing w:line="360" w:lineRule="auto"/>
        <w:ind w:firstLine="480"/>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长兴县教育信息技术中心、湖州建致招标代理有限公司：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你方组织的长兴县教育信息技术中心“学在长兴”智慧教育平台采购项目【招标编号：HZJZCG-2024(002)】</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82"/>
        <w:rPr>
          <w:rFonts w:ascii="宋体" w:hAnsi="宋体" w:cs="宋体"/>
          <w:sz w:val="24"/>
        </w:rPr>
      </w:pPr>
    </w:p>
    <w:p>
      <w:pPr>
        <w:spacing w:line="360" w:lineRule="auto"/>
        <w:ind w:firstLine="482"/>
        <w:rPr>
          <w:rFonts w:ascii="宋体" w:hAnsi="宋体" w:cs="宋体"/>
          <w:sz w:val="24"/>
        </w:rPr>
      </w:pPr>
    </w:p>
    <w:p>
      <w:pPr>
        <w:spacing w:line="360" w:lineRule="auto"/>
        <w:ind w:firstLine="482"/>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82"/>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ind w:firstLine="48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ind w:firstLine="664"/>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adjustRightInd/>
        <w:jc w:val="center"/>
        <w:rPr>
          <w:rFonts w:ascii="宋体" w:hAnsi="宋体" w:cs="宋体"/>
          <w:b/>
          <w:kern w:val="0"/>
          <w:sz w:val="32"/>
          <w:szCs w:val="32"/>
        </w:rPr>
      </w:pPr>
      <w:r>
        <w:rPr>
          <w:rFonts w:hint="eastAsia" w:ascii="宋体" w:hAnsi="宋体" w:cs="宋体"/>
          <w:b/>
          <w:kern w:val="0"/>
          <w:sz w:val="32"/>
          <w:szCs w:val="32"/>
        </w:rPr>
        <w:t>附件5：分包意向协议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长兴县教育信息技术中心“学在长兴”智慧教育平台采购项目【招标编号：HZJZCG-2024(002)】</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482"/>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482"/>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482"/>
        <w:rPr>
          <w:rFonts w:ascii="宋体" w:hAnsi="宋体" w:cs="宋体"/>
          <w:u w:val="single"/>
        </w:rPr>
      </w:pPr>
      <w:r>
        <w:rPr>
          <w:rFonts w:hint="eastAsia" w:ascii="宋体" w:hAnsi="宋体" w:cs="宋体"/>
          <w:u w:val="single"/>
        </w:rPr>
        <w:t xml:space="preserve">                                                                                  </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482"/>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482"/>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482"/>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autoSpaceDE w:val="0"/>
        <w:autoSpaceDN w:val="0"/>
        <w:ind w:firstLine="664"/>
        <w:jc w:val="center"/>
        <w:rPr>
          <w:rFonts w:ascii="宋体" w:hAnsi="宋体" w:cs="宋体"/>
          <w:b/>
          <w:spacing w:val="6"/>
          <w:sz w:val="32"/>
          <w:szCs w:val="32"/>
        </w:rPr>
      </w:pP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643"/>
        <w:jc w:val="center"/>
        <w:outlineLvl w:val="0"/>
        <w:rPr>
          <w:rFonts w:ascii="宋体" w:hAnsi="宋体" w:cs="宋体"/>
          <w:b/>
          <w:kern w:val="0"/>
          <w:sz w:val="32"/>
          <w:szCs w:val="32"/>
        </w:rPr>
      </w:pPr>
      <w:r>
        <w:rPr>
          <w:rFonts w:hint="eastAsia" w:ascii="宋体" w:hAnsi="宋体" w:cs="宋体"/>
          <w:b/>
          <w:kern w:val="0"/>
          <w:sz w:val="32"/>
          <w:szCs w:val="32"/>
        </w:rPr>
        <w:t>附件6：中小企业声明函</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服务</w:t>
      </w:r>
      <w:r>
        <w:rPr>
          <w:rFonts w:hint="eastAsia" w:ascii="宋体" w:hAnsi="宋体" w:cs="宋体"/>
          <w:b/>
          <w:kern w:val="0"/>
          <w:sz w:val="32"/>
          <w:szCs w:val="32"/>
          <w:lang w:eastAsia="zh-CN"/>
        </w:rPr>
        <w:t>）</w:t>
      </w:r>
    </w:p>
    <w:p>
      <w:pPr>
        <w:spacing w:line="360" w:lineRule="auto"/>
        <w:ind w:firstLine="360" w:firstLine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（软件和信息技术服务业）</w:t>
      </w:r>
      <w:r>
        <w:rPr>
          <w:rFonts w:hint="eastAsia" w:asciiTheme="minorEastAsia" w:hAnsiTheme="minorEastAsia" w:eastAsiaTheme="minorEastAsia" w:cstheme="minorEastAsia"/>
          <w:sz w:val="24"/>
        </w:rPr>
        <w:t xml:space="preserve"> ；承建（承接）企业为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w:t>
      </w:r>
      <w:r>
        <w:rPr>
          <w:rFonts w:hint="eastAsia" w:asciiTheme="minorEastAsia" w:hAnsiTheme="minorEastAsia" w:eastAsiaTheme="minorEastAsia" w:cstheme="minorEastAsia"/>
          <w:sz w:val="24"/>
          <w:u w:val="single"/>
        </w:rPr>
        <w:t xml:space="preserve">于 </w:t>
      </w:r>
      <w:r>
        <w:rPr>
          <w:rFonts w:hint="eastAsia" w:asciiTheme="minorEastAsia" w:hAnsiTheme="minorEastAsia" w:eastAsiaTheme="minorEastAsia" w:cstheme="minorEastAsia"/>
          <w:sz w:val="24"/>
          <w:u w:val="single"/>
          <w:lang w:eastAsia="zh-CN"/>
        </w:rPr>
        <w:t>（</w:t>
      </w:r>
      <w:r>
        <w:rPr>
          <w:rFonts w:hint="eastAsia" w:asciiTheme="minorEastAsia" w:hAnsiTheme="minorEastAsia" w:eastAsiaTheme="minorEastAsia" w:cstheme="minorEastAsia"/>
          <w:sz w:val="24"/>
          <w:u w:val="single"/>
        </w:rPr>
        <w:t xml:space="preserve">软件和信息技术服务业） </w:t>
      </w:r>
      <w:r>
        <w:rPr>
          <w:rFonts w:hint="eastAsia" w:asciiTheme="minorEastAsia" w:hAnsiTheme="minorEastAsia" w:eastAsiaTheme="minorEastAsia" w:cstheme="minorEastAsia"/>
          <w:sz w:val="24"/>
        </w:rPr>
        <w:t xml:space="preserve">；承建（承接）企业为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pPr>
        <w:spacing w:line="360" w:lineRule="auto"/>
        <w:ind w:right="176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供应商名称（电子签名）：</w:t>
      </w:r>
    </w:p>
    <w:p>
      <w:pPr>
        <w:spacing w:line="360" w:lineRule="auto"/>
        <w:ind w:right="1120" w:firstLine="4680" w:firstLineChars="19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spacing w:line="360" w:lineRule="auto"/>
        <w:ind w:firstLine="361"/>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ind w:firstLine="640"/>
        <w:jc w:val="center"/>
        <w:rPr>
          <w:rFonts w:ascii="宋体" w:hAnsi="宋体" w:cs="宋体"/>
          <w:b/>
          <w:sz w:val="32"/>
          <w:szCs w:val="32"/>
        </w:rPr>
      </w:pPr>
    </w:p>
    <w:p>
      <w:pPr>
        <w:spacing w:line="360" w:lineRule="auto"/>
        <w:rPr>
          <w:rFonts w:ascii="宋体" w:hAnsi="宋体" w:cs="宋体"/>
          <w:bCs/>
          <w:sz w:val="24"/>
        </w:rPr>
      </w:pPr>
    </w:p>
    <w:p/>
    <w:p/>
    <w:p/>
    <w:p>
      <w:pPr>
        <w:pStyle w:val="19"/>
      </w:pPr>
    </w:p>
    <w:sectPr>
      <w:pgSz w:w="11906" w:h="16838"/>
      <w:pgMar w:top="1440" w:right="1701" w:bottom="1440" w:left="170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altName w:val="MS UI Gothic"/>
    <w:panose1 w:val="020B05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EFF" w:usb1="C000785B" w:usb2="00000009" w:usb3="00000000" w:csb0="400001FF" w:csb1="FFFF0000"/>
  </w:font>
  <w:font w:name="MS UI Gothic">
    <w:panose1 w:val="020B0600070205080204"/>
    <w:charset w:val="80"/>
    <w:family w:val="auto"/>
    <w:pitch w:val="default"/>
    <w:sig w:usb0="E00002FF" w:usb1="6AC7FDFB" w:usb2="08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posOffset>2581275</wp:posOffset>
              </wp:positionH>
              <wp:positionV relativeFrom="paragraph">
                <wp:posOffset>3175</wp:posOffset>
              </wp:positionV>
              <wp:extent cx="295275"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527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5pt;margin-top:0.25pt;height:12.75pt;width:23.25pt;mso-position-horizontal-relative:margin;z-index:251660288;mso-width-relative:page;mso-height-relative:page;" filled="f" stroked="f" coordsize="21600,21600" o:gfxdata="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YbA79YAAAAHAQAADwAAAAAA&#10;AAABACAAAAAiAAAAZHJzL2Rvd25yZXYueG1sUEsBAhQAFAAAAAgAh07iQBiBOB0VAgAABwQAAA4A&#10;AAAAAAAAAQAgAAAAJQEAAGRycy9lMm9Eb2MueG1sUEsFBgAAAAAGAAYAWQEAAKwFAAAAAA==&#10;">
              <v:fill on="f" focussize="0,0"/>
              <v:stroke on="f" weight="0.5pt"/>
              <v:imagedata o:title=""/>
              <o:lock v:ext="edit" aspectratio="f"/>
              <v:textbox inset="0mm,0mm,0mm,0mm">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posOffset>2581275</wp:posOffset>
              </wp:positionH>
              <wp:positionV relativeFrom="paragraph">
                <wp:posOffset>3175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572338"/>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25pt;margin-top:0.25pt;height:144pt;width:144pt;mso-position-horizontal-relative:margin;mso-wrap-style:none;z-index:251664384;mso-width-relative:page;mso-height-relative:page;" filled="f" stroked="f" coordsize="21600,21600" o:gfxdata="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j1akdYAAAAIAQAADwAAAAAAAAABACAA&#10;AAAiAAAAZHJzL2Rvd25yZXYueG1sUEsBAhQAFAAAAAgAh07iQNn6MNYPAgAABwQAAA4AAAAAAAAA&#10;AQAgAAAAJQEAAGRycy9lMm9Eb2MueG1sUEsFBgAAAAAGAAYAWQEAAKYFAAAAAA==&#10;">
              <v:fill on="f" focussize="0,0"/>
              <v:stroke on="f" weight="0.5pt"/>
              <v:imagedata o:title=""/>
              <o:lock v:ext="edit" aspectratio="f"/>
              <v:textbox inset="0mm,0mm,0mm,0mm" style="mso-fit-shape-to-text:t;">
                <w:txbxContent>
                  <w:sdt>
                    <w:sdtPr>
                      <w:id w:val="368572338"/>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7"/>
                    </w:pP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70</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ind w:right="180"/>
      <w:jc w:val="right"/>
    </w:pPr>
    <w:r>
      <w:rPr>
        <w:rFonts w:hint="eastAsia" w:ascii="宋体" w:hAnsi="宋体" w:cs="仿宋_GB2312"/>
        <w:sz w:val="24"/>
        <w:u w:val="single"/>
      </w:rPr>
      <w:t>长兴县教育信息技术中心“学在长兴”智慧教育平台采购项目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ind w:right="180"/>
      <w:jc w:val="right"/>
    </w:pPr>
    <w:r>
      <w:rPr>
        <w:rFonts w:hint="eastAsia" w:ascii="宋体" w:hAnsi="宋体" w:cs="仿宋_GB2312"/>
        <w:sz w:val="24"/>
        <w:u w:val="single"/>
      </w:rPr>
      <w:t>长兴县教育信息技术中心“学在长兴”智慧教育平台采购项目</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rPr>
        <w:rFonts w:hint="eastAsia" w:ascii="宋体" w:hAnsi="宋体" w:cs="仿宋_GB2312"/>
        <w:sz w:val="24"/>
        <w:u w:val="single"/>
      </w:rPr>
      <w:t>长兴县教育信息技术中心“学在长兴”智慧教育平台采购项目</w:t>
    </w:r>
    <w:r>
      <w:rPr>
        <w:rFonts w:hint="eastAsia"/>
      </w:rPr>
      <w:t xml:space="preserve">                                                </w:t>
    </w:r>
    <w:r>
      <w:t xml:space="preserve"> </w:t>
    </w:r>
  </w:p>
  <w:p>
    <w:pPr>
      <w:pStyle w:val="18"/>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rPr>
        <w:rFonts w:hint="eastAsia" w:ascii="宋体" w:hAnsi="宋体" w:cs="仿宋_GB2312"/>
        <w:sz w:val="24"/>
        <w:u w:val="single"/>
      </w:rPr>
      <w:t>长兴县教育信息技术中心“学在长兴”智慧教育平台采购项目</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rPr>
        <w:rFonts w:hint="eastAsia" w:ascii="宋体" w:hAnsi="宋体" w:cs="仿宋_GB2312"/>
        <w:sz w:val="24"/>
        <w:u w:val="single"/>
      </w:rPr>
      <w:t>长兴县教育信息技术中心“学在长兴”智慧教育平台采购项目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rPr>
        <w:rFonts w:hint="eastAsia" w:ascii="宋体" w:hAnsi="宋体" w:cs="仿宋_GB2312"/>
        <w:sz w:val="24"/>
        <w:u w:val="single"/>
      </w:rPr>
      <w:t>长兴县教育信息技术中心“学在长兴”智慧教育平台采购项目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1AFF5"/>
    <w:multiLevelType w:val="singleLevel"/>
    <w:tmpl w:val="8EE1AFF5"/>
    <w:lvl w:ilvl="0" w:tentative="0">
      <w:start w:val="1"/>
      <w:numFmt w:val="decimal"/>
      <w:suff w:val="nothing"/>
      <w:lvlText w:val="%1、"/>
      <w:lvlJc w:val="left"/>
    </w:lvl>
  </w:abstractNum>
  <w:abstractNum w:abstractNumId="1">
    <w:nsid w:val="BE3ADA49"/>
    <w:multiLevelType w:val="singleLevel"/>
    <w:tmpl w:val="BE3ADA49"/>
    <w:lvl w:ilvl="0" w:tentative="0">
      <w:start w:val="1"/>
      <w:numFmt w:val="decimal"/>
      <w:lvlText w:val="%1."/>
      <w:lvlJc w:val="left"/>
      <w:pPr>
        <w:tabs>
          <w:tab w:val="left" w:pos="312"/>
        </w:tabs>
      </w:pPr>
    </w:lvl>
  </w:abstractNum>
  <w:abstractNum w:abstractNumId="2">
    <w:nsid w:val="08017BBE"/>
    <w:multiLevelType w:val="singleLevel"/>
    <w:tmpl w:val="08017BBE"/>
    <w:lvl w:ilvl="0" w:tentative="0">
      <w:start w:val="1"/>
      <w:numFmt w:val="decimal"/>
      <w:lvlText w:val="%1."/>
      <w:lvlJc w:val="left"/>
      <w:pPr>
        <w:tabs>
          <w:tab w:val="left" w:pos="312"/>
        </w:tabs>
      </w:pPr>
    </w:lvl>
  </w:abstractNum>
  <w:abstractNum w:abstractNumId="3">
    <w:nsid w:val="0E543D3A"/>
    <w:multiLevelType w:val="singleLevel"/>
    <w:tmpl w:val="0E543D3A"/>
    <w:lvl w:ilvl="0" w:tentative="0">
      <w:start w:val="3"/>
      <w:numFmt w:val="chineseCounting"/>
      <w:suff w:val="space"/>
      <w:lvlText w:val="第%1部分"/>
      <w:lvlJc w:val="left"/>
      <w:rPr>
        <w:rFonts w:hint="eastAsia"/>
      </w:rPr>
    </w:lvl>
  </w:abstractNum>
  <w:abstractNum w:abstractNumId="4">
    <w:nsid w:val="22E89D20"/>
    <w:multiLevelType w:val="singleLevel"/>
    <w:tmpl w:val="22E89D20"/>
    <w:lvl w:ilvl="0" w:tentative="0">
      <w:start w:val="1"/>
      <w:numFmt w:val="chineseCounting"/>
      <w:suff w:val="nothing"/>
      <w:lvlText w:val="%1、"/>
      <w:lvlJc w:val="left"/>
      <w:rPr>
        <w:rFonts w:hint="eastAsia"/>
      </w:rPr>
    </w:lvl>
  </w:abstractNum>
  <w:abstractNum w:abstractNumId="5">
    <w:nsid w:val="51C27EDC"/>
    <w:multiLevelType w:val="singleLevel"/>
    <w:tmpl w:val="51C27EDC"/>
    <w:lvl w:ilvl="0" w:tentative="0">
      <w:start w:val="3"/>
      <w:numFmt w:val="decimal"/>
      <w:suff w:val="nothing"/>
      <w:lvlText w:val="%1、"/>
      <w:lvlJc w:val="left"/>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ODljZDE3YTYyNDc3MDYzNzRiY2E0Nzk2MDY4MDgifQ=="/>
  </w:docVars>
  <w:rsids>
    <w:rsidRoot w:val="468C50C9"/>
    <w:rsid w:val="0003293A"/>
    <w:rsid w:val="001049B9"/>
    <w:rsid w:val="0033550E"/>
    <w:rsid w:val="00353461"/>
    <w:rsid w:val="003661B3"/>
    <w:rsid w:val="004575A2"/>
    <w:rsid w:val="004E7C5C"/>
    <w:rsid w:val="0050308D"/>
    <w:rsid w:val="0060155B"/>
    <w:rsid w:val="00603BEC"/>
    <w:rsid w:val="00693730"/>
    <w:rsid w:val="006E2D84"/>
    <w:rsid w:val="00772591"/>
    <w:rsid w:val="00775D52"/>
    <w:rsid w:val="00802B89"/>
    <w:rsid w:val="00823B56"/>
    <w:rsid w:val="00890CA3"/>
    <w:rsid w:val="008E6DBE"/>
    <w:rsid w:val="00937924"/>
    <w:rsid w:val="00A513F0"/>
    <w:rsid w:val="00A702F6"/>
    <w:rsid w:val="00AD7286"/>
    <w:rsid w:val="00B3567A"/>
    <w:rsid w:val="00B41908"/>
    <w:rsid w:val="00E4431F"/>
    <w:rsid w:val="00EC5BB3"/>
    <w:rsid w:val="00EF086C"/>
    <w:rsid w:val="00FE677F"/>
    <w:rsid w:val="02174A4D"/>
    <w:rsid w:val="057421E4"/>
    <w:rsid w:val="0716748D"/>
    <w:rsid w:val="078D4C84"/>
    <w:rsid w:val="07B45450"/>
    <w:rsid w:val="08C136B3"/>
    <w:rsid w:val="09BD0924"/>
    <w:rsid w:val="0AB42DB2"/>
    <w:rsid w:val="0CB55924"/>
    <w:rsid w:val="0F32360C"/>
    <w:rsid w:val="108E5FA1"/>
    <w:rsid w:val="124457A0"/>
    <w:rsid w:val="12C74FCA"/>
    <w:rsid w:val="13F94AF5"/>
    <w:rsid w:val="145D48BE"/>
    <w:rsid w:val="152F7E57"/>
    <w:rsid w:val="19066E9B"/>
    <w:rsid w:val="1A0C7D49"/>
    <w:rsid w:val="1A9C3F90"/>
    <w:rsid w:val="1B760BD2"/>
    <w:rsid w:val="1E4B42F6"/>
    <w:rsid w:val="1F392649"/>
    <w:rsid w:val="260327FB"/>
    <w:rsid w:val="26DC24DF"/>
    <w:rsid w:val="2DDA3502"/>
    <w:rsid w:val="310741FC"/>
    <w:rsid w:val="314D17B9"/>
    <w:rsid w:val="399756F2"/>
    <w:rsid w:val="39B115E7"/>
    <w:rsid w:val="3B2D5428"/>
    <w:rsid w:val="3E7A1AED"/>
    <w:rsid w:val="41602ED0"/>
    <w:rsid w:val="450A2BDE"/>
    <w:rsid w:val="468C50C9"/>
    <w:rsid w:val="48FC1601"/>
    <w:rsid w:val="490A57C2"/>
    <w:rsid w:val="4C703FA3"/>
    <w:rsid w:val="4EA83663"/>
    <w:rsid w:val="509B0ED7"/>
    <w:rsid w:val="510E7A15"/>
    <w:rsid w:val="52397E10"/>
    <w:rsid w:val="52C51EC9"/>
    <w:rsid w:val="54965235"/>
    <w:rsid w:val="56303C3E"/>
    <w:rsid w:val="56373296"/>
    <w:rsid w:val="571744AA"/>
    <w:rsid w:val="5A562E48"/>
    <w:rsid w:val="5E544A18"/>
    <w:rsid w:val="5F386ABA"/>
    <w:rsid w:val="62C12E2A"/>
    <w:rsid w:val="6320736E"/>
    <w:rsid w:val="63CE6247"/>
    <w:rsid w:val="645523D2"/>
    <w:rsid w:val="66D6666D"/>
    <w:rsid w:val="685435DE"/>
    <w:rsid w:val="6A16147B"/>
    <w:rsid w:val="6B87742B"/>
    <w:rsid w:val="6D5A6A1E"/>
    <w:rsid w:val="7543364D"/>
    <w:rsid w:val="75474463"/>
    <w:rsid w:val="75C9044C"/>
    <w:rsid w:val="7A081E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jc w:val="center"/>
      <w:outlineLvl w:val="2"/>
    </w:pPr>
    <w:rPr>
      <w:b/>
      <w:bCs/>
      <w:sz w:val="32"/>
      <w:szCs w:val="32"/>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toc 4"/>
    <w:basedOn w:val="1"/>
    <w:next w:val="1"/>
    <w:qFormat/>
    <w:uiPriority w:val="0"/>
    <w:pPr>
      <w:ind w:left="1260" w:leftChars="600"/>
    </w:pPr>
  </w:style>
  <w:style w:type="paragraph" w:styleId="7">
    <w:name w:val="Body Text First Indent"/>
    <w:basedOn w:val="8"/>
    <w:next w:val="9"/>
    <w:qFormat/>
    <w:uiPriority w:val="0"/>
    <w:pPr>
      <w:ind w:firstLine="420"/>
    </w:pPr>
    <w:rPr>
      <w:rFonts w:hAnsi="Calibri" w:cs="Times New Roman"/>
      <w:snapToGrid/>
      <w:szCs w:val="20"/>
    </w:rPr>
  </w:style>
  <w:style w:type="paragraph" w:styleId="8">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9">
    <w:name w:val="toc 6"/>
    <w:basedOn w:val="1"/>
    <w:next w:val="1"/>
    <w:qFormat/>
    <w:uiPriority w:val="0"/>
    <w:pPr>
      <w:ind w:left="2100" w:leftChars="1000"/>
    </w:pPr>
  </w:style>
  <w:style w:type="paragraph" w:styleId="10">
    <w:name w:val="annotation text"/>
    <w:basedOn w:val="1"/>
    <w:qFormat/>
    <w:uiPriority w:val="0"/>
    <w:pPr>
      <w:jc w:val="left"/>
    </w:pPr>
  </w:style>
  <w:style w:type="paragraph" w:styleId="11">
    <w:name w:val="Body Text Indent"/>
    <w:basedOn w:val="1"/>
    <w:next w:val="12"/>
    <w:qFormat/>
    <w:uiPriority w:val="0"/>
    <w:pPr>
      <w:spacing w:line="480" w:lineRule="exact"/>
      <w:ind w:firstLine="480" w:firstLineChars="200"/>
    </w:pPr>
    <w:rPr>
      <w:rFonts w:ascii="宋体" w:hAnsi="宋体"/>
      <w:sz w:val="24"/>
    </w:rPr>
  </w:style>
  <w:style w:type="paragraph" w:styleId="12">
    <w:name w:val="envelope return"/>
    <w:basedOn w:val="1"/>
    <w:qFormat/>
    <w:uiPriority w:val="0"/>
    <w:pPr>
      <w:snapToGrid w:val="0"/>
    </w:pPr>
    <w:rPr>
      <w:rFonts w:ascii="Arial" w:hAnsi="Arial"/>
      <w:szCs w:val="22"/>
    </w:rPr>
  </w:style>
  <w:style w:type="paragraph" w:styleId="13">
    <w:name w:val="Plain Text"/>
    <w:basedOn w:val="1"/>
    <w:qFormat/>
    <w:uiPriority w:val="0"/>
    <w:rPr>
      <w:rFonts w:ascii="宋体" w:hAnsi="Courier New" w:cs="Arial"/>
      <w:snapToGrid w:val="0"/>
      <w:szCs w:val="21"/>
    </w:rPr>
  </w:style>
  <w:style w:type="paragraph" w:styleId="14">
    <w:name w:val="Date"/>
    <w:basedOn w:val="1"/>
    <w:next w:val="1"/>
    <w:qFormat/>
    <w:uiPriority w:val="0"/>
    <w:pPr>
      <w:ind w:left="100" w:leftChars="2500"/>
    </w:pPr>
    <w:rPr>
      <w:rFonts w:ascii="宋体"/>
      <w:sz w:val="24"/>
      <w:szCs w:val="21"/>
      <w:lang w:val="zh-CN"/>
    </w:rPr>
  </w:style>
  <w:style w:type="paragraph" w:styleId="15">
    <w:name w:val="footer"/>
    <w:basedOn w:val="1"/>
    <w:link w:val="63"/>
    <w:unhideWhenUsed/>
    <w:qFormat/>
    <w:uiPriority w:val="99"/>
    <w:pPr>
      <w:tabs>
        <w:tab w:val="center" w:pos="4153"/>
        <w:tab w:val="right" w:pos="8306"/>
      </w:tabs>
      <w:snapToGrid w:val="0"/>
      <w:jc w:val="left"/>
    </w:pPr>
    <w:rPr>
      <w:sz w:val="18"/>
      <w:szCs w:val="18"/>
    </w:rPr>
  </w:style>
  <w:style w:type="paragraph" w:styleId="16">
    <w:name w:val="Body Text First Indent 2"/>
    <w:basedOn w:val="11"/>
    <w:next w:val="17"/>
    <w:qFormat/>
    <w:uiPriority w:val="0"/>
    <w:pPr>
      <w:ind w:firstLine="200"/>
    </w:pPr>
  </w:style>
  <w:style w:type="paragraph" w:customStyle="1" w:styleId="1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8">
    <w:name w:val="header"/>
    <w:basedOn w:val="1"/>
    <w:unhideWhenUsed/>
    <w:qFormat/>
    <w:uiPriority w:val="99"/>
    <w:pP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itle"/>
    <w:basedOn w:val="1"/>
    <w:qFormat/>
    <w:uiPriority w:val="10"/>
    <w:pPr>
      <w:widowControl/>
      <w:overflowPunct w:val="0"/>
      <w:autoSpaceDE w:val="0"/>
      <w:autoSpaceDN w:val="0"/>
      <w:jc w:val="center"/>
      <w:textAlignment w:val="baseline"/>
    </w:pPr>
    <w:rPr>
      <w:b/>
      <w:kern w:val="0"/>
      <w:sz w:val="24"/>
      <w:szCs w:val="20"/>
      <w:lang w:val="en-GB"/>
    </w:rPr>
  </w:style>
  <w:style w:type="character" w:styleId="22">
    <w:name w:val="page number"/>
    <w:basedOn w:val="21"/>
    <w:qFormat/>
    <w:uiPriority w:val="0"/>
    <w:rPr>
      <w:rFonts w:ascii="Arial" w:hAnsi="Arial" w:eastAsia="黑体" w:cs="Arial"/>
      <w:snapToGrid w:val="0"/>
      <w:kern w:val="0"/>
      <w:szCs w:val="21"/>
    </w:rPr>
  </w:style>
  <w:style w:type="character" w:styleId="23">
    <w:name w:val="FollowedHyperlink"/>
    <w:basedOn w:val="21"/>
    <w:unhideWhenUsed/>
    <w:qFormat/>
    <w:uiPriority w:val="99"/>
    <w:rPr>
      <w:color w:val="800080"/>
      <w:u w:val="single"/>
    </w:rPr>
  </w:style>
  <w:style w:type="character" w:styleId="24">
    <w:name w:val="Hyperlink"/>
    <w:qFormat/>
    <w:uiPriority w:val="99"/>
    <w:rPr>
      <w:rFonts w:ascii="Arial" w:hAnsi="Arial" w:eastAsia="黑体" w:cs="Arial"/>
      <w:snapToGrid w:val="0"/>
      <w:color w:val="000000"/>
      <w:kern w:val="0"/>
      <w:sz w:val="18"/>
      <w:szCs w:val="18"/>
      <w:u w:val="non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0">
    <w:name w:val="NormalCharacter"/>
    <w:semiHidden/>
    <w:qFormat/>
    <w:uiPriority w:val="0"/>
  </w:style>
  <w:style w:type="paragraph" w:customStyle="1" w:styleId="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纯文本1"/>
    <w:basedOn w:val="1"/>
    <w:qFormat/>
    <w:uiPriority w:val="0"/>
    <w:pPr>
      <w:adjustRightInd/>
    </w:pPr>
    <w:rPr>
      <w:rFonts w:ascii="宋体" w:hAnsi="Courier New" w:eastAsiaTheme="minorEastAsia" w:cstheme="minorBidi"/>
      <w:szCs w:val="22"/>
    </w:rPr>
  </w:style>
  <w:style w:type="paragraph" w:customStyle="1" w:styleId="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eastAsiaTheme="minorEastAsia" w:cstheme="minorBidi"/>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未处理的提及1"/>
    <w:basedOn w:val="21"/>
    <w:unhideWhenUsed/>
    <w:qFormat/>
    <w:uiPriority w:val="99"/>
    <w:rPr>
      <w:color w:val="605E5C"/>
      <w:shd w:val="clear" w:color="auto" w:fill="E1DFDD"/>
    </w:rPr>
  </w:style>
  <w:style w:type="paragraph" w:customStyle="1" w:styleId="4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44">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45">
    <w:name w:val="xl69"/>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46">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47">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48">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49">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50">
    <w:name w:val="xl7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51">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52">
    <w:name w:val="xl76"/>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53">
    <w:name w:val="xl77"/>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54">
    <w:name w:val="xl78"/>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5">
    <w:name w:val="xl7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6">
    <w:name w:val="xl80"/>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7">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8">
    <w:name w:val="xl82"/>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9">
    <w:name w:val="xl83"/>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60">
    <w:name w:val="xl84"/>
    <w:basedOn w:val="1"/>
    <w:qFormat/>
    <w:uiPriority w:val="0"/>
    <w:pPr>
      <w:widowControl/>
      <w:pBdr>
        <w:top w:val="single" w:color="000000" w:sz="4" w:space="0"/>
        <w:left w:val="single" w:color="000000" w:sz="8"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61">
    <w:name w:val="xl85"/>
    <w:basedOn w:val="1"/>
    <w:qFormat/>
    <w:uiPriority w:val="0"/>
    <w:pPr>
      <w:widowControl/>
      <w:pBdr>
        <w:top w:val="single" w:color="000000" w:sz="4" w:space="0"/>
        <w:left w:val="single" w:color="000000" w:sz="4" w:space="0"/>
        <w:right w:val="single" w:color="000000" w:sz="4"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62">
    <w:name w:val="xl86"/>
    <w:basedOn w:val="1"/>
    <w:qFormat/>
    <w:uiPriority w:val="0"/>
    <w:pPr>
      <w:widowControl/>
      <w:pBdr>
        <w:top w:val="single" w:color="000000" w:sz="4" w:space="0"/>
        <w:left w:val="single" w:color="000000" w:sz="4" w:space="0"/>
        <w:right w:val="single" w:color="000000" w:sz="8" w:space="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character" w:customStyle="1" w:styleId="63">
    <w:name w:val="页脚 字符"/>
    <w:basedOn w:val="21"/>
    <w:link w:val="15"/>
    <w:qFormat/>
    <w:uiPriority w:val="99"/>
    <w:rPr>
      <w:rFonts w:ascii="Times New Roman" w:hAnsi="Times New Roman" w:eastAsia="宋体" w:cs="Times New Roman"/>
      <w:kern w:val="2"/>
      <w:sz w:val="18"/>
      <w:szCs w:val="18"/>
    </w:rPr>
  </w:style>
  <w:style w:type="paragraph" w:customStyle="1" w:styleId="64">
    <w:name w:val="表格文字"/>
    <w:basedOn w:val="65"/>
    <w:next w:val="8"/>
    <w:qFormat/>
    <w:uiPriority w:val="0"/>
    <w:pPr>
      <w:spacing w:line="420" w:lineRule="atLeast"/>
      <w:textAlignment w:val="baseline"/>
    </w:pPr>
  </w:style>
  <w:style w:type="paragraph" w:customStyle="1" w:styleId="65">
    <w:name w:val="表格文字（两侧对齐）"/>
    <w:basedOn w:val="1"/>
    <w:qFormat/>
    <w:uiPriority w:val="0"/>
    <w:pPr>
      <w:snapToGrid w:val="0"/>
    </w:pPr>
    <w:rPr>
      <w:sz w:val="20"/>
    </w:rPr>
  </w:style>
  <w:style w:type="character" w:customStyle="1" w:styleId="66">
    <w:name w:val="font1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76825</Words>
  <Characters>79310</Characters>
  <Lines>538</Lines>
  <Paragraphs>151</Paragraphs>
  <ScaleCrop>false</ScaleCrop>
  <LinksUpToDate>false</LinksUpToDate>
  <CharactersWithSpaces>84211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2024-04-25T05:52:00Z</dcterms:created>
  <dc:creator>何东旭</dc:creator>
  <cp:lastModifiedBy>ak</cp:lastModifiedBy>
  <cp:lastPrinted>2024-05-27T00:34:00Z</cp:lastPrinted>
  <dcterms:modified xsi:type="dcterms:W3CDTF">2024-06-06T02:51:56Z</dcterms:modified>
  <dc:title>招标文件-货物-浙江华耀何东旭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17D1DD28F35246258E9CA1C29C85422B_13</vt:lpwstr>
  </property>
</Properties>
</file>