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CC224">
      <w:pPr>
        <w:spacing w:before="98" w:line="360" w:lineRule="auto"/>
        <w:jc w:val="center"/>
        <w:rPr>
          <w:b/>
          <w:sz w:val="44"/>
          <w:szCs w:val="44"/>
        </w:rPr>
      </w:pPr>
      <w:bookmarkStart w:id="0" w:name="_Toc20907"/>
    </w:p>
    <w:p w14:paraId="7A88A901">
      <w:pPr>
        <w:spacing w:before="98"/>
        <w:jc w:val="center"/>
        <w:rPr>
          <w:rFonts w:hint="eastAsia"/>
          <w:b/>
          <w:sz w:val="44"/>
          <w:szCs w:val="44"/>
          <w:highlight w:val="none"/>
          <w:lang w:eastAsia="zh-CN"/>
        </w:rPr>
      </w:pPr>
      <w:r>
        <w:rPr>
          <w:rFonts w:hint="eastAsia"/>
          <w:b/>
          <w:sz w:val="44"/>
          <w:szCs w:val="44"/>
          <w:highlight w:val="none"/>
          <w:lang w:eastAsia="zh-CN"/>
        </w:rPr>
        <w:t>吴兴区202</w:t>
      </w:r>
      <w:r>
        <w:rPr>
          <w:rFonts w:hint="eastAsia"/>
          <w:b/>
          <w:sz w:val="44"/>
          <w:szCs w:val="44"/>
          <w:highlight w:val="none"/>
          <w:lang w:val="en-US" w:eastAsia="zh-CN"/>
        </w:rPr>
        <w:t>4</w:t>
      </w:r>
      <w:r>
        <w:rPr>
          <w:rFonts w:hint="eastAsia"/>
          <w:b/>
          <w:sz w:val="44"/>
          <w:szCs w:val="44"/>
          <w:highlight w:val="none"/>
          <w:lang w:eastAsia="zh-CN"/>
        </w:rPr>
        <w:t>年度千万亩森林质量精准提升工程</w:t>
      </w:r>
    </w:p>
    <w:p w14:paraId="4D4A90D8">
      <w:pPr>
        <w:spacing w:before="98"/>
        <w:jc w:val="center"/>
        <w:rPr>
          <w:b/>
          <w:spacing w:val="-23"/>
          <w:sz w:val="36"/>
          <w:szCs w:val="36"/>
          <w:highlight w:val="none"/>
        </w:rPr>
      </w:pPr>
      <w:r>
        <w:rPr>
          <w:rFonts w:hint="eastAsia"/>
          <w:b/>
          <w:spacing w:val="-23"/>
          <w:sz w:val="36"/>
          <w:szCs w:val="36"/>
          <w:highlight w:val="none"/>
        </w:rPr>
        <w:t>（</w:t>
      </w:r>
      <w:r>
        <w:rPr>
          <w:b/>
          <w:spacing w:val="-23"/>
          <w:sz w:val="36"/>
          <w:szCs w:val="36"/>
          <w:highlight w:val="none"/>
        </w:rPr>
        <w:t>财政审批编号：</w:t>
      </w:r>
      <w:r>
        <w:rPr>
          <w:rFonts w:hint="eastAsia"/>
          <w:b/>
          <w:spacing w:val="-23"/>
          <w:sz w:val="36"/>
          <w:szCs w:val="36"/>
          <w:highlight w:val="none"/>
          <w:lang w:val="en-US" w:eastAsia="zh-CN"/>
        </w:rPr>
        <w:t>[2024]12794号、[2024]14357号</w:t>
      </w:r>
      <w:r>
        <w:rPr>
          <w:rFonts w:hint="eastAsia"/>
          <w:b/>
          <w:spacing w:val="-23"/>
          <w:sz w:val="36"/>
          <w:szCs w:val="36"/>
          <w:highlight w:val="none"/>
        </w:rPr>
        <w:t>）</w:t>
      </w:r>
    </w:p>
    <w:p w14:paraId="678152C6">
      <w:pPr>
        <w:spacing w:line="350" w:lineRule="auto"/>
        <w:jc w:val="center"/>
        <w:rPr>
          <w:sz w:val="32"/>
          <w:highlight w:val="none"/>
        </w:rPr>
      </w:pPr>
    </w:p>
    <w:p w14:paraId="37787049">
      <w:pPr>
        <w:pStyle w:val="22"/>
        <w:ind w:firstLine="320"/>
        <w:rPr>
          <w:sz w:val="32"/>
        </w:rPr>
      </w:pPr>
    </w:p>
    <w:p w14:paraId="78DAED16">
      <w:pPr>
        <w:rPr>
          <w:sz w:val="32"/>
        </w:rPr>
      </w:pPr>
    </w:p>
    <w:p w14:paraId="16B80838">
      <w:pPr>
        <w:pStyle w:val="22"/>
        <w:ind w:firstLine="320"/>
        <w:rPr>
          <w:sz w:val="32"/>
        </w:rPr>
      </w:pPr>
    </w:p>
    <w:p w14:paraId="5E047A92">
      <w:pPr>
        <w:jc w:val="center"/>
        <w:rPr>
          <w:sz w:val="32"/>
        </w:rPr>
      </w:pPr>
      <w:r>
        <w:rPr>
          <w:rFonts w:hint="eastAsia"/>
          <w:b/>
          <w:bCs/>
          <w:sz w:val="72"/>
          <w:szCs w:val="72"/>
          <w:lang w:eastAsia="zh-CN"/>
        </w:rPr>
        <w:t>公开</w:t>
      </w:r>
      <w:r>
        <w:rPr>
          <w:rFonts w:hint="eastAsia"/>
          <w:b/>
          <w:bCs/>
          <w:sz w:val="72"/>
          <w:szCs w:val="72"/>
        </w:rPr>
        <w:t>招标文件</w:t>
      </w:r>
    </w:p>
    <w:p w14:paraId="2F347EB9">
      <w:pPr>
        <w:rPr>
          <w:sz w:val="32"/>
        </w:rPr>
      </w:pPr>
    </w:p>
    <w:p w14:paraId="782D013F">
      <w:pPr>
        <w:pStyle w:val="22"/>
        <w:ind w:firstLine="0" w:firstLineChars="0"/>
        <w:rPr>
          <w:sz w:val="32"/>
        </w:rPr>
      </w:pPr>
    </w:p>
    <w:p w14:paraId="5007E5D5">
      <w:pPr>
        <w:pStyle w:val="22"/>
        <w:ind w:left="3360" w:leftChars="1200" w:firstLine="217" w:firstLineChars="68"/>
        <w:rPr>
          <w:sz w:val="32"/>
        </w:rPr>
      </w:pPr>
    </w:p>
    <w:p w14:paraId="3DFB2122">
      <w:pPr>
        <w:pStyle w:val="22"/>
        <w:ind w:left="3360" w:leftChars="1200" w:firstLine="218" w:firstLineChars="68"/>
        <w:rPr>
          <w:b/>
          <w:sz w:val="32"/>
        </w:rPr>
      </w:pPr>
    </w:p>
    <w:p w14:paraId="21383D8B">
      <w:pPr>
        <w:rPr>
          <w:b/>
          <w:sz w:val="32"/>
        </w:rPr>
      </w:pPr>
    </w:p>
    <w:p w14:paraId="780F5239">
      <w:pPr>
        <w:pStyle w:val="21"/>
        <w:rPr>
          <w:b/>
          <w:sz w:val="32"/>
        </w:rPr>
      </w:pPr>
    </w:p>
    <w:p w14:paraId="58A836A1"/>
    <w:p w14:paraId="0B9117BE">
      <w:pPr>
        <w:pStyle w:val="22"/>
        <w:spacing w:line="360" w:lineRule="auto"/>
        <w:ind w:firstLine="0" w:firstLineChars="0"/>
        <w:rPr>
          <w:b/>
          <w:sz w:val="32"/>
        </w:rPr>
      </w:pPr>
    </w:p>
    <w:p w14:paraId="41A6EB73">
      <w:pPr>
        <w:widowControl/>
        <w:spacing w:line="480" w:lineRule="auto"/>
        <w:ind w:left="3096" w:leftChars="403" w:right="62" w:hanging="1968" w:hangingChars="700"/>
        <w:rPr>
          <w:rFonts w:hint="default" w:ascii="宋体" w:hAnsi="宋体" w:eastAsia="宋体"/>
          <w:b/>
          <w:bCs/>
          <w:snapToGrid w:val="0"/>
          <w:color w:val="000000"/>
          <w:sz w:val="28"/>
          <w:szCs w:val="28"/>
          <w:lang w:val="en-US" w:eastAsia="zh-CN"/>
        </w:rPr>
      </w:pPr>
      <w:r>
        <w:rPr>
          <w:rFonts w:hint="eastAsia" w:ascii="宋体" w:hAnsi="宋体"/>
          <w:b/>
          <w:bCs/>
          <w:snapToGrid w:val="0"/>
          <w:color w:val="000000"/>
          <w:sz w:val="28"/>
          <w:szCs w:val="28"/>
        </w:rPr>
        <w:t>招标文件编号：</w:t>
      </w:r>
      <w:r>
        <w:rPr>
          <w:rFonts w:hint="eastAsia" w:ascii="宋体" w:hAnsi="宋体"/>
          <w:b/>
          <w:bCs/>
          <w:snapToGrid w:val="0"/>
          <w:color w:val="000000"/>
          <w:sz w:val="28"/>
          <w:szCs w:val="28"/>
          <w:u w:val="single"/>
        </w:rPr>
        <w:t>泓达采字2024-0</w:t>
      </w:r>
      <w:r>
        <w:rPr>
          <w:rFonts w:hint="eastAsia" w:ascii="宋体" w:hAnsi="宋体"/>
          <w:b/>
          <w:bCs/>
          <w:snapToGrid w:val="0"/>
          <w:color w:val="000000"/>
          <w:sz w:val="28"/>
          <w:szCs w:val="28"/>
          <w:u w:val="single"/>
          <w:lang w:val="en-US" w:eastAsia="zh-CN"/>
        </w:rPr>
        <w:t>11</w:t>
      </w:r>
    </w:p>
    <w:p w14:paraId="26891CF4">
      <w:pPr>
        <w:widowControl/>
        <w:spacing w:line="480" w:lineRule="auto"/>
        <w:ind w:left="2811" w:right="62" w:hanging="2811" w:hangingChars="1000"/>
        <w:rPr>
          <w:rFonts w:ascii="宋体" w:hAnsi="宋体"/>
          <w:b/>
          <w:bCs/>
          <w:snapToGrid w:val="0"/>
          <w:color w:val="000000"/>
          <w:sz w:val="28"/>
          <w:szCs w:val="28"/>
          <w:u w:val="single"/>
        </w:rPr>
      </w:pPr>
      <w:r>
        <w:rPr>
          <w:rFonts w:hint="eastAsia" w:ascii="宋体" w:hAnsi="宋体"/>
          <w:b/>
          <w:bCs/>
          <w:snapToGrid w:val="0"/>
          <w:color w:val="000000"/>
          <w:sz w:val="28"/>
          <w:szCs w:val="28"/>
        </w:rPr>
        <w:t xml:space="preserve">      </w:t>
      </w:r>
      <w:r>
        <w:rPr>
          <w:rFonts w:hint="eastAsia" w:ascii="宋体" w:hAnsi="宋体"/>
          <w:b/>
          <w:bCs/>
          <w:snapToGrid w:val="0"/>
          <w:color w:val="000000"/>
          <w:sz w:val="28"/>
          <w:szCs w:val="28"/>
          <w:lang w:val="en-US" w:eastAsia="zh-CN"/>
        </w:rPr>
        <w:t xml:space="preserve">  </w:t>
      </w:r>
      <w:r>
        <w:rPr>
          <w:rFonts w:hint="eastAsia" w:ascii="宋体" w:hAnsi="宋体"/>
          <w:b/>
          <w:bCs/>
          <w:snapToGrid w:val="0"/>
          <w:color w:val="000000"/>
          <w:sz w:val="28"/>
          <w:szCs w:val="28"/>
        </w:rPr>
        <w:t>项目名称：</w:t>
      </w:r>
      <w:r>
        <w:rPr>
          <w:rFonts w:hint="eastAsia" w:ascii="宋体" w:hAnsi="宋体"/>
          <w:b/>
          <w:bCs/>
          <w:snapToGrid w:val="0"/>
          <w:color w:val="000000"/>
          <w:sz w:val="28"/>
          <w:szCs w:val="28"/>
          <w:u w:val="single"/>
        </w:rPr>
        <w:t xml:space="preserve">吴兴区野生植物资源本底调查项目      </w:t>
      </w:r>
    </w:p>
    <w:p w14:paraId="29D7DE40">
      <w:pPr>
        <w:widowControl/>
        <w:spacing w:line="480" w:lineRule="auto"/>
        <w:ind w:left="3096" w:leftChars="403" w:right="62" w:hanging="1968" w:hangingChars="700"/>
        <w:rPr>
          <w:rFonts w:hint="eastAsia" w:ascii="宋体" w:hAnsi="宋体"/>
          <w:b/>
          <w:bCs/>
          <w:snapToGrid w:val="0"/>
          <w:color w:val="000000"/>
          <w:sz w:val="28"/>
          <w:szCs w:val="28"/>
        </w:rPr>
      </w:pPr>
      <w:r>
        <w:rPr>
          <w:rFonts w:hint="eastAsia" w:ascii="宋体" w:hAnsi="宋体"/>
          <w:b/>
          <w:bCs/>
          <w:snapToGrid w:val="0"/>
          <w:color w:val="000000"/>
          <w:sz w:val="28"/>
          <w:szCs w:val="28"/>
        </w:rPr>
        <w:t>采购单位：</w:t>
      </w:r>
      <w:r>
        <w:rPr>
          <w:rFonts w:hint="eastAsia" w:ascii="宋体" w:hAnsi="宋体"/>
          <w:b/>
          <w:bCs/>
          <w:snapToGrid w:val="0"/>
          <w:color w:val="000000"/>
          <w:sz w:val="28"/>
          <w:szCs w:val="28"/>
          <w:u w:val="single"/>
        </w:rPr>
        <w:t>湖州市自然资源和规划局吴兴分局（盖章）</w:t>
      </w:r>
    </w:p>
    <w:p w14:paraId="4A79D02A">
      <w:pPr>
        <w:widowControl/>
        <w:spacing w:line="480" w:lineRule="auto"/>
        <w:ind w:left="3096" w:leftChars="403" w:right="62" w:hanging="1968" w:hangingChars="700"/>
        <w:rPr>
          <w:rFonts w:ascii="宋体" w:hAnsi="宋体"/>
          <w:b/>
          <w:bCs/>
          <w:snapToGrid w:val="0"/>
          <w:sz w:val="28"/>
          <w:szCs w:val="28"/>
        </w:rPr>
      </w:pPr>
      <w:r>
        <w:rPr>
          <w:rFonts w:hint="eastAsia" w:ascii="宋体" w:hAnsi="宋体"/>
          <w:b/>
          <w:bCs/>
          <w:snapToGrid w:val="0"/>
          <w:color w:val="000000"/>
          <w:sz w:val="28"/>
          <w:szCs w:val="28"/>
        </w:rPr>
        <w:t>代理机构：</w:t>
      </w:r>
      <w:r>
        <w:rPr>
          <w:rFonts w:hint="eastAsia" w:ascii="宋体" w:hAnsi="宋体"/>
          <w:b/>
          <w:bCs/>
          <w:snapToGrid w:val="0"/>
          <w:color w:val="000000"/>
          <w:sz w:val="28"/>
          <w:szCs w:val="28"/>
          <w:u w:val="single"/>
          <w:lang w:eastAsia="zh-CN"/>
        </w:rPr>
        <w:t>湖州泓达工程管理咨询有限公司</w:t>
      </w:r>
      <w:r>
        <w:rPr>
          <w:rFonts w:hint="eastAsia" w:ascii="宋体" w:hAnsi="宋体"/>
          <w:b/>
          <w:bCs/>
          <w:snapToGrid w:val="0"/>
          <w:color w:val="000000"/>
          <w:sz w:val="28"/>
          <w:szCs w:val="28"/>
          <w:u w:val="single"/>
        </w:rPr>
        <w:t>（盖章）</w:t>
      </w:r>
      <w:r>
        <w:rPr>
          <w:rFonts w:hint="eastAsia" w:ascii="宋体" w:hAnsi="宋体"/>
          <w:b/>
          <w:bCs/>
          <w:snapToGrid w:val="0"/>
          <w:sz w:val="28"/>
          <w:szCs w:val="28"/>
          <w:u w:val="single"/>
        </w:rPr>
        <w:t xml:space="preserve"> </w:t>
      </w:r>
    </w:p>
    <w:p w14:paraId="7D3A0123">
      <w:pPr>
        <w:pStyle w:val="22"/>
        <w:spacing w:line="360" w:lineRule="auto"/>
        <w:ind w:left="1960" w:leftChars="700" w:firstLine="1179" w:firstLineChars="367"/>
        <w:rPr>
          <w:b/>
          <w:sz w:val="44"/>
        </w:rPr>
      </w:pPr>
      <w:r>
        <w:rPr>
          <w:rFonts w:hint="eastAsia"/>
          <w:b/>
          <w:sz w:val="32"/>
        </w:rPr>
        <w:t>日期：</w:t>
      </w:r>
      <w:r>
        <w:rPr>
          <w:rFonts w:hint="eastAsia"/>
          <w:b/>
          <w:sz w:val="32"/>
          <w:highlight w:val="none"/>
        </w:rPr>
        <w:t>202</w:t>
      </w:r>
      <w:r>
        <w:rPr>
          <w:rFonts w:hint="eastAsia"/>
          <w:b/>
          <w:sz w:val="32"/>
          <w:highlight w:val="none"/>
          <w:lang w:val="en-US" w:eastAsia="zh-CN"/>
        </w:rPr>
        <w:t>4</w:t>
      </w:r>
      <w:r>
        <w:rPr>
          <w:rFonts w:hint="eastAsia"/>
          <w:b/>
          <w:sz w:val="32"/>
          <w:highlight w:val="none"/>
        </w:rPr>
        <w:t>年</w:t>
      </w:r>
      <w:r>
        <w:rPr>
          <w:rFonts w:hint="eastAsia"/>
          <w:b/>
          <w:sz w:val="32"/>
          <w:highlight w:val="none"/>
          <w:lang w:val="en-US" w:eastAsia="zh-CN"/>
        </w:rPr>
        <w:t>8</w:t>
      </w:r>
      <w:r>
        <w:rPr>
          <w:rFonts w:hint="eastAsia"/>
          <w:b/>
          <w:sz w:val="32"/>
          <w:highlight w:val="none"/>
        </w:rPr>
        <w:t>月</w:t>
      </w:r>
    </w:p>
    <w:p w14:paraId="50B385D0">
      <w:pPr>
        <w:jc w:val="center"/>
        <w:outlineLvl w:val="0"/>
        <w:rPr>
          <w:rFonts w:ascii="宋体" w:hAnsi="宋体" w:cs="仿宋"/>
          <w:b/>
          <w:sz w:val="44"/>
          <w:szCs w:val="44"/>
        </w:rPr>
      </w:pPr>
    </w:p>
    <w:p w14:paraId="7B5236F3">
      <w:pPr>
        <w:rPr>
          <w:rFonts w:ascii="宋体" w:hAnsi="宋体" w:cs="仿宋"/>
          <w:b/>
          <w:sz w:val="44"/>
          <w:szCs w:val="44"/>
        </w:rPr>
      </w:pPr>
      <w:r>
        <w:rPr>
          <w:rFonts w:hint="eastAsia" w:ascii="宋体" w:hAnsi="宋体" w:cs="仿宋"/>
          <w:b/>
          <w:sz w:val="44"/>
          <w:szCs w:val="44"/>
        </w:rPr>
        <w:br w:type="page"/>
      </w:r>
    </w:p>
    <w:p w14:paraId="0C9A7971">
      <w:pPr>
        <w:jc w:val="center"/>
        <w:outlineLvl w:val="0"/>
        <w:rPr>
          <w:rFonts w:ascii="宋体" w:hAnsi="宋体" w:cs="仿宋"/>
          <w:b/>
          <w:sz w:val="44"/>
          <w:szCs w:val="44"/>
        </w:rPr>
      </w:pPr>
    </w:p>
    <w:p w14:paraId="4073E803">
      <w:pPr>
        <w:jc w:val="center"/>
        <w:outlineLvl w:val="0"/>
        <w:rPr>
          <w:rFonts w:ascii="宋体" w:hAnsi="宋体" w:cs="仿宋"/>
          <w:b/>
          <w:sz w:val="44"/>
          <w:szCs w:val="44"/>
        </w:rPr>
      </w:pPr>
    </w:p>
    <w:p w14:paraId="15F6027B">
      <w:pPr>
        <w:jc w:val="center"/>
        <w:outlineLvl w:val="0"/>
        <w:rPr>
          <w:rFonts w:ascii="宋体" w:hAnsi="宋体" w:cs="仿宋"/>
        </w:rPr>
      </w:pPr>
      <w:r>
        <w:rPr>
          <w:rFonts w:hint="eastAsia" w:ascii="宋体" w:hAnsi="宋体" w:cs="仿宋"/>
          <w:b/>
          <w:sz w:val="44"/>
          <w:szCs w:val="44"/>
        </w:rPr>
        <w:t>目  录</w:t>
      </w:r>
      <w:bookmarkEnd w:id="0"/>
    </w:p>
    <w:p w14:paraId="28BBF568">
      <w:pPr>
        <w:tabs>
          <w:tab w:val="left" w:pos="3724"/>
        </w:tabs>
        <w:adjustRightInd w:val="0"/>
        <w:snapToGrid w:val="0"/>
        <w:spacing w:line="360" w:lineRule="auto"/>
        <w:rPr>
          <w:rFonts w:ascii="宋体" w:hAnsi="宋体" w:cs="仿宋"/>
          <w:sz w:val="30"/>
          <w:szCs w:val="30"/>
        </w:rPr>
      </w:pPr>
      <w:r>
        <w:rPr>
          <w:rFonts w:hint="eastAsia" w:ascii="宋体" w:hAnsi="宋体" w:cs="仿宋"/>
          <w:sz w:val="30"/>
          <w:szCs w:val="30"/>
        </w:rPr>
        <w:tab/>
      </w:r>
    </w:p>
    <w:p w14:paraId="450047D1">
      <w:pPr>
        <w:adjustRightInd w:val="0"/>
        <w:snapToGrid w:val="0"/>
        <w:spacing w:line="360" w:lineRule="auto"/>
        <w:rPr>
          <w:rFonts w:ascii="宋体" w:hAnsi="宋体" w:cs="仿宋"/>
          <w:sz w:val="30"/>
          <w:szCs w:val="30"/>
        </w:rPr>
      </w:pPr>
    </w:p>
    <w:p w14:paraId="41E1E364">
      <w:pPr>
        <w:pStyle w:val="36"/>
        <w:tabs>
          <w:tab w:val="right" w:leader="dot" w:pos="9532"/>
        </w:tabs>
        <w:spacing w:line="360" w:lineRule="auto"/>
        <w:rPr>
          <w:rFonts w:ascii="宋体" w:hAnsi="宋体" w:cs="仿宋"/>
          <w:sz w:val="30"/>
          <w:szCs w:val="30"/>
        </w:rPr>
      </w:pPr>
      <w:r>
        <w:rPr>
          <w:rFonts w:hint="eastAsia" w:ascii="宋体" w:hAnsi="宋体" w:cs="仿宋"/>
          <w:sz w:val="30"/>
          <w:szCs w:val="30"/>
        </w:rPr>
        <w:fldChar w:fldCharType="begin"/>
      </w:r>
      <w:r>
        <w:rPr>
          <w:rFonts w:hint="eastAsia" w:ascii="宋体" w:hAnsi="宋体" w:cs="仿宋"/>
          <w:sz w:val="30"/>
          <w:szCs w:val="30"/>
        </w:rPr>
        <w:instrText xml:space="preserve">TOC \o "1-2" \h \u </w:instrText>
      </w:r>
      <w:r>
        <w:rPr>
          <w:rFonts w:hint="eastAsia" w:ascii="宋体" w:hAnsi="宋体" w:cs="仿宋"/>
          <w:sz w:val="30"/>
          <w:szCs w:val="30"/>
        </w:rPr>
        <w:fldChar w:fldCharType="separate"/>
      </w:r>
      <w:r>
        <w:fldChar w:fldCharType="begin"/>
      </w:r>
      <w:r>
        <w:instrText xml:space="preserve"> HYPERLINK \l "_Toc28990" </w:instrText>
      </w:r>
      <w:r>
        <w:fldChar w:fldCharType="separate"/>
      </w:r>
      <w:r>
        <w:rPr>
          <w:rFonts w:hint="eastAsia" w:ascii="宋体" w:hAnsi="宋体" w:cs="仿宋"/>
          <w:sz w:val="30"/>
          <w:szCs w:val="30"/>
        </w:rPr>
        <w:t>第一章  公开招标采购公告</w:t>
      </w:r>
      <w:r>
        <w:rPr>
          <w:rFonts w:hint="eastAsia" w:ascii="宋体" w:hAnsi="宋体" w:cs="仿宋"/>
          <w:sz w:val="30"/>
          <w:szCs w:val="30"/>
        </w:rPr>
        <w:tab/>
      </w:r>
      <w:r>
        <w:rPr>
          <w:rFonts w:hint="eastAsia" w:ascii="宋体" w:hAnsi="宋体" w:cs="仿宋"/>
          <w:sz w:val="30"/>
          <w:szCs w:val="30"/>
        </w:rPr>
        <w:t>3</w:t>
      </w:r>
      <w:r>
        <w:rPr>
          <w:rFonts w:hint="eastAsia" w:ascii="宋体" w:hAnsi="宋体" w:cs="仿宋"/>
          <w:sz w:val="30"/>
          <w:szCs w:val="30"/>
        </w:rPr>
        <w:fldChar w:fldCharType="end"/>
      </w:r>
    </w:p>
    <w:p w14:paraId="4699996F">
      <w:pPr>
        <w:pStyle w:val="36"/>
        <w:tabs>
          <w:tab w:val="right" w:leader="dot" w:pos="9532"/>
        </w:tabs>
        <w:spacing w:line="360" w:lineRule="auto"/>
        <w:rPr>
          <w:rFonts w:ascii="宋体" w:hAnsi="宋体" w:cs="仿宋"/>
          <w:sz w:val="30"/>
          <w:szCs w:val="30"/>
        </w:rPr>
      </w:pPr>
      <w:r>
        <w:fldChar w:fldCharType="begin"/>
      </w:r>
      <w:r>
        <w:instrText xml:space="preserve"> HYPERLINK \l "_Toc27574" </w:instrText>
      </w:r>
      <w:r>
        <w:fldChar w:fldCharType="separate"/>
      </w:r>
      <w:r>
        <w:rPr>
          <w:rFonts w:hint="eastAsia" w:ascii="宋体" w:hAnsi="宋体" w:cs="仿宋"/>
          <w:sz w:val="30"/>
          <w:szCs w:val="30"/>
        </w:rPr>
        <w:t>第二章  招标需求</w:t>
      </w:r>
      <w:r>
        <w:rPr>
          <w:rFonts w:hint="eastAsia" w:ascii="宋体" w:hAnsi="宋体" w:cs="仿宋"/>
          <w:sz w:val="30"/>
          <w:szCs w:val="30"/>
        </w:rPr>
        <w:tab/>
      </w:r>
      <w:r>
        <w:rPr>
          <w:rFonts w:hint="eastAsia" w:ascii="宋体" w:hAnsi="宋体" w:cs="仿宋"/>
          <w:sz w:val="30"/>
          <w:szCs w:val="30"/>
        </w:rPr>
        <w:t>9</w:t>
      </w:r>
      <w:r>
        <w:rPr>
          <w:rFonts w:hint="eastAsia" w:ascii="宋体" w:hAnsi="宋体" w:cs="仿宋"/>
          <w:sz w:val="30"/>
          <w:szCs w:val="30"/>
        </w:rPr>
        <w:fldChar w:fldCharType="end"/>
      </w:r>
    </w:p>
    <w:p w14:paraId="3A6BF0C5">
      <w:pPr>
        <w:pStyle w:val="36"/>
        <w:tabs>
          <w:tab w:val="right" w:leader="dot" w:pos="9532"/>
        </w:tabs>
        <w:spacing w:line="360" w:lineRule="auto"/>
        <w:rPr>
          <w:rFonts w:ascii="宋体" w:hAnsi="宋体" w:cs="仿宋"/>
          <w:sz w:val="30"/>
          <w:szCs w:val="30"/>
        </w:rPr>
      </w:pPr>
      <w:r>
        <w:fldChar w:fldCharType="begin"/>
      </w:r>
      <w:r>
        <w:instrText xml:space="preserve"> HYPERLINK \l "_Toc23238" </w:instrText>
      </w:r>
      <w:r>
        <w:fldChar w:fldCharType="separate"/>
      </w:r>
      <w:r>
        <w:rPr>
          <w:rFonts w:hint="eastAsia" w:ascii="宋体" w:hAnsi="宋体" w:cs="仿宋"/>
          <w:sz w:val="30"/>
          <w:szCs w:val="30"/>
        </w:rPr>
        <w:t>第三章  投标供应商须知</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3</w:t>
      </w:r>
    </w:p>
    <w:p w14:paraId="059986CD">
      <w:pPr>
        <w:pStyle w:val="8"/>
        <w:tabs>
          <w:tab w:val="right" w:leader="dot" w:pos="9532"/>
        </w:tabs>
        <w:spacing w:line="360" w:lineRule="auto"/>
        <w:ind w:left="560"/>
        <w:rPr>
          <w:rFonts w:ascii="宋体" w:hAnsi="宋体" w:cs="仿宋"/>
          <w:sz w:val="30"/>
          <w:szCs w:val="30"/>
        </w:rPr>
      </w:pPr>
      <w:r>
        <w:fldChar w:fldCharType="begin"/>
      </w:r>
      <w:r>
        <w:instrText xml:space="preserve"> HYPERLINK \l "_Toc9577" </w:instrText>
      </w:r>
      <w:r>
        <w:fldChar w:fldCharType="separate"/>
      </w:r>
      <w:r>
        <w:rPr>
          <w:rFonts w:hint="eastAsia" w:ascii="宋体" w:hAnsi="宋体" w:cs="仿宋"/>
          <w:sz w:val="30"/>
          <w:szCs w:val="30"/>
        </w:rPr>
        <w:t>一、总  则</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_Toc9577 </w:instrText>
      </w:r>
      <w:r>
        <w:rPr>
          <w:rFonts w:hint="eastAsia" w:ascii="宋体" w:hAnsi="宋体" w:cs="仿宋"/>
          <w:sz w:val="30"/>
          <w:szCs w:val="30"/>
        </w:rPr>
        <w:fldChar w:fldCharType="separate"/>
      </w:r>
      <w:r>
        <w:rPr>
          <w:rFonts w:hint="eastAsia" w:ascii="宋体" w:hAnsi="宋体" w:cs="仿宋"/>
          <w:sz w:val="30"/>
          <w:szCs w:val="30"/>
        </w:rPr>
        <w:t>13</w:t>
      </w:r>
      <w:r>
        <w:rPr>
          <w:rFonts w:hint="eastAsia" w:ascii="宋体" w:hAnsi="宋体" w:cs="仿宋"/>
          <w:sz w:val="30"/>
          <w:szCs w:val="30"/>
        </w:rPr>
        <w:fldChar w:fldCharType="end"/>
      </w:r>
      <w:r>
        <w:rPr>
          <w:rFonts w:hint="eastAsia" w:ascii="宋体" w:hAnsi="宋体" w:cs="仿宋"/>
          <w:sz w:val="30"/>
          <w:szCs w:val="30"/>
        </w:rPr>
        <w:fldChar w:fldCharType="end"/>
      </w:r>
    </w:p>
    <w:p w14:paraId="064126C7">
      <w:pPr>
        <w:pStyle w:val="8"/>
        <w:tabs>
          <w:tab w:val="right" w:leader="dot" w:pos="9532"/>
        </w:tabs>
        <w:spacing w:line="360" w:lineRule="auto"/>
        <w:ind w:left="560"/>
        <w:rPr>
          <w:rFonts w:ascii="宋体" w:hAnsi="宋体" w:cs="仿宋"/>
          <w:sz w:val="30"/>
          <w:szCs w:val="30"/>
        </w:rPr>
      </w:pPr>
      <w:r>
        <w:fldChar w:fldCharType="begin"/>
      </w:r>
      <w:r>
        <w:instrText xml:space="preserve"> HYPERLINK \l "_Toc13309" </w:instrText>
      </w:r>
      <w:r>
        <w:fldChar w:fldCharType="separate"/>
      </w:r>
      <w:r>
        <w:rPr>
          <w:rFonts w:hint="eastAsia" w:ascii="宋体" w:hAnsi="宋体" w:cs="仿宋"/>
          <w:sz w:val="30"/>
          <w:szCs w:val="30"/>
        </w:rPr>
        <w:t>二、招标文件</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8</w:t>
      </w:r>
    </w:p>
    <w:p w14:paraId="0AFDAE8D">
      <w:pPr>
        <w:pStyle w:val="8"/>
        <w:tabs>
          <w:tab w:val="right" w:leader="dot" w:pos="9532"/>
        </w:tabs>
        <w:spacing w:line="360" w:lineRule="auto"/>
        <w:ind w:left="560"/>
        <w:rPr>
          <w:rFonts w:ascii="宋体" w:hAnsi="宋体" w:cs="仿宋"/>
          <w:sz w:val="30"/>
          <w:szCs w:val="30"/>
        </w:rPr>
      </w:pPr>
      <w:r>
        <w:fldChar w:fldCharType="begin"/>
      </w:r>
      <w:r>
        <w:instrText xml:space="preserve"> HYPERLINK \l "_Toc3451" </w:instrText>
      </w:r>
      <w:r>
        <w:fldChar w:fldCharType="separate"/>
      </w:r>
      <w:r>
        <w:rPr>
          <w:rFonts w:hint="eastAsia" w:ascii="宋体" w:hAnsi="宋体" w:cs="仿宋"/>
          <w:sz w:val="30"/>
          <w:szCs w:val="30"/>
        </w:rPr>
        <w:t>三、投标文件的编制要求</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9</w:t>
      </w:r>
    </w:p>
    <w:p w14:paraId="0A67CD0D">
      <w:pPr>
        <w:pStyle w:val="8"/>
        <w:tabs>
          <w:tab w:val="right" w:leader="dot" w:pos="9532"/>
        </w:tabs>
        <w:spacing w:line="360" w:lineRule="auto"/>
        <w:ind w:left="560"/>
        <w:rPr>
          <w:rFonts w:ascii="宋体" w:hAnsi="宋体" w:cs="仿宋"/>
          <w:sz w:val="30"/>
          <w:szCs w:val="30"/>
        </w:rPr>
      </w:pPr>
      <w:r>
        <w:fldChar w:fldCharType="begin"/>
      </w:r>
      <w:r>
        <w:instrText xml:space="preserve"> HYPERLINK \l "_Toc16193" </w:instrText>
      </w:r>
      <w:r>
        <w:fldChar w:fldCharType="separate"/>
      </w:r>
      <w:r>
        <w:rPr>
          <w:rFonts w:hint="eastAsia" w:ascii="宋体" w:hAnsi="宋体" w:cs="仿宋"/>
          <w:sz w:val="30"/>
          <w:szCs w:val="30"/>
        </w:rPr>
        <w:t>四、开标</w:t>
      </w:r>
      <w:r>
        <w:rPr>
          <w:rFonts w:hint="eastAsia" w:ascii="宋体" w:hAnsi="宋体" w:cs="仿宋"/>
          <w:sz w:val="30"/>
          <w:szCs w:val="30"/>
        </w:rPr>
        <w:tab/>
      </w:r>
      <w:r>
        <w:rPr>
          <w:rFonts w:hint="eastAsia" w:ascii="宋体" w:hAnsi="宋体" w:cs="仿宋"/>
          <w:sz w:val="30"/>
          <w:szCs w:val="30"/>
        </w:rPr>
        <w:t>2</w:t>
      </w:r>
      <w:r>
        <w:rPr>
          <w:rFonts w:hint="eastAsia" w:ascii="宋体" w:hAnsi="宋体" w:cs="仿宋"/>
          <w:sz w:val="30"/>
          <w:szCs w:val="30"/>
        </w:rPr>
        <w:fldChar w:fldCharType="end"/>
      </w:r>
      <w:r>
        <w:rPr>
          <w:rFonts w:hint="eastAsia" w:ascii="宋体" w:hAnsi="宋体" w:cs="仿宋"/>
          <w:sz w:val="30"/>
          <w:szCs w:val="30"/>
        </w:rPr>
        <w:t>3</w:t>
      </w:r>
    </w:p>
    <w:p w14:paraId="342663D4">
      <w:pPr>
        <w:pStyle w:val="8"/>
        <w:tabs>
          <w:tab w:val="right" w:leader="dot" w:pos="9532"/>
        </w:tabs>
        <w:spacing w:line="360" w:lineRule="auto"/>
        <w:ind w:left="560"/>
        <w:rPr>
          <w:rFonts w:ascii="宋体" w:hAnsi="宋体" w:cs="仿宋"/>
          <w:sz w:val="30"/>
          <w:szCs w:val="30"/>
        </w:rPr>
      </w:pPr>
      <w:r>
        <w:fldChar w:fldCharType="begin"/>
      </w:r>
      <w:r>
        <w:instrText xml:space="preserve"> HYPERLINK \l "_Toc17761" </w:instrText>
      </w:r>
      <w:r>
        <w:fldChar w:fldCharType="separate"/>
      </w:r>
      <w:r>
        <w:rPr>
          <w:rFonts w:hint="eastAsia" w:ascii="宋体" w:hAnsi="宋体" w:cs="仿宋"/>
          <w:sz w:val="30"/>
          <w:szCs w:val="30"/>
        </w:rPr>
        <w:t>五、评标</w:t>
      </w:r>
      <w:r>
        <w:rPr>
          <w:rFonts w:hint="eastAsia" w:ascii="宋体" w:hAnsi="宋体" w:cs="仿宋"/>
          <w:sz w:val="30"/>
          <w:szCs w:val="30"/>
        </w:rPr>
        <w:tab/>
      </w:r>
      <w:r>
        <w:rPr>
          <w:rFonts w:hint="eastAsia" w:ascii="宋体" w:hAnsi="宋体" w:cs="仿宋"/>
          <w:sz w:val="30"/>
          <w:szCs w:val="30"/>
        </w:rPr>
        <w:t>2</w:t>
      </w:r>
      <w:r>
        <w:rPr>
          <w:rFonts w:hint="eastAsia" w:ascii="宋体" w:hAnsi="宋体" w:cs="仿宋"/>
          <w:sz w:val="30"/>
          <w:szCs w:val="30"/>
        </w:rPr>
        <w:fldChar w:fldCharType="end"/>
      </w:r>
      <w:r>
        <w:rPr>
          <w:rFonts w:hint="eastAsia" w:ascii="宋体" w:hAnsi="宋体" w:cs="仿宋"/>
          <w:sz w:val="30"/>
          <w:szCs w:val="30"/>
        </w:rPr>
        <w:t>4</w:t>
      </w:r>
    </w:p>
    <w:p w14:paraId="23F7F09D">
      <w:pPr>
        <w:pStyle w:val="8"/>
        <w:tabs>
          <w:tab w:val="right" w:leader="dot" w:pos="9532"/>
        </w:tabs>
        <w:spacing w:line="360" w:lineRule="auto"/>
        <w:ind w:left="560"/>
        <w:rPr>
          <w:rFonts w:ascii="宋体" w:hAnsi="宋体" w:cs="仿宋"/>
          <w:sz w:val="30"/>
          <w:szCs w:val="30"/>
        </w:rPr>
      </w:pPr>
      <w:r>
        <w:fldChar w:fldCharType="begin"/>
      </w:r>
      <w:r>
        <w:instrText xml:space="preserve"> HYPERLINK \l "_Toc7711" </w:instrText>
      </w:r>
      <w:r>
        <w:fldChar w:fldCharType="separate"/>
      </w:r>
      <w:r>
        <w:rPr>
          <w:rFonts w:hint="eastAsia" w:ascii="宋体" w:hAnsi="宋体" w:cs="仿宋"/>
          <w:sz w:val="30"/>
          <w:szCs w:val="30"/>
        </w:rPr>
        <w:t>六、定标</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_Toc7711 </w:instrText>
      </w:r>
      <w:r>
        <w:rPr>
          <w:rFonts w:hint="eastAsia" w:ascii="宋体" w:hAnsi="宋体" w:cs="仿宋"/>
          <w:sz w:val="30"/>
          <w:szCs w:val="30"/>
        </w:rPr>
        <w:fldChar w:fldCharType="separate"/>
      </w:r>
      <w:r>
        <w:rPr>
          <w:rFonts w:hint="eastAsia" w:ascii="宋体" w:hAnsi="宋体" w:cs="仿宋"/>
          <w:sz w:val="30"/>
          <w:szCs w:val="30"/>
        </w:rPr>
        <w:t>29</w:t>
      </w:r>
      <w:r>
        <w:rPr>
          <w:rFonts w:hint="eastAsia" w:ascii="宋体" w:hAnsi="宋体" w:cs="仿宋"/>
          <w:sz w:val="30"/>
          <w:szCs w:val="30"/>
        </w:rPr>
        <w:fldChar w:fldCharType="end"/>
      </w:r>
      <w:r>
        <w:rPr>
          <w:rFonts w:hint="eastAsia" w:ascii="宋体" w:hAnsi="宋体" w:cs="仿宋"/>
          <w:sz w:val="30"/>
          <w:szCs w:val="30"/>
        </w:rPr>
        <w:fldChar w:fldCharType="end"/>
      </w:r>
    </w:p>
    <w:p w14:paraId="20E410D8">
      <w:pPr>
        <w:pStyle w:val="8"/>
        <w:tabs>
          <w:tab w:val="right" w:leader="dot" w:pos="9532"/>
        </w:tabs>
        <w:spacing w:line="360" w:lineRule="auto"/>
        <w:ind w:left="560"/>
        <w:rPr>
          <w:rFonts w:ascii="宋体" w:hAnsi="宋体" w:cs="仿宋"/>
          <w:sz w:val="30"/>
          <w:szCs w:val="30"/>
        </w:rPr>
      </w:pPr>
      <w:r>
        <w:fldChar w:fldCharType="begin"/>
      </w:r>
      <w:r>
        <w:instrText xml:space="preserve"> HYPERLINK \l "_Toc23098" </w:instrText>
      </w:r>
      <w:r>
        <w:fldChar w:fldCharType="separate"/>
      </w:r>
      <w:r>
        <w:rPr>
          <w:rFonts w:hint="eastAsia" w:ascii="宋体" w:hAnsi="宋体" w:cs="仿宋"/>
          <w:sz w:val="30"/>
          <w:szCs w:val="30"/>
        </w:rPr>
        <w:t>七、合同授予</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_Toc23098 </w:instrText>
      </w:r>
      <w:r>
        <w:rPr>
          <w:rFonts w:hint="eastAsia" w:ascii="宋体" w:hAnsi="宋体" w:cs="仿宋"/>
          <w:sz w:val="30"/>
          <w:szCs w:val="30"/>
        </w:rPr>
        <w:fldChar w:fldCharType="separate"/>
      </w:r>
      <w:r>
        <w:rPr>
          <w:rFonts w:hint="eastAsia" w:ascii="宋体" w:hAnsi="宋体" w:cs="仿宋"/>
          <w:sz w:val="30"/>
          <w:szCs w:val="30"/>
        </w:rPr>
        <w:t>30</w:t>
      </w:r>
      <w:r>
        <w:rPr>
          <w:rFonts w:hint="eastAsia" w:ascii="宋体" w:hAnsi="宋体" w:cs="仿宋"/>
          <w:sz w:val="30"/>
          <w:szCs w:val="30"/>
        </w:rPr>
        <w:fldChar w:fldCharType="end"/>
      </w:r>
      <w:r>
        <w:rPr>
          <w:rFonts w:hint="eastAsia" w:ascii="宋体" w:hAnsi="宋体" w:cs="仿宋"/>
          <w:sz w:val="30"/>
          <w:szCs w:val="30"/>
        </w:rPr>
        <w:fldChar w:fldCharType="end"/>
      </w:r>
    </w:p>
    <w:p w14:paraId="1B4AF7E9">
      <w:pPr>
        <w:pStyle w:val="36"/>
        <w:tabs>
          <w:tab w:val="right" w:leader="dot" w:pos="9532"/>
        </w:tabs>
        <w:spacing w:line="360" w:lineRule="auto"/>
        <w:rPr>
          <w:rFonts w:ascii="宋体" w:hAnsi="宋体" w:cs="仿宋"/>
          <w:sz w:val="30"/>
          <w:szCs w:val="30"/>
        </w:rPr>
      </w:pPr>
      <w:r>
        <w:fldChar w:fldCharType="begin"/>
      </w:r>
      <w:r>
        <w:instrText xml:space="preserve"> HYPERLINK \l "_Toc31705" </w:instrText>
      </w:r>
      <w:r>
        <w:fldChar w:fldCharType="separate"/>
      </w:r>
      <w:r>
        <w:rPr>
          <w:rFonts w:hint="eastAsia" w:ascii="宋体" w:hAnsi="宋体" w:cs="仿宋"/>
          <w:sz w:val="30"/>
          <w:szCs w:val="30"/>
        </w:rPr>
        <w:t>第四章  评标办法及评分标准</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_Toc31705 </w:instrText>
      </w:r>
      <w:r>
        <w:rPr>
          <w:rFonts w:hint="eastAsia" w:ascii="宋体" w:hAnsi="宋体" w:cs="仿宋"/>
          <w:sz w:val="30"/>
          <w:szCs w:val="30"/>
        </w:rPr>
        <w:fldChar w:fldCharType="separate"/>
      </w:r>
      <w:r>
        <w:rPr>
          <w:rFonts w:hint="eastAsia" w:ascii="宋体" w:hAnsi="宋体" w:cs="仿宋"/>
          <w:sz w:val="30"/>
          <w:szCs w:val="30"/>
        </w:rPr>
        <w:t>31</w:t>
      </w:r>
      <w:r>
        <w:rPr>
          <w:rFonts w:hint="eastAsia" w:ascii="宋体" w:hAnsi="宋体" w:cs="仿宋"/>
          <w:sz w:val="30"/>
          <w:szCs w:val="30"/>
        </w:rPr>
        <w:fldChar w:fldCharType="end"/>
      </w:r>
      <w:r>
        <w:rPr>
          <w:rFonts w:hint="eastAsia" w:ascii="宋体" w:hAnsi="宋体" w:cs="仿宋"/>
          <w:sz w:val="30"/>
          <w:szCs w:val="30"/>
        </w:rPr>
        <w:fldChar w:fldCharType="end"/>
      </w:r>
    </w:p>
    <w:p w14:paraId="4C08E940">
      <w:pPr>
        <w:pStyle w:val="36"/>
        <w:tabs>
          <w:tab w:val="right" w:leader="dot" w:pos="9532"/>
        </w:tabs>
        <w:spacing w:line="360" w:lineRule="auto"/>
        <w:rPr>
          <w:rFonts w:ascii="宋体" w:hAnsi="宋体" w:cs="仿宋"/>
          <w:sz w:val="30"/>
          <w:szCs w:val="30"/>
        </w:rPr>
      </w:pPr>
      <w:r>
        <w:fldChar w:fldCharType="begin"/>
      </w:r>
      <w:r>
        <w:instrText xml:space="preserve"> HYPERLINK \l "_Toc16549" </w:instrText>
      </w:r>
      <w:r>
        <w:fldChar w:fldCharType="separate"/>
      </w:r>
      <w:r>
        <w:rPr>
          <w:rFonts w:hint="eastAsia" w:ascii="宋体" w:hAnsi="宋体" w:cs="仿宋"/>
          <w:sz w:val="30"/>
          <w:szCs w:val="30"/>
        </w:rPr>
        <w:t>第五章  合同主要条款</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_Toc16549 </w:instrText>
      </w:r>
      <w:r>
        <w:rPr>
          <w:rFonts w:hint="eastAsia" w:ascii="宋体" w:hAnsi="宋体" w:cs="仿宋"/>
          <w:sz w:val="30"/>
          <w:szCs w:val="30"/>
        </w:rPr>
        <w:fldChar w:fldCharType="separate"/>
      </w:r>
      <w:r>
        <w:rPr>
          <w:rFonts w:hint="eastAsia" w:ascii="宋体" w:hAnsi="宋体" w:cs="仿宋"/>
          <w:sz w:val="30"/>
          <w:szCs w:val="30"/>
        </w:rPr>
        <w:t>35</w:t>
      </w:r>
      <w:r>
        <w:rPr>
          <w:rFonts w:hint="eastAsia" w:ascii="宋体" w:hAnsi="宋体" w:cs="仿宋"/>
          <w:sz w:val="30"/>
          <w:szCs w:val="30"/>
        </w:rPr>
        <w:fldChar w:fldCharType="end"/>
      </w:r>
      <w:r>
        <w:rPr>
          <w:rFonts w:hint="eastAsia" w:ascii="宋体" w:hAnsi="宋体" w:cs="仿宋"/>
          <w:sz w:val="30"/>
          <w:szCs w:val="30"/>
        </w:rPr>
        <w:fldChar w:fldCharType="end"/>
      </w:r>
    </w:p>
    <w:p w14:paraId="1FB2E8DF">
      <w:pPr>
        <w:pStyle w:val="36"/>
        <w:tabs>
          <w:tab w:val="right" w:leader="dot" w:pos="9532"/>
        </w:tabs>
        <w:spacing w:line="360" w:lineRule="auto"/>
        <w:rPr>
          <w:rFonts w:ascii="宋体" w:hAnsi="宋体" w:cs="仿宋"/>
          <w:sz w:val="30"/>
          <w:szCs w:val="30"/>
        </w:rPr>
      </w:pPr>
      <w:r>
        <w:fldChar w:fldCharType="begin"/>
      </w:r>
      <w:r>
        <w:instrText xml:space="preserve"> HYPERLINK \l "_Toc11931" </w:instrText>
      </w:r>
      <w:r>
        <w:fldChar w:fldCharType="separate"/>
      </w:r>
      <w:r>
        <w:rPr>
          <w:rFonts w:hint="eastAsia" w:ascii="宋体" w:hAnsi="宋体" w:cs="仿宋"/>
          <w:sz w:val="30"/>
          <w:szCs w:val="30"/>
        </w:rPr>
        <w:t>第六章  投标文件格式</w:t>
      </w:r>
      <w:r>
        <w:rPr>
          <w:rFonts w:hint="eastAsia" w:ascii="宋体" w:hAnsi="宋体" w:cs="仿宋"/>
          <w:sz w:val="30"/>
          <w:szCs w:val="30"/>
        </w:rPr>
        <w:tab/>
      </w:r>
      <w:r>
        <w:rPr>
          <w:rFonts w:hint="eastAsia" w:ascii="宋体" w:hAnsi="宋体" w:cs="仿宋"/>
          <w:sz w:val="30"/>
          <w:szCs w:val="30"/>
        </w:rPr>
        <w:t>3</w:t>
      </w:r>
      <w:r>
        <w:rPr>
          <w:rFonts w:hint="eastAsia" w:ascii="宋体" w:hAnsi="宋体" w:cs="仿宋"/>
          <w:sz w:val="30"/>
          <w:szCs w:val="30"/>
        </w:rPr>
        <w:fldChar w:fldCharType="end"/>
      </w:r>
      <w:r>
        <w:rPr>
          <w:rFonts w:hint="eastAsia" w:ascii="宋体" w:hAnsi="宋体" w:cs="仿宋"/>
          <w:sz w:val="30"/>
          <w:szCs w:val="30"/>
        </w:rPr>
        <w:t>8</w:t>
      </w:r>
    </w:p>
    <w:p w14:paraId="5C2D9C32">
      <w:pPr>
        <w:adjustRightInd w:val="0"/>
        <w:snapToGrid w:val="0"/>
        <w:spacing w:line="360" w:lineRule="auto"/>
        <w:ind w:firstLine="600"/>
        <w:rPr>
          <w:rFonts w:ascii="宋体" w:hAnsi="宋体" w:cs="仿宋"/>
          <w:sz w:val="30"/>
          <w:szCs w:val="30"/>
        </w:rPr>
      </w:pPr>
      <w:r>
        <w:rPr>
          <w:rFonts w:hint="eastAsia" w:ascii="宋体" w:hAnsi="宋体" w:cs="仿宋"/>
          <w:sz w:val="30"/>
          <w:szCs w:val="30"/>
        </w:rPr>
        <w:fldChar w:fldCharType="end"/>
      </w:r>
    </w:p>
    <w:p w14:paraId="5410D2DE">
      <w:pPr>
        <w:adjustRightInd w:val="0"/>
        <w:snapToGrid w:val="0"/>
        <w:spacing w:line="360" w:lineRule="auto"/>
        <w:ind w:firstLine="600"/>
        <w:rPr>
          <w:rFonts w:ascii="宋体" w:hAnsi="宋体" w:cs="仿宋"/>
          <w:sz w:val="30"/>
          <w:szCs w:val="30"/>
        </w:rPr>
      </w:pPr>
    </w:p>
    <w:p w14:paraId="3CA69980">
      <w:pPr>
        <w:adjustRightInd w:val="0"/>
        <w:snapToGrid w:val="0"/>
        <w:spacing w:line="360" w:lineRule="auto"/>
        <w:ind w:firstLine="600"/>
        <w:rPr>
          <w:rFonts w:ascii="宋体" w:hAnsi="宋体" w:cs="仿宋"/>
          <w:sz w:val="30"/>
          <w:szCs w:val="30"/>
        </w:rPr>
      </w:pPr>
    </w:p>
    <w:p w14:paraId="2C8524AD">
      <w:pPr>
        <w:adjustRightInd w:val="0"/>
        <w:snapToGrid w:val="0"/>
        <w:spacing w:line="360" w:lineRule="auto"/>
        <w:ind w:firstLine="600"/>
        <w:rPr>
          <w:rFonts w:ascii="宋体" w:hAnsi="宋体" w:cs="仿宋"/>
          <w:sz w:val="30"/>
          <w:szCs w:val="30"/>
        </w:rPr>
      </w:pPr>
    </w:p>
    <w:p w14:paraId="72CF2647">
      <w:pPr>
        <w:adjustRightInd w:val="0"/>
        <w:snapToGrid w:val="0"/>
        <w:spacing w:line="360" w:lineRule="auto"/>
        <w:ind w:firstLine="600"/>
        <w:rPr>
          <w:rFonts w:ascii="宋体" w:hAnsi="宋体" w:cs="仿宋"/>
          <w:sz w:val="30"/>
          <w:szCs w:val="30"/>
        </w:rPr>
      </w:pPr>
    </w:p>
    <w:p w14:paraId="2604E2B7">
      <w:pPr>
        <w:adjustRightInd w:val="0"/>
        <w:snapToGrid w:val="0"/>
        <w:spacing w:line="360" w:lineRule="auto"/>
        <w:ind w:firstLine="600"/>
        <w:rPr>
          <w:rFonts w:ascii="宋体" w:hAnsi="宋体" w:cs="仿宋"/>
          <w:sz w:val="30"/>
          <w:szCs w:val="30"/>
        </w:rPr>
      </w:pPr>
    </w:p>
    <w:p w14:paraId="06D75F51">
      <w:pPr>
        <w:jc w:val="center"/>
        <w:outlineLvl w:val="0"/>
        <w:rPr>
          <w:rFonts w:ascii="宋体" w:hAnsi="宋体" w:cs="仿宋"/>
          <w:b/>
          <w:sz w:val="44"/>
          <w:szCs w:val="44"/>
        </w:rPr>
      </w:pPr>
      <w:r>
        <w:rPr>
          <w:rFonts w:hint="eastAsia" w:ascii="宋体" w:hAnsi="宋体" w:cs="仿宋"/>
          <w:b/>
          <w:sz w:val="44"/>
          <w:szCs w:val="44"/>
        </w:rPr>
        <w:br w:type="page"/>
      </w:r>
      <w:bookmarkStart w:id="1" w:name="_Toc28990"/>
      <w:r>
        <w:rPr>
          <w:rFonts w:hint="eastAsia" w:ascii="宋体" w:hAnsi="宋体" w:cs="仿宋"/>
          <w:b/>
          <w:sz w:val="44"/>
          <w:szCs w:val="44"/>
        </w:rPr>
        <w:t>第一章 公开招标采购公告</w:t>
      </w:r>
      <w:bookmarkEnd w:id="1"/>
    </w:p>
    <w:p w14:paraId="6900FDF8">
      <w:pPr>
        <w:pStyle w:val="31"/>
        <w:adjustRightInd w:val="0"/>
        <w:snapToGrid w:val="0"/>
        <w:spacing w:line="360" w:lineRule="auto"/>
        <w:ind w:firstLine="480"/>
        <w:rPr>
          <w:rFonts w:cs="宋体"/>
          <w:sz w:val="24"/>
          <w:szCs w:val="24"/>
        </w:rPr>
      </w:pPr>
      <w:r>
        <w:rPr>
          <w:rFonts w:hint="eastAsia" w:cs="宋体"/>
          <w:sz w:val="24"/>
          <w:szCs w:val="24"/>
        </w:rPr>
        <w:t>根据《中华人民共和国政府采购法》等规定，经</w:t>
      </w:r>
      <w:r>
        <w:rPr>
          <w:rFonts w:hint="eastAsia" w:cs="宋体"/>
          <w:kern w:val="0"/>
          <w:sz w:val="24"/>
          <w:u w:val="single"/>
        </w:rPr>
        <w:t>湖州市财政局</w:t>
      </w:r>
      <w:r>
        <w:rPr>
          <w:rFonts w:hint="eastAsia" w:cs="宋体"/>
          <w:sz w:val="24"/>
          <w:szCs w:val="24"/>
        </w:rPr>
        <w:t>批准（财政审批编号</w:t>
      </w:r>
      <w:r>
        <w:rPr>
          <w:rFonts w:hint="eastAsia" w:cs="宋体"/>
          <w:sz w:val="24"/>
          <w:szCs w:val="24"/>
          <w:highlight w:val="none"/>
          <w:u w:val="single"/>
        </w:rPr>
        <w:t>:</w:t>
      </w:r>
      <w:r>
        <w:rPr>
          <w:rFonts w:hint="eastAsia" w:cs="宋体"/>
          <w:sz w:val="24"/>
          <w:szCs w:val="24"/>
          <w:highlight w:val="none"/>
          <w:u w:val="single"/>
          <w:lang w:val="en-US" w:eastAsia="zh-CN"/>
        </w:rPr>
        <w:t>[2024]12794号、[2024]14357号</w:t>
      </w:r>
      <w:r>
        <w:rPr>
          <w:rFonts w:hint="eastAsia" w:cs="宋体"/>
          <w:sz w:val="24"/>
          <w:szCs w:val="24"/>
        </w:rPr>
        <w:t>），</w:t>
      </w:r>
      <w:r>
        <w:rPr>
          <w:rFonts w:hint="eastAsia" w:cs="宋体"/>
          <w:sz w:val="24"/>
          <w:szCs w:val="24"/>
          <w:u w:val="single"/>
          <w:lang w:eastAsia="zh-CN"/>
        </w:rPr>
        <w:t>湖州泓达工程管理咨询有限公司</w:t>
      </w:r>
      <w:r>
        <w:rPr>
          <w:rFonts w:hint="eastAsia" w:cs="宋体"/>
          <w:sz w:val="24"/>
          <w:szCs w:val="24"/>
        </w:rPr>
        <w:t>受</w:t>
      </w:r>
      <w:r>
        <w:rPr>
          <w:rFonts w:hint="eastAsia" w:cs="宋体"/>
          <w:sz w:val="24"/>
          <w:szCs w:val="24"/>
          <w:u w:val="single"/>
          <w:lang w:eastAsia="zh-CN"/>
        </w:rPr>
        <w:t>湖州市自然资源和规划局吴兴分局</w:t>
      </w:r>
      <w:r>
        <w:rPr>
          <w:rFonts w:hint="eastAsia" w:cs="宋体"/>
          <w:sz w:val="24"/>
          <w:szCs w:val="24"/>
        </w:rPr>
        <w:t>委托，现就</w:t>
      </w:r>
      <w:r>
        <w:rPr>
          <w:rFonts w:hint="eastAsia" w:cs="宋体"/>
          <w:sz w:val="24"/>
          <w:szCs w:val="24"/>
          <w:u w:val="single"/>
          <w:lang w:eastAsia="zh-CN"/>
        </w:rPr>
        <w:t>吴兴区2024年度千万亩森林质量精准提升工程</w:t>
      </w:r>
      <w:r>
        <w:rPr>
          <w:rFonts w:hint="eastAsia" w:cs="宋体"/>
          <w:sz w:val="24"/>
          <w:szCs w:val="24"/>
        </w:rPr>
        <w:t>进行公开招标采购，欢迎中华人民共和国境内的合格投标供应商前来参加投标。</w:t>
      </w:r>
    </w:p>
    <w:p w14:paraId="0E7FF60B">
      <w:pPr>
        <w:pStyle w:val="31"/>
        <w:adjustRightInd w:val="0"/>
        <w:snapToGrid w:val="0"/>
        <w:spacing w:line="360" w:lineRule="auto"/>
        <w:ind w:firstLine="482"/>
        <w:outlineLvl w:val="1"/>
        <w:rPr>
          <w:rFonts w:hint="default" w:eastAsia="宋体" w:cs="宋体"/>
          <w:sz w:val="24"/>
          <w:szCs w:val="24"/>
          <w:lang w:val="en-US" w:eastAsia="zh-CN"/>
        </w:rPr>
      </w:pPr>
      <w:bookmarkStart w:id="2" w:name="_Toc7519"/>
      <w:r>
        <w:rPr>
          <w:rFonts w:hint="eastAsia" w:cs="宋体"/>
          <w:b/>
          <w:sz w:val="24"/>
          <w:szCs w:val="24"/>
        </w:rPr>
        <w:t>一、项目编号：</w:t>
      </w:r>
      <w:bookmarkEnd w:id="2"/>
      <w:r>
        <w:rPr>
          <w:rFonts w:hint="eastAsia" w:cs="宋体"/>
          <w:sz w:val="24"/>
          <w:szCs w:val="24"/>
          <w:lang w:eastAsia="zh-CN"/>
        </w:rPr>
        <w:t>泓达采字2024-011</w:t>
      </w:r>
    </w:p>
    <w:p w14:paraId="05DBAF25">
      <w:pPr>
        <w:pStyle w:val="31"/>
        <w:adjustRightInd w:val="0"/>
        <w:snapToGrid w:val="0"/>
        <w:spacing w:line="360" w:lineRule="auto"/>
        <w:ind w:firstLine="482"/>
        <w:outlineLvl w:val="1"/>
        <w:rPr>
          <w:rFonts w:cs="宋体"/>
          <w:sz w:val="24"/>
          <w:szCs w:val="24"/>
        </w:rPr>
      </w:pPr>
      <w:bookmarkStart w:id="3" w:name="_Toc3936"/>
      <w:r>
        <w:rPr>
          <w:rFonts w:hint="eastAsia" w:cs="宋体"/>
          <w:b/>
          <w:sz w:val="24"/>
          <w:szCs w:val="24"/>
        </w:rPr>
        <w:t>二、项目组织类型：</w:t>
      </w:r>
      <w:r>
        <w:rPr>
          <w:rFonts w:hint="eastAsia" w:cs="宋体"/>
          <w:sz w:val="24"/>
          <w:szCs w:val="24"/>
        </w:rPr>
        <w:t>分散采购-委托代理</w:t>
      </w:r>
      <w:bookmarkEnd w:id="3"/>
    </w:p>
    <w:p w14:paraId="27D51106">
      <w:pPr>
        <w:pStyle w:val="31"/>
        <w:adjustRightInd w:val="0"/>
        <w:snapToGrid w:val="0"/>
        <w:spacing w:line="360" w:lineRule="auto"/>
        <w:ind w:firstLine="482"/>
        <w:outlineLvl w:val="1"/>
        <w:rPr>
          <w:rFonts w:cs="宋体"/>
          <w:sz w:val="24"/>
          <w:szCs w:val="24"/>
        </w:rPr>
      </w:pPr>
      <w:bookmarkStart w:id="4" w:name="_Toc20830"/>
      <w:r>
        <w:rPr>
          <w:rFonts w:hint="eastAsia" w:cs="宋体"/>
          <w:b/>
          <w:sz w:val="24"/>
          <w:szCs w:val="24"/>
        </w:rPr>
        <w:t>三、招标方式：</w:t>
      </w:r>
      <w:r>
        <w:rPr>
          <w:rFonts w:hint="eastAsia" w:cs="宋体"/>
          <w:sz w:val="24"/>
          <w:szCs w:val="24"/>
        </w:rPr>
        <w:t>公开招标</w:t>
      </w:r>
      <w:bookmarkEnd w:id="4"/>
    </w:p>
    <w:p w14:paraId="52C7FD09">
      <w:pPr>
        <w:pStyle w:val="31"/>
        <w:adjustRightInd w:val="0"/>
        <w:snapToGrid w:val="0"/>
        <w:spacing w:line="360" w:lineRule="auto"/>
        <w:ind w:firstLine="482"/>
        <w:outlineLvl w:val="1"/>
        <w:rPr>
          <w:rFonts w:cs="宋体"/>
          <w:b/>
          <w:sz w:val="24"/>
          <w:szCs w:val="24"/>
        </w:rPr>
      </w:pPr>
      <w:bookmarkStart w:id="5" w:name="_Toc4561"/>
      <w:r>
        <w:rPr>
          <w:rFonts w:hint="eastAsia" w:cs="宋体"/>
          <w:b/>
          <w:sz w:val="24"/>
          <w:szCs w:val="24"/>
        </w:rPr>
        <w:t>四、采购内容及预算：</w:t>
      </w:r>
      <w:bookmarkEnd w:id="5"/>
    </w:p>
    <w:tbl>
      <w:tblPr>
        <w:tblStyle w:val="44"/>
        <w:tblW w:w="8568" w:type="dxa"/>
        <w:jc w:val="center"/>
        <w:tblLayout w:type="fixed"/>
        <w:tblCellMar>
          <w:top w:w="0" w:type="dxa"/>
          <w:left w:w="10" w:type="dxa"/>
          <w:bottom w:w="0" w:type="dxa"/>
          <w:right w:w="10" w:type="dxa"/>
        </w:tblCellMar>
      </w:tblPr>
      <w:tblGrid>
        <w:gridCol w:w="691"/>
        <w:gridCol w:w="4960"/>
        <w:gridCol w:w="1575"/>
        <w:gridCol w:w="1342"/>
      </w:tblGrid>
      <w:tr w14:paraId="3C97986E">
        <w:tblPrEx>
          <w:tblCellMar>
            <w:top w:w="0" w:type="dxa"/>
            <w:left w:w="10" w:type="dxa"/>
            <w:bottom w:w="0" w:type="dxa"/>
            <w:right w:w="10" w:type="dxa"/>
          </w:tblCellMar>
        </w:tblPrEx>
        <w:trPr>
          <w:trHeight w:val="668" w:hRule="atLeast"/>
          <w:jc w:val="center"/>
        </w:trPr>
        <w:tc>
          <w:tcPr>
            <w:tcW w:w="691" w:type="dxa"/>
            <w:tcBorders>
              <w:top w:val="single" w:color="auto" w:sz="6" w:space="0"/>
              <w:left w:val="single" w:color="auto" w:sz="6" w:space="0"/>
              <w:bottom w:val="single" w:color="auto" w:sz="6" w:space="0"/>
              <w:right w:val="single" w:color="auto" w:sz="6" w:space="0"/>
            </w:tcBorders>
            <w:vAlign w:val="center"/>
          </w:tcPr>
          <w:p w14:paraId="03B206C7">
            <w:pPr>
              <w:widowControl/>
              <w:spacing w:line="400" w:lineRule="exact"/>
              <w:ind w:left="60" w:right="62"/>
              <w:jc w:val="center"/>
              <w:rPr>
                <w:rFonts w:ascii="宋体" w:hAnsi="宋体" w:cs="宋体"/>
                <w:color w:val="000000"/>
                <w:kern w:val="0"/>
                <w:sz w:val="24"/>
              </w:rPr>
            </w:pPr>
            <w:bookmarkStart w:id="6" w:name="_Toc4575"/>
            <w:r>
              <w:rPr>
                <w:rFonts w:hint="eastAsia" w:ascii="宋体" w:hAnsi="宋体" w:cs="宋体"/>
                <w:color w:val="000000"/>
                <w:kern w:val="0"/>
                <w:sz w:val="24"/>
              </w:rPr>
              <w:t>序号</w:t>
            </w:r>
          </w:p>
        </w:tc>
        <w:tc>
          <w:tcPr>
            <w:tcW w:w="4960" w:type="dxa"/>
            <w:tcBorders>
              <w:top w:val="single" w:color="auto" w:sz="6" w:space="0"/>
              <w:left w:val="single" w:color="auto" w:sz="6" w:space="0"/>
              <w:bottom w:val="single" w:color="auto" w:sz="6" w:space="0"/>
              <w:right w:val="single" w:color="auto" w:sz="6" w:space="0"/>
            </w:tcBorders>
            <w:vAlign w:val="center"/>
          </w:tcPr>
          <w:p w14:paraId="61BFDF8B">
            <w:pPr>
              <w:widowControl/>
              <w:spacing w:line="400" w:lineRule="exact"/>
              <w:ind w:left="60" w:right="62"/>
              <w:jc w:val="center"/>
              <w:rPr>
                <w:rFonts w:ascii="宋体" w:hAnsi="宋体" w:cs="宋体"/>
                <w:color w:val="000000"/>
                <w:kern w:val="0"/>
                <w:sz w:val="24"/>
              </w:rPr>
            </w:pPr>
            <w:r>
              <w:rPr>
                <w:rFonts w:hint="eastAsia" w:ascii="宋体" w:hAnsi="宋体" w:cs="宋体"/>
                <w:color w:val="000000"/>
                <w:kern w:val="0"/>
                <w:sz w:val="24"/>
              </w:rPr>
              <w:t>项目名称</w:t>
            </w:r>
          </w:p>
        </w:tc>
        <w:tc>
          <w:tcPr>
            <w:tcW w:w="1575" w:type="dxa"/>
            <w:tcBorders>
              <w:top w:val="single" w:color="auto" w:sz="6" w:space="0"/>
              <w:left w:val="single" w:color="auto" w:sz="4" w:space="0"/>
              <w:bottom w:val="single" w:color="auto" w:sz="4" w:space="0"/>
              <w:right w:val="single" w:color="auto" w:sz="6" w:space="0"/>
            </w:tcBorders>
            <w:vAlign w:val="center"/>
          </w:tcPr>
          <w:p w14:paraId="499AAD82">
            <w:pPr>
              <w:keepNext w:val="0"/>
              <w:keepLines w:val="0"/>
              <w:pageBreakBefore w:val="0"/>
              <w:widowControl/>
              <w:kinsoku/>
              <w:wordWrap/>
              <w:overflowPunct/>
              <w:topLinePunct w:val="0"/>
              <w:bidi w:val="0"/>
              <w:adjustRightInd/>
              <w:snapToGrid/>
              <w:spacing w:line="400" w:lineRule="exact"/>
              <w:ind w:left="0" w:leftChars="0" w:right="0" w:rightChars="0"/>
              <w:jc w:val="center"/>
              <w:textAlignment w:val="auto"/>
              <w:rPr>
                <w:rFonts w:ascii="宋体" w:hAnsi="宋体" w:cs="宋体"/>
                <w:color w:val="000000"/>
                <w:kern w:val="0"/>
                <w:sz w:val="24"/>
              </w:rPr>
            </w:pPr>
            <w:r>
              <w:rPr>
                <w:rFonts w:hint="eastAsia" w:ascii="宋体" w:hAnsi="宋体" w:cs="宋体"/>
                <w:color w:val="000000"/>
                <w:kern w:val="0"/>
                <w:sz w:val="24"/>
              </w:rPr>
              <w:t>简要技术要求</w:t>
            </w:r>
          </w:p>
        </w:tc>
        <w:tc>
          <w:tcPr>
            <w:tcW w:w="1342" w:type="dxa"/>
            <w:tcBorders>
              <w:top w:val="single" w:color="auto" w:sz="6" w:space="0"/>
              <w:left w:val="single" w:color="auto" w:sz="6" w:space="0"/>
              <w:bottom w:val="single" w:color="auto" w:sz="4" w:space="0"/>
              <w:right w:val="single" w:color="auto" w:sz="6" w:space="0"/>
            </w:tcBorders>
            <w:vAlign w:val="center"/>
          </w:tcPr>
          <w:p w14:paraId="47EA0776">
            <w:pPr>
              <w:widowControl/>
              <w:spacing w:line="400" w:lineRule="exact"/>
              <w:ind w:left="60" w:right="62"/>
              <w:jc w:val="center"/>
              <w:rPr>
                <w:rFonts w:ascii="宋体" w:hAnsi="宋体" w:cs="宋体"/>
                <w:color w:val="000000"/>
                <w:kern w:val="0"/>
                <w:sz w:val="24"/>
              </w:rPr>
            </w:pPr>
            <w:r>
              <w:rPr>
                <w:rFonts w:hint="eastAsia" w:ascii="宋体" w:hAnsi="宋体" w:cs="宋体"/>
                <w:color w:val="000000"/>
                <w:kern w:val="0"/>
                <w:sz w:val="24"/>
              </w:rPr>
              <w:t>预算金额</w:t>
            </w:r>
          </w:p>
        </w:tc>
      </w:tr>
      <w:tr w14:paraId="4E6A560C">
        <w:tblPrEx>
          <w:tblCellMar>
            <w:top w:w="0" w:type="dxa"/>
            <w:left w:w="10" w:type="dxa"/>
            <w:bottom w:w="0" w:type="dxa"/>
            <w:right w:w="10" w:type="dxa"/>
          </w:tblCellMar>
        </w:tblPrEx>
        <w:trPr>
          <w:trHeight w:val="1003" w:hRule="atLeast"/>
          <w:jc w:val="center"/>
        </w:trPr>
        <w:tc>
          <w:tcPr>
            <w:tcW w:w="691" w:type="dxa"/>
            <w:tcBorders>
              <w:top w:val="single" w:color="auto" w:sz="6" w:space="0"/>
              <w:left w:val="single" w:color="auto" w:sz="6" w:space="0"/>
              <w:bottom w:val="single" w:color="auto" w:sz="6" w:space="0"/>
              <w:right w:val="single" w:color="auto" w:sz="6" w:space="0"/>
            </w:tcBorders>
            <w:vAlign w:val="center"/>
          </w:tcPr>
          <w:p w14:paraId="1EDEE3E0">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1</w:t>
            </w:r>
          </w:p>
        </w:tc>
        <w:tc>
          <w:tcPr>
            <w:tcW w:w="4960" w:type="dxa"/>
            <w:tcBorders>
              <w:top w:val="single" w:color="auto" w:sz="6" w:space="0"/>
              <w:left w:val="single" w:color="auto" w:sz="6" w:space="0"/>
              <w:bottom w:val="single" w:color="auto" w:sz="6" w:space="0"/>
              <w:right w:val="single" w:color="auto" w:sz="6" w:space="0"/>
            </w:tcBorders>
            <w:vAlign w:val="center"/>
          </w:tcPr>
          <w:p w14:paraId="39564751">
            <w:pPr>
              <w:pStyle w:val="101"/>
              <w:spacing w:line="360" w:lineRule="auto"/>
              <w:jc w:val="center"/>
              <w:rPr>
                <w:rFonts w:hint="eastAsia"/>
                <w:lang w:eastAsia="zh-CN"/>
              </w:rPr>
            </w:pPr>
            <w:r>
              <w:rPr>
                <w:rFonts w:hint="eastAsia" w:hAnsi="宋体"/>
                <w:kern w:val="2"/>
                <w:lang w:eastAsia="zh-CN"/>
              </w:rPr>
              <w:t>吴兴区2024年度千万亩森林质量精准提升工程</w:t>
            </w:r>
          </w:p>
        </w:tc>
        <w:tc>
          <w:tcPr>
            <w:tcW w:w="1575" w:type="dxa"/>
            <w:tcBorders>
              <w:top w:val="single" w:color="auto" w:sz="6" w:space="0"/>
              <w:left w:val="single" w:color="auto" w:sz="4" w:space="0"/>
              <w:bottom w:val="single" w:color="auto" w:sz="6" w:space="0"/>
              <w:right w:val="single" w:color="auto" w:sz="6" w:space="0"/>
            </w:tcBorders>
            <w:vAlign w:val="center"/>
          </w:tcPr>
          <w:p w14:paraId="458BC3A1">
            <w:pPr>
              <w:keepNext w:val="0"/>
              <w:keepLines w:val="0"/>
              <w:pageBreakBefore w:val="0"/>
              <w:tabs>
                <w:tab w:val="left" w:pos="720"/>
              </w:tabs>
              <w:kinsoku/>
              <w:wordWrap/>
              <w:overflowPunct/>
              <w:topLinePunct w:val="0"/>
              <w:autoSpaceDE w:val="0"/>
              <w:autoSpaceDN w:val="0"/>
              <w:bidi w:val="0"/>
              <w:adjustRightInd/>
              <w:snapToGrid/>
              <w:spacing w:before="67" w:after="67" w:line="360" w:lineRule="auto"/>
              <w:ind w:left="0" w:leftChars="0" w:right="0" w:rightChars="0"/>
              <w:jc w:val="center"/>
              <w:textAlignment w:val="auto"/>
              <w:rPr>
                <w:rFonts w:hint="eastAsia" w:ascii="宋体" w:hAnsi="宋体" w:cs="宋体"/>
                <w:color w:val="000000"/>
                <w:sz w:val="24"/>
              </w:rPr>
            </w:pPr>
            <w:r>
              <w:rPr>
                <w:rFonts w:hint="eastAsia" w:ascii="宋体" w:hAnsi="宋体" w:cs="宋体"/>
                <w:color w:val="000000"/>
                <w:sz w:val="24"/>
              </w:rPr>
              <w:t>详见招标</w:t>
            </w:r>
          </w:p>
          <w:p w14:paraId="01946E72">
            <w:pPr>
              <w:keepNext w:val="0"/>
              <w:keepLines w:val="0"/>
              <w:pageBreakBefore w:val="0"/>
              <w:tabs>
                <w:tab w:val="left" w:pos="720"/>
              </w:tabs>
              <w:kinsoku/>
              <w:wordWrap/>
              <w:overflowPunct/>
              <w:topLinePunct w:val="0"/>
              <w:autoSpaceDE w:val="0"/>
              <w:autoSpaceDN w:val="0"/>
              <w:bidi w:val="0"/>
              <w:adjustRightInd/>
              <w:snapToGrid/>
              <w:spacing w:before="67" w:after="67" w:line="360" w:lineRule="auto"/>
              <w:ind w:left="0" w:leftChars="0" w:right="0" w:rightChars="0"/>
              <w:jc w:val="center"/>
              <w:textAlignment w:val="auto"/>
              <w:rPr>
                <w:rFonts w:ascii="宋体" w:hAnsi="宋体" w:cs="宋体"/>
                <w:color w:val="000000"/>
                <w:sz w:val="24"/>
              </w:rPr>
            </w:pPr>
            <w:r>
              <w:rPr>
                <w:rFonts w:hint="eastAsia" w:ascii="宋体" w:hAnsi="宋体" w:cs="宋体"/>
                <w:color w:val="000000"/>
                <w:sz w:val="24"/>
              </w:rPr>
              <w:t>文件需求</w:t>
            </w:r>
          </w:p>
        </w:tc>
        <w:tc>
          <w:tcPr>
            <w:tcW w:w="1342" w:type="dxa"/>
            <w:tcBorders>
              <w:top w:val="single" w:color="auto" w:sz="6" w:space="0"/>
              <w:left w:val="single" w:color="auto" w:sz="6" w:space="0"/>
              <w:bottom w:val="single" w:color="auto" w:sz="6" w:space="0"/>
              <w:right w:val="single" w:color="auto" w:sz="6" w:space="0"/>
            </w:tcBorders>
            <w:vAlign w:val="center"/>
          </w:tcPr>
          <w:p w14:paraId="7FD331A7">
            <w:pPr>
              <w:tabs>
                <w:tab w:val="left" w:pos="720"/>
              </w:tabs>
              <w:autoSpaceDE w:val="0"/>
              <w:autoSpaceDN w:val="0"/>
              <w:spacing w:before="67" w:after="67" w:line="360" w:lineRule="auto"/>
              <w:ind w:left="67" w:right="67"/>
              <w:jc w:val="center"/>
              <w:rPr>
                <w:rFonts w:ascii="宋体" w:hAnsi="宋体" w:cs="宋体"/>
                <w:color w:val="000000"/>
                <w:sz w:val="24"/>
              </w:rPr>
            </w:pPr>
            <w:r>
              <w:rPr>
                <w:rFonts w:hint="eastAsia" w:ascii="宋体" w:hAnsi="宋体" w:cs="宋体"/>
                <w:color w:val="000000"/>
                <w:sz w:val="24"/>
                <w:lang w:val="en-US" w:eastAsia="zh-CN"/>
              </w:rPr>
              <w:t>90.86</w:t>
            </w:r>
            <w:r>
              <w:rPr>
                <w:rFonts w:hint="eastAsia" w:ascii="宋体" w:hAnsi="宋体" w:cs="宋体"/>
                <w:color w:val="000000"/>
                <w:sz w:val="24"/>
              </w:rPr>
              <w:t>万元</w:t>
            </w:r>
          </w:p>
        </w:tc>
      </w:tr>
    </w:tbl>
    <w:p w14:paraId="4C8E60DF">
      <w:pPr>
        <w:pStyle w:val="31"/>
        <w:adjustRightInd w:val="0"/>
        <w:snapToGrid w:val="0"/>
        <w:spacing w:line="360" w:lineRule="auto"/>
        <w:ind w:firstLine="482"/>
        <w:outlineLvl w:val="1"/>
        <w:rPr>
          <w:rFonts w:cs="宋体"/>
          <w:b/>
          <w:sz w:val="24"/>
          <w:szCs w:val="24"/>
        </w:rPr>
      </w:pPr>
      <w:r>
        <w:rPr>
          <w:rFonts w:hint="eastAsia" w:cs="宋体"/>
          <w:b/>
          <w:sz w:val="24"/>
          <w:szCs w:val="24"/>
        </w:rPr>
        <w:t>五、合格投标供应商的资格要求：</w:t>
      </w:r>
      <w:bookmarkEnd w:id="6"/>
    </w:p>
    <w:p w14:paraId="633DD5C1">
      <w:pPr>
        <w:snapToGrid w:val="0"/>
        <w:spacing w:line="360" w:lineRule="auto"/>
        <w:ind w:firstLine="480" w:firstLineChars="200"/>
        <w:jc w:val="left"/>
        <w:rPr>
          <w:rFonts w:ascii="宋体" w:hAnsi="宋体" w:cs="宋体"/>
          <w:sz w:val="24"/>
        </w:rPr>
      </w:pPr>
      <w:r>
        <w:rPr>
          <w:rFonts w:hint="eastAsia" w:ascii="宋体" w:hAnsi="宋体" w:cs="宋体"/>
          <w:sz w:val="24"/>
        </w:rPr>
        <w:t>1.符合《中华人民共和国政府采购法》第二十二条投标供应商应当具备的条件和浙财采监【2013】24号《关于规范政府采购投标供应商资格设定及资格审查的通知》第六条规定；且未被“信用中国”</w:t>
      </w:r>
      <w:r>
        <w:fldChar w:fldCharType="begin"/>
      </w:r>
      <w:r>
        <w:instrText xml:space="preserve"> HYPERLINK "http://www.creditchina.gov.cn/" \h </w:instrText>
      </w:r>
      <w: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）、“中国政府采购网”（</w:t>
      </w:r>
      <w:r>
        <w:fldChar w:fldCharType="begin"/>
      </w:r>
      <w:r>
        <w:instrText xml:space="preserve"> HYPERLINK "http://www.ccgp.gov.cn/" \h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）列入失信被执行人、重大税收违法案件当事人名单、政府采购严重违法失信行为记录名单。</w:t>
      </w:r>
    </w:p>
    <w:p w14:paraId="6B24F652">
      <w:pPr>
        <w:pStyle w:val="31"/>
        <w:adjustRightInd w:val="0"/>
        <w:snapToGrid w:val="0"/>
        <w:spacing w:line="360" w:lineRule="auto"/>
        <w:ind w:firstLine="240" w:firstLineChars="100"/>
        <w:outlineLvl w:val="1"/>
        <w:rPr>
          <w:rFonts w:hint="eastAsia" w:cs="宋体"/>
          <w:bCs/>
          <w:sz w:val="24"/>
          <w:szCs w:val="24"/>
          <w:lang w:val="en-US"/>
        </w:rPr>
      </w:pPr>
      <w:bookmarkStart w:id="7" w:name="_Toc3951"/>
      <w:r>
        <w:rPr>
          <w:rFonts w:hint="eastAsia" w:cs="宋体"/>
          <w:bCs/>
          <w:sz w:val="24"/>
          <w:szCs w:val="24"/>
          <w:lang w:val="en-US"/>
        </w:rPr>
        <w:t>2、落实政府采购政策需满足的资格要求：本项目专门面向中小企业采购，供应商需提供符合《政府采购促进中小企业发展管理办法》（财库【2020】46号）和本采购文件规定的《中小企业声明函》（格式详见附件）</w:t>
      </w:r>
      <w:r>
        <w:rPr>
          <w:rFonts w:hint="eastAsia" w:cs="宋体"/>
          <w:bCs/>
          <w:sz w:val="24"/>
          <w:szCs w:val="24"/>
        </w:rPr>
        <w:t>。</w:t>
      </w:r>
    </w:p>
    <w:p w14:paraId="513ED199">
      <w:pPr>
        <w:pStyle w:val="31"/>
        <w:adjustRightInd w:val="0"/>
        <w:snapToGrid w:val="0"/>
        <w:spacing w:line="360" w:lineRule="auto"/>
        <w:ind w:firstLine="240" w:firstLineChars="100"/>
        <w:outlineLvl w:val="1"/>
        <w:rPr>
          <w:rFonts w:cs="宋体"/>
          <w:bCs/>
          <w:sz w:val="24"/>
          <w:szCs w:val="24"/>
        </w:rPr>
      </w:pPr>
      <w:r>
        <w:rPr>
          <w:rFonts w:hint="eastAsia" w:cs="宋体"/>
          <w:bCs/>
          <w:sz w:val="24"/>
          <w:szCs w:val="24"/>
          <w:lang w:val="en-US" w:eastAsia="zh-CN"/>
        </w:rPr>
        <w:t>3</w:t>
      </w:r>
      <w:r>
        <w:rPr>
          <w:rFonts w:hint="eastAsia" w:cs="宋体"/>
          <w:bCs/>
          <w:sz w:val="24"/>
          <w:szCs w:val="24"/>
        </w:rPr>
        <w:t>.本项目不接受联合体投标。</w:t>
      </w:r>
    </w:p>
    <w:p w14:paraId="1C07B1F2">
      <w:pPr>
        <w:pStyle w:val="31"/>
        <w:adjustRightInd w:val="0"/>
        <w:snapToGrid w:val="0"/>
        <w:spacing w:line="360" w:lineRule="auto"/>
        <w:ind w:firstLine="482"/>
        <w:outlineLvl w:val="1"/>
        <w:rPr>
          <w:rFonts w:cs="宋体"/>
          <w:b/>
          <w:sz w:val="24"/>
          <w:szCs w:val="24"/>
        </w:rPr>
      </w:pPr>
      <w:r>
        <w:rPr>
          <w:rFonts w:hint="eastAsia" w:cs="宋体"/>
          <w:b/>
          <w:sz w:val="24"/>
          <w:szCs w:val="24"/>
        </w:rPr>
        <w:t>六、采购文件获取：</w:t>
      </w:r>
      <w:bookmarkEnd w:id="7"/>
    </w:p>
    <w:p w14:paraId="1D5C70CE">
      <w:pPr>
        <w:snapToGrid w:val="0"/>
        <w:spacing w:line="360" w:lineRule="auto"/>
        <w:ind w:firstLine="480" w:firstLineChars="200"/>
        <w:rPr>
          <w:rFonts w:ascii="宋体" w:hAnsi="宋体" w:cs="宋体"/>
          <w:sz w:val="24"/>
        </w:rPr>
      </w:pPr>
      <w:bookmarkStart w:id="8" w:name="_Toc6085"/>
      <w:r>
        <w:rPr>
          <w:rFonts w:hint="eastAsia" w:ascii="宋体" w:hAnsi="宋体" w:cs="宋体"/>
          <w:sz w:val="24"/>
        </w:rPr>
        <w:t>1.</w:t>
      </w:r>
      <w:r>
        <w:rPr>
          <w:rFonts w:hint="eastAsia" w:ascii="宋体" w:hAnsi="宋体" w:cs="宋体"/>
          <w:sz w:val="24"/>
          <w:highlight w:val="none"/>
        </w:rPr>
        <w:t>获取文件时间：</w:t>
      </w:r>
      <w:r>
        <w:rPr>
          <w:rFonts w:hint="eastAsia" w:ascii="宋体" w:hAnsi="宋体" w:cs="宋体"/>
          <w:sz w:val="24"/>
          <w:highlight w:val="none"/>
          <w:lang w:eastAsia="zh-CN"/>
        </w:rPr>
        <w:t>发布招标公告之日起</w:t>
      </w:r>
      <w:r>
        <w:rPr>
          <w:rFonts w:hint="eastAsia" w:ascii="宋体" w:hAnsi="宋体" w:cs="宋体"/>
          <w:sz w:val="24"/>
          <w:highlight w:val="none"/>
        </w:rPr>
        <w:t>至投标截止</w:t>
      </w:r>
      <w:r>
        <w:rPr>
          <w:rFonts w:hint="eastAsia" w:ascii="宋体" w:hAnsi="宋体" w:cs="宋体"/>
          <w:sz w:val="24"/>
        </w:rPr>
        <w:t>时间(潜在供应商获取采购文件前应当在电子交易平台上注册账号并登录，截止时间后不再接受潜在供应商获取采购文件)。</w:t>
      </w:r>
    </w:p>
    <w:p w14:paraId="2BB56BE0">
      <w:pPr>
        <w:snapToGrid w:val="0"/>
        <w:spacing w:line="360" w:lineRule="auto"/>
        <w:ind w:firstLine="480" w:firstLineChars="200"/>
        <w:rPr>
          <w:rFonts w:ascii="宋体" w:hAnsi="宋体" w:cs="宋体"/>
          <w:b/>
          <w:bCs/>
          <w:kern w:val="0"/>
          <w:sz w:val="24"/>
        </w:rPr>
      </w:pPr>
      <w:r>
        <w:rPr>
          <w:rFonts w:hint="eastAsia" w:ascii="宋体" w:hAnsi="宋体" w:cs="宋体"/>
          <w:sz w:val="24"/>
        </w:rPr>
        <w:t>2.本项目采购文件实行网上获取，</w:t>
      </w:r>
      <w:r>
        <w:rPr>
          <w:rFonts w:hint="eastAsia" w:ascii="宋体" w:hAnsi="宋体" w:cs="宋体"/>
          <w:b/>
          <w:bCs/>
          <w:kern w:val="0"/>
          <w:sz w:val="24"/>
        </w:rPr>
        <w:t>不收取工本费。</w:t>
      </w:r>
    </w:p>
    <w:p w14:paraId="6FFA6B1E">
      <w:pPr>
        <w:snapToGrid w:val="0"/>
        <w:spacing w:line="360" w:lineRule="auto"/>
        <w:ind w:firstLine="480" w:firstLineChars="200"/>
        <w:rPr>
          <w:rFonts w:ascii="宋体" w:hAnsi="宋体" w:cs="宋体"/>
          <w:sz w:val="24"/>
        </w:rPr>
      </w:pPr>
      <w:r>
        <w:rPr>
          <w:rFonts w:hint="eastAsia" w:ascii="宋体" w:hAnsi="宋体" w:cs="宋体"/>
          <w:sz w:val="24"/>
        </w:rPr>
        <w:t>3.本项目实行网上报名，不接受投标供应商现场报名，投标供应商登录浙江政府采购网(http://zfcg.czt.zj.gov.cn/)进入政采云系统“项目采购”模块“获取采购文件”菜单，进行网上获取采购文件。（“政采云”注册账号、密码登录系统后获取采购文件）。</w:t>
      </w:r>
    </w:p>
    <w:p w14:paraId="13B1F034">
      <w:pPr>
        <w:snapToGrid w:val="0"/>
        <w:spacing w:before="60" w:after="60" w:line="360" w:lineRule="auto"/>
        <w:ind w:right="60"/>
        <w:rPr>
          <w:rFonts w:ascii="宋体" w:hAnsi="宋体" w:cs="宋体"/>
          <w:sz w:val="24"/>
        </w:rPr>
      </w:pPr>
      <w:r>
        <w:rPr>
          <w:rFonts w:hint="eastAsia" w:ascii="宋体" w:hAnsi="宋体" w:cs="宋体"/>
          <w:sz w:val="24"/>
        </w:rPr>
        <w:t xml:space="preserve">    4.未注册投标供应商可登录浙江政府采购网(http://zfcg.czt.zj.gov.cn/)查看公告下附件或在湖州市吴兴区公共资源交易中心</w:t>
      </w:r>
      <w:r>
        <w:rPr>
          <w:rFonts w:hint="eastAsia" w:ascii="宋体" w:hAnsi="宋体" w:cs="宋体"/>
          <w:kern w:val="0"/>
          <w:sz w:val="24"/>
        </w:rPr>
        <w:t>http://ggzyjy.huzhou.gov.cn/</w:t>
      </w:r>
      <w:r>
        <w:rPr>
          <w:rFonts w:hint="eastAsia" w:ascii="宋体" w:hAnsi="宋体" w:cs="宋体"/>
          <w:sz w:val="24"/>
        </w:rPr>
        <w:t>“政府采购”--“招标公告”版块公告附件下载。招标公告附件内的采购文件仅供阅览使用，投标供应商只有在“政府采购云平台”完成获取采购文件申请并下载了采购文件后才视作依法获取采购文件（投标供应商获取采购文件时间以投标供应商完成获取采购文件申请后下载采购文件的时间为准）。请投标供应商按上述要求获取采购文件，如未在“政采云”系统内完成相关流程，引起的投标无效责任自负。</w:t>
      </w:r>
    </w:p>
    <w:p w14:paraId="1B77BD5B">
      <w:pPr>
        <w:snapToGrid w:val="0"/>
        <w:spacing w:line="360" w:lineRule="auto"/>
        <w:ind w:firstLine="480" w:firstLineChars="200"/>
        <w:rPr>
          <w:rFonts w:ascii="宋体" w:hAnsi="宋体" w:cs="宋体"/>
          <w:sz w:val="24"/>
        </w:rPr>
      </w:pPr>
      <w:r>
        <w:rPr>
          <w:rFonts w:hint="eastAsia" w:ascii="宋体" w:hAnsi="宋体" w:cs="宋体"/>
          <w:sz w:val="24"/>
        </w:rPr>
        <w:t>5.免费注册网址：浙江政府采购网（投标供应商注册页面）：https://middle.zcygov.cn/v-settle-front/registry“政采云”, 如遇平台技术问题咨询电话：95763。</w:t>
      </w:r>
    </w:p>
    <w:p w14:paraId="004B96AD">
      <w:pPr>
        <w:snapToGrid w:val="0"/>
        <w:spacing w:line="360" w:lineRule="auto"/>
        <w:ind w:firstLine="480" w:firstLineChars="200"/>
        <w:rPr>
          <w:rFonts w:ascii="宋体" w:hAnsi="宋体" w:cs="宋体"/>
          <w:sz w:val="24"/>
        </w:rPr>
      </w:pPr>
      <w:r>
        <w:rPr>
          <w:rFonts w:hint="eastAsia" w:ascii="宋体" w:hAnsi="宋体" w:cs="宋体"/>
          <w:sz w:val="24"/>
        </w:rPr>
        <w:t>已经注册成功的投标供应商无需重复注册。</w:t>
      </w:r>
    </w:p>
    <w:p w14:paraId="14FF2ACB">
      <w:pPr>
        <w:snapToGrid w:val="0"/>
        <w:spacing w:line="360" w:lineRule="auto"/>
        <w:ind w:firstLine="482" w:firstLineChars="200"/>
        <w:rPr>
          <w:rFonts w:ascii="宋体" w:hAnsi="宋体" w:cs="宋体"/>
          <w:b/>
          <w:bCs/>
          <w:sz w:val="24"/>
        </w:rPr>
      </w:pPr>
      <w:r>
        <w:rPr>
          <w:rFonts w:hint="eastAsia" w:ascii="宋体" w:hAnsi="宋体" w:cs="宋体"/>
          <w:b/>
          <w:bCs/>
          <w:sz w:val="24"/>
        </w:rPr>
        <w:t>七、</w:t>
      </w:r>
      <w:bookmarkEnd w:id="8"/>
      <w:bookmarkStart w:id="9" w:name="_Toc3484"/>
      <w:bookmarkStart w:id="10" w:name="_Toc140"/>
      <w:r>
        <w:rPr>
          <w:rFonts w:hint="eastAsia" w:ascii="宋体" w:hAnsi="宋体" w:cs="宋体"/>
          <w:b/>
          <w:bCs/>
          <w:sz w:val="24"/>
        </w:rPr>
        <w:t>投标截止时间和投标文件递交地点：</w:t>
      </w:r>
      <w:bookmarkEnd w:id="9"/>
      <w:bookmarkEnd w:id="10"/>
    </w:p>
    <w:p w14:paraId="3D321D01">
      <w:pPr>
        <w:snapToGrid w:val="0"/>
        <w:spacing w:line="360" w:lineRule="auto"/>
        <w:ind w:firstLine="480" w:firstLineChars="200"/>
        <w:rPr>
          <w:rFonts w:ascii="宋体" w:hAnsi="宋体" w:cs="宋体"/>
          <w:sz w:val="24"/>
        </w:rPr>
      </w:pPr>
      <w:r>
        <w:rPr>
          <w:rFonts w:hint="eastAsia" w:ascii="宋体" w:hAnsi="宋体" w:cs="宋体"/>
          <w:sz w:val="24"/>
        </w:rPr>
        <w:t>（1）投标截止</w:t>
      </w:r>
      <w:r>
        <w:rPr>
          <w:rFonts w:hint="eastAsia" w:ascii="宋体" w:hAnsi="宋体" w:cs="宋体"/>
          <w:sz w:val="24"/>
          <w:highlight w:val="none"/>
        </w:rPr>
        <w:t>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时00分整。</w:t>
      </w:r>
    </w:p>
    <w:p w14:paraId="3C52AA92">
      <w:pPr>
        <w:snapToGrid w:val="0"/>
        <w:spacing w:line="360" w:lineRule="auto"/>
        <w:ind w:firstLine="480" w:firstLineChars="200"/>
        <w:rPr>
          <w:rFonts w:ascii="宋体" w:hAnsi="宋体" w:cs="宋体"/>
          <w:sz w:val="24"/>
        </w:rPr>
      </w:pPr>
      <w:r>
        <w:rPr>
          <w:rFonts w:hint="eastAsia" w:ascii="宋体" w:hAnsi="宋体" w:cs="宋体"/>
          <w:sz w:val="24"/>
        </w:rPr>
        <w:t xml:space="preserve">（2）投标文件递交地点：本项目通过“政府采购云平台（www.zcygov.cn）”实行在线投标响应（电子投标）。 </w:t>
      </w:r>
    </w:p>
    <w:p w14:paraId="281A7C4D">
      <w:pPr>
        <w:snapToGrid w:val="0"/>
        <w:spacing w:line="360" w:lineRule="auto"/>
        <w:ind w:firstLine="480" w:firstLineChars="200"/>
        <w:rPr>
          <w:rFonts w:ascii="宋体" w:hAnsi="宋体" w:cs="宋体"/>
          <w:sz w:val="24"/>
        </w:rPr>
      </w:pPr>
      <w:r>
        <w:rPr>
          <w:rFonts w:hint="eastAsia" w:ascii="宋体" w:hAnsi="宋体" w:cs="宋体"/>
          <w:sz w:val="24"/>
        </w:rPr>
        <w:t>（3）投标供应商应当在投标截止时间前，将生成的文件格式“.jmbs”的“电子加密投标文件”上传递交至“政府采购云平台”实行在线投标响应。投标截止时间以后上传递交的投标文件将被“政府采购云平台”拒收。</w:t>
      </w:r>
    </w:p>
    <w:p w14:paraId="2EBA4447">
      <w:pPr>
        <w:snapToGrid w:val="0"/>
        <w:spacing w:line="360" w:lineRule="auto"/>
        <w:ind w:firstLine="482" w:firstLineChars="200"/>
        <w:rPr>
          <w:rFonts w:ascii="宋体" w:hAnsi="宋体" w:cs="宋体"/>
          <w:b/>
          <w:bCs/>
          <w:sz w:val="24"/>
        </w:rPr>
      </w:pPr>
      <w:bookmarkStart w:id="11" w:name="_Toc25948"/>
      <w:bookmarkStart w:id="12" w:name="_Toc1896"/>
      <w:r>
        <w:rPr>
          <w:rFonts w:hint="eastAsia" w:ascii="宋体" w:hAnsi="宋体" w:cs="宋体"/>
          <w:b/>
          <w:bCs/>
          <w:sz w:val="24"/>
        </w:rPr>
        <w:t>八、开标时间及地点：</w:t>
      </w:r>
      <w:bookmarkEnd w:id="11"/>
      <w:bookmarkEnd w:id="12"/>
    </w:p>
    <w:p w14:paraId="563461CE">
      <w:pPr>
        <w:snapToGrid w:val="0"/>
        <w:spacing w:line="360" w:lineRule="auto"/>
        <w:ind w:firstLine="480" w:firstLineChars="200"/>
        <w:rPr>
          <w:rFonts w:ascii="宋体" w:hAnsi="宋体" w:cs="宋体"/>
          <w:sz w:val="24"/>
        </w:rPr>
      </w:pPr>
      <w:r>
        <w:rPr>
          <w:rFonts w:hint="eastAsia" w:ascii="宋体" w:hAnsi="宋体" w:cs="宋体"/>
          <w:sz w:val="24"/>
        </w:rPr>
        <w:t>开标时间：</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9</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时00分</w:t>
      </w:r>
      <w:r>
        <w:rPr>
          <w:rFonts w:hint="eastAsia" w:ascii="宋体" w:hAnsi="宋体" w:cs="宋体"/>
          <w:sz w:val="24"/>
        </w:rPr>
        <w:t>整。</w:t>
      </w:r>
    </w:p>
    <w:p w14:paraId="700F0E1B">
      <w:pPr>
        <w:snapToGrid w:val="0"/>
        <w:spacing w:line="360" w:lineRule="auto"/>
        <w:ind w:firstLine="480" w:firstLineChars="200"/>
        <w:rPr>
          <w:rFonts w:ascii="宋体" w:hAnsi="宋体" w:cs="宋体"/>
          <w:sz w:val="24"/>
        </w:rPr>
      </w:pPr>
      <w:r>
        <w:rPr>
          <w:rFonts w:hint="eastAsia" w:ascii="宋体" w:hAnsi="宋体" w:cs="宋体"/>
          <w:sz w:val="24"/>
        </w:rPr>
        <w:t>开标地点：采购代理机构在湖州市公共资源交易中心（湖州市仁皇山片区金盖山路66</w:t>
      </w:r>
      <w:r>
        <w:rPr>
          <w:rFonts w:hint="eastAsia" w:ascii="宋体" w:hAnsi="宋体" w:cs="宋体"/>
          <w:sz w:val="24"/>
          <w:highlight w:val="none"/>
        </w:rPr>
        <w:t>号2号楼开</w:t>
      </w:r>
      <w:r>
        <w:rPr>
          <w:rFonts w:hint="eastAsia" w:ascii="宋体" w:hAnsi="宋体" w:cs="宋体"/>
          <w:sz w:val="24"/>
        </w:rPr>
        <w:t>标室）对本项目进行开标。投标供应商应在投标截止时间前委派投标代表（法定代表人或授权委托人）登入“政府采购云平台（www.zcygov.cn）”在线参与开标，并CA锁在线解密投标文件等完成相关工作 。</w:t>
      </w:r>
    </w:p>
    <w:p w14:paraId="1D9C466E">
      <w:pPr>
        <w:snapToGrid w:val="0"/>
        <w:spacing w:line="360" w:lineRule="auto"/>
        <w:ind w:firstLine="482" w:firstLineChars="200"/>
        <w:rPr>
          <w:rFonts w:ascii="宋体" w:hAnsi="宋体" w:cs="宋体"/>
          <w:b/>
          <w:bCs/>
          <w:sz w:val="24"/>
        </w:rPr>
      </w:pPr>
      <w:r>
        <w:rPr>
          <w:rFonts w:hint="eastAsia" w:ascii="宋体" w:hAnsi="宋体" w:cs="宋体"/>
          <w:b/>
          <w:bCs/>
          <w:sz w:val="24"/>
        </w:rPr>
        <w:t>九、投标保证金：无</w:t>
      </w:r>
    </w:p>
    <w:p w14:paraId="22B29F98">
      <w:pPr>
        <w:snapToGrid w:val="0"/>
        <w:spacing w:line="360" w:lineRule="auto"/>
        <w:ind w:firstLine="482" w:firstLineChars="200"/>
        <w:rPr>
          <w:rFonts w:ascii="宋体" w:hAnsi="宋体" w:cs="宋体"/>
          <w:b/>
          <w:bCs/>
          <w:sz w:val="24"/>
        </w:rPr>
      </w:pPr>
      <w:r>
        <w:rPr>
          <w:rFonts w:hint="eastAsia" w:ascii="宋体" w:hAnsi="宋体" w:cs="宋体"/>
          <w:b/>
          <w:bCs/>
          <w:sz w:val="24"/>
        </w:rPr>
        <w:t>十、在线投标响应（电子投标）说明</w:t>
      </w:r>
    </w:p>
    <w:p w14:paraId="0B5C8AE0">
      <w:pPr>
        <w:snapToGrid w:val="0"/>
        <w:spacing w:line="360" w:lineRule="auto"/>
        <w:ind w:firstLine="480" w:firstLineChars="200"/>
        <w:rPr>
          <w:rFonts w:ascii="宋体" w:hAnsi="宋体" w:cs="宋体"/>
          <w:sz w:val="24"/>
        </w:rPr>
      </w:pPr>
      <w:bookmarkStart w:id="13" w:name="_Toc4490"/>
      <w:bookmarkStart w:id="14" w:name="_Toc32145"/>
      <w:r>
        <w:rPr>
          <w:rFonts w:hint="eastAsia" w:ascii="宋体" w:hAnsi="宋体" w:cs="宋体"/>
          <w:sz w:val="24"/>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r>
        <w:fldChar w:fldCharType="begin"/>
      </w:r>
      <w:r>
        <w:instrText xml:space="preserve"> HYPERLINK "https://help.zcygov.cn/web/site_2/2018/12-28/2573.html" </w:instrText>
      </w:r>
      <w:r>
        <w:fldChar w:fldCharType="separate"/>
      </w:r>
      <w:r>
        <w:rPr>
          <w:rFonts w:hint="eastAsia" w:ascii="宋体" w:hAnsi="宋体" w:cs="宋体"/>
          <w:sz w:val="24"/>
        </w:rPr>
        <w:t>https://help.zcygov.cn/web/site_2/2018/12-28/2573.html</w:t>
      </w:r>
      <w:r>
        <w:rPr>
          <w:rFonts w:hint="eastAsia" w:ascii="宋体" w:hAnsi="宋体" w:cs="宋体"/>
          <w:sz w:val="24"/>
        </w:rPr>
        <w:fldChar w:fldCharType="end"/>
      </w:r>
      <w:r>
        <w:rPr>
          <w:rFonts w:hint="eastAsia" w:ascii="宋体" w:hAnsi="宋体" w:cs="宋体"/>
          <w:sz w:val="24"/>
        </w:rPr>
        <w:t>。</w:t>
      </w:r>
    </w:p>
    <w:p w14:paraId="1150C43D">
      <w:pPr>
        <w:spacing w:line="360" w:lineRule="auto"/>
        <w:ind w:firstLine="480"/>
        <w:outlineLvl w:val="0"/>
        <w:rPr>
          <w:rFonts w:ascii="宋体" w:hAnsi="宋体" w:cs="宋体"/>
          <w:sz w:val="24"/>
        </w:rPr>
      </w:pPr>
      <w:r>
        <w:rPr>
          <w:rFonts w:hint="eastAsia" w:ascii="宋体" w:hAnsi="宋体" w:cs="宋体"/>
          <w:sz w:val="24"/>
        </w:rPr>
        <w:t>2. 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w:t>
      </w:r>
    </w:p>
    <w:p w14:paraId="6E716D72">
      <w:pPr>
        <w:spacing w:line="360" w:lineRule="auto"/>
        <w:ind w:firstLine="470" w:firstLineChars="196"/>
        <w:outlineLvl w:val="0"/>
        <w:rPr>
          <w:rFonts w:ascii="宋体" w:hAnsi="宋体" w:cs="宋体"/>
          <w:kern w:val="0"/>
          <w:sz w:val="24"/>
        </w:rPr>
      </w:pPr>
      <w:r>
        <w:rPr>
          <w:rFonts w:hint="eastAsia" w:ascii="宋体" w:hAnsi="宋体" w:cs="宋体"/>
          <w:kern w:val="0"/>
          <w:sz w:val="24"/>
        </w:rPr>
        <w:t>3.投标文件递交方式：</w:t>
      </w:r>
    </w:p>
    <w:p w14:paraId="6F87399D">
      <w:pPr>
        <w:snapToGrid w:val="0"/>
        <w:spacing w:line="400" w:lineRule="exact"/>
        <w:ind w:firstLine="470" w:firstLineChars="196"/>
        <w:rPr>
          <w:rFonts w:ascii="宋体" w:hAnsi="宋体" w:cs="宋体"/>
          <w:kern w:val="0"/>
          <w:sz w:val="24"/>
        </w:rPr>
      </w:pPr>
      <w:r>
        <w:rPr>
          <w:rFonts w:hint="eastAsia" w:cs="宋体"/>
          <w:kern w:val="0"/>
          <w:sz w:val="24"/>
        </w:rPr>
        <w:t>3.1</w:t>
      </w:r>
      <w:r>
        <w:rPr>
          <w:rFonts w:hint="eastAsia" w:ascii="宋体" w:hAnsi="宋体" w:cs="宋体"/>
          <w:kern w:val="0"/>
          <w:sz w:val="24"/>
        </w:rPr>
        <w:t>供应商应当</w:t>
      </w:r>
      <w:r>
        <w:rPr>
          <w:rFonts w:hint="eastAsia" w:ascii="宋体" w:hAnsi="宋体" w:cs="宋体"/>
          <w:kern w:val="0"/>
          <w:sz w:val="24"/>
          <w:highlight w:val="none"/>
        </w:rPr>
        <w:t>在202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9</w:t>
      </w:r>
      <w:r>
        <w:rPr>
          <w:rFonts w:hint="eastAsia" w:ascii="宋体" w:hAnsi="宋体" w:cs="宋体"/>
          <w:kern w:val="0"/>
          <w:sz w:val="24"/>
          <w:highlight w:val="none"/>
        </w:rPr>
        <w:t>月</w:t>
      </w:r>
      <w:r>
        <w:rPr>
          <w:rFonts w:hint="eastAsia" w:ascii="宋体" w:hAnsi="宋体" w:cs="宋体"/>
          <w:kern w:val="0"/>
          <w:sz w:val="24"/>
          <w:highlight w:val="none"/>
          <w:lang w:val="en-US" w:eastAsia="zh-CN"/>
        </w:rPr>
        <w:t>5</w:t>
      </w:r>
      <w:r>
        <w:rPr>
          <w:rFonts w:hint="eastAsia" w:ascii="宋体" w:hAnsi="宋体" w:cs="宋体"/>
          <w:kern w:val="0"/>
          <w:sz w:val="24"/>
          <w:highlight w:val="none"/>
        </w:rPr>
        <w:t>日</w:t>
      </w:r>
      <w:r>
        <w:rPr>
          <w:rFonts w:hint="eastAsia" w:ascii="宋体" w:hAnsi="宋体" w:cs="宋体"/>
          <w:kern w:val="0"/>
          <w:sz w:val="24"/>
          <w:highlight w:val="none"/>
          <w:lang w:val="en-US" w:eastAsia="zh-CN"/>
        </w:rPr>
        <w:t>14</w:t>
      </w:r>
      <w:r>
        <w:rPr>
          <w:rFonts w:hint="eastAsia" w:ascii="宋体" w:hAnsi="宋体" w:cs="宋体"/>
          <w:kern w:val="0"/>
          <w:sz w:val="24"/>
        </w:rPr>
        <w:t>:</w:t>
      </w:r>
      <w:r>
        <w:rPr>
          <w:rFonts w:hint="eastAsia" w:asciiTheme="minorEastAsia" w:hAnsiTheme="minorEastAsia" w:eastAsiaTheme="minorEastAsia" w:cstheme="minorEastAsia"/>
          <w:kern w:val="0"/>
          <w:sz w:val="24"/>
        </w:rPr>
        <w:t>00</w:t>
      </w:r>
      <w:r>
        <w:rPr>
          <w:rFonts w:hint="eastAsia" w:ascii="宋体" w:hAnsi="宋体" w:cs="宋体"/>
          <w:kern w:val="0"/>
          <w:sz w:val="24"/>
        </w:rPr>
        <w:t xml:space="preserve"> 时（北京时间）</w:t>
      </w:r>
      <w:r>
        <w:rPr>
          <w:rFonts w:hint="eastAsia" w:cs="宋体"/>
          <w:kern w:val="0"/>
          <w:sz w:val="24"/>
        </w:rPr>
        <w:t>前</w:t>
      </w:r>
      <w:r>
        <w:rPr>
          <w:rFonts w:hint="eastAsia" w:ascii="宋体" w:hAnsi="宋体" w:cs="宋体"/>
          <w:kern w:val="0"/>
          <w:sz w:val="24"/>
        </w:rPr>
        <w:t>，将生成的“电子加密投标文件”上传递交至“政采云平台”。（未准时上传的视为放弃投标资格，作无效标处理）。</w:t>
      </w:r>
    </w:p>
    <w:p w14:paraId="43E4D293">
      <w:pPr>
        <w:snapToGrid w:val="0"/>
        <w:spacing w:line="400" w:lineRule="exact"/>
        <w:ind w:firstLine="470" w:firstLineChars="196"/>
        <w:rPr>
          <w:rFonts w:ascii="宋体" w:hAnsi="宋体" w:cs="宋体"/>
          <w:kern w:val="0"/>
          <w:sz w:val="24"/>
        </w:rPr>
      </w:pPr>
      <w:r>
        <w:rPr>
          <w:rFonts w:hint="eastAsia" w:cs="宋体"/>
          <w:kern w:val="0"/>
          <w:sz w:val="24"/>
        </w:rPr>
        <w:t>3.2</w:t>
      </w:r>
      <w:r>
        <w:rPr>
          <w:rFonts w:hint="eastAsia" w:ascii="宋体" w:hAnsi="宋体" w:cs="宋体"/>
          <w:kern w:val="0"/>
          <w:sz w:val="24"/>
        </w:rPr>
        <w:t>数据电子备份投标文件（U 盘）：以 U 盘形式提供的数据电子备份投标文件格式及内容须与政采云平台项目采购-电子交易操作指南中制作、加密并递交的电子投标文件格式及内容一致。）</w:t>
      </w:r>
    </w:p>
    <w:p w14:paraId="007E1A44">
      <w:pPr>
        <w:widowControl/>
        <w:spacing w:line="540" w:lineRule="exact"/>
        <w:ind w:firstLine="480" w:firstLineChars="200"/>
        <w:jc w:val="left"/>
        <w:rPr>
          <w:rFonts w:hint="eastAsia" w:ascii="宋体" w:hAnsi="宋体" w:cs="宋体"/>
          <w:bCs/>
          <w:color w:val="000000"/>
          <w:kern w:val="0"/>
          <w:sz w:val="24"/>
        </w:rPr>
      </w:pPr>
      <w:r>
        <w:rPr>
          <w:rFonts w:hint="eastAsia" w:cs="宋体"/>
          <w:kern w:val="0"/>
          <w:sz w:val="24"/>
        </w:rPr>
        <w:t>3.3</w:t>
      </w:r>
      <w:r>
        <w:rPr>
          <w:rFonts w:hint="eastAsia" w:ascii="宋体" w:hAnsi="宋体" w:cs="宋体"/>
          <w:b/>
          <w:color w:val="000000"/>
          <w:kern w:val="0"/>
          <w:sz w:val="24"/>
        </w:rPr>
        <w:t>（不强制）</w:t>
      </w:r>
      <w:r>
        <w:rPr>
          <w:rFonts w:hint="eastAsia" w:ascii="宋体" w:hAnsi="宋体" w:cs="宋体"/>
          <w:bCs/>
          <w:color w:val="000000"/>
          <w:kern w:val="0"/>
          <w:sz w:val="24"/>
        </w:rPr>
        <w:t>采用邮寄方式递交备份投标文件（U 盘），</w:t>
      </w:r>
      <w:r>
        <w:rPr>
          <w:rFonts w:hint="eastAsia" w:ascii="宋体" w:hAnsi="宋体" w:cs="宋体"/>
          <w:b/>
          <w:kern w:val="0"/>
          <w:sz w:val="24"/>
        </w:rPr>
        <w:t>邮寄地址：</w:t>
      </w:r>
      <w:r>
        <w:rPr>
          <w:rFonts w:hint="eastAsia" w:ascii="宋体" w:hAnsi="宋体" w:cs="宋体"/>
          <w:b/>
          <w:kern w:val="0"/>
          <w:sz w:val="24"/>
          <w:lang w:eastAsia="zh-CN"/>
        </w:rPr>
        <w:t>湖州泓达工程管理咨询有限公司</w:t>
      </w:r>
      <w:r>
        <w:rPr>
          <w:rFonts w:hint="eastAsia" w:ascii="宋体" w:hAnsi="宋体" w:cs="宋体"/>
          <w:b/>
          <w:kern w:val="0"/>
          <w:sz w:val="24"/>
        </w:rPr>
        <w:t>【湖州市吴兴区八里店镇戴山路1888号吴兴科技创业园B幢5楼（八里店镇政府内）】，联系电话：0572-2068728，联系人：小高。</w:t>
      </w:r>
    </w:p>
    <w:p w14:paraId="3C0D8781">
      <w:pPr>
        <w:widowControl/>
        <w:spacing w:line="540" w:lineRule="exact"/>
        <w:jc w:val="left"/>
        <w:rPr>
          <w:rFonts w:ascii="宋体" w:hAnsi="宋体" w:cs="宋体"/>
          <w:bCs/>
          <w:color w:val="000000"/>
          <w:kern w:val="0"/>
          <w:sz w:val="24"/>
        </w:rPr>
      </w:pPr>
      <w:r>
        <w:rPr>
          <w:rFonts w:hint="eastAsia" w:ascii="宋体" w:hAnsi="宋体" w:cs="宋体"/>
          <w:bCs/>
          <w:color w:val="000000"/>
          <w:kern w:val="0"/>
          <w:sz w:val="24"/>
        </w:rPr>
        <w:t>（1）公告之日起至投标截止时间，供应商需留足投标响应文件邮寄时间,确保投标响应文件于投标截止时间前送达，因自身贻误行为导致投标失败的，责任自负。</w:t>
      </w:r>
    </w:p>
    <w:p w14:paraId="716F6C45">
      <w:pPr>
        <w:widowControl/>
        <w:spacing w:line="540" w:lineRule="exact"/>
        <w:jc w:val="left"/>
        <w:rPr>
          <w:rFonts w:ascii="宋体" w:hAnsi="宋体" w:cs="宋体"/>
          <w:bCs/>
          <w:color w:val="000000"/>
          <w:kern w:val="0"/>
          <w:sz w:val="24"/>
        </w:rPr>
      </w:pPr>
      <w:r>
        <w:rPr>
          <w:rFonts w:hint="eastAsia" w:ascii="宋体" w:hAnsi="宋体" w:cs="宋体"/>
          <w:bCs/>
          <w:color w:val="000000"/>
          <w:kern w:val="0"/>
          <w:sz w:val="24"/>
        </w:rPr>
        <w:t>（2）邮寄时，总的外包封袋上可不注明投标单位名称，但应注明投标单位的联系人、联系电话及投标项目名称。</w:t>
      </w:r>
    </w:p>
    <w:p w14:paraId="05DD9A99">
      <w:pPr>
        <w:snapToGrid w:val="0"/>
        <w:spacing w:line="400" w:lineRule="exact"/>
        <w:ind w:firstLine="470" w:firstLineChars="196"/>
        <w:rPr>
          <w:rFonts w:ascii="宋体" w:hAnsi="宋体" w:cs="宋体"/>
          <w:kern w:val="0"/>
          <w:sz w:val="24"/>
        </w:rPr>
      </w:pPr>
      <w:r>
        <w:rPr>
          <w:rFonts w:hint="eastAsia" w:ascii="宋体" w:hAnsi="宋体" w:cs="宋体"/>
          <w:kern w:val="0"/>
          <w:sz w:val="24"/>
        </w:rPr>
        <w:t>3.4.CA 锁解密时间为开标当日投标截止时间后，各供应商须提供符合要求的 CA 加密后的电子投标文件、有效的 CA 锁供开标当天解密，投标截止时间止未完成上传的电子投标文件或未按招标文件要求密封、包装的数据电子备份投标文件（U 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 盘），数据电子备份投标文件（U 盘）未提供或因供应商问题造成无法打开的，作无效标处理。若正常解密成功，则数据电子备份投标文件（U 盘）不予开启。在下一顺位的投标文件启用时，前一顺位的投标文件自动失效。</w:t>
      </w:r>
    </w:p>
    <w:p w14:paraId="186552AE">
      <w:pPr>
        <w:snapToGrid w:val="0"/>
        <w:spacing w:line="400" w:lineRule="exact"/>
        <w:ind w:firstLine="470" w:firstLineChars="196"/>
        <w:rPr>
          <w:rFonts w:ascii="宋体" w:hAnsi="宋体" w:cs="宋体"/>
          <w:kern w:val="0"/>
          <w:sz w:val="24"/>
        </w:rPr>
      </w:pPr>
      <w:r>
        <w:rPr>
          <w:rFonts w:hint="eastAsia" w:ascii="宋体" w:hAnsi="宋体" w:cs="宋体"/>
          <w:kern w:val="0"/>
          <w:sz w:val="24"/>
        </w:rPr>
        <w:t>4.供应商须在线获取CA数字证书（完成CA数字证书办理预计一周左右，建议各供应商自行把握时间，办理流程详见</w:t>
      </w:r>
    </w:p>
    <w:p w14:paraId="36B21F85">
      <w:pPr>
        <w:snapToGrid w:val="0"/>
        <w:spacing w:line="400" w:lineRule="exact"/>
        <w:ind w:firstLine="470" w:firstLineChars="196"/>
        <w:rPr>
          <w:rFonts w:ascii="宋体" w:hAnsi="宋体" w:cs="宋体"/>
          <w:kern w:val="0"/>
          <w:sz w:val="24"/>
        </w:rPr>
      </w:pPr>
      <w:r>
        <w:rPr>
          <w:rFonts w:hint="eastAsia" w:ascii="宋体" w:hAnsi="宋体" w:cs="宋体"/>
          <w:kern w:val="0"/>
          <w:sz w:val="24"/>
        </w:rPr>
        <w:t>http://zfcg.czt.zj.gov.cn/bidClientTemplate/2019-05-27/12945.html），并登陆“浙江省政府采购网”(</w:t>
      </w:r>
      <w:r>
        <w:rPr>
          <w:rFonts w:ascii="宋体" w:hAnsi="宋体" w:cs="宋体"/>
          <w:sz w:val="24"/>
        </w:rPr>
        <w:t>http://zfcg.czt.zj.gov.cn/</w:t>
      </w:r>
      <w:r>
        <w:rPr>
          <w:rFonts w:hint="eastAsia" w:ascii="宋体" w:hAnsi="宋体" w:cs="宋体"/>
          <w:kern w:val="0"/>
          <w:sz w:val="24"/>
        </w:rPr>
        <w:t>)，进入“下载专区”下载“电子交易客户端”，制作投标文件。</w:t>
      </w:r>
    </w:p>
    <w:p w14:paraId="726C75B8">
      <w:pPr>
        <w:snapToGrid w:val="0"/>
        <w:spacing w:line="400" w:lineRule="exact"/>
        <w:ind w:firstLine="470" w:firstLineChars="196"/>
        <w:rPr>
          <w:rFonts w:ascii="宋体" w:hAnsi="宋体" w:cs="宋体"/>
          <w:kern w:val="0"/>
          <w:sz w:val="24"/>
        </w:rPr>
      </w:pPr>
      <w:r>
        <w:rPr>
          <w:rFonts w:hint="eastAsia" w:ascii="宋体" w:hAnsi="宋体" w:cs="宋体"/>
          <w:kern w:val="0"/>
          <w:sz w:val="24"/>
        </w:rPr>
        <w:t>5.供应商须将制作、加密后的电子版投标文件于投标截止时间前上传到政采云系统中，超过投标截止时间上传的，均按无效标处理。</w:t>
      </w:r>
    </w:p>
    <w:p w14:paraId="2E007AAC">
      <w:pPr>
        <w:snapToGrid w:val="0"/>
        <w:spacing w:line="400" w:lineRule="exact"/>
        <w:ind w:firstLine="470" w:firstLineChars="196"/>
        <w:rPr>
          <w:rFonts w:ascii="宋体" w:hAnsi="宋体" w:cs="宋体"/>
          <w:kern w:val="0"/>
          <w:sz w:val="24"/>
        </w:rPr>
      </w:pPr>
      <w:r>
        <w:rPr>
          <w:rFonts w:hint="eastAsia" w:ascii="宋体" w:hAnsi="宋体" w:cs="宋体"/>
          <w:kern w:val="0"/>
          <w:sz w:val="24"/>
        </w:rPr>
        <w:t>6.供应商通过政采云平台电子投标工具制作投标文件，电子投标工具请供应商自行前往浙江省政府采购网下载并安装，（下载网址：http://zfcg.czt.zj.gov.cn/bidClientTemplate/2019-09-24/12975.html），供应商电子交易操作指南详见网址：https://help.zcygov.cn/web/site_2/2018/12-28/2573.html）；</w:t>
      </w:r>
    </w:p>
    <w:p w14:paraId="176708FF">
      <w:pPr>
        <w:snapToGrid w:val="0"/>
        <w:spacing w:line="400" w:lineRule="exact"/>
        <w:ind w:firstLine="470" w:firstLineChars="196"/>
        <w:rPr>
          <w:rFonts w:ascii="宋体" w:hAnsi="宋体" w:cs="宋体"/>
          <w:kern w:val="0"/>
          <w:sz w:val="24"/>
        </w:rPr>
      </w:pPr>
      <w:r>
        <w:rPr>
          <w:rFonts w:hint="eastAsia" w:ascii="宋体" w:hAnsi="宋体" w:cs="宋体"/>
          <w:kern w:val="0"/>
          <w:sz w:val="24"/>
        </w:rPr>
        <w:t>具体的投标文件加密上传等操作详见政采云平台操作指南。</w:t>
      </w:r>
    </w:p>
    <w:p w14:paraId="4AA0AC1B">
      <w:pPr>
        <w:snapToGrid w:val="0"/>
        <w:spacing w:line="400" w:lineRule="exact"/>
        <w:ind w:firstLine="548" w:firstLineChars="196"/>
        <w:rPr>
          <w:rFonts w:ascii="宋体" w:hAnsi="宋体" w:cs="宋体"/>
          <w:kern w:val="0"/>
          <w:sz w:val="24"/>
        </w:rPr>
      </w:pPr>
      <w:r>
        <w:fldChar w:fldCharType="begin"/>
      </w:r>
      <w:r>
        <w:instrText xml:space="preserve"> HYPERLINK "https://edu.zcygov.cn/luban/e-biding?utm=a0004.2ef5001f.0001.0109.da8b35e0da8611e98d8937b7ef8a3544" </w:instrText>
      </w:r>
      <w:r>
        <w:fldChar w:fldCharType="separate"/>
      </w:r>
      <w:r>
        <w:rPr>
          <w:rFonts w:hint="eastAsia" w:ascii="宋体" w:hAnsi="宋体" w:cs="宋体"/>
          <w:kern w:val="0"/>
          <w:sz w:val="24"/>
        </w:rPr>
        <w:t>https://edu.zcygov.cn/luban/e-biding?utm=a0004.2ef5001f.0001.0109.da8b35e0da8611e98d8937b7ef8a3544</w:t>
      </w:r>
      <w:r>
        <w:rPr>
          <w:rFonts w:hint="eastAsia" w:ascii="宋体" w:hAnsi="宋体" w:cs="宋体"/>
          <w:kern w:val="0"/>
          <w:sz w:val="24"/>
        </w:rPr>
        <w:fldChar w:fldCharType="end"/>
      </w:r>
    </w:p>
    <w:p w14:paraId="5D785BDE">
      <w:pPr>
        <w:snapToGrid w:val="0"/>
        <w:spacing w:line="360" w:lineRule="auto"/>
        <w:ind w:firstLine="472" w:firstLineChars="196"/>
        <w:rPr>
          <w:rFonts w:ascii="宋体" w:hAnsi="宋体" w:cs="宋体"/>
          <w:b/>
          <w:sz w:val="24"/>
        </w:rPr>
      </w:pPr>
      <w:r>
        <w:rPr>
          <w:rFonts w:hint="eastAsia" w:ascii="宋体" w:hAnsi="宋体" w:cs="宋体"/>
          <w:b/>
          <w:sz w:val="24"/>
        </w:rPr>
        <w:t>十一、发布采购公告的媒体为：</w:t>
      </w:r>
    </w:p>
    <w:p w14:paraId="7DA29F77">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浙江政府采购网 （</w:t>
      </w:r>
      <w:r>
        <w:rPr>
          <w:rFonts w:ascii="宋体" w:hAnsi="宋体" w:cs="宋体"/>
          <w:sz w:val="24"/>
        </w:rPr>
        <w:t>http://zfcg.czt.zj.gov.cn/</w:t>
      </w:r>
      <w:r>
        <w:rPr>
          <w:rFonts w:hint="eastAsia" w:ascii="宋体" w:hAnsi="宋体" w:cs="宋体"/>
          <w:kern w:val="0"/>
          <w:sz w:val="24"/>
        </w:rPr>
        <w:t>）；</w:t>
      </w:r>
    </w:p>
    <w:p w14:paraId="5EAF6914">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湖州市公共资源交易信息网（http://ggzyjy.huzhou.gov.cn/）；</w:t>
      </w:r>
    </w:p>
    <w:p w14:paraId="43B4015F">
      <w:pPr>
        <w:pStyle w:val="31"/>
        <w:adjustRightInd w:val="0"/>
        <w:snapToGrid w:val="0"/>
        <w:spacing w:line="360" w:lineRule="auto"/>
        <w:ind w:firstLine="482"/>
        <w:outlineLvl w:val="1"/>
        <w:rPr>
          <w:rFonts w:cs="宋体"/>
          <w:b/>
          <w:sz w:val="24"/>
          <w:szCs w:val="24"/>
        </w:rPr>
      </w:pPr>
      <w:r>
        <w:rPr>
          <w:rFonts w:hint="eastAsia" w:cs="宋体"/>
          <w:b/>
          <w:sz w:val="24"/>
          <w:szCs w:val="24"/>
        </w:rPr>
        <w:t>十</w:t>
      </w:r>
      <w:bookmarkEnd w:id="13"/>
      <w:bookmarkEnd w:id="14"/>
      <w:r>
        <w:rPr>
          <w:rFonts w:hint="eastAsia" w:cs="宋体"/>
          <w:b/>
          <w:sz w:val="24"/>
          <w:szCs w:val="24"/>
        </w:rPr>
        <w:t>二、其它补充事项：</w:t>
      </w:r>
    </w:p>
    <w:p w14:paraId="2A97426F">
      <w:pPr>
        <w:snapToGrid w:val="0"/>
        <w:spacing w:line="360" w:lineRule="auto"/>
        <w:ind w:firstLine="240" w:firstLineChars="100"/>
        <w:rPr>
          <w:rFonts w:ascii="宋体" w:hAnsi="宋体" w:cs="宋体"/>
          <w:kern w:val="0"/>
          <w:sz w:val="24"/>
        </w:rPr>
      </w:pPr>
      <w:bookmarkStart w:id="15" w:name="_Toc20737"/>
      <w:r>
        <w:rPr>
          <w:rFonts w:hint="eastAsia" w:ascii="宋体" w:hAnsi="宋体" w:cs="宋体"/>
          <w:kern w:val="0"/>
          <w:sz w:val="24"/>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C45F1C9">
      <w:pPr>
        <w:snapToGrid w:val="0"/>
        <w:spacing w:line="360" w:lineRule="auto"/>
        <w:ind w:firstLine="480" w:firstLineChars="200"/>
        <w:rPr>
          <w:rFonts w:ascii="宋体" w:hAnsi="宋体" w:cs="宋体"/>
          <w:kern w:val="0"/>
          <w:sz w:val="24"/>
        </w:rPr>
      </w:pPr>
      <w:r>
        <w:rPr>
          <w:rFonts w:hint="eastAsia" w:ascii="宋体" w:hAnsi="宋体" w:cs="宋体"/>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EED6CB">
      <w:pPr>
        <w:snapToGrid w:val="0"/>
        <w:spacing w:line="360" w:lineRule="auto"/>
        <w:ind w:firstLine="240" w:firstLineChars="100"/>
        <w:rPr>
          <w:rFonts w:ascii="宋体" w:hAnsi="宋体" w:cs="宋体"/>
          <w:kern w:val="0"/>
          <w:sz w:val="24"/>
        </w:rPr>
      </w:pPr>
      <w:r>
        <w:rPr>
          <w:rFonts w:hint="eastAsia" w:ascii="宋体" w:hAnsi="宋体" w:cs="宋体"/>
          <w:kern w:val="0"/>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26A58F">
      <w:pPr>
        <w:snapToGrid w:val="0"/>
        <w:spacing w:line="360" w:lineRule="auto"/>
        <w:ind w:firstLine="480" w:firstLineChars="200"/>
        <w:rPr>
          <w:rFonts w:ascii="宋体" w:hAnsi="宋体" w:cs="宋体"/>
          <w:kern w:val="0"/>
          <w:sz w:val="24"/>
        </w:rPr>
      </w:pPr>
      <w:r>
        <w:rPr>
          <w:rFonts w:hint="eastAsia" w:ascii="宋体" w:hAnsi="宋体" w:cs="宋体"/>
          <w:kern w:val="0"/>
          <w:sz w:val="24"/>
        </w:rPr>
        <w:t>4、其他事项：1.本项目为电子招投标项目，实行网上招投标，应按照本采购文件及政采云平台的要求编制、加密并要求投标供应商通过政采云系统在线开标响应，开标截止时间前须完成电子投标文件的上传。投标供应商在使用系统进行响应的过程中遇到涉及平台使用的任何问题，可致电政采云平台技术支持热线咨询，联系方式：95763。</w:t>
      </w:r>
    </w:p>
    <w:p w14:paraId="52540070">
      <w:pPr>
        <w:snapToGrid w:val="0"/>
        <w:spacing w:line="360" w:lineRule="auto"/>
        <w:ind w:firstLine="480" w:firstLineChars="200"/>
        <w:rPr>
          <w:rFonts w:ascii="宋体" w:hAnsi="宋体" w:cs="宋体"/>
          <w:kern w:val="0"/>
          <w:sz w:val="24"/>
        </w:rPr>
      </w:pPr>
      <w:r>
        <w:rPr>
          <w:rFonts w:hint="eastAsia" w:ascii="宋体" w:hAnsi="宋体" w:cs="宋体"/>
          <w:kern w:val="0"/>
          <w:sz w:val="24"/>
        </w:rPr>
        <w:t>2.本项目公告期限：5个工作日。</w:t>
      </w:r>
    </w:p>
    <w:p w14:paraId="322C7AEE">
      <w:pPr>
        <w:snapToGrid w:val="0"/>
        <w:spacing w:line="360" w:lineRule="auto"/>
        <w:ind w:firstLine="480" w:firstLineChars="200"/>
        <w:rPr>
          <w:rFonts w:ascii="宋体" w:hAnsi="宋体" w:cs="宋体"/>
          <w:sz w:val="24"/>
        </w:rPr>
      </w:pPr>
      <w:r>
        <w:rPr>
          <w:rFonts w:hint="eastAsia" w:ascii="宋体" w:hAnsi="宋体" w:cs="宋体"/>
          <w:kern w:val="0"/>
          <w:sz w:val="24"/>
        </w:rPr>
        <w:t>3.</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rPr>
        <w:t>（逾期将不再受理）</w:t>
      </w:r>
      <w:r>
        <w:rPr>
          <w:rFonts w:hint="eastAsia" w:ascii="宋体" w:hAnsi="宋体"/>
          <w:sz w:val="24"/>
          <w:szCs w:val="20"/>
        </w:rPr>
        <w:t>，以书面形式向采购人和采购代理公司提出质疑。</w:t>
      </w:r>
      <w:r>
        <w:rPr>
          <w:rFonts w:hint="eastAsia" w:ascii="宋体" w:hAnsi="宋体" w:cs="宋体"/>
          <w:kern w:val="0"/>
          <w:sz w:val="24"/>
        </w:rPr>
        <w:t>采购人将在规定的时间内统一进行澄清和修改，并书面（含传真）通知所有认购采购文件的投标供应商。投标供应商未按规定要求提出的，则视同认可采购文件，但法律法规及规范性文件有明确规定的除外。</w:t>
      </w:r>
    </w:p>
    <w:p w14:paraId="56C66A14">
      <w:pPr>
        <w:snapToGrid w:val="0"/>
        <w:spacing w:line="360" w:lineRule="auto"/>
        <w:ind w:firstLine="480" w:firstLineChars="200"/>
        <w:rPr>
          <w:rFonts w:ascii="宋体" w:hAnsi="宋体" w:cs="宋体"/>
          <w:sz w:val="24"/>
        </w:rPr>
      </w:pPr>
      <w:r>
        <w:rPr>
          <w:rFonts w:hint="eastAsia" w:ascii="宋体" w:hAnsi="宋体" w:cs="宋体"/>
          <w:color w:val="000000"/>
          <w:kern w:val="0"/>
          <w:sz w:val="24"/>
        </w:rPr>
        <w:t>4.投标供应商如认为开标过程和成交结果使自身的合法权益受到损害的，应于自预成交结果公告之日起七个工作日内以书面形式向采购机构提出质疑，逾期不予受理。投标供应商对采购代理机构的质疑答复不满意或者采购代理机构未在规定时间内作出答复的，可以在答复期满后十五个工作日内向同级政府采购监督管理部门投诉。</w:t>
      </w:r>
    </w:p>
    <w:p w14:paraId="7C522EBC">
      <w:pPr>
        <w:snapToGrid w:val="0"/>
        <w:spacing w:line="360" w:lineRule="auto"/>
        <w:ind w:firstLine="480" w:firstLineChars="200"/>
        <w:rPr>
          <w:rFonts w:ascii="宋体" w:hAnsi="宋体" w:cs="宋体"/>
          <w:kern w:val="0"/>
          <w:sz w:val="24"/>
        </w:rPr>
      </w:pPr>
      <w:r>
        <w:rPr>
          <w:rFonts w:hint="eastAsia" w:ascii="宋体" w:hAnsi="宋体" w:cs="宋体"/>
          <w:kern w:val="0"/>
          <w:sz w:val="24"/>
        </w:rPr>
        <w:t>5.参与政府采购项目的注册投标供应商，需登录浙江政府采购云平台(http://www.zcygov.cn)进行网上报名；尚未注册的投标供应商应当先在浙江政府采购云平台上申请注册，注册终审通过后再进行网上报名。</w:t>
      </w:r>
    </w:p>
    <w:p w14:paraId="5CF300F1">
      <w:pPr>
        <w:snapToGrid w:val="0"/>
        <w:spacing w:line="360" w:lineRule="auto"/>
        <w:ind w:firstLine="480" w:firstLineChars="200"/>
        <w:rPr>
          <w:rFonts w:ascii="宋体" w:hAnsi="宋体" w:cs="宋体"/>
          <w:kern w:val="0"/>
          <w:sz w:val="24"/>
        </w:rPr>
      </w:pPr>
      <w:r>
        <w:rPr>
          <w:rFonts w:hint="eastAsia" w:ascii="宋体" w:hAnsi="宋体" w:cs="宋体"/>
          <w:kern w:val="0"/>
          <w:sz w:val="24"/>
        </w:rPr>
        <w:t>6.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7F26DFA">
      <w:pPr>
        <w:snapToGrid w:val="0"/>
        <w:spacing w:line="360" w:lineRule="auto"/>
        <w:ind w:firstLine="480" w:firstLineChars="200"/>
        <w:rPr>
          <w:rFonts w:ascii="宋体" w:hAnsi="宋体" w:cs="宋体"/>
          <w:kern w:val="0"/>
          <w:sz w:val="24"/>
        </w:rPr>
      </w:pPr>
      <w:r>
        <w:rPr>
          <w:rFonts w:hint="eastAsia" w:ascii="宋体" w:hAnsi="宋体" w:cs="宋体"/>
          <w:kern w:val="0"/>
          <w:sz w:val="24"/>
        </w:rPr>
        <w:t>7.本项目是否专门面向中小企业采购：</w:t>
      </w:r>
      <w:r>
        <w:rPr>
          <w:rFonts w:hint="eastAsia" w:ascii="宋体" w:hAnsi="宋体" w:cs="宋体"/>
          <w:kern w:val="0"/>
          <w:sz w:val="24"/>
          <w:lang w:eastAsia="zh-CN"/>
        </w:rPr>
        <w:t>是</w:t>
      </w:r>
      <w:r>
        <w:rPr>
          <w:rFonts w:hint="eastAsia" w:ascii="宋体" w:hAnsi="宋体" w:cs="宋体"/>
          <w:kern w:val="0"/>
          <w:sz w:val="24"/>
        </w:rPr>
        <w:t>。</w:t>
      </w:r>
    </w:p>
    <w:p w14:paraId="72F85C8C">
      <w:pPr>
        <w:pStyle w:val="31"/>
        <w:adjustRightInd w:val="0"/>
        <w:snapToGrid w:val="0"/>
        <w:spacing w:line="440" w:lineRule="exact"/>
        <w:ind w:firstLine="482"/>
        <w:rPr>
          <w:rFonts w:cs="宋体"/>
          <w:b/>
          <w:sz w:val="24"/>
          <w:szCs w:val="24"/>
        </w:rPr>
      </w:pPr>
      <w:r>
        <w:rPr>
          <w:rFonts w:hint="eastAsia" w:cs="宋体"/>
          <w:b/>
          <w:sz w:val="24"/>
          <w:szCs w:val="24"/>
        </w:rPr>
        <w:t>十三、业务咨询：</w:t>
      </w:r>
      <w:bookmarkEnd w:id="15"/>
    </w:p>
    <w:p w14:paraId="60AAE095">
      <w:pPr>
        <w:pStyle w:val="43"/>
        <w:spacing w:before="75" w:beforeAutospacing="0" w:after="75" w:afterAutospacing="0" w:line="300" w:lineRule="exact"/>
        <w:rPr>
          <w:rFonts w:hint="eastAsia"/>
          <w:kern w:val="2"/>
        </w:rPr>
      </w:pPr>
      <w:r>
        <w:rPr>
          <w:rFonts w:hint="eastAsia"/>
          <w:kern w:val="2"/>
        </w:rPr>
        <w:t>1.采购人信息</w:t>
      </w:r>
    </w:p>
    <w:p w14:paraId="72E898B0">
      <w:pPr>
        <w:pStyle w:val="43"/>
        <w:spacing w:before="75" w:beforeAutospacing="0" w:after="75" w:afterAutospacing="0" w:line="300" w:lineRule="exact"/>
        <w:rPr>
          <w:rFonts w:hint="eastAsia"/>
          <w:kern w:val="2"/>
        </w:rPr>
      </w:pPr>
      <w:r>
        <w:rPr>
          <w:rFonts w:hint="eastAsia"/>
          <w:kern w:val="2"/>
        </w:rPr>
        <w:t>    名    称：湖州市自然资源和规划局吴兴分局</w:t>
      </w:r>
    </w:p>
    <w:p w14:paraId="5BB33E9B">
      <w:pPr>
        <w:pStyle w:val="43"/>
        <w:spacing w:before="75" w:beforeAutospacing="0" w:after="75" w:afterAutospacing="0" w:line="300" w:lineRule="exact"/>
        <w:rPr>
          <w:rFonts w:hint="eastAsia"/>
          <w:kern w:val="2"/>
        </w:rPr>
      </w:pPr>
      <w:r>
        <w:rPr>
          <w:rFonts w:hint="eastAsia"/>
          <w:kern w:val="2"/>
        </w:rPr>
        <w:t>    地    址：</w:t>
      </w:r>
      <w:r>
        <w:rPr>
          <w:kern w:val="2"/>
        </w:rPr>
        <w:t>湖州市吴兴区区府路1119号</w:t>
      </w:r>
    </w:p>
    <w:p w14:paraId="22253ED7">
      <w:pPr>
        <w:pStyle w:val="43"/>
        <w:spacing w:before="75" w:beforeAutospacing="0" w:after="75" w:afterAutospacing="0" w:line="300" w:lineRule="exact"/>
        <w:rPr>
          <w:rFonts w:hint="eastAsia"/>
          <w:kern w:val="2"/>
        </w:rPr>
      </w:pPr>
      <w:r>
        <w:rPr>
          <w:rFonts w:hint="eastAsia"/>
          <w:kern w:val="2"/>
        </w:rPr>
        <w:t>    传    真：/ </w:t>
      </w:r>
    </w:p>
    <w:p w14:paraId="34A1E569">
      <w:pPr>
        <w:pStyle w:val="43"/>
        <w:spacing w:before="75" w:beforeAutospacing="0" w:after="75" w:afterAutospacing="0" w:line="300" w:lineRule="exact"/>
        <w:rPr>
          <w:rFonts w:hint="eastAsia"/>
          <w:kern w:val="2"/>
        </w:rPr>
      </w:pPr>
      <w:r>
        <w:rPr>
          <w:rFonts w:hint="eastAsia"/>
          <w:kern w:val="2"/>
        </w:rPr>
        <w:t>    项目联系人（询问）：周书楷 </w:t>
      </w:r>
    </w:p>
    <w:p w14:paraId="3DFC9B4C">
      <w:pPr>
        <w:pStyle w:val="43"/>
        <w:spacing w:before="75" w:beforeAutospacing="0" w:after="75" w:afterAutospacing="0" w:line="300" w:lineRule="exact"/>
        <w:ind w:firstLine="720"/>
        <w:rPr>
          <w:rFonts w:hint="eastAsia"/>
          <w:kern w:val="2"/>
        </w:rPr>
      </w:pPr>
      <w:r>
        <w:rPr>
          <w:rFonts w:hint="eastAsia"/>
          <w:kern w:val="2"/>
        </w:rPr>
        <w:t>项目联系方式（询问）：0572-2536892</w:t>
      </w:r>
    </w:p>
    <w:p w14:paraId="3C3BEE43">
      <w:pPr>
        <w:pStyle w:val="43"/>
        <w:spacing w:before="75" w:beforeAutospacing="0" w:after="75" w:afterAutospacing="0" w:line="300" w:lineRule="exact"/>
        <w:ind w:firstLine="720"/>
        <w:rPr>
          <w:rFonts w:hint="eastAsia"/>
          <w:kern w:val="2"/>
        </w:rPr>
      </w:pPr>
      <w:r>
        <w:rPr>
          <w:rFonts w:hint="eastAsia"/>
          <w:kern w:val="2"/>
        </w:rPr>
        <w:t>质疑联系人：陈梦姣</w:t>
      </w:r>
    </w:p>
    <w:p w14:paraId="33BB1F40">
      <w:pPr>
        <w:pStyle w:val="43"/>
        <w:spacing w:before="75" w:beforeAutospacing="0" w:after="75" w:afterAutospacing="0" w:line="300" w:lineRule="exact"/>
        <w:ind w:firstLine="720"/>
        <w:rPr>
          <w:rFonts w:hint="eastAsia"/>
          <w:kern w:val="2"/>
        </w:rPr>
      </w:pPr>
      <w:r>
        <w:rPr>
          <w:rFonts w:hint="eastAsia"/>
          <w:kern w:val="2"/>
        </w:rPr>
        <w:t>质疑联系方式：0572-2536887    </w:t>
      </w:r>
      <w:r>
        <w:rPr>
          <w:rFonts w:hint="eastAsia"/>
          <w:kern w:val="2"/>
        </w:rPr>
        <w:br w:type="textWrapping"/>
      </w:r>
      <w:r>
        <w:rPr>
          <w:rFonts w:hint="eastAsia"/>
          <w:kern w:val="2"/>
        </w:rPr>
        <w:t xml:space="preserve">    </w:t>
      </w:r>
    </w:p>
    <w:p w14:paraId="3023FCE4">
      <w:pPr>
        <w:pStyle w:val="43"/>
        <w:spacing w:before="75" w:beforeAutospacing="0" w:after="75" w:afterAutospacing="0" w:line="300" w:lineRule="exact"/>
        <w:ind w:firstLine="720"/>
        <w:rPr>
          <w:rFonts w:hint="eastAsia"/>
          <w:kern w:val="2"/>
        </w:rPr>
      </w:pPr>
      <w:r>
        <w:rPr>
          <w:rFonts w:hint="eastAsia"/>
          <w:kern w:val="2"/>
        </w:rPr>
        <w:t>2.采购代理机构信息</w:t>
      </w:r>
    </w:p>
    <w:p w14:paraId="637C7C72">
      <w:pPr>
        <w:pStyle w:val="43"/>
        <w:spacing w:before="75" w:beforeAutospacing="0" w:after="75" w:afterAutospacing="0" w:line="300" w:lineRule="exact"/>
        <w:rPr>
          <w:rFonts w:hint="eastAsia"/>
          <w:kern w:val="2"/>
        </w:rPr>
      </w:pPr>
      <w:r>
        <w:rPr>
          <w:rFonts w:hint="eastAsia"/>
          <w:kern w:val="2"/>
        </w:rPr>
        <w:t>    名    称：</w:t>
      </w:r>
      <w:r>
        <w:rPr>
          <w:rFonts w:hint="eastAsia"/>
          <w:kern w:val="2"/>
          <w:lang w:eastAsia="zh-CN"/>
        </w:rPr>
        <w:t>湖州泓达工程管理咨询有限公司</w:t>
      </w:r>
      <w:r>
        <w:rPr>
          <w:rFonts w:hint="eastAsia"/>
          <w:kern w:val="2"/>
        </w:rPr>
        <w:t> </w:t>
      </w:r>
    </w:p>
    <w:p w14:paraId="7B12F8A2">
      <w:pPr>
        <w:pStyle w:val="43"/>
        <w:spacing w:before="75" w:beforeAutospacing="0" w:after="75" w:afterAutospacing="0" w:line="300" w:lineRule="exact"/>
        <w:rPr>
          <w:rFonts w:hint="eastAsia"/>
          <w:kern w:val="2"/>
        </w:rPr>
      </w:pPr>
      <w:r>
        <w:rPr>
          <w:rFonts w:hint="eastAsia"/>
          <w:kern w:val="2"/>
        </w:rPr>
        <w:t>    地    址：</w:t>
      </w:r>
      <w:r>
        <w:rPr>
          <w:rFonts w:hint="eastAsia" w:cs="Times New Roman"/>
        </w:rPr>
        <w:t>湖州市吴兴区八里店镇戴山路1888号吴兴科技创业园B幢5楼（八里店镇政府内）  </w:t>
      </w:r>
      <w:r>
        <w:rPr>
          <w:rFonts w:hint="eastAsia"/>
          <w:kern w:val="2"/>
        </w:rPr>
        <w:t> </w:t>
      </w:r>
    </w:p>
    <w:p w14:paraId="767E8A6C">
      <w:pPr>
        <w:pStyle w:val="43"/>
        <w:spacing w:before="75" w:beforeAutospacing="0" w:after="75" w:afterAutospacing="0" w:line="300" w:lineRule="exact"/>
        <w:rPr>
          <w:rFonts w:hint="eastAsia"/>
          <w:kern w:val="2"/>
        </w:rPr>
      </w:pPr>
      <w:r>
        <w:rPr>
          <w:rFonts w:hint="eastAsia"/>
          <w:kern w:val="2"/>
        </w:rPr>
        <w:t>    传    真：/  </w:t>
      </w:r>
    </w:p>
    <w:p w14:paraId="7D64751F">
      <w:pPr>
        <w:pStyle w:val="43"/>
        <w:spacing w:before="75" w:beforeAutospacing="0" w:after="75" w:afterAutospacing="0" w:line="300" w:lineRule="exact"/>
        <w:rPr>
          <w:rFonts w:hint="eastAsia"/>
          <w:kern w:val="2"/>
        </w:rPr>
      </w:pPr>
      <w:r>
        <w:rPr>
          <w:rFonts w:hint="eastAsia"/>
          <w:kern w:val="2"/>
        </w:rPr>
        <w:t>    项目联系人（询问）：高婧靓 </w:t>
      </w:r>
    </w:p>
    <w:p w14:paraId="7B661F99">
      <w:pPr>
        <w:pStyle w:val="43"/>
        <w:spacing w:before="75" w:beforeAutospacing="0" w:after="75" w:afterAutospacing="0" w:line="300" w:lineRule="exact"/>
        <w:rPr>
          <w:rFonts w:hint="eastAsia"/>
          <w:kern w:val="2"/>
        </w:rPr>
      </w:pPr>
      <w:r>
        <w:rPr>
          <w:rFonts w:hint="eastAsia"/>
          <w:kern w:val="2"/>
        </w:rPr>
        <w:t>    项目联系方式（询问）：0572-2068728 </w:t>
      </w:r>
    </w:p>
    <w:p w14:paraId="5CCD9659">
      <w:pPr>
        <w:pStyle w:val="43"/>
        <w:spacing w:before="75" w:beforeAutospacing="0" w:after="75" w:afterAutospacing="0" w:line="300" w:lineRule="exact"/>
        <w:rPr>
          <w:rFonts w:hint="eastAsia"/>
          <w:kern w:val="2"/>
        </w:rPr>
      </w:pPr>
      <w:r>
        <w:rPr>
          <w:rFonts w:hint="eastAsia"/>
          <w:kern w:val="2"/>
        </w:rPr>
        <w:t>    质疑联系人：沈萍萍 </w:t>
      </w:r>
    </w:p>
    <w:p w14:paraId="63AF1017">
      <w:pPr>
        <w:pStyle w:val="43"/>
        <w:spacing w:before="75" w:beforeAutospacing="0" w:after="75" w:afterAutospacing="0" w:line="300" w:lineRule="exact"/>
        <w:rPr>
          <w:rFonts w:hint="eastAsia"/>
          <w:kern w:val="2"/>
        </w:rPr>
      </w:pPr>
      <w:r>
        <w:rPr>
          <w:rFonts w:hint="eastAsia"/>
          <w:kern w:val="2"/>
        </w:rPr>
        <w:t>    质疑联系方式：0572-206872</w:t>
      </w:r>
      <w:r>
        <w:rPr>
          <w:rFonts w:hint="eastAsia"/>
          <w:kern w:val="2"/>
          <w:lang w:val="en-US" w:eastAsia="zh-CN"/>
        </w:rPr>
        <w:t>8</w:t>
      </w:r>
      <w:r>
        <w:rPr>
          <w:rFonts w:hint="eastAsia"/>
          <w:kern w:val="2"/>
        </w:rPr>
        <w:t> </w:t>
      </w:r>
    </w:p>
    <w:p w14:paraId="05DB0C8C">
      <w:pPr>
        <w:pStyle w:val="43"/>
        <w:spacing w:before="75" w:beforeAutospacing="0" w:after="75" w:afterAutospacing="0" w:line="300" w:lineRule="exact"/>
        <w:rPr>
          <w:rFonts w:hint="eastAsia"/>
          <w:kern w:val="2"/>
        </w:rPr>
      </w:pPr>
      <w:r>
        <w:rPr>
          <w:rFonts w:hint="eastAsia"/>
          <w:kern w:val="2"/>
        </w:rPr>
        <w:t>    </w:t>
      </w:r>
      <w:r>
        <w:rPr>
          <w:rFonts w:hint="eastAsia"/>
          <w:kern w:val="2"/>
        </w:rPr>
        <w:br w:type="textWrapping"/>
      </w:r>
      <w:r>
        <w:rPr>
          <w:rFonts w:hint="eastAsia"/>
          <w:kern w:val="2"/>
        </w:rPr>
        <w:t>    3.同级政府采购监督管理部门</w:t>
      </w:r>
    </w:p>
    <w:p w14:paraId="7A457322">
      <w:pPr>
        <w:pStyle w:val="43"/>
        <w:spacing w:before="75" w:beforeAutospacing="0" w:after="75" w:afterAutospacing="0" w:line="300" w:lineRule="exact"/>
        <w:rPr>
          <w:rFonts w:hint="eastAsia"/>
          <w:kern w:val="2"/>
        </w:rPr>
      </w:pPr>
      <w:r>
        <w:rPr>
          <w:rFonts w:hint="eastAsia"/>
          <w:kern w:val="2"/>
        </w:rPr>
        <w:t>    名    称：湖州市财政局政府采购监管处 </w:t>
      </w:r>
    </w:p>
    <w:p w14:paraId="298B8A9B">
      <w:pPr>
        <w:pStyle w:val="43"/>
        <w:spacing w:before="75" w:beforeAutospacing="0" w:after="75" w:afterAutospacing="0" w:line="300" w:lineRule="exact"/>
        <w:rPr>
          <w:rFonts w:hint="eastAsia"/>
          <w:kern w:val="2"/>
        </w:rPr>
      </w:pPr>
      <w:r>
        <w:rPr>
          <w:rFonts w:hint="eastAsia"/>
          <w:kern w:val="2"/>
        </w:rPr>
        <w:t>    地    址：湖州市龙王山路518号 </w:t>
      </w:r>
    </w:p>
    <w:p w14:paraId="2A88AC1E">
      <w:pPr>
        <w:pStyle w:val="43"/>
        <w:spacing w:before="75" w:beforeAutospacing="0" w:after="75" w:afterAutospacing="0" w:line="300" w:lineRule="exact"/>
        <w:rPr>
          <w:rFonts w:hint="eastAsia" w:ascii="宋体" w:hAnsi="宋体" w:eastAsia="宋体" w:cs="宋体"/>
          <w:kern w:val="2"/>
        </w:rPr>
      </w:pPr>
      <w:r>
        <w:rPr>
          <w:rFonts w:hint="eastAsia" w:ascii="宋体" w:hAnsi="宋体" w:eastAsia="宋体" w:cs="宋体"/>
          <w:kern w:val="2"/>
        </w:rPr>
        <w:t>    传    真：/ </w:t>
      </w:r>
    </w:p>
    <w:p w14:paraId="47B4EE58">
      <w:pPr>
        <w:pStyle w:val="43"/>
        <w:spacing w:before="75" w:beforeAutospacing="0" w:after="75" w:afterAutospacing="0" w:line="300" w:lineRule="exact"/>
        <w:rPr>
          <w:rFonts w:hint="eastAsia" w:ascii="宋体" w:hAnsi="宋体" w:eastAsia="宋体" w:cs="宋体"/>
          <w:kern w:val="2"/>
        </w:rPr>
      </w:pPr>
      <w:r>
        <w:rPr>
          <w:rFonts w:hint="eastAsia" w:ascii="宋体" w:hAnsi="宋体" w:eastAsia="宋体" w:cs="宋体"/>
          <w:kern w:val="2"/>
        </w:rPr>
        <w:t>    联系人 ： </w:t>
      </w:r>
      <w:r>
        <w:rPr>
          <w:rFonts w:hint="eastAsia" w:ascii="宋体" w:hAnsi="宋体" w:eastAsia="宋体" w:cs="宋体"/>
          <w:kern w:val="2"/>
          <w:lang w:eastAsia="zh-CN"/>
        </w:rPr>
        <w:t>程先生</w:t>
      </w:r>
    </w:p>
    <w:p w14:paraId="4C675690">
      <w:pPr>
        <w:pStyle w:val="43"/>
        <w:spacing w:before="75" w:beforeAutospacing="0" w:after="75" w:afterAutospacing="0" w:line="300" w:lineRule="exact"/>
        <w:rPr>
          <w:rFonts w:hint="eastAsia" w:ascii="宋体" w:hAnsi="宋体" w:eastAsia="宋体" w:cs="宋体"/>
          <w:kern w:val="2"/>
        </w:rPr>
      </w:pPr>
      <w:r>
        <w:rPr>
          <w:rFonts w:hint="eastAsia" w:ascii="宋体" w:hAnsi="宋体" w:eastAsia="宋体" w:cs="宋体"/>
          <w:kern w:val="2"/>
        </w:rPr>
        <w:t>    监督投诉电话：0572-2150086</w:t>
      </w:r>
    </w:p>
    <w:p w14:paraId="6BAFB91C">
      <w:bookmarkStart w:id="16" w:name="_Toc27574"/>
      <w:r>
        <w:rPr>
          <w:rFonts w:hint="eastAsia" w:ascii="宋体" w:hAnsi="宋体" w:cs="宋体"/>
          <w:kern w:val="0"/>
          <w:sz w:val="24"/>
        </w:rPr>
        <w:br w:type="page"/>
      </w:r>
    </w:p>
    <w:bookmarkEnd w:id="16"/>
    <w:p w14:paraId="3A60D1ED">
      <w:pPr>
        <w:pStyle w:val="4"/>
        <w:numPr>
          <w:ilvl w:val="0"/>
          <w:numId w:val="4"/>
        </w:numPr>
        <w:spacing w:line="360" w:lineRule="auto"/>
        <w:jc w:val="center"/>
        <w:rPr>
          <w:rFonts w:ascii="宋体" w:hAnsi="宋体" w:cs="仿宋"/>
          <w:bCs w:val="0"/>
          <w:sz w:val="30"/>
          <w:szCs w:val="30"/>
          <w:highlight w:val="none"/>
        </w:rPr>
      </w:pPr>
      <w:bookmarkStart w:id="17" w:name="_Toc23238"/>
      <w:r>
        <w:rPr>
          <w:rFonts w:hint="eastAsia" w:asciiTheme="minorEastAsia" w:hAnsiTheme="minorEastAsia" w:eastAsiaTheme="minorEastAsia" w:cstheme="minorEastAsia"/>
          <w:bCs w:val="0"/>
          <w:sz w:val="30"/>
          <w:szCs w:val="30"/>
          <w:highlight w:val="none"/>
        </w:rPr>
        <w:t>招标需求</w:t>
      </w:r>
    </w:p>
    <w:p w14:paraId="21062499">
      <w:pPr>
        <w:keepNext w:val="0"/>
        <w:keepLines w:val="0"/>
        <w:pageBreakBefore w:val="0"/>
        <w:widowControl w:val="0"/>
        <w:numPr>
          <w:ilvl w:val="0"/>
          <w:numId w:val="5"/>
        </w:numPr>
        <w:tabs>
          <w:tab w:val="left" w:pos="0"/>
        </w:tabs>
        <w:kinsoku/>
        <w:wordWrap/>
        <w:overflowPunct/>
        <w:topLinePunct w:val="0"/>
        <w:autoSpaceDE w:val="0"/>
        <w:autoSpaceDN w:val="0"/>
        <w:bidi w:val="0"/>
        <w:adjustRightInd/>
        <w:snapToGrid/>
        <w:spacing w:line="460" w:lineRule="exact"/>
        <w:ind w:firstLine="241" w:firstLineChars="100"/>
        <w:textAlignment w:val="auto"/>
        <w:rPr>
          <w:rFonts w:hint="eastAsia" w:ascii="宋体" w:hAnsi="宋体" w:eastAsia="宋体" w:cs="宋体"/>
          <w:b/>
          <w:sz w:val="24"/>
          <w:szCs w:val="24"/>
        </w:rPr>
      </w:pPr>
      <w:r>
        <w:rPr>
          <w:rFonts w:hint="eastAsia" w:ascii="宋体" w:hAnsi="宋体" w:cs="宋体"/>
          <w:b/>
          <w:sz w:val="24"/>
          <w:szCs w:val="24"/>
          <w:lang w:eastAsia="zh-CN"/>
        </w:rPr>
        <w:t>项目概况</w:t>
      </w:r>
      <w:r>
        <w:rPr>
          <w:rFonts w:hint="eastAsia" w:ascii="宋体" w:hAnsi="宋体" w:eastAsia="宋体" w:cs="宋体"/>
          <w:b/>
          <w:sz w:val="24"/>
          <w:szCs w:val="24"/>
        </w:rPr>
        <w:t xml:space="preserve"> </w:t>
      </w:r>
    </w:p>
    <w:p w14:paraId="3DF1B4BC">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0" w:firstLineChars="100"/>
        <w:textAlignment w:val="auto"/>
        <w:rPr>
          <w:rFonts w:hint="eastAsia"/>
          <w:lang w:eastAsia="zh-CN"/>
        </w:rPr>
      </w:pPr>
      <w:r>
        <w:rPr>
          <w:rFonts w:hint="eastAsia" w:ascii="宋体" w:hAnsi="宋体" w:eastAsia="宋体" w:cs="宋体"/>
          <w:kern w:val="0"/>
          <w:sz w:val="24"/>
          <w:szCs w:val="24"/>
        </w:rPr>
        <w:t>根据《浙江省林业局关于印发&lt;浙江省千万亩森林质量精准提升工程方案（2021-2025）&gt;的通知》（浙林绿〔2021〕30号）、《湖州市吴兴区千万亩森林质量精准提升工程实施方案（2021-2025年）》文件精神，我区2023-2025年计划实施中幼林抚育5385亩（含南太湖新区），其中小吴兴任务为4530亩，去年完成森林抚育任务1590.7283亩。前期已委托设计单位按照要求进行了</w:t>
      </w:r>
      <w:r>
        <w:rPr>
          <w:rFonts w:hint="eastAsia" w:ascii="宋体" w:hAnsi="宋体" w:eastAsia="宋体" w:cs="宋体"/>
          <w:kern w:val="0"/>
          <w:sz w:val="24"/>
          <w:szCs w:val="24"/>
          <w:lang w:eastAsia="zh-CN"/>
        </w:rPr>
        <w:t>抚育</w:t>
      </w:r>
      <w:r>
        <w:rPr>
          <w:rFonts w:hint="eastAsia" w:ascii="宋体" w:hAnsi="宋体" w:eastAsia="宋体" w:cs="宋体"/>
          <w:kern w:val="0"/>
          <w:sz w:val="24"/>
          <w:szCs w:val="24"/>
        </w:rPr>
        <w:t>作业设计</w:t>
      </w:r>
      <w:r>
        <w:rPr>
          <w:rFonts w:hint="eastAsia" w:ascii="宋体" w:hAnsi="宋体" w:eastAsia="宋体" w:cs="宋体"/>
          <w:kern w:val="0"/>
          <w:sz w:val="24"/>
          <w:szCs w:val="24"/>
          <w:lang w:eastAsia="zh-CN"/>
        </w:rPr>
        <w:t>。</w:t>
      </w:r>
    </w:p>
    <w:p w14:paraId="1A79FCF9">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1" w:firstLineChars="100"/>
        <w:textAlignment w:val="auto"/>
        <w:rPr>
          <w:rFonts w:hint="default" w:ascii="宋体" w:hAnsi="宋体" w:eastAsia="宋体" w:cs="宋体"/>
          <w:b/>
          <w:sz w:val="24"/>
          <w:szCs w:val="24"/>
          <w:lang w:val="en-US" w:eastAsia="zh-CN"/>
        </w:rPr>
      </w:pPr>
      <w:r>
        <w:rPr>
          <w:rFonts w:hint="eastAsia" w:ascii="宋体" w:hAnsi="宋体" w:cs="宋体"/>
          <w:b/>
          <w:sz w:val="24"/>
          <w:szCs w:val="24"/>
          <w:lang w:eastAsia="zh-CN"/>
        </w:rPr>
        <w:t>二</w:t>
      </w:r>
      <w:r>
        <w:rPr>
          <w:rFonts w:hint="eastAsia" w:ascii="宋体" w:hAnsi="宋体" w:eastAsia="宋体" w:cs="宋体"/>
          <w:b/>
          <w:sz w:val="24"/>
          <w:szCs w:val="24"/>
        </w:rPr>
        <w:t>、项</w:t>
      </w:r>
      <w:r>
        <w:rPr>
          <w:rFonts w:hint="eastAsia" w:ascii="宋体" w:hAnsi="宋体" w:eastAsia="宋体" w:cs="宋体"/>
          <w:b/>
          <w:sz w:val="24"/>
          <w:szCs w:val="24"/>
          <w:highlight w:val="none"/>
        </w:rPr>
        <w:t>目工期：</w:t>
      </w:r>
      <w:r>
        <w:rPr>
          <w:rFonts w:hint="eastAsia" w:ascii="宋体" w:hAnsi="宋体" w:cs="宋体"/>
          <w:kern w:val="0"/>
          <w:sz w:val="24"/>
          <w:szCs w:val="24"/>
          <w:highlight w:val="none"/>
          <w:lang w:val="en-US" w:eastAsia="zh-CN"/>
        </w:rPr>
        <w:t>2024年年底前（具体以采购人实际要求为准）</w:t>
      </w:r>
      <w:r>
        <w:rPr>
          <w:rFonts w:hint="eastAsia" w:ascii="宋体" w:hAnsi="宋体" w:eastAsia="宋体" w:cs="宋体"/>
          <w:kern w:val="0"/>
          <w:sz w:val="24"/>
          <w:szCs w:val="24"/>
          <w:highlight w:val="none"/>
          <w:lang w:val="en-US" w:eastAsia="zh-CN"/>
        </w:rPr>
        <w:t>。</w:t>
      </w:r>
    </w:p>
    <w:p w14:paraId="1C7A0617">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1" w:firstLineChars="100"/>
        <w:textAlignment w:val="auto"/>
        <w:rPr>
          <w:rFonts w:hint="eastAsia" w:ascii="宋体" w:hAnsi="宋体" w:eastAsia="宋体" w:cs="宋体"/>
          <w:b/>
          <w:bCs/>
          <w:kern w:val="0"/>
          <w:sz w:val="24"/>
          <w:szCs w:val="24"/>
        </w:rPr>
      </w:pPr>
      <w:r>
        <w:rPr>
          <w:rFonts w:hint="eastAsia" w:ascii="宋体" w:hAnsi="宋体" w:cs="宋体"/>
          <w:b/>
          <w:bCs/>
          <w:kern w:val="0"/>
          <w:sz w:val="24"/>
          <w:szCs w:val="24"/>
          <w:lang w:eastAsia="zh-CN"/>
        </w:rPr>
        <w:t>三</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服务内容</w:t>
      </w:r>
    </w:p>
    <w:p w14:paraId="61B8D2E5">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（一）总体要求</w:t>
      </w:r>
    </w:p>
    <w:p w14:paraId="4BD517A9">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森林抚育是培育森林的重要措施之一。森林抚育的目标是改善森林的树种组成、年龄和空间结构，提高林地生产力和林木生长量，促进森林、林木生长发育，丰富生物多样性，维护森林健康，充分发挥森林多种功能，协调生态、社会、经济效益，培育健康稳定、优质高效的森林生态系统。</w:t>
      </w:r>
    </w:p>
    <w:p w14:paraId="22CDA2F0">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2、森林抚育应坚持采劣留优、采弱留壮、采密留稀、控制采伐强度、兼顾目标树分布均匀、保护幼树的原则，促进生物多样性。</w:t>
      </w:r>
    </w:p>
    <w:p w14:paraId="3408C19C">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3、抚育采伐作业要与具体的抚育采伐措施、林木分类要求相结合，避免对森林造成过度干扰。</w:t>
      </w:r>
    </w:p>
    <w:p w14:paraId="42D4786E">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（二）措施要求</w:t>
      </w:r>
    </w:p>
    <w:p w14:paraId="19ED37F6">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1、郁闭度</w:t>
      </w:r>
    </w:p>
    <w:p w14:paraId="38ED72A9">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作业实施后，原则上控制重点公益林、天然阔叶林郁闭度不得低于0.7，但灾害木清理等特殊情形除外；天然松林、人工针叶林郁闭度不得低于0.5；一般公益林及商品林郁闭度不得低于0.5。</w:t>
      </w:r>
    </w:p>
    <w:p w14:paraId="7CDAB729">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2、平均胸径</w:t>
      </w:r>
    </w:p>
    <w:p w14:paraId="094E64E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作业实施后，林分平均胸径不得低于作业实施前平均胸径（病虫害严重除外）。</w:t>
      </w:r>
    </w:p>
    <w:p w14:paraId="247FD87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3、抚育强度</w:t>
      </w:r>
    </w:p>
    <w:p w14:paraId="69B7C0C4">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重点公益林、天然阔叶林抚育采伐株数强度不超过10%，天然松林、人工针叶林采伐株数强度不超过15%。</w:t>
      </w:r>
    </w:p>
    <w:p w14:paraId="56490265">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4、保留目标树</w:t>
      </w:r>
    </w:p>
    <w:p w14:paraId="77B85A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作业实施小班以去除枯死林木、维护原生植物群落结构、保留主要建群树种、促进林分生长、诱导形成异龄复层混交群落结构为目标确定保留目标树。</w:t>
      </w:r>
    </w:p>
    <w:p w14:paraId="19483904">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5、疏伐</w:t>
      </w:r>
    </w:p>
    <w:p w14:paraId="447BC550">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在幼、中龄林中按照林木生长的要求和有利于形成梯级郁闭的林分，伐除有害木，保留优良木、有益木和适当的灌木，以充分发挥森林的生态效益，兼顾林木的经济效益。</w:t>
      </w:r>
    </w:p>
    <w:p w14:paraId="4E6F4138">
      <w:pPr>
        <w:pStyle w:val="21"/>
        <w:keepNext w:val="0"/>
        <w:keepLines w:val="0"/>
        <w:pageBreakBefore w:val="0"/>
        <w:numPr>
          <w:ilvl w:val="0"/>
          <w:numId w:val="6"/>
        </w:numP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抚育提质</w:t>
      </w:r>
    </w:p>
    <w:p w14:paraId="014A8FE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pacing w:val="0"/>
          <w:kern w:val="2"/>
          <w:sz w:val="24"/>
          <w:szCs w:val="24"/>
          <w:lang w:val="en-US" w:eastAsia="zh-CN" w:bidi="ar-SA"/>
        </w:rPr>
        <w:t>针对廊道内有一定比例阔叶树种的针叶中龄林、近成熟林，通过间伐针叶树种，对林内阔叶树种进行定向促进抚育，加快阔叶树种生长，提高阔叶树种在整体森林景观的占比。对林内目标树种资源丰富的林分，间伐非目标树种，定向抚育目标树种，加速目标景观的形成。对于廊道范围内，受松材线虫病、松毛虫害等森林病虫害影响的林分，均应采取除治伐措施，提遏制松材线虫病发生，提高森林的生态景观质量、森林资源质量和森林生态功能。</w:t>
      </w:r>
    </w:p>
    <w:p w14:paraId="3C96E9B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7、抚育剩余物处理</w:t>
      </w:r>
    </w:p>
    <w:p w14:paraId="034E82D5">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在林分抚育过程中，产生的规格材要确保物尽其用，避免价值的折损；对没有利用价值的作业剩余物，按照林业有害生物防治、森林防火、生态景观及生态保护等要求，集中进行堆集、平铺、清理并运离林区，以免引起森林火灾和滋生森林病虫害。</w:t>
      </w:r>
    </w:p>
    <w:p w14:paraId="46C91730">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8、森林防火</w:t>
      </w:r>
    </w:p>
    <w:p w14:paraId="4646C16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1）中标单位要在林业主管部门的指导下，制定严格的护林防火制度，禁止任何人携带火种进入作业区；禁止在作业区及其附近燃放烟花爆竹、野炊吸烟、焚烧垃圾与枯枝落叶；禁止炼山造林、采伐物烧除等活动；配备专职或兼职人员巡护森林，严格野外用火管理，及时报告、处置火情、火灾。</w:t>
      </w:r>
    </w:p>
    <w:p w14:paraId="2A33290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pacing w:val="0"/>
          <w:kern w:val="2"/>
          <w:sz w:val="24"/>
          <w:szCs w:val="24"/>
          <w:lang w:val="en-US" w:eastAsia="zh-CN" w:bidi="ar-SA"/>
        </w:rPr>
        <w:t>（2）加强专业扑火队伍的协同管理，确保科学、安全扑救森林火灾，协助有关单位查处森林火灾案情。</w:t>
      </w:r>
    </w:p>
    <w:p w14:paraId="3D56261F">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注：</w:t>
      </w:r>
    </w:p>
    <w:p w14:paraId="126552B5">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1、作业前要完成辅助项目实施及生产与生活资料的准备，人员组织，并在现场统一操作方法。</w:t>
      </w:r>
    </w:p>
    <w:p w14:paraId="598B3898">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u w:val="none"/>
          <w:lang w:val="en-US" w:eastAsia="zh-CN"/>
        </w:rPr>
      </w:pPr>
      <w:r>
        <w:rPr>
          <w:rFonts w:hint="eastAsia" w:ascii="宋体" w:hAnsi="宋体" w:eastAsia="宋体" w:cs="宋体"/>
          <w:b w:val="0"/>
          <w:bCs w:val="0"/>
          <w:spacing w:val="0"/>
          <w:sz w:val="24"/>
          <w:szCs w:val="24"/>
          <w:u w:val="none"/>
          <w:lang w:val="en-US" w:eastAsia="zh-CN"/>
        </w:rPr>
        <w:t>2、涉及采伐的抚育方式，抚育作业要按技术要求选择采伐木，并在其胸高处和根径处进行注记。</w:t>
      </w:r>
    </w:p>
    <w:p w14:paraId="34C5E6B1">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3、抚育材和采伐剩余物要及时清理，抚育残次材须按业主方要求运送至业主指定地点进行加工利用。</w:t>
      </w:r>
    </w:p>
    <w:p w14:paraId="34B5315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4、森林抚育的具体作业要求应严格按相关技术规范及标准执行。</w:t>
      </w:r>
    </w:p>
    <w:p w14:paraId="7CE975D4">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（三）作业监督</w:t>
      </w:r>
    </w:p>
    <w:p w14:paraId="6755C03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实施抚育作业的单位要有林业工程师以上职称的林业专业技术人员在现地指导抚育作业，确保工程质量。业主单位将派出质量监督员监督检查抚育作业情况，发现作业质量不合格的，中标单位必须及时返工。</w:t>
      </w:r>
    </w:p>
    <w:p w14:paraId="5E39FCEA">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（四）检查验收</w:t>
      </w:r>
    </w:p>
    <w:p w14:paraId="41C60EE3">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采购人委托第三方验收单位对森林抚育质量进行验收，检查验收在作业结束后立即进行。</w:t>
      </w:r>
    </w:p>
    <w:p w14:paraId="6097CF5D">
      <w:pPr>
        <w:pStyle w:val="29"/>
        <w:keepNext w:val="0"/>
        <w:keepLines w:val="0"/>
        <w:pageBreakBefore w:val="0"/>
        <w:numPr>
          <w:ilvl w:val="0"/>
          <w:numId w:val="0"/>
        </w:numPr>
        <w:kinsoku/>
        <w:wordWrap/>
        <w:overflowPunct/>
        <w:topLinePunct w:val="0"/>
        <w:autoSpaceDE/>
        <w:autoSpaceDN/>
        <w:bidi w:val="0"/>
        <w:adjustRightInd w:val="0"/>
        <w:snapToGrid w:val="0"/>
        <w:spacing w:line="360" w:lineRule="auto"/>
        <w:jc w:val="left"/>
        <w:rPr>
          <w:rFonts w:hint="eastAsia" w:ascii="宋体" w:hAnsi="宋体" w:eastAsia="宋体" w:cs="宋体"/>
          <w:b/>
          <w:sz w:val="24"/>
          <w:szCs w:val="24"/>
          <w:lang w:val="en-US" w:eastAsia="zh-CN"/>
        </w:rPr>
      </w:pPr>
      <w:r>
        <w:rPr>
          <w:rFonts w:hint="eastAsia" w:hAnsi="宋体" w:cs="宋体"/>
          <w:b/>
          <w:sz w:val="24"/>
          <w:szCs w:val="24"/>
          <w:lang w:val="en-US" w:eastAsia="zh-CN"/>
        </w:rPr>
        <w:t>四</w:t>
      </w:r>
      <w:r>
        <w:rPr>
          <w:rFonts w:hint="eastAsia" w:ascii="宋体" w:hAnsi="宋体" w:eastAsia="宋体" w:cs="宋体"/>
          <w:b/>
          <w:sz w:val="24"/>
          <w:szCs w:val="24"/>
          <w:lang w:val="en-US" w:eastAsia="zh-CN"/>
        </w:rPr>
        <w:t>、技术规范</w:t>
      </w:r>
    </w:p>
    <w:p w14:paraId="10C871D9">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1、《浙江省重点生态公益林管理办法》</w:t>
      </w:r>
    </w:p>
    <w:p w14:paraId="3F526662">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rPr>
        <w:t>2、《浙江省千万亩森林质量精准提升工程县级五年实施方案编制提纲及相关技术指导意见的通知》</w:t>
      </w:r>
    </w:p>
    <w:p w14:paraId="27005F94">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3、《中华人民共和国森林法》（2019 年修正）； </w:t>
      </w:r>
    </w:p>
    <w:p w14:paraId="67A3E760">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4、《中华人民共和国森林法实施条例》（2018年3月19日修改）； </w:t>
      </w:r>
    </w:p>
    <w:p w14:paraId="6FFCF63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5、《生态公益林建设导则》（GB/T18337.1-2001）； </w:t>
      </w:r>
    </w:p>
    <w:p w14:paraId="62B6A065">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6、《生态公益林建设技术规程》（DG/TJ 08—2058—2017）； </w:t>
      </w:r>
    </w:p>
    <w:p w14:paraId="2081113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7、中华人民共和国国家标准GB/T15781-2015《森林抚育规程》；</w:t>
      </w:r>
    </w:p>
    <w:p w14:paraId="431F9DD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8、《国家林业局森林抚育作业设计规定和森林抚育检查验收办法》（林造发［2014］140号）</w:t>
      </w:r>
    </w:p>
    <w:p w14:paraId="04D4EF6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9、《生态公益林建设技术规程》（GB/T18337·3-2001）；</w:t>
      </w:r>
    </w:p>
    <w:p w14:paraId="67CD433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10、《浙江省重点生态公益林管理办法》；</w:t>
      </w:r>
    </w:p>
    <w:p w14:paraId="0023174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注：上述规范如有更新的则按最新规范和标准要求执行，除上述规范以外的遵循国家及地方、行业现行的其它相关规范和标准要求。</w:t>
      </w:r>
    </w:p>
    <w:p w14:paraId="6C86801F">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lang w:eastAsia="zh-CN"/>
        </w:rPr>
        <w:t>五</w:t>
      </w:r>
      <w:r>
        <w:rPr>
          <w:rFonts w:hint="eastAsia" w:ascii="宋体" w:hAnsi="宋体" w:eastAsia="宋体" w:cs="宋体"/>
          <w:b/>
          <w:sz w:val="24"/>
          <w:szCs w:val="24"/>
        </w:rPr>
        <w:t>、付款方式：</w:t>
      </w:r>
    </w:p>
    <w:p w14:paraId="1CD55D53">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szCs w:val="24"/>
        </w:rPr>
        <w:t>采购人在合同生效以及具备实施条件后7个工作日内支付合同金额的</w:t>
      </w:r>
      <w:r>
        <w:rPr>
          <w:rFonts w:hint="eastAsia" w:ascii="宋体" w:hAnsi="宋体" w:cs="宋体"/>
          <w:sz w:val="24"/>
          <w:szCs w:val="24"/>
          <w:lang w:val="en-US" w:eastAsia="zh-CN"/>
        </w:rPr>
        <w:t>7</w:t>
      </w:r>
      <w:r>
        <w:rPr>
          <w:rFonts w:hint="eastAsia" w:ascii="宋体" w:hAnsi="宋体" w:eastAsia="宋体" w:cs="宋体"/>
          <w:sz w:val="24"/>
          <w:szCs w:val="24"/>
        </w:rPr>
        <w:t>0%预付款；项目</w:t>
      </w:r>
      <w:r>
        <w:rPr>
          <w:rFonts w:hint="eastAsia" w:ascii="宋体" w:hAnsi="宋体" w:cs="宋体"/>
          <w:sz w:val="24"/>
          <w:szCs w:val="24"/>
          <w:lang w:eastAsia="zh-CN"/>
        </w:rPr>
        <w:t>完成</w:t>
      </w:r>
      <w:r>
        <w:rPr>
          <w:rFonts w:hint="eastAsia" w:ascii="宋体" w:hAnsi="宋体" w:eastAsia="宋体" w:cs="宋体"/>
          <w:sz w:val="24"/>
          <w:szCs w:val="24"/>
        </w:rPr>
        <w:t>验收合格后支付</w:t>
      </w:r>
      <w:r>
        <w:rPr>
          <w:rFonts w:hint="eastAsia" w:ascii="宋体" w:hAnsi="宋体" w:cs="宋体"/>
          <w:sz w:val="24"/>
          <w:szCs w:val="24"/>
          <w:lang w:eastAsia="zh-CN"/>
        </w:rPr>
        <w:t>剩余款项</w:t>
      </w:r>
      <w:r>
        <w:rPr>
          <w:rFonts w:hint="eastAsia" w:ascii="宋体" w:hAnsi="宋体" w:eastAsia="宋体" w:cs="宋体"/>
          <w:sz w:val="24"/>
          <w:szCs w:val="24"/>
        </w:rPr>
        <w:t>。</w:t>
      </w:r>
      <w:r>
        <w:rPr>
          <w:rFonts w:hint="eastAsia" w:ascii="宋体" w:hAnsi="宋体" w:cs="宋体"/>
          <w:sz w:val="24"/>
          <w:szCs w:val="24"/>
          <w:lang w:eastAsia="zh-CN"/>
        </w:rPr>
        <w:t>中标</w:t>
      </w:r>
      <w:r>
        <w:rPr>
          <w:rFonts w:hint="eastAsia" w:ascii="宋体" w:hAnsi="宋体" w:eastAsia="宋体" w:cs="宋体"/>
          <w:sz w:val="24"/>
          <w:szCs w:val="24"/>
        </w:rPr>
        <w:t>供应商根据采购人每期的支付金额提供正规</w:t>
      </w:r>
      <w:r>
        <w:rPr>
          <w:rFonts w:hint="eastAsia" w:ascii="宋体" w:hAnsi="宋体" w:eastAsia="宋体" w:cs="宋体"/>
          <w:sz w:val="24"/>
        </w:rPr>
        <w:t>税务发票。</w:t>
      </w:r>
    </w:p>
    <w:p w14:paraId="0EE3FC14">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rPr>
        <w:t>税费：本服务执行中相关的一切税费均由</w:t>
      </w:r>
      <w:r>
        <w:rPr>
          <w:rFonts w:hint="eastAsia" w:ascii="宋体" w:hAnsi="宋体" w:cs="宋体"/>
          <w:sz w:val="24"/>
          <w:lang w:eastAsia="zh-CN"/>
        </w:rPr>
        <w:t>中标</w:t>
      </w:r>
      <w:r>
        <w:rPr>
          <w:rFonts w:hint="eastAsia" w:ascii="宋体" w:hAnsi="宋体" w:eastAsia="宋体" w:cs="宋体"/>
          <w:sz w:val="24"/>
        </w:rPr>
        <w:t xml:space="preserve">供应商负担。 </w:t>
      </w:r>
    </w:p>
    <w:p w14:paraId="5E4DE1CB">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rPr>
        <w:t>注：若</w:t>
      </w:r>
      <w:r>
        <w:rPr>
          <w:rFonts w:hint="eastAsia" w:ascii="宋体" w:hAnsi="宋体" w:cs="宋体"/>
          <w:sz w:val="24"/>
          <w:lang w:eastAsia="zh-CN"/>
        </w:rPr>
        <w:t>中标</w:t>
      </w:r>
      <w:r>
        <w:rPr>
          <w:rFonts w:hint="eastAsia" w:ascii="宋体" w:hAnsi="宋体" w:eastAsia="宋体" w:cs="宋体"/>
          <w:sz w:val="24"/>
        </w:rPr>
        <w:t>供应商明确表示无需预付款或者主动要求降低预付款比例的，采购人可不适用前述规定。</w:t>
      </w:r>
    </w:p>
    <w:p w14:paraId="5BFA92F8">
      <w:pPr>
        <w:keepNext w:val="0"/>
        <w:keepLines w:val="0"/>
        <w:pageBreakBefore w:val="0"/>
        <w:widowControl w:val="0"/>
        <w:kinsoku/>
        <w:wordWrap/>
        <w:overflowPunct/>
        <w:topLinePunct w:val="0"/>
        <w:autoSpaceDE w:val="0"/>
        <w:autoSpaceDN w:val="0"/>
        <w:bidi w:val="0"/>
        <w:adjustRightInd/>
        <w:snapToGrid/>
        <w:spacing w:line="380" w:lineRule="exact"/>
        <w:textAlignment w:val="auto"/>
        <w:outlineLvl w:val="1"/>
        <w:rPr>
          <w:b/>
          <w:bCs/>
          <w:sz w:val="24"/>
        </w:rPr>
      </w:pPr>
      <w:r>
        <w:rPr>
          <w:rFonts w:hint="eastAsia"/>
          <w:b/>
          <w:bCs/>
          <w:sz w:val="24"/>
          <w:lang w:eastAsia="zh-CN"/>
        </w:rPr>
        <w:t>六、</w:t>
      </w:r>
      <w:r>
        <w:rPr>
          <w:rFonts w:hint="eastAsia"/>
          <w:b/>
          <w:bCs/>
          <w:sz w:val="24"/>
        </w:rPr>
        <w:t xml:space="preserve">扶持政策说明： </w:t>
      </w:r>
    </w:p>
    <w:p w14:paraId="0F92DFE1">
      <w:pPr>
        <w:keepNext w:val="0"/>
        <w:keepLines w:val="0"/>
        <w:pageBreakBefore w:val="0"/>
        <w:widowControl w:val="0"/>
        <w:kinsoku/>
        <w:wordWrap/>
        <w:overflowPunct/>
        <w:topLinePunct w:val="0"/>
        <w:autoSpaceDE w:val="0"/>
        <w:autoSpaceDN w:val="0"/>
        <w:bidi w:val="0"/>
        <w:adjustRightInd/>
        <w:snapToGrid/>
        <w:spacing w:line="380" w:lineRule="exact"/>
        <w:ind w:firstLine="482" w:firstLineChars="200"/>
        <w:textAlignment w:val="auto"/>
        <w:outlineLvl w:val="1"/>
        <w:rPr>
          <w:b/>
          <w:bCs/>
          <w:sz w:val="24"/>
        </w:rPr>
      </w:pPr>
      <w:r>
        <w:rPr>
          <w:rFonts w:hint="eastAsia"/>
          <w:b/>
          <w:bCs/>
          <w:sz w:val="24"/>
        </w:rPr>
        <w:t>1、本项目采购标的对应的中小企业划分标准所属行业为农、林、牧、渔业</w:t>
      </w:r>
      <w:r>
        <w:rPr>
          <w:rFonts w:hint="eastAsia"/>
          <w:b/>
          <w:bCs/>
          <w:sz w:val="24"/>
          <w:lang w:eastAsia="zh-CN"/>
        </w:rPr>
        <w:t>或其他未列明行业</w:t>
      </w:r>
      <w:r>
        <w:rPr>
          <w:rFonts w:hint="eastAsia"/>
          <w:b/>
          <w:bCs/>
          <w:sz w:val="24"/>
        </w:rPr>
        <w:t>。</w:t>
      </w:r>
    </w:p>
    <w:p w14:paraId="5208467E">
      <w:pPr>
        <w:spacing w:line="360" w:lineRule="auto"/>
        <w:jc w:val="center"/>
        <w:outlineLvl w:val="0"/>
        <w:rPr>
          <w:rFonts w:hint="eastAsia" w:ascii="宋体" w:hAnsi="宋体" w:cs="仿宋"/>
          <w:b/>
          <w:sz w:val="30"/>
          <w:szCs w:val="30"/>
        </w:rPr>
      </w:pPr>
    </w:p>
    <w:p w14:paraId="3B86C31A">
      <w:pPr>
        <w:spacing w:line="360" w:lineRule="auto"/>
        <w:jc w:val="center"/>
        <w:outlineLvl w:val="0"/>
        <w:rPr>
          <w:rFonts w:ascii="宋体" w:hAnsi="宋体" w:cs="仿宋"/>
          <w:b/>
          <w:sz w:val="30"/>
          <w:szCs w:val="30"/>
        </w:rPr>
      </w:pPr>
      <w:r>
        <w:rPr>
          <w:rFonts w:hint="eastAsia" w:ascii="宋体" w:hAnsi="宋体" w:cs="仿宋"/>
          <w:b/>
          <w:sz w:val="30"/>
          <w:szCs w:val="30"/>
        </w:rPr>
        <w:t>第三章  投标供应商须知</w:t>
      </w:r>
      <w:bookmarkEnd w:id="17"/>
    </w:p>
    <w:p w14:paraId="7D6C176D">
      <w:pPr>
        <w:jc w:val="center"/>
        <w:rPr>
          <w:rFonts w:ascii="宋体" w:hAnsi="宋体" w:cs="仿宋"/>
          <w:b/>
          <w:szCs w:val="28"/>
        </w:rPr>
      </w:pPr>
      <w:r>
        <w:rPr>
          <w:rFonts w:hint="eastAsia" w:ascii="宋体" w:hAnsi="宋体" w:cs="仿宋"/>
          <w:b/>
          <w:szCs w:val="28"/>
        </w:rPr>
        <w:t>前附表</w:t>
      </w:r>
    </w:p>
    <w:tbl>
      <w:tblPr>
        <w:tblStyle w:val="44"/>
        <w:tblW w:w="512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6"/>
        <w:gridCol w:w="9122"/>
      </w:tblGrid>
      <w:tr w14:paraId="7AB21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38" w:type="pct"/>
            <w:tcBorders>
              <w:top w:val="single" w:color="auto" w:sz="4" w:space="0"/>
              <w:left w:val="single" w:color="auto" w:sz="4" w:space="0"/>
              <w:bottom w:val="single" w:color="auto" w:sz="4" w:space="0"/>
              <w:right w:val="single" w:color="auto" w:sz="4" w:space="0"/>
            </w:tcBorders>
            <w:vAlign w:val="center"/>
          </w:tcPr>
          <w:p w14:paraId="265213EF">
            <w:pPr>
              <w:snapToGrid w:val="0"/>
              <w:spacing w:line="300" w:lineRule="exact"/>
              <w:jc w:val="center"/>
              <w:rPr>
                <w:rFonts w:ascii="宋体" w:hAnsi="宋体" w:cs="仿宋"/>
                <w:sz w:val="24"/>
                <w:szCs w:val="20"/>
              </w:rPr>
            </w:pPr>
            <w:r>
              <w:rPr>
                <w:rFonts w:hint="eastAsia" w:ascii="宋体" w:hAnsi="宋体" w:cs="仿宋"/>
                <w:sz w:val="24"/>
              </w:rPr>
              <w:t>序号</w:t>
            </w:r>
          </w:p>
        </w:tc>
        <w:tc>
          <w:tcPr>
            <w:tcW w:w="4561" w:type="pct"/>
            <w:tcBorders>
              <w:top w:val="single" w:color="auto" w:sz="4" w:space="0"/>
              <w:left w:val="single" w:color="auto" w:sz="4" w:space="0"/>
              <w:bottom w:val="single" w:color="auto" w:sz="4" w:space="0"/>
              <w:right w:val="single" w:color="auto" w:sz="4" w:space="0"/>
            </w:tcBorders>
            <w:vAlign w:val="center"/>
          </w:tcPr>
          <w:p w14:paraId="13868C05">
            <w:pPr>
              <w:snapToGrid w:val="0"/>
              <w:spacing w:line="300" w:lineRule="exact"/>
              <w:jc w:val="center"/>
              <w:rPr>
                <w:rFonts w:ascii="宋体" w:hAnsi="宋体" w:cs="仿宋"/>
                <w:sz w:val="24"/>
                <w:szCs w:val="20"/>
              </w:rPr>
            </w:pPr>
            <w:r>
              <w:rPr>
                <w:rFonts w:hint="eastAsia" w:ascii="宋体" w:hAnsi="宋体" w:cs="仿宋"/>
                <w:sz w:val="24"/>
              </w:rPr>
              <w:t>内容、要求</w:t>
            </w:r>
          </w:p>
        </w:tc>
      </w:tr>
      <w:tr w14:paraId="3E89A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77A071C7">
            <w:pPr>
              <w:snapToGrid w:val="0"/>
              <w:spacing w:line="400" w:lineRule="exact"/>
              <w:jc w:val="center"/>
              <w:rPr>
                <w:rFonts w:ascii="宋体" w:hAnsi="宋体" w:cs="仿宋"/>
                <w:sz w:val="24"/>
                <w:szCs w:val="20"/>
              </w:rPr>
            </w:pPr>
            <w:r>
              <w:rPr>
                <w:rFonts w:hint="eastAsia" w:ascii="宋体" w:hAnsi="宋体" w:cs="仿宋"/>
                <w:sz w:val="24"/>
              </w:rPr>
              <w:t>1</w:t>
            </w:r>
          </w:p>
        </w:tc>
        <w:tc>
          <w:tcPr>
            <w:tcW w:w="4561" w:type="pct"/>
            <w:tcBorders>
              <w:top w:val="single" w:color="auto" w:sz="4" w:space="0"/>
              <w:left w:val="single" w:color="auto" w:sz="4" w:space="0"/>
              <w:bottom w:val="single" w:color="auto" w:sz="4" w:space="0"/>
              <w:right w:val="single" w:color="auto" w:sz="4" w:space="0"/>
            </w:tcBorders>
            <w:vAlign w:val="center"/>
          </w:tcPr>
          <w:p w14:paraId="67E3B6A0">
            <w:pPr>
              <w:keepNext w:val="0"/>
              <w:keepLines w:val="0"/>
              <w:pageBreakBefore w:val="0"/>
              <w:widowControl w:val="0"/>
              <w:kinsoku/>
              <w:wordWrap/>
              <w:overflowPunct/>
              <w:topLinePunct w:val="0"/>
              <w:autoSpaceDE/>
              <w:autoSpaceDN/>
              <w:bidi w:val="0"/>
              <w:adjustRightInd/>
              <w:snapToGrid w:val="0"/>
              <w:spacing w:line="400" w:lineRule="exact"/>
              <w:ind w:left="-140" w:leftChars="-50" w:right="-140" w:rightChars="-50"/>
              <w:textAlignment w:val="auto"/>
              <w:rPr>
                <w:rFonts w:hint="eastAsia"/>
                <w:lang w:eastAsia="zh-CN"/>
              </w:rPr>
            </w:pPr>
            <w:r>
              <w:rPr>
                <w:rFonts w:hint="eastAsia" w:ascii="宋体" w:hAnsi="宋体" w:cs="仿宋"/>
                <w:sz w:val="24"/>
              </w:rPr>
              <w:t>项目名称：</w:t>
            </w:r>
            <w:r>
              <w:rPr>
                <w:rFonts w:hint="eastAsia" w:ascii="宋体" w:hAnsi="宋体" w:cs="仿宋"/>
                <w:sz w:val="24"/>
                <w:lang w:eastAsia="zh-CN"/>
              </w:rPr>
              <w:t>吴兴区2024年度千万亩森林质量精准提升工程</w:t>
            </w:r>
          </w:p>
        </w:tc>
      </w:tr>
      <w:tr w14:paraId="385BD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3E1E629B">
            <w:pPr>
              <w:snapToGrid w:val="0"/>
              <w:spacing w:line="400" w:lineRule="exact"/>
              <w:jc w:val="center"/>
              <w:rPr>
                <w:rFonts w:ascii="宋体" w:hAnsi="宋体" w:cs="仿宋"/>
                <w:sz w:val="24"/>
                <w:szCs w:val="20"/>
              </w:rPr>
            </w:pPr>
            <w:r>
              <w:rPr>
                <w:rFonts w:hint="eastAsia" w:ascii="宋体" w:hAnsi="宋体" w:cs="仿宋"/>
                <w:sz w:val="24"/>
              </w:rPr>
              <w:t>2</w:t>
            </w:r>
          </w:p>
        </w:tc>
        <w:tc>
          <w:tcPr>
            <w:tcW w:w="4561" w:type="pct"/>
            <w:tcBorders>
              <w:top w:val="single" w:color="auto" w:sz="4" w:space="0"/>
              <w:left w:val="single" w:color="auto" w:sz="4" w:space="0"/>
              <w:bottom w:val="single" w:color="auto" w:sz="4" w:space="0"/>
              <w:right w:val="single" w:color="auto" w:sz="4" w:space="0"/>
            </w:tcBorders>
            <w:vAlign w:val="center"/>
          </w:tcPr>
          <w:p w14:paraId="7AFC1A21">
            <w:pPr>
              <w:snapToGrid w:val="0"/>
              <w:spacing w:line="400" w:lineRule="exact"/>
              <w:rPr>
                <w:rFonts w:ascii="宋体" w:hAnsi="宋体" w:cs="仿宋"/>
                <w:sz w:val="24"/>
              </w:rPr>
            </w:pPr>
            <w:r>
              <w:rPr>
                <w:rFonts w:hint="eastAsia" w:ascii="宋体" w:hAnsi="宋体" w:cs="仿宋"/>
                <w:sz w:val="24"/>
              </w:rPr>
              <w:t>采购内容：具体详见第二章</w:t>
            </w:r>
          </w:p>
        </w:tc>
      </w:tr>
      <w:tr w14:paraId="3B710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428D2DB1">
            <w:pPr>
              <w:snapToGrid w:val="0"/>
              <w:spacing w:line="400" w:lineRule="exact"/>
              <w:jc w:val="center"/>
              <w:rPr>
                <w:rFonts w:ascii="宋体" w:hAnsi="宋体" w:cs="仿宋"/>
                <w:sz w:val="24"/>
                <w:szCs w:val="20"/>
              </w:rPr>
            </w:pPr>
            <w:r>
              <w:rPr>
                <w:rFonts w:hint="eastAsia" w:ascii="宋体" w:hAnsi="宋体" w:cs="仿宋"/>
                <w:sz w:val="24"/>
              </w:rPr>
              <w:t>3</w:t>
            </w:r>
          </w:p>
        </w:tc>
        <w:tc>
          <w:tcPr>
            <w:tcW w:w="4561" w:type="pct"/>
            <w:tcBorders>
              <w:top w:val="single" w:color="auto" w:sz="4" w:space="0"/>
              <w:left w:val="single" w:color="auto" w:sz="4" w:space="0"/>
              <w:bottom w:val="single" w:color="auto" w:sz="4" w:space="0"/>
              <w:right w:val="single" w:color="auto" w:sz="4" w:space="0"/>
            </w:tcBorders>
            <w:vAlign w:val="center"/>
          </w:tcPr>
          <w:p w14:paraId="17F86E03">
            <w:pPr>
              <w:snapToGrid w:val="0"/>
              <w:spacing w:line="400" w:lineRule="exact"/>
              <w:rPr>
                <w:rFonts w:ascii="宋体" w:hAnsi="宋体" w:cs="仿宋"/>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、不论投标结果如何，投标供应商均应自行承担所有与投标有关的全部费用；</w:t>
            </w:r>
            <w:r>
              <w:rPr>
                <w:rFonts w:ascii="宋体" w:hAnsi="宋体"/>
                <w:sz w:val="24"/>
              </w:rPr>
              <w:t>3</w:t>
            </w:r>
            <w:r>
              <w:rPr>
                <w:rFonts w:hint="eastAsia" w:ascii="宋体" w:hAnsi="宋体"/>
                <w:sz w:val="24"/>
              </w:rPr>
              <w:t>、本项目</w:t>
            </w:r>
            <w:r>
              <w:rPr>
                <w:rFonts w:hint="eastAsia" w:ascii="宋体" w:hAnsi="宋体"/>
                <w:color w:val="000000"/>
                <w:sz w:val="24"/>
              </w:rPr>
              <w:t>招标代理服务费：按</w:t>
            </w:r>
            <w:r>
              <w:rPr>
                <w:rFonts w:hint="eastAsia" w:ascii="宋体" w:hAnsi="宋体"/>
                <w:color w:val="000000"/>
                <w:sz w:val="24"/>
                <w:lang w:val="en-US" w:eastAsia="zh-CN"/>
              </w:rPr>
              <w:t>13629</w:t>
            </w:r>
            <w:r>
              <w:rPr>
                <w:rFonts w:hint="eastAsia" w:ascii="宋体" w:hAnsi="宋体"/>
                <w:color w:val="000000"/>
                <w:sz w:val="24"/>
              </w:rPr>
              <w:t>元收取，由中标供应商全额支付，投标供应商应自行考虑列入投标报价。</w:t>
            </w:r>
          </w:p>
        </w:tc>
      </w:tr>
      <w:tr w14:paraId="611ED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2254C498">
            <w:pPr>
              <w:snapToGrid w:val="0"/>
              <w:spacing w:line="400" w:lineRule="exact"/>
              <w:jc w:val="center"/>
              <w:rPr>
                <w:rFonts w:ascii="宋体" w:hAnsi="宋体" w:cs="仿宋"/>
                <w:sz w:val="24"/>
                <w:szCs w:val="20"/>
              </w:rPr>
            </w:pPr>
            <w:r>
              <w:rPr>
                <w:rFonts w:hint="eastAsia" w:ascii="宋体" w:hAnsi="宋体" w:cs="仿宋"/>
                <w:sz w:val="24"/>
              </w:rPr>
              <w:t>4</w:t>
            </w:r>
          </w:p>
        </w:tc>
        <w:tc>
          <w:tcPr>
            <w:tcW w:w="4561" w:type="pct"/>
            <w:tcBorders>
              <w:top w:val="single" w:color="auto" w:sz="4" w:space="0"/>
              <w:left w:val="single" w:color="auto" w:sz="4" w:space="0"/>
              <w:bottom w:val="single" w:color="auto" w:sz="4" w:space="0"/>
              <w:right w:val="single" w:color="auto" w:sz="4" w:space="0"/>
            </w:tcBorders>
            <w:vAlign w:val="center"/>
          </w:tcPr>
          <w:p w14:paraId="54521ED5">
            <w:pPr>
              <w:snapToGrid w:val="0"/>
              <w:spacing w:line="400" w:lineRule="exact"/>
              <w:rPr>
                <w:rFonts w:ascii="宋体" w:hAnsi="宋体" w:cs="仿宋"/>
                <w:sz w:val="24"/>
              </w:rPr>
            </w:pPr>
            <w:r>
              <w:rPr>
                <w:rFonts w:hint="eastAsia" w:ascii="宋体" w:hAnsi="宋体" w:cs="仿宋"/>
                <w:sz w:val="24"/>
              </w:rPr>
              <w:t>答疑与澄清：</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rPr>
              <w:t>（逾期将不再受理）</w:t>
            </w:r>
            <w:r>
              <w:rPr>
                <w:rFonts w:hint="eastAsia" w:ascii="宋体" w:hAnsi="宋体"/>
                <w:sz w:val="24"/>
                <w:szCs w:val="20"/>
              </w:rPr>
              <w:t>，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14:paraId="55C7F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59116BD4">
            <w:pPr>
              <w:snapToGrid w:val="0"/>
              <w:spacing w:line="400" w:lineRule="exact"/>
              <w:jc w:val="center"/>
              <w:rPr>
                <w:rFonts w:ascii="宋体" w:hAnsi="宋体" w:cs="仿宋"/>
                <w:sz w:val="24"/>
                <w:szCs w:val="20"/>
              </w:rPr>
            </w:pPr>
            <w:r>
              <w:rPr>
                <w:rFonts w:hint="eastAsia" w:ascii="宋体" w:hAnsi="宋体" w:cs="仿宋"/>
                <w:sz w:val="24"/>
              </w:rPr>
              <w:t>5</w:t>
            </w:r>
          </w:p>
        </w:tc>
        <w:tc>
          <w:tcPr>
            <w:tcW w:w="4561" w:type="pct"/>
            <w:tcBorders>
              <w:top w:val="single" w:color="auto" w:sz="4" w:space="0"/>
              <w:left w:val="single" w:color="auto" w:sz="4" w:space="0"/>
              <w:bottom w:val="single" w:color="auto" w:sz="4" w:space="0"/>
              <w:right w:val="single" w:color="auto" w:sz="4" w:space="0"/>
            </w:tcBorders>
            <w:vAlign w:val="center"/>
          </w:tcPr>
          <w:p w14:paraId="40B36CB3">
            <w:pPr>
              <w:snapToGrid w:val="0"/>
              <w:spacing w:line="400" w:lineRule="exact"/>
              <w:rPr>
                <w:rFonts w:ascii="宋体" w:hAnsi="宋体" w:cs="仿宋"/>
                <w:sz w:val="24"/>
              </w:rPr>
            </w:pPr>
            <w:r>
              <w:rPr>
                <w:rFonts w:hint="eastAsia" w:ascii="宋体" w:hAnsi="宋体" w:cs="仿宋"/>
                <w:sz w:val="24"/>
              </w:rPr>
              <w:t>1、投标文件组成：《资格文件》、《商务技术资信及其他文件》、《报价文件》三部分组成。</w:t>
            </w:r>
          </w:p>
          <w:p w14:paraId="72FA174C">
            <w:pPr>
              <w:snapToGrid w:val="0"/>
              <w:spacing w:line="400" w:lineRule="exact"/>
              <w:rPr>
                <w:rFonts w:ascii="宋体" w:hAnsi="宋体" w:cs="仿宋"/>
                <w:sz w:val="24"/>
              </w:rPr>
            </w:pPr>
            <w:r>
              <w:rPr>
                <w:rFonts w:hint="eastAsia" w:ascii="宋体" w:hAnsi="宋体" w:cs="仿宋"/>
                <w:sz w:val="24"/>
              </w:rPr>
              <w:t>2、投标文件编制：投标供应商应先安装“政采云电子交易客户端”，并按照本采购文件和“政府采购云平台”的要求，通过“政采云电子交易客户端”编制并加密投标文件。</w:t>
            </w:r>
          </w:p>
          <w:p w14:paraId="2380F367">
            <w:pPr>
              <w:snapToGrid w:val="0"/>
              <w:spacing w:line="400" w:lineRule="exact"/>
              <w:rPr>
                <w:rFonts w:ascii="宋体" w:hAnsi="宋体" w:cs="仿宋"/>
                <w:sz w:val="24"/>
              </w:rPr>
            </w:pPr>
            <w:r>
              <w:rPr>
                <w:rFonts w:hint="eastAsia" w:ascii="宋体" w:hAnsi="宋体" w:cs="仿宋"/>
                <w:sz w:val="24"/>
              </w:rPr>
              <w:t>3、投标文件的形式：电子投标文件（包括“电子加密投标文件”和“备份投标文件”，在投标文件编制完成后同时生成）；</w:t>
            </w:r>
          </w:p>
          <w:p w14:paraId="76CBA6AB">
            <w:pPr>
              <w:snapToGrid w:val="0"/>
              <w:spacing w:line="400" w:lineRule="exact"/>
              <w:ind w:firstLine="480" w:firstLineChars="200"/>
              <w:rPr>
                <w:rFonts w:ascii="宋体" w:hAnsi="宋体" w:cs="仿宋"/>
                <w:sz w:val="24"/>
              </w:rPr>
            </w:pPr>
            <w:r>
              <w:rPr>
                <w:rFonts w:hint="eastAsia" w:ascii="宋体" w:hAnsi="宋体" w:cs="仿宋"/>
                <w:sz w:val="24"/>
              </w:rPr>
              <w:t>（1）“电子加密投标文件”是指通过“政采云电子交易客户端”完成投标文件编制后生成并加密的数据电文形式的投标文件。</w:t>
            </w:r>
          </w:p>
          <w:p w14:paraId="7F55CE0A">
            <w:pPr>
              <w:snapToGrid w:val="0"/>
              <w:spacing w:line="400" w:lineRule="exact"/>
              <w:ind w:firstLine="480" w:firstLineChars="200"/>
              <w:rPr>
                <w:rFonts w:ascii="宋体" w:hAnsi="宋体" w:cs="仿宋"/>
                <w:sz w:val="24"/>
              </w:rPr>
            </w:pPr>
            <w:r>
              <w:rPr>
                <w:rFonts w:hint="eastAsia" w:ascii="宋体" w:hAnsi="宋体" w:cs="仿宋"/>
                <w:sz w:val="24"/>
              </w:rPr>
              <w:t>（2）“备份投标文件”是指与“电子加密投标文件”同时生成的数据电文形式的电子文件（备份标书），其他方式编制的备份投标文件视为无效备份投标文件。</w:t>
            </w:r>
          </w:p>
          <w:p w14:paraId="147B1AE8">
            <w:pPr>
              <w:snapToGrid w:val="0"/>
              <w:spacing w:line="400" w:lineRule="exact"/>
              <w:rPr>
                <w:rFonts w:ascii="宋体" w:hAnsi="宋体" w:cs="仿宋"/>
                <w:sz w:val="24"/>
              </w:rPr>
            </w:pPr>
            <w:r>
              <w:rPr>
                <w:rFonts w:hint="eastAsia" w:ascii="宋体" w:hAnsi="宋体" w:cs="仿宋"/>
                <w:sz w:val="24"/>
              </w:rPr>
              <w:t>4、投标文件份数：</w:t>
            </w:r>
          </w:p>
          <w:p w14:paraId="75316B9E">
            <w:pPr>
              <w:snapToGrid w:val="0"/>
              <w:spacing w:line="400" w:lineRule="exact"/>
              <w:ind w:firstLine="480" w:firstLineChars="200"/>
              <w:rPr>
                <w:rFonts w:ascii="宋体" w:hAnsi="宋体" w:cs="仿宋"/>
                <w:sz w:val="24"/>
              </w:rPr>
            </w:pPr>
            <w:r>
              <w:rPr>
                <w:rFonts w:hint="eastAsia" w:ascii="宋体" w:hAnsi="宋体" w:cs="仿宋"/>
                <w:sz w:val="24"/>
              </w:rPr>
              <w:t>（1）“电子加密投标文件”：在线上传递交一份。</w:t>
            </w:r>
          </w:p>
          <w:p w14:paraId="12B9C319">
            <w:pPr>
              <w:snapToGrid w:val="0"/>
              <w:spacing w:line="400" w:lineRule="exact"/>
              <w:ind w:firstLine="480" w:firstLineChars="200"/>
              <w:rPr>
                <w:rFonts w:ascii="宋体" w:hAnsi="宋体" w:cs="仿宋"/>
                <w:sz w:val="24"/>
              </w:rPr>
            </w:pPr>
            <w:r>
              <w:rPr>
                <w:rFonts w:hint="eastAsia" w:ascii="宋体" w:hAnsi="宋体" w:cs="仿宋"/>
                <w:sz w:val="24"/>
              </w:rPr>
              <w:t>（2）“备份投标文件”：密封包装</w:t>
            </w:r>
            <w:r>
              <w:rPr>
                <w:rFonts w:hint="eastAsia" w:ascii="宋体" w:hAnsi="宋体" w:cs="仿宋"/>
                <w:sz w:val="24"/>
                <w:highlight w:val="none"/>
              </w:rPr>
              <w:t>后应在</w:t>
            </w:r>
            <w:r>
              <w:rPr>
                <w:rFonts w:hint="eastAsia" w:ascii="宋体" w:hAnsi="宋体" w:cs="仿宋"/>
                <w:sz w:val="24"/>
              </w:rPr>
              <w:t>寄至</w:t>
            </w:r>
            <w:r>
              <w:rPr>
                <w:rFonts w:hint="eastAsia" w:ascii="宋体" w:hAnsi="宋体" w:cs="仿宋"/>
                <w:sz w:val="24"/>
                <w:lang w:eastAsia="zh-CN"/>
              </w:rPr>
              <w:t>湖州泓达工程管理咨询有限公司</w:t>
            </w:r>
            <w:r>
              <w:rPr>
                <w:rFonts w:hint="eastAsia" w:ascii="宋体" w:hAnsi="宋体" w:cs="仿宋"/>
                <w:sz w:val="24"/>
              </w:rPr>
              <w:t>；收件人：</w:t>
            </w:r>
            <w:r>
              <w:rPr>
                <w:rFonts w:hint="eastAsia" w:ascii="宋体" w:hAnsi="宋体" w:cs="仿宋"/>
                <w:sz w:val="24"/>
                <w:lang w:eastAsia="zh-CN"/>
              </w:rPr>
              <w:t>高婧靓</w:t>
            </w:r>
            <w:r>
              <w:rPr>
                <w:rFonts w:hint="eastAsia" w:ascii="宋体" w:hAnsi="宋体" w:cs="仿宋"/>
                <w:sz w:val="24"/>
              </w:rPr>
              <w:t>；联系电话：0572-</w:t>
            </w:r>
            <w:r>
              <w:rPr>
                <w:rFonts w:hint="eastAsia" w:ascii="宋体" w:hAnsi="宋体" w:cs="仿宋"/>
                <w:sz w:val="24"/>
                <w:lang w:val="en-US" w:eastAsia="zh-CN"/>
              </w:rPr>
              <w:t>2068728</w:t>
            </w:r>
            <w:r>
              <w:rPr>
                <w:rFonts w:hint="eastAsia" w:ascii="宋体" w:hAnsi="宋体" w:cs="仿宋"/>
                <w:sz w:val="24"/>
              </w:rPr>
              <w:t>，数量为U盘一份。</w:t>
            </w:r>
          </w:p>
          <w:p w14:paraId="683EC63B">
            <w:pPr>
              <w:snapToGrid w:val="0"/>
              <w:spacing w:line="400" w:lineRule="exact"/>
              <w:rPr>
                <w:rFonts w:hint="eastAsia" w:ascii="宋体" w:hAnsi="宋体" w:cs="仿宋"/>
                <w:sz w:val="24"/>
              </w:rPr>
            </w:pPr>
          </w:p>
          <w:p w14:paraId="1C0590D7">
            <w:pPr>
              <w:snapToGrid w:val="0"/>
              <w:spacing w:line="400" w:lineRule="exact"/>
              <w:rPr>
                <w:rFonts w:ascii="宋体" w:hAnsi="宋体" w:cs="仿宋"/>
                <w:sz w:val="24"/>
              </w:rPr>
            </w:pPr>
            <w:r>
              <w:rPr>
                <w:rFonts w:hint="eastAsia" w:ascii="宋体" w:hAnsi="宋体" w:cs="仿宋"/>
                <w:sz w:val="24"/>
              </w:rPr>
              <w:t>5、投标文件的上传和递交：</w:t>
            </w:r>
          </w:p>
          <w:p w14:paraId="478318D8">
            <w:pPr>
              <w:snapToGrid w:val="0"/>
              <w:spacing w:line="400" w:lineRule="exact"/>
              <w:ind w:firstLine="480" w:firstLineChars="200"/>
              <w:rPr>
                <w:rFonts w:ascii="宋体" w:hAnsi="宋体" w:cs="仿宋"/>
                <w:sz w:val="24"/>
              </w:rPr>
            </w:pPr>
            <w:r>
              <w:rPr>
                <w:rFonts w:hint="eastAsia" w:ascii="宋体" w:hAnsi="宋体" w:cs="仿宋"/>
                <w:sz w:val="24"/>
              </w:rPr>
              <w:t>（1）“电子加密投标文件”的上传、递交：</w:t>
            </w:r>
          </w:p>
          <w:p w14:paraId="41FC083E">
            <w:pPr>
              <w:snapToGrid w:val="0"/>
              <w:spacing w:line="400" w:lineRule="exact"/>
              <w:ind w:firstLine="480" w:firstLineChars="200"/>
              <w:rPr>
                <w:rFonts w:ascii="宋体" w:hAnsi="宋体" w:cs="仿宋"/>
                <w:sz w:val="24"/>
              </w:rPr>
            </w:pPr>
            <w:r>
              <w:rPr>
                <w:rFonts w:hint="eastAsia" w:ascii="宋体" w:hAnsi="宋体" w:cs="仿宋"/>
                <w:sz w:val="24"/>
              </w:rPr>
              <w:t>a.投标供应商应在投标截止时间前将“电子加密投标文件”成功上传递交至“政府采购云平台”，否则投标无效。</w:t>
            </w:r>
          </w:p>
          <w:p w14:paraId="466D4771">
            <w:pPr>
              <w:snapToGrid w:val="0"/>
              <w:spacing w:line="400" w:lineRule="exact"/>
              <w:ind w:firstLine="480" w:firstLineChars="200"/>
              <w:rPr>
                <w:rFonts w:ascii="宋体" w:hAnsi="宋体" w:cs="仿宋"/>
                <w:sz w:val="24"/>
              </w:rPr>
            </w:pPr>
            <w:r>
              <w:rPr>
                <w:rFonts w:hint="eastAsia" w:ascii="宋体" w:hAnsi="宋体" w:cs="仿宋"/>
                <w:sz w:val="24"/>
              </w:rPr>
              <w:t>b.“电子加密投标文件”成功上传递交后，投标供应商可自行打印投标文件接收回执。</w:t>
            </w:r>
          </w:p>
          <w:p w14:paraId="15144C06">
            <w:pPr>
              <w:snapToGrid w:val="0"/>
              <w:spacing w:line="400" w:lineRule="exact"/>
              <w:ind w:firstLine="480" w:firstLineChars="200"/>
              <w:rPr>
                <w:rFonts w:ascii="宋体" w:hAnsi="宋体" w:cs="仿宋"/>
                <w:sz w:val="24"/>
              </w:rPr>
            </w:pPr>
            <w:r>
              <w:rPr>
                <w:rFonts w:hint="eastAsia" w:ascii="宋体" w:hAnsi="宋体" w:cs="仿宋"/>
                <w:sz w:val="24"/>
              </w:rPr>
              <w:t>（2）“备份投标文件”的上传：</w:t>
            </w:r>
          </w:p>
          <w:p w14:paraId="7714A5FA">
            <w:pPr>
              <w:snapToGrid w:val="0"/>
              <w:spacing w:line="400" w:lineRule="exact"/>
              <w:ind w:firstLine="480" w:firstLineChars="200"/>
              <w:rPr>
                <w:rFonts w:ascii="宋体" w:hAnsi="宋体" w:cs="仿宋"/>
                <w:sz w:val="24"/>
              </w:rPr>
            </w:pPr>
            <w:r>
              <w:rPr>
                <w:rFonts w:hint="eastAsia" w:ascii="宋体" w:hAnsi="宋体" w:cs="仿宋"/>
                <w:sz w:val="24"/>
              </w:rPr>
              <w:t>a.通过“政府采购云平台”成功上传“电子加密投标文件”的供应商，因遗失CA或其他原因，导致无法解密“电子加密投标文件”时，供应商如按规定递交了“备份投标文件”的，由代理机构通过政采云电子交易平台【异常处理】端口上传、解密。</w:t>
            </w:r>
          </w:p>
          <w:p w14:paraId="037529BB">
            <w:pPr>
              <w:snapToGrid w:val="0"/>
              <w:spacing w:line="400" w:lineRule="exact"/>
              <w:ind w:firstLine="480" w:firstLineChars="200"/>
              <w:rPr>
                <w:rFonts w:ascii="宋体" w:hAnsi="宋体" w:cs="仿宋"/>
                <w:sz w:val="24"/>
              </w:rPr>
            </w:pPr>
            <w:r>
              <w:rPr>
                <w:rFonts w:hint="eastAsia" w:ascii="宋体" w:hAnsi="宋体" w:cs="仿宋"/>
                <w:sz w:val="24"/>
              </w:rPr>
              <w:t>b.通过“政府采购云平台”成功上传递交的“电子加密投标文件”已按时解密的，“备份投标文件”自动失效。投标文件启用顺序和效力。投标文件的启用，按先后顺位分别为电子投标文件、数据电文形式的备份投标文件。</w:t>
            </w:r>
          </w:p>
          <w:p w14:paraId="017F3D7F">
            <w:pPr>
              <w:snapToGrid w:val="0"/>
              <w:spacing w:line="400" w:lineRule="exact"/>
              <w:ind w:firstLine="482" w:firstLineChars="200"/>
              <w:rPr>
                <w:rFonts w:ascii="宋体" w:hAnsi="宋体" w:cs="仿宋"/>
                <w:b/>
                <w:bCs/>
                <w:sz w:val="24"/>
              </w:rPr>
            </w:pPr>
            <w:r>
              <w:rPr>
                <w:rFonts w:hint="eastAsia" w:ascii="宋体" w:hAnsi="宋体" w:cs="仿宋"/>
                <w:b/>
                <w:bCs/>
                <w:sz w:val="24"/>
              </w:rPr>
              <w:t>（3）所有投标文件逾期解密的视作无效标。</w:t>
            </w:r>
          </w:p>
          <w:p w14:paraId="020AF98F">
            <w:pPr>
              <w:snapToGrid w:val="0"/>
              <w:spacing w:line="400" w:lineRule="exact"/>
              <w:rPr>
                <w:rFonts w:ascii="宋体" w:hAnsi="宋体" w:cs="仿宋"/>
                <w:sz w:val="24"/>
              </w:rPr>
            </w:pPr>
            <w:r>
              <w:rPr>
                <w:rFonts w:hint="eastAsia" w:ascii="宋体" w:hAnsi="宋体" w:cs="仿宋"/>
                <w:sz w:val="24"/>
              </w:rPr>
              <w:t>6、电子加密投标文件的解密和异常情况处理：</w:t>
            </w:r>
          </w:p>
          <w:p w14:paraId="6B44085A">
            <w:pPr>
              <w:snapToGrid w:val="0"/>
              <w:spacing w:line="400" w:lineRule="exact"/>
              <w:ind w:firstLine="480" w:firstLineChars="200"/>
              <w:rPr>
                <w:rFonts w:ascii="宋体" w:hAnsi="宋体" w:cs="仿宋"/>
                <w:sz w:val="24"/>
              </w:rPr>
            </w:pPr>
            <w:r>
              <w:rPr>
                <w:rFonts w:hint="eastAsia" w:ascii="宋体" w:hAnsi="宋体" w:cs="仿宋"/>
                <w:sz w:val="24"/>
              </w:rPr>
              <w:t>（1）开标后，采购代理机构将向各投标供应商发出“电子加密投标文件”的解密通知，各投标供应商代表应当在接到解密通知后30分钟内自行完成“电子加密投标文件”的在线解密，未在规定的时间内无法完成投标文件解密的，视为自动放弃本项目的投标。</w:t>
            </w:r>
          </w:p>
          <w:p w14:paraId="07A02FAB">
            <w:pPr>
              <w:snapToGrid w:val="0"/>
              <w:spacing w:line="400" w:lineRule="exact"/>
              <w:ind w:firstLine="480" w:firstLineChars="200"/>
              <w:rPr>
                <w:rFonts w:ascii="宋体" w:hAnsi="宋体" w:cs="仿宋"/>
                <w:sz w:val="24"/>
              </w:rPr>
            </w:pPr>
            <w:r>
              <w:rPr>
                <w:rFonts w:hint="eastAsia" w:ascii="宋体" w:hAnsi="宋体" w:cs="仿宋"/>
                <w:sz w:val="24"/>
              </w:rPr>
              <w:t>（2）通过“政府采购云平台”成功上传“电子加密投标文件”的投标供应商，因遗失CA或其他原因，导致无法解密“电子加密投标文件”的，供应商如按规定递交了“备份投标文件”的，启用数据电子备份投标文件（U 盘）（由采购组织机构按“政府采购云平台”操作规范将“备份投标文件”上传至“政府采购云平台”,上传成功后，“电子加密投标文件”自动失效)。因供应商电子备份投标文件（U 盘）或自身原因造成数据电子备份投标文件（U盘）无法打开的，作无效标处理。</w:t>
            </w:r>
          </w:p>
          <w:p w14:paraId="10B5BEAE">
            <w:pPr>
              <w:pStyle w:val="23"/>
              <w:spacing w:line="400" w:lineRule="exact"/>
              <w:rPr>
                <w:rFonts w:hAnsi="宋体" w:cs="宋体"/>
                <w:szCs w:val="21"/>
              </w:rPr>
            </w:pPr>
            <w:r>
              <w:rPr>
                <w:rFonts w:hint="eastAsia" w:hAnsi="宋体" w:cs="Arial"/>
                <w:sz w:val="24"/>
                <w:szCs w:val="22"/>
              </w:rPr>
              <w:t xml:space="preserve">（3）投标截止时间前，供应商仅递交了“备份投标文件”而未将电子加密投标文件上传至“政府采购云平台”的，投标无效。 </w:t>
            </w:r>
          </w:p>
        </w:tc>
      </w:tr>
      <w:tr w14:paraId="7BD8B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7A78C99F">
            <w:pPr>
              <w:snapToGrid w:val="0"/>
              <w:spacing w:line="400" w:lineRule="exact"/>
              <w:jc w:val="center"/>
              <w:rPr>
                <w:rFonts w:ascii="宋体" w:hAnsi="宋体" w:cs="仿宋"/>
                <w:sz w:val="24"/>
                <w:szCs w:val="20"/>
              </w:rPr>
            </w:pPr>
            <w:r>
              <w:rPr>
                <w:rFonts w:hint="eastAsia" w:ascii="宋体" w:hAnsi="宋体" w:cs="仿宋"/>
                <w:sz w:val="24"/>
              </w:rPr>
              <w:t>6</w:t>
            </w:r>
          </w:p>
        </w:tc>
        <w:tc>
          <w:tcPr>
            <w:tcW w:w="4561" w:type="pct"/>
            <w:tcBorders>
              <w:top w:val="single" w:color="auto" w:sz="4" w:space="0"/>
              <w:left w:val="single" w:color="auto" w:sz="4" w:space="0"/>
              <w:bottom w:val="single" w:color="auto" w:sz="4" w:space="0"/>
              <w:right w:val="single" w:color="auto" w:sz="4" w:space="0"/>
            </w:tcBorders>
            <w:vAlign w:val="center"/>
          </w:tcPr>
          <w:p w14:paraId="04F7DC41">
            <w:pPr>
              <w:snapToGrid w:val="0"/>
              <w:spacing w:line="400" w:lineRule="exact"/>
              <w:rPr>
                <w:rFonts w:ascii="宋体" w:hAnsi="宋体" w:cs="仿宋"/>
                <w:sz w:val="24"/>
              </w:rPr>
            </w:pPr>
            <w:r>
              <w:rPr>
                <w:rFonts w:hint="eastAsia" w:ascii="宋体" w:hAnsi="宋体" w:cs="仿宋"/>
                <w:sz w:val="24"/>
              </w:rPr>
              <w:t>投标截止时</w:t>
            </w:r>
            <w:r>
              <w:rPr>
                <w:rFonts w:hint="eastAsia" w:ascii="宋体" w:hAnsi="宋体" w:cs="仿宋"/>
                <w:sz w:val="24"/>
                <w:highlight w:val="none"/>
              </w:rPr>
              <w:t>间：</w:t>
            </w:r>
            <w:r>
              <w:rPr>
                <w:rFonts w:hint="eastAsia" w:ascii="宋体" w:hAnsi="宋体" w:cs="仿宋"/>
                <w:b/>
                <w:bCs/>
                <w:sz w:val="24"/>
                <w:highlight w:val="none"/>
                <w:u w:val="single"/>
              </w:rPr>
              <w:t>202</w:t>
            </w:r>
            <w:r>
              <w:rPr>
                <w:rFonts w:hint="eastAsia" w:ascii="宋体" w:hAnsi="宋体" w:cs="仿宋"/>
                <w:b/>
                <w:bCs/>
                <w:sz w:val="24"/>
                <w:highlight w:val="none"/>
                <w:u w:val="single"/>
                <w:lang w:val="en-US" w:eastAsia="zh-CN"/>
              </w:rPr>
              <w:t>4</w:t>
            </w:r>
            <w:r>
              <w:rPr>
                <w:rFonts w:hint="eastAsia" w:ascii="宋体" w:hAnsi="宋体" w:cs="仿宋"/>
                <w:b/>
                <w:bCs/>
                <w:sz w:val="24"/>
                <w:highlight w:val="none"/>
                <w:u w:val="single"/>
              </w:rPr>
              <w:t>年</w:t>
            </w:r>
            <w:r>
              <w:rPr>
                <w:rFonts w:hint="eastAsia" w:ascii="宋体" w:hAnsi="宋体" w:cs="仿宋"/>
                <w:b/>
                <w:bCs/>
                <w:sz w:val="24"/>
                <w:highlight w:val="none"/>
                <w:u w:val="single"/>
                <w:lang w:val="en-US" w:eastAsia="zh-CN"/>
              </w:rPr>
              <w:t>9</w:t>
            </w:r>
            <w:r>
              <w:rPr>
                <w:rFonts w:hint="eastAsia" w:ascii="宋体" w:hAnsi="宋体" w:cs="仿宋"/>
                <w:b/>
                <w:bCs/>
                <w:sz w:val="24"/>
                <w:highlight w:val="none"/>
                <w:u w:val="single"/>
              </w:rPr>
              <w:t>月</w:t>
            </w:r>
            <w:r>
              <w:rPr>
                <w:rFonts w:hint="eastAsia" w:ascii="宋体" w:hAnsi="宋体" w:cs="仿宋"/>
                <w:b/>
                <w:bCs/>
                <w:sz w:val="24"/>
                <w:highlight w:val="none"/>
                <w:u w:val="single"/>
                <w:lang w:val="en-US" w:eastAsia="zh-CN"/>
              </w:rPr>
              <w:t>5</w:t>
            </w:r>
            <w:r>
              <w:rPr>
                <w:rFonts w:hint="eastAsia" w:ascii="宋体" w:hAnsi="宋体" w:cs="仿宋"/>
                <w:b/>
                <w:bCs/>
                <w:sz w:val="24"/>
                <w:highlight w:val="none"/>
                <w:u w:val="single"/>
              </w:rPr>
              <w:t>日</w:t>
            </w:r>
            <w:r>
              <w:rPr>
                <w:rFonts w:hint="eastAsia" w:ascii="宋体" w:hAnsi="宋体" w:cs="仿宋"/>
                <w:b/>
                <w:bCs/>
                <w:sz w:val="24"/>
                <w:highlight w:val="none"/>
                <w:u w:val="single"/>
                <w:lang w:val="en-US" w:eastAsia="zh-CN"/>
              </w:rPr>
              <w:t>14</w:t>
            </w:r>
            <w:r>
              <w:rPr>
                <w:rFonts w:hint="eastAsia" w:ascii="宋体" w:hAnsi="宋体" w:cs="仿宋"/>
                <w:b/>
                <w:bCs/>
                <w:sz w:val="24"/>
                <w:highlight w:val="none"/>
                <w:u w:val="single"/>
              </w:rPr>
              <w:t>：00</w:t>
            </w:r>
            <w:r>
              <w:rPr>
                <w:rFonts w:hint="eastAsia" w:ascii="宋体" w:hAnsi="宋体" w:cs="仿宋"/>
                <w:b/>
                <w:bCs/>
                <w:sz w:val="24"/>
                <w:highlight w:val="none"/>
                <w:u w:val="single"/>
                <w:lang w:eastAsia="zh-CN"/>
              </w:rPr>
              <w:t>时</w:t>
            </w:r>
            <w:r>
              <w:rPr>
                <w:rFonts w:hint="eastAsia" w:ascii="宋体" w:hAnsi="宋体" w:cs="仿宋"/>
                <w:sz w:val="24"/>
                <w:highlight w:val="none"/>
              </w:rPr>
              <w:t>；</w:t>
            </w:r>
          </w:p>
          <w:p w14:paraId="21A09F08">
            <w:pPr>
              <w:snapToGrid w:val="0"/>
              <w:spacing w:line="400" w:lineRule="exact"/>
              <w:rPr>
                <w:rFonts w:ascii="宋体" w:hAnsi="宋体" w:cs="仿宋"/>
                <w:sz w:val="24"/>
              </w:rPr>
            </w:pPr>
            <w:r>
              <w:rPr>
                <w:rFonts w:hint="eastAsia" w:ascii="宋体" w:hAnsi="宋体" w:cs="仿宋"/>
                <w:sz w:val="24"/>
              </w:rPr>
              <w:t>投标文件递交地点：</w:t>
            </w:r>
            <w:r>
              <w:rPr>
                <w:rFonts w:hint="eastAsia" w:ascii="宋体" w:hAnsi="宋体" w:cs="仿宋"/>
                <w:b/>
                <w:bCs/>
                <w:sz w:val="24"/>
                <w:u w:val="single"/>
              </w:rPr>
              <w:t>本项目通过“政府采购云平台（www.zcygov.cn）”实行在线投标响应（电子投标）。</w:t>
            </w:r>
          </w:p>
        </w:tc>
      </w:tr>
      <w:tr w14:paraId="32212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5D0BEB92">
            <w:pPr>
              <w:snapToGrid w:val="0"/>
              <w:spacing w:line="400" w:lineRule="exact"/>
              <w:jc w:val="center"/>
              <w:rPr>
                <w:rFonts w:ascii="宋体" w:hAnsi="宋体" w:cs="仿宋"/>
                <w:sz w:val="24"/>
                <w:szCs w:val="20"/>
              </w:rPr>
            </w:pPr>
            <w:r>
              <w:rPr>
                <w:rFonts w:hint="eastAsia" w:ascii="宋体" w:hAnsi="宋体" w:cs="仿宋"/>
                <w:sz w:val="24"/>
              </w:rPr>
              <w:t>7</w:t>
            </w:r>
          </w:p>
        </w:tc>
        <w:tc>
          <w:tcPr>
            <w:tcW w:w="4561" w:type="pct"/>
            <w:tcBorders>
              <w:top w:val="single" w:color="auto" w:sz="4" w:space="0"/>
              <w:left w:val="single" w:color="auto" w:sz="4" w:space="0"/>
              <w:bottom w:val="single" w:color="auto" w:sz="4" w:space="0"/>
              <w:right w:val="single" w:color="auto" w:sz="4" w:space="0"/>
            </w:tcBorders>
            <w:vAlign w:val="center"/>
          </w:tcPr>
          <w:p w14:paraId="395132A8">
            <w:pPr>
              <w:snapToGrid w:val="0"/>
              <w:spacing w:line="400" w:lineRule="exact"/>
              <w:rPr>
                <w:rFonts w:ascii="宋体" w:hAnsi="宋体" w:cs="仿宋"/>
                <w:sz w:val="24"/>
              </w:rPr>
            </w:pPr>
            <w:r>
              <w:rPr>
                <w:rFonts w:hint="eastAsia" w:ascii="宋体" w:hAnsi="宋体" w:cs="仿宋"/>
                <w:sz w:val="24"/>
              </w:rPr>
              <w:t>开标时间</w:t>
            </w:r>
            <w:r>
              <w:rPr>
                <w:rFonts w:hint="eastAsia" w:ascii="宋体" w:hAnsi="宋体" w:cs="仿宋"/>
                <w:sz w:val="24"/>
                <w:highlight w:val="none"/>
              </w:rPr>
              <w:t>：</w:t>
            </w:r>
            <w:r>
              <w:rPr>
                <w:rFonts w:hint="eastAsia" w:ascii="宋体" w:hAnsi="宋体" w:cs="仿宋"/>
                <w:b/>
                <w:bCs/>
                <w:sz w:val="24"/>
                <w:highlight w:val="none"/>
                <w:u w:val="single"/>
              </w:rPr>
              <w:t>202</w:t>
            </w:r>
            <w:r>
              <w:rPr>
                <w:rFonts w:hint="eastAsia" w:ascii="宋体" w:hAnsi="宋体" w:cs="仿宋"/>
                <w:b/>
                <w:bCs/>
                <w:sz w:val="24"/>
                <w:highlight w:val="none"/>
                <w:u w:val="single"/>
                <w:lang w:val="en-US" w:eastAsia="zh-CN"/>
              </w:rPr>
              <w:t>4</w:t>
            </w:r>
            <w:r>
              <w:rPr>
                <w:rFonts w:hint="eastAsia" w:ascii="宋体" w:hAnsi="宋体" w:cs="仿宋"/>
                <w:b/>
                <w:bCs/>
                <w:sz w:val="24"/>
                <w:highlight w:val="none"/>
                <w:u w:val="single"/>
              </w:rPr>
              <w:t>年</w:t>
            </w:r>
            <w:r>
              <w:rPr>
                <w:rFonts w:hint="eastAsia" w:ascii="宋体" w:hAnsi="宋体" w:cs="仿宋"/>
                <w:b/>
                <w:bCs/>
                <w:sz w:val="24"/>
                <w:highlight w:val="none"/>
                <w:u w:val="single"/>
                <w:lang w:val="en-US" w:eastAsia="zh-CN"/>
              </w:rPr>
              <w:t>9</w:t>
            </w:r>
            <w:r>
              <w:rPr>
                <w:rFonts w:hint="eastAsia" w:ascii="宋体" w:hAnsi="宋体" w:cs="仿宋"/>
                <w:b/>
                <w:bCs/>
                <w:sz w:val="24"/>
                <w:highlight w:val="none"/>
                <w:u w:val="single"/>
              </w:rPr>
              <w:t>月</w:t>
            </w:r>
            <w:r>
              <w:rPr>
                <w:rFonts w:hint="eastAsia" w:ascii="宋体" w:hAnsi="宋体" w:cs="仿宋"/>
                <w:b/>
                <w:bCs/>
                <w:sz w:val="24"/>
                <w:highlight w:val="none"/>
                <w:u w:val="single"/>
                <w:lang w:val="en-US" w:eastAsia="zh-CN"/>
              </w:rPr>
              <w:t>5</w:t>
            </w:r>
            <w:r>
              <w:rPr>
                <w:rFonts w:hint="eastAsia" w:ascii="宋体" w:hAnsi="宋体" w:cs="仿宋"/>
                <w:b/>
                <w:bCs/>
                <w:sz w:val="24"/>
                <w:highlight w:val="none"/>
                <w:u w:val="single"/>
              </w:rPr>
              <w:t>日</w:t>
            </w:r>
            <w:r>
              <w:rPr>
                <w:rFonts w:hint="eastAsia" w:ascii="宋体" w:hAnsi="宋体" w:cs="仿宋"/>
                <w:b/>
                <w:bCs/>
                <w:sz w:val="24"/>
                <w:highlight w:val="none"/>
                <w:u w:val="single"/>
                <w:lang w:val="en-US" w:eastAsia="zh-CN"/>
              </w:rPr>
              <w:t>14</w:t>
            </w:r>
            <w:r>
              <w:rPr>
                <w:rFonts w:hint="eastAsia" w:ascii="宋体" w:hAnsi="宋体" w:cs="仿宋"/>
                <w:b/>
                <w:bCs/>
                <w:sz w:val="24"/>
                <w:highlight w:val="none"/>
                <w:u w:val="single"/>
              </w:rPr>
              <w:t>：00</w:t>
            </w:r>
            <w:r>
              <w:rPr>
                <w:rFonts w:hint="eastAsia" w:ascii="宋体" w:hAnsi="宋体" w:cs="仿宋"/>
                <w:b/>
                <w:bCs/>
                <w:sz w:val="24"/>
                <w:highlight w:val="none"/>
                <w:u w:val="single"/>
                <w:lang w:eastAsia="zh-CN"/>
              </w:rPr>
              <w:t>时</w:t>
            </w:r>
            <w:r>
              <w:rPr>
                <w:rFonts w:hint="eastAsia" w:ascii="宋体" w:hAnsi="宋体" w:cs="仿宋"/>
                <w:sz w:val="24"/>
              </w:rPr>
              <w:t>；</w:t>
            </w:r>
          </w:p>
          <w:p w14:paraId="73EBFB69">
            <w:pPr>
              <w:snapToGrid w:val="0"/>
              <w:spacing w:line="400" w:lineRule="exact"/>
              <w:rPr>
                <w:rFonts w:ascii="宋体" w:hAnsi="宋体" w:cs="仿宋"/>
                <w:sz w:val="24"/>
              </w:rPr>
            </w:pPr>
            <w:r>
              <w:rPr>
                <w:rFonts w:hint="eastAsia" w:ascii="宋体" w:hAnsi="宋体" w:cs="仿宋"/>
                <w:sz w:val="24"/>
              </w:rPr>
              <w:t>地点：</w:t>
            </w:r>
            <w:r>
              <w:rPr>
                <w:rFonts w:hint="eastAsia" w:ascii="宋体" w:hAnsi="宋体" w:cs="宋体"/>
                <w:b/>
                <w:bCs/>
                <w:kern w:val="0"/>
                <w:sz w:val="24"/>
              </w:rPr>
              <w:t>湖州市公共资源交易中心（湖州市仁皇山片区金盖山路66号2号楼二</w:t>
            </w:r>
            <w:r>
              <w:rPr>
                <w:rFonts w:hint="eastAsia" w:ascii="宋体" w:hAnsi="宋体" w:cs="宋体"/>
                <w:b/>
                <w:bCs/>
                <w:kern w:val="0"/>
                <w:sz w:val="24"/>
                <w:highlight w:val="none"/>
              </w:rPr>
              <w:t>楼开标室）</w:t>
            </w:r>
            <w:r>
              <w:rPr>
                <w:rFonts w:hint="eastAsia" w:ascii="宋体" w:hAnsi="宋体" w:cs="仿宋"/>
                <w:sz w:val="24"/>
                <w:highlight w:val="none"/>
              </w:rPr>
              <w:t>。</w:t>
            </w:r>
          </w:p>
        </w:tc>
      </w:tr>
      <w:tr w14:paraId="285E1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23AC6FAD">
            <w:pPr>
              <w:snapToGrid w:val="0"/>
              <w:spacing w:line="400" w:lineRule="exact"/>
              <w:jc w:val="center"/>
              <w:rPr>
                <w:rFonts w:ascii="宋体" w:hAnsi="宋体" w:cs="仿宋"/>
                <w:sz w:val="24"/>
                <w:szCs w:val="20"/>
              </w:rPr>
            </w:pPr>
            <w:r>
              <w:rPr>
                <w:rFonts w:hint="eastAsia" w:ascii="宋体" w:hAnsi="宋体" w:cs="仿宋"/>
                <w:sz w:val="24"/>
              </w:rPr>
              <w:t>8</w:t>
            </w:r>
          </w:p>
        </w:tc>
        <w:tc>
          <w:tcPr>
            <w:tcW w:w="4561" w:type="pct"/>
            <w:tcBorders>
              <w:top w:val="single" w:color="auto" w:sz="4" w:space="0"/>
              <w:left w:val="single" w:color="auto" w:sz="4" w:space="0"/>
              <w:bottom w:val="single" w:color="auto" w:sz="4" w:space="0"/>
              <w:right w:val="single" w:color="auto" w:sz="4" w:space="0"/>
            </w:tcBorders>
            <w:vAlign w:val="center"/>
          </w:tcPr>
          <w:p w14:paraId="18840611">
            <w:pPr>
              <w:snapToGrid w:val="0"/>
              <w:spacing w:line="400" w:lineRule="exact"/>
              <w:rPr>
                <w:rFonts w:ascii="宋体" w:hAnsi="宋体" w:cs="仿宋"/>
                <w:sz w:val="24"/>
              </w:rPr>
            </w:pPr>
            <w:r>
              <w:rPr>
                <w:rFonts w:hint="eastAsia" w:ascii="宋体" w:hAnsi="宋体" w:cs="仿宋"/>
                <w:sz w:val="24"/>
              </w:rPr>
              <w:t>评标办法及评分标准：附后</w:t>
            </w:r>
          </w:p>
        </w:tc>
      </w:tr>
      <w:tr w14:paraId="236FA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7A1759B0">
            <w:pPr>
              <w:snapToGrid w:val="0"/>
              <w:spacing w:line="400" w:lineRule="exact"/>
              <w:jc w:val="center"/>
              <w:rPr>
                <w:rFonts w:ascii="宋体" w:hAnsi="宋体" w:cs="仿宋"/>
                <w:sz w:val="24"/>
              </w:rPr>
            </w:pPr>
            <w:r>
              <w:rPr>
                <w:rFonts w:hint="eastAsia" w:ascii="宋体" w:hAnsi="宋体" w:cs="仿宋"/>
                <w:sz w:val="24"/>
              </w:rPr>
              <w:t>9</w:t>
            </w:r>
          </w:p>
        </w:tc>
        <w:tc>
          <w:tcPr>
            <w:tcW w:w="4561" w:type="pct"/>
            <w:tcBorders>
              <w:top w:val="single" w:color="auto" w:sz="4" w:space="0"/>
              <w:left w:val="single" w:color="auto" w:sz="4" w:space="0"/>
              <w:bottom w:val="single" w:color="auto" w:sz="4" w:space="0"/>
              <w:right w:val="single" w:color="auto" w:sz="4" w:space="0"/>
            </w:tcBorders>
            <w:vAlign w:val="center"/>
          </w:tcPr>
          <w:p w14:paraId="5872A026">
            <w:pPr>
              <w:snapToGrid w:val="0"/>
              <w:spacing w:line="400" w:lineRule="exact"/>
              <w:rPr>
                <w:rFonts w:ascii="宋体" w:hAnsi="宋体" w:cs="仿宋"/>
                <w:sz w:val="24"/>
              </w:rPr>
            </w:pPr>
            <w:r>
              <w:rPr>
                <w:rFonts w:hint="eastAsia" w:ascii="宋体" w:hAnsi="宋体" w:cs="仿宋"/>
                <w:sz w:val="24"/>
              </w:rPr>
              <w:t>开始评标前采购代理机构将依法对投标供应商的信用记录查询：依据财库[2016]125号文件执行</w:t>
            </w:r>
          </w:p>
          <w:p w14:paraId="3C157839">
            <w:pPr>
              <w:snapToGrid w:val="0"/>
              <w:spacing w:line="400" w:lineRule="exact"/>
              <w:rPr>
                <w:rFonts w:ascii="宋体" w:hAnsi="宋体" w:cs="仿宋"/>
                <w:sz w:val="24"/>
              </w:rPr>
            </w:pPr>
            <w:r>
              <w:rPr>
                <w:rFonts w:hint="eastAsia" w:ascii="宋体" w:hAnsi="宋体" w:cs="仿宋"/>
                <w:sz w:val="24"/>
              </w:rPr>
              <w:t>查询渠道：信用中国（www.creditchina.gov.cn）、中国政府采购网（www.ccgp.gov.cn）；</w:t>
            </w:r>
          </w:p>
          <w:p w14:paraId="61C71DE8">
            <w:pPr>
              <w:snapToGrid w:val="0"/>
              <w:spacing w:line="400" w:lineRule="exact"/>
              <w:rPr>
                <w:rFonts w:ascii="宋体" w:hAnsi="宋体" w:cs="仿宋"/>
                <w:sz w:val="24"/>
              </w:rPr>
            </w:pPr>
            <w:r>
              <w:rPr>
                <w:rFonts w:hint="eastAsia" w:ascii="宋体" w:hAnsi="宋体" w:cs="仿宋"/>
                <w:sz w:val="24"/>
              </w:rPr>
              <w:t>截止时点：截止提交投标文件截止时间前3年内；</w:t>
            </w:r>
          </w:p>
          <w:p w14:paraId="0EBFF520">
            <w:pPr>
              <w:snapToGrid w:val="0"/>
              <w:spacing w:line="400" w:lineRule="exact"/>
              <w:rPr>
                <w:rFonts w:ascii="宋体" w:hAnsi="宋体" w:cs="仿宋"/>
                <w:sz w:val="24"/>
              </w:rPr>
            </w:pPr>
            <w:r>
              <w:rPr>
                <w:rFonts w:hint="eastAsia" w:ascii="宋体" w:hAnsi="宋体" w:cs="仿宋"/>
                <w:sz w:val="24"/>
              </w:rPr>
              <w:t>查询记录和证据的留存：网站查询，打印留存。</w:t>
            </w:r>
          </w:p>
          <w:p w14:paraId="3AB7E611">
            <w:pPr>
              <w:snapToGrid w:val="0"/>
              <w:spacing w:line="400" w:lineRule="exact"/>
              <w:rPr>
                <w:rFonts w:ascii="宋体" w:hAnsi="宋体" w:cs="仿宋"/>
                <w:sz w:val="24"/>
              </w:rPr>
            </w:pPr>
            <w:r>
              <w:rPr>
                <w:rFonts w:hint="eastAsia" w:ascii="宋体" w:hAnsi="宋体" w:cs="仿宋"/>
                <w:sz w:val="24"/>
              </w:rPr>
              <w:t>使用规则：被列入失信被执行人、重大税收违法案件当事人名单、政府采购严重违法失信行为记录名单及其它不符合《中华人民共和国政府采购法》第二十二条规定条件的，其投标将被拒绝。</w:t>
            </w:r>
          </w:p>
        </w:tc>
      </w:tr>
      <w:tr w14:paraId="4BE68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14:paraId="537ABFE9">
            <w:pPr>
              <w:snapToGrid w:val="0"/>
              <w:spacing w:line="400" w:lineRule="exact"/>
              <w:jc w:val="center"/>
              <w:rPr>
                <w:rFonts w:ascii="宋体" w:hAnsi="宋体" w:cs="仿宋"/>
                <w:sz w:val="24"/>
                <w:szCs w:val="20"/>
              </w:rPr>
            </w:pPr>
            <w:r>
              <w:rPr>
                <w:rFonts w:hint="eastAsia" w:ascii="宋体" w:hAnsi="宋体" w:cs="仿宋"/>
                <w:sz w:val="24"/>
              </w:rPr>
              <w:t>10</w:t>
            </w:r>
          </w:p>
        </w:tc>
        <w:tc>
          <w:tcPr>
            <w:tcW w:w="4561" w:type="pct"/>
            <w:tcBorders>
              <w:top w:val="single" w:color="auto" w:sz="4" w:space="0"/>
              <w:left w:val="single" w:color="auto" w:sz="4" w:space="0"/>
              <w:bottom w:val="single" w:color="auto" w:sz="4" w:space="0"/>
              <w:right w:val="single" w:color="auto" w:sz="4" w:space="0"/>
            </w:tcBorders>
            <w:vAlign w:val="center"/>
          </w:tcPr>
          <w:p w14:paraId="0DB0ECAA">
            <w:pPr>
              <w:snapToGrid w:val="0"/>
              <w:spacing w:line="400" w:lineRule="exact"/>
              <w:rPr>
                <w:rFonts w:ascii="宋体" w:hAnsi="宋体" w:cs="仿宋"/>
                <w:sz w:val="24"/>
              </w:rPr>
            </w:pPr>
            <w:r>
              <w:rPr>
                <w:rFonts w:hint="eastAsia" w:ascii="宋体" w:hAnsi="宋体" w:cs="仿宋"/>
                <w:sz w:val="24"/>
              </w:rPr>
              <w:t>评标结果公示：评标结束后2个工作日内，评标结果公告于：</w:t>
            </w:r>
          </w:p>
          <w:p w14:paraId="0D9A0F3F">
            <w:pPr>
              <w:snapToGrid w:val="0"/>
              <w:spacing w:line="400" w:lineRule="exact"/>
              <w:rPr>
                <w:rFonts w:ascii="宋体" w:hAnsi="宋体" w:cs="仿宋"/>
                <w:sz w:val="24"/>
              </w:rPr>
            </w:pPr>
            <w:r>
              <w:rPr>
                <w:rFonts w:hint="eastAsia" w:ascii="宋体" w:hAnsi="宋体" w:cs="仿宋"/>
                <w:sz w:val="24"/>
              </w:rPr>
              <w:t>浙江政府采购网(</w:t>
            </w:r>
            <w:r>
              <w:rPr>
                <w:rFonts w:ascii="宋体" w:hAnsi="宋体" w:cs="宋体"/>
                <w:sz w:val="24"/>
              </w:rPr>
              <w:t>http://zfcg.czt.zj.gov.cn/</w:t>
            </w:r>
            <w:r>
              <w:rPr>
                <w:rFonts w:hint="eastAsia" w:ascii="宋体" w:hAnsi="宋体" w:cs="仿宋"/>
                <w:sz w:val="24"/>
              </w:rPr>
              <w:t>)</w:t>
            </w:r>
          </w:p>
          <w:p w14:paraId="066CE417">
            <w:pPr>
              <w:snapToGrid w:val="0"/>
              <w:spacing w:line="400" w:lineRule="exact"/>
              <w:jc w:val="left"/>
              <w:rPr>
                <w:rFonts w:ascii="宋体" w:hAnsi="宋体" w:cs="仿宋"/>
                <w:sz w:val="24"/>
              </w:rPr>
            </w:pPr>
            <w:r>
              <w:rPr>
                <w:rFonts w:hint="eastAsia" w:ascii="宋体" w:hAnsi="宋体" w:cs="宋体"/>
                <w:kern w:val="0"/>
                <w:sz w:val="24"/>
              </w:rPr>
              <w:t>湖州市公共资源交易信息网（http://ggzyjy.huzhou.gov.cn/）</w:t>
            </w:r>
          </w:p>
        </w:tc>
      </w:tr>
      <w:tr w14:paraId="2DC06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14:paraId="48C9E54A">
            <w:pPr>
              <w:snapToGrid w:val="0"/>
              <w:spacing w:line="400" w:lineRule="exact"/>
              <w:jc w:val="center"/>
              <w:rPr>
                <w:rFonts w:ascii="宋体" w:hAnsi="宋体" w:cs="仿宋"/>
                <w:sz w:val="24"/>
              </w:rPr>
            </w:pPr>
            <w:r>
              <w:rPr>
                <w:rFonts w:hint="eastAsia" w:ascii="宋体" w:hAnsi="宋体" w:cs="仿宋"/>
                <w:sz w:val="24"/>
              </w:rPr>
              <w:t>11</w:t>
            </w:r>
          </w:p>
        </w:tc>
        <w:tc>
          <w:tcPr>
            <w:tcW w:w="4561" w:type="pct"/>
            <w:tcBorders>
              <w:top w:val="single" w:color="auto" w:sz="4" w:space="0"/>
              <w:left w:val="single" w:color="auto" w:sz="4" w:space="0"/>
              <w:bottom w:val="single" w:color="auto" w:sz="4" w:space="0"/>
              <w:right w:val="single" w:color="auto" w:sz="4" w:space="0"/>
            </w:tcBorders>
            <w:vAlign w:val="center"/>
          </w:tcPr>
          <w:p w14:paraId="11FE5E5A">
            <w:pPr>
              <w:snapToGrid w:val="0"/>
              <w:spacing w:line="400" w:lineRule="exact"/>
              <w:jc w:val="left"/>
              <w:rPr>
                <w:rFonts w:ascii="宋体" w:hAnsi="宋体" w:cs="仿宋"/>
                <w:sz w:val="24"/>
              </w:rPr>
            </w:pPr>
            <w:r>
              <w:rPr>
                <w:rFonts w:hint="eastAsia" w:ascii="宋体" w:hAnsi="宋体"/>
                <w:sz w:val="24"/>
              </w:rPr>
              <w:t>在确定中标供应商后，领取中标通知书前，中标供应商须提供</w:t>
            </w:r>
            <w:r>
              <w:rPr>
                <w:rFonts w:hint="eastAsia" w:ascii="宋体" w:hAnsi="宋体"/>
                <w:sz w:val="24"/>
                <w:lang w:eastAsia="zh-CN"/>
              </w:rPr>
              <w:t>两</w:t>
            </w:r>
            <w:r>
              <w:rPr>
                <w:rFonts w:hint="eastAsia" w:ascii="宋体" w:hAnsi="宋体"/>
                <w:sz w:val="24"/>
              </w:rPr>
              <w:t xml:space="preserve">份完整的纸质投标文件，纸质投标文件须与电子投标文件格式及内容一致。 </w:t>
            </w:r>
          </w:p>
        </w:tc>
      </w:tr>
      <w:tr w14:paraId="559F3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0FFF8E6B">
            <w:pPr>
              <w:snapToGrid w:val="0"/>
              <w:spacing w:line="400" w:lineRule="exact"/>
              <w:jc w:val="center"/>
              <w:rPr>
                <w:rFonts w:ascii="宋体" w:hAnsi="宋体" w:cs="仿宋"/>
                <w:sz w:val="24"/>
                <w:szCs w:val="20"/>
              </w:rPr>
            </w:pPr>
            <w:r>
              <w:rPr>
                <w:rFonts w:hint="eastAsia" w:ascii="宋体" w:hAnsi="宋体" w:cs="仿宋"/>
                <w:sz w:val="24"/>
              </w:rPr>
              <w:t>12</w:t>
            </w:r>
          </w:p>
        </w:tc>
        <w:tc>
          <w:tcPr>
            <w:tcW w:w="4561" w:type="pct"/>
            <w:tcBorders>
              <w:top w:val="single" w:color="auto" w:sz="4" w:space="0"/>
              <w:left w:val="single" w:color="auto" w:sz="4" w:space="0"/>
              <w:bottom w:val="single" w:color="auto" w:sz="4" w:space="0"/>
              <w:right w:val="single" w:color="auto" w:sz="4" w:space="0"/>
            </w:tcBorders>
            <w:vAlign w:val="center"/>
          </w:tcPr>
          <w:p w14:paraId="1E60EAA7">
            <w:pPr>
              <w:snapToGrid w:val="0"/>
              <w:spacing w:line="400" w:lineRule="exact"/>
              <w:rPr>
                <w:rFonts w:ascii="宋体" w:hAnsi="宋体" w:cs="仿宋"/>
                <w:sz w:val="24"/>
              </w:rPr>
            </w:pPr>
            <w:r>
              <w:rPr>
                <w:rFonts w:hint="eastAsia" w:ascii="宋体" w:hAnsi="宋体" w:cs="仿宋"/>
                <w:sz w:val="24"/>
              </w:rPr>
              <w:t>签订合同时间：中标通知书发出后30日内。</w:t>
            </w:r>
          </w:p>
          <w:p w14:paraId="6CE0CAD6">
            <w:pPr>
              <w:snapToGrid w:val="0"/>
              <w:spacing w:line="400" w:lineRule="exact"/>
              <w:rPr>
                <w:rFonts w:ascii="宋体" w:hAnsi="宋体" w:cs="仿宋"/>
                <w:sz w:val="24"/>
              </w:rPr>
            </w:pPr>
            <w:r>
              <w:rPr>
                <w:rFonts w:hint="eastAsia" w:ascii="宋体" w:hAnsi="宋体" w:cs="仿宋"/>
                <w:sz w:val="24"/>
              </w:rPr>
              <w:t>合同签订后由中标投标供应商向招标代理机构提供已签订的合同书面文件2份，电子扫描件一份用于合同备案。</w:t>
            </w:r>
          </w:p>
        </w:tc>
      </w:tr>
      <w:tr w14:paraId="00927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51B6E3A5">
            <w:pPr>
              <w:snapToGrid w:val="0"/>
              <w:spacing w:line="400" w:lineRule="exact"/>
              <w:jc w:val="center"/>
              <w:rPr>
                <w:rFonts w:ascii="宋体" w:hAnsi="宋体" w:cs="仿宋"/>
                <w:sz w:val="24"/>
              </w:rPr>
            </w:pPr>
            <w:r>
              <w:rPr>
                <w:rFonts w:hint="eastAsia" w:ascii="宋体" w:hAnsi="宋体" w:cs="仿宋"/>
                <w:sz w:val="24"/>
              </w:rPr>
              <w:t>13</w:t>
            </w:r>
          </w:p>
        </w:tc>
        <w:tc>
          <w:tcPr>
            <w:tcW w:w="4561" w:type="pct"/>
            <w:tcBorders>
              <w:top w:val="single" w:color="auto" w:sz="4" w:space="0"/>
              <w:left w:val="single" w:color="auto" w:sz="4" w:space="0"/>
              <w:bottom w:val="single" w:color="auto" w:sz="4" w:space="0"/>
              <w:right w:val="single" w:color="auto" w:sz="4" w:space="0"/>
            </w:tcBorders>
            <w:vAlign w:val="center"/>
          </w:tcPr>
          <w:p w14:paraId="6D61C0E6">
            <w:pPr>
              <w:snapToGrid w:val="0"/>
              <w:spacing w:line="400" w:lineRule="exact"/>
              <w:rPr>
                <w:rFonts w:ascii="宋体" w:hAnsi="宋体" w:cs="仿宋"/>
                <w:sz w:val="24"/>
              </w:rPr>
            </w:pPr>
            <w:r>
              <w:rPr>
                <w:rFonts w:hint="eastAsia" w:ascii="宋体" w:hAnsi="宋体" w:cs="仿宋"/>
                <w:sz w:val="24"/>
              </w:rPr>
              <w:t>履约保证金的收取及退还:不缴纳</w:t>
            </w:r>
          </w:p>
        </w:tc>
      </w:tr>
      <w:tr w14:paraId="5519C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3DD4DAEB">
            <w:pPr>
              <w:snapToGrid w:val="0"/>
              <w:spacing w:line="400" w:lineRule="exact"/>
              <w:jc w:val="center"/>
              <w:rPr>
                <w:rFonts w:ascii="宋体" w:hAnsi="宋体" w:cs="仿宋"/>
                <w:sz w:val="24"/>
                <w:szCs w:val="20"/>
              </w:rPr>
            </w:pPr>
            <w:r>
              <w:rPr>
                <w:rFonts w:hint="eastAsia" w:ascii="宋体" w:hAnsi="宋体" w:cs="仿宋"/>
                <w:sz w:val="24"/>
              </w:rPr>
              <w:t>14</w:t>
            </w:r>
          </w:p>
        </w:tc>
        <w:tc>
          <w:tcPr>
            <w:tcW w:w="4561" w:type="pct"/>
            <w:tcBorders>
              <w:top w:val="single" w:color="auto" w:sz="4" w:space="0"/>
              <w:left w:val="single" w:color="auto" w:sz="4" w:space="0"/>
              <w:bottom w:val="single" w:color="auto" w:sz="4" w:space="0"/>
              <w:right w:val="single" w:color="auto" w:sz="4" w:space="0"/>
            </w:tcBorders>
            <w:vAlign w:val="center"/>
          </w:tcPr>
          <w:p w14:paraId="22137016">
            <w:pPr>
              <w:snapToGrid w:val="0"/>
              <w:spacing w:line="400" w:lineRule="exact"/>
              <w:rPr>
                <w:rFonts w:ascii="宋体" w:hAnsi="宋体" w:cs="仿宋"/>
                <w:sz w:val="24"/>
              </w:rPr>
            </w:pPr>
            <w:r>
              <w:rPr>
                <w:rFonts w:hint="eastAsia" w:ascii="宋体" w:hAnsi="宋体" w:cs="仿宋"/>
                <w:sz w:val="24"/>
              </w:rPr>
              <w:t>采购资金来源：自筹</w:t>
            </w:r>
          </w:p>
        </w:tc>
      </w:tr>
      <w:tr w14:paraId="18495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79EBEDA0">
            <w:pPr>
              <w:snapToGrid w:val="0"/>
              <w:spacing w:line="400" w:lineRule="exact"/>
              <w:jc w:val="center"/>
              <w:rPr>
                <w:rFonts w:ascii="宋体" w:hAnsi="宋体" w:cs="仿宋"/>
                <w:sz w:val="24"/>
                <w:szCs w:val="20"/>
              </w:rPr>
            </w:pPr>
            <w:r>
              <w:rPr>
                <w:rFonts w:hint="eastAsia" w:ascii="宋体" w:hAnsi="宋体" w:cs="仿宋"/>
                <w:sz w:val="24"/>
              </w:rPr>
              <w:t>15</w:t>
            </w:r>
          </w:p>
        </w:tc>
        <w:tc>
          <w:tcPr>
            <w:tcW w:w="4561" w:type="pct"/>
            <w:tcBorders>
              <w:top w:val="single" w:color="auto" w:sz="4" w:space="0"/>
              <w:left w:val="single" w:color="auto" w:sz="4" w:space="0"/>
              <w:bottom w:val="single" w:color="auto" w:sz="4" w:space="0"/>
              <w:right w:val="single" w:color="auto" w:sz="4" w:space="0"/>
            </w:tcBorders>
            <w:vAlign w:val="center"/>
          </w:tcPr>
          <w:p w14:paraId="7D7E7AB5">
            <w:pPr>
              <w:snapToGrid w:val="0"/>
              <w:spacing w:line="400" w:lineRule="exact"/>
              <w:rPr>
                <w:rFonts w:ascii="宋体" w:hAnsi="宋体" w:cs="仿宋"/>
                <w:sz w:val="24"/>
              </w:rPr>
            </w:pPr>
            <w:r>
              <w:rPr>
                <w:rFonts w:hint="eastAsia" w:ascii="宋体" w:hAnsi="宋体" w:cs="仿宋"/>
                <w:sz w:val="24"/>
              </w:rPr>
              <w:t>付款方式：详见合同</w:t>
            </w:r>
          </w:p>
        </w:tc>
      </w:tr>
      <w:tr w14:paraId="60A96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38" w:type="pct"/>
            <w:tcBorders>
              <w:top w:val="single" w:color="auto" w:sz="4" w:space="0"/>
              <w:left w:val="single" w:color="auto" w:sz="4" w:space="0"/>
              <w:bottom w:val="single" w:color="auto" w:sz="4" w:space="0"/>
              <w:right w:val="single" w:color="auto" w:sz="4" w:space="0"/>
            </w:tcBorders>
            <w:vAlign w:val="center"/>
          </w:tcPr>
          <w:p w14:paraId="33273B5D">
            <w:pPr>
              <w:snapToGrid w:val="0"/>
              <w:spacing w:line="400" w:lineRule="exact"/>
              <w:jc w:val="center"/>
              <w:rPr>
                <w:rFonts w:ascii="宋体" w:hAnsi="宋体" w:cs="仿宋"/>
                <w:sz w:val="24"/>
                <w:szCs w:val="20"/>
              </w:rPr>
            </w:pPr>
            <w:r>
              <w:rPr>
                <w:rFonts w:hint="eastAsia" w:ascii="宋体" w:hAnsi="宋体" w:cs="仿宋"/>
                <w:sz w:val="24"/>
              </w:rPr>
              <w:t>16</w:t>
            </w:r>
          </w:p>
        </w:tc>
        <w:tc>
          <w:tcPr>
            <w:tcW w:w="4561" w:type="pct"/>
            <w:tcBorders>
              <w:top w:val="single" w:color="auto" w:sz="4" w:space="0"/>
              <w:left w:val="single" w:color="auto" w:sz="4" w:space="0"/>
              <w:bottom w:val="single" w:color="auto" w:sz="4" w:space="0"/>
              <w:right w:val="single" w:color="auto" w:sz="4" w:space="0"/>
            </w:tcBorders>
            <w:vAlign w:val="center"/>
          </w:tcPr>
          <w:p w14:paraId="20346FAD">
            <w:pPr>
              <w:snapToGrid w:val="0"/>
              <w:spacing w:line="400" w:lineRule="exact"/>
              <w:rPr>
                <w:rFonts w:ascii="宋体" w:hAnsi="宋体" w:cs="仿宋"/>
                <w:sz w:val="24"/>
              </w:rPr>
            </w:pPr>
            <w:r>
              <w:rPr>
                <w:rFonts w:hint="eastAsia" w:ascii="宋体" w:hAnsi="宋体" w:cs="仿宋"/>
                <w:sz w:val="24"/>
              </w:rPr>
              <w:t>投标有效期：自投标文件递交截止之日起</w:t>
            </w:r>
            <w:r>
              <w:rPr>
                <w:rFonts w:hint="eastAsia" w:ascii="宋体" w:hAnsi="宋体" w:cs="仿宋"/>
                <w:sz w:val="24"/>
                <w:u w:val="single"/>
              </w:rPr>
              <w:t xml:space="preserve">  60 </w:t>
            </w:r>
            <w:r>
              <w:rPr>
                <w:rFonts w:hint="eastAsia" w:ascii="宋体" w:hAnsi="宋体" w:cs="仿宋"/>
                <w:sz w:val="24"/>
              </w:rPr>
              <w:t>日历天</w:t>
            </w:r>
          </w:p>
        </w:tc>
      </w:tr>
      <w:tr w14:paraId="414D5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8" w:type="pct"/>
            <w:tcBorders>
              <w:top w:val="single" w:color="auto" w:sz="4" w:space="0"/>
              <w:left w:val="single" w:color="auto" w:sz="4" w:space="0"/>
              <w:bottom w:val="single" w:color="auto" w:sz="4" w:space="0"/>
              <w:right w:val="single" w:color="auto" w:sz="4" w:space="0"/>
            </w:tcBorders>
            <w:vAlign w:val="center"/>
          </w:tcPr>
          <w:p w14:paraId="23565A81">
            <w:pPr>
              <w:snapToGrid w:val="0"/>
              <w:spacing w:line="400" w:lineRule="exact"/>
              <w:jc w:val="center"/>
              <w:rPr>
                <w:rFonts w:ascii="宋体" w:hAnsi="宋体" w:cs="仿宋"/>
                <w:sz w:val="24"/>
                <w:szCs w:val="20"/>
              </w:rPr>
            </w:pPr>
            <w:r>
              <w:rPr>
                <w:rFonts w:hint="eastAsia" w:ascii="宋体" w:hAnsi="宋体" w:cs="仿宋"/>
                <w:sz w:val="24"/>
              </w:rPr>
              <w:t>17</w:t>
            </w:r>
          </w:p>
        </w:tc>
        <w:tc>
          <w:tcPr>
            <w:tcW w:w="4561" w:type="pct"/>
            <w:tcBorders>
              <w:top w:val="single" w:color="auto" w:sz="4" w:space="0"/>
              <w:left w:val="single" w:color="auto" w:sz="4" w:space="0"/>
              <w:bottom w:val="single" w:color="auto" w:sz="4" w:space="0"/>
              <w:right w:val="single" w:color="auto" w:sz="4" w:space="0"/>
            </w:tcBorders>
            <w:vAlign w:val="center"/>
          </w:tcPr>
          <w:p w14:paraId="315FED25">
            <w:pPr>
              <w:snapToGrid w:val="0"/>
              <w:spacing w:line="400" w:lineRule="exact"/>
              <w:rPr>
                <w:rFonts w:ascii="宋体" w:hAnsi="宋体" w:cs="仿宋"/>
                <w:sz w:val="24"/>
              </w:rPr>
            </w:pPr>
            <w:r>
              <w:rPr>
                <w:rFonts w:hint="eastAsia" w:ascii="宋体" w:hAnsi="宋体" w:cs="仿宋"/>
                <w:sz w:val="24"/>
              </w:rPr>
              <w:t>解释：本招标文件的解释权属于招标采购单位。</w:t>
            </w:r>
          </w:p>
        </w:tc>
      </w:tr>
    </w:tbl>
    <w:p w14:paraId="51431417">
      <w:pPr>
        <w:rPr>
          <w:rFonts w:ascii="宋体" w:hAnsi="宋体" w:cs="仿宋"/>
          <w:b/>
          <w:sz w:val="32"/>
          <w:szCs w:val="32"/>
        </w:rPr>
      </w:pPr>
      <w:bookmarkStart w:id="18" w:name="_Toc9577"/>
      <w:r>
        <w:rPr>
          <w:rFonts w:hint="eastAsia" w:ascii="宋体" w:hAnsi="宋体" w:cs="仿宋"/>
          <w:b/>
          <w:sz w:val="32"/>
          <w:szCs w:val="32"/>
        </w:rPr>
        <w:br w:type="page"/>
      </w:r>
    </w:p>
    <w:p w14:paraId="2DD10EEB">
      <w:pPr>
        <w:spacing w:line="500" w:lineRule="exact"/>
        <w:jc w:val="center"/>
        <w:outlineLvl w:val="1"/>
        <w:rPr>
          <w:rFonts w:ascii="宋体" w:hAnsi="宋体" w:cs="仿宋"/>
          <w:b/>
          <w:sz w:val="32"/>
          <w:szCs w:val="32"/>
        </w:rPr>
      </w:pPr>
      <w:r>
        <w:rPr>
          <w:rFonts w:hint="eastAsia" w:ascii="宋体" w:hAnsi="宋体" w:cs="仿宋"/>
          <w:b/>
          <w:sz w:val="32"/>
          <w:szCs w:val="32"/>
        </w:rPr>
        <w:t>一、总  则</w:t>
      </w:r>
      <w:bookmarkEnd w:id="18"/>
    </w:p>
    <w:p w14:paraId="0777EA7E">
      <w:pPr>
        <w:snapToGrid w:val="0"/>
        <w:spacing w:line="360" w:lineRule="auto"/>
        <w:ind w:firstLine="482" w:firstLineChars="200"/>
        <w:outlineLvl w:val="2"/>
        <w:rPr>
          <w:rFonts w:ascii="宋体" w:hAnsi="宋体" w:cs="仿宋"/>
          <w:b/>
          <w:sz w:val="24"/>
        </w:rPr>
      </w:pPr>
      <w:r>
        <w:rPr>
          <w:rFonts w:hint="eastAsia" w:ascii="宋体" w:hAnsi="宋体" w:cs="仿宋"/>
          <w:b/>
          <w:sz w:val="24"/>
        </w:rPr>
        <w:t>（一） 适用范围</w:t>
      </w:r>
    </w:p>
    <w:p w14:paraId="4B187E12">
      <w:pPr>
        <w:snapToGrid w:val="0"/>
        <w:spacing w:line="360" w:lineRule="auto"/>
        <w:ind w:firstLine="480" w:firstLineChars="200"/>
        <w:rPr>
          <w:rFonts w:hint="eastAsia" w:ascii="宋体" w:hAnsi="宋体" w:cs="仿宋"/>
          <w:sz w:val="24"/>
          <w:lang w:eastAsia="zh-CN"/>
        </w:rPr>
      </w:pPr>
      <w:r>
        <w:rPr>
          <w:rFonts w:hint="eastAsia" w:ascii="宋体" w:hAnsi="宋体" w:cs="仿宋"/>
          <w:sz w:val="24"/>
        </w:rPr>
        <w:t>本招标文件（采购文件）适用于</w:t>
      </w:r>
      <w:r>
        <w:rPr>
          <w:rFonts w:hint="eastAsia" w:ascii="宋体" w:hAnsi="宋体" w:cs="仿宋"/>
          <w:sz w:val="24"/>
          <w:lang w:eastAsia="zh-CN"/>
        </w:rPr>
        <w:t>吴兴区2024年度千万亩森林质量精准提升工程</w:t>
      </w:r>
    </w:p>
    <w:p w14:paraId="08DD8CC5">
      <w:pPr>
        <w:snapToGrid w:val="0"/>
        <w:spacing w:line="360" w:lineRule="auto"/>
        <w:ind w:firstLine="480" w:firstLineChars="200"/>
        <w:rPr>
          <w:rFonts w:ascii="宋体" w:hAnsi="宋体" w:cs="仿宋"/>
          <w:bCs/>
          <w:snapToGrid w:val="0"/>
          <w:sz w:val="24"/>
          <w:u w:val="single"/>
        </w:rPr>
      </w:pPr>
      <w:r>
        <w:rPr>
          <w:rFonts w:hint="eastAsia" w:ascii="宋体" w:hAnsi="宋体" w:cs="仿宋"/>
          <w:sz w:val="24"/>
        </w:rPr>
        <w:t>的招标、投标、评标、定标、验收、合同履约、付款等行为（法律、法规另有规定的，从其规定）。</w:t>
      </w:r>
    </w:p>
    <w:p w14:paraId="69748576">
      <w:pPr>
        <w:snapToGrid w:val="0"/>
        <w:spacing w:line="360" w:lineRule="auto"/>
        <w:ind w:firstLine="482" w:firstLineChars="200"/>
        <w:outlineLvl w:val="2"/>
        <w:rPr>
          <w:rFonts w:ascii="宋体" w:hAnsi="宋体" w:cs="仿宋"/>
          <w:b/>
          <w:sz w:val="24"/>
        </w:rPr>
      </w:pPr>
      <w:r>
        <w:rPr>
          <w:rFonts w:hint="eastAsia" w:ascii="宋体" w:hAnsi="宋体" w:cs="仿宋"/>
          <w:b/>
          <w:sz w:val="24"/>
        </w:rPr>
        <w:t>（二）定义</w:t>
      </w:r>
    </w:p>
    <w:p w14:paraId="49B56D84">
      <w:pPr>
        <w:pStyle w:val="29"/>
        <w:spacing w:line="360" w:lineRule="auto"/>
        <w:ind w:firstLine="480" w:firstLineChars="200"/>
        <w:rPr>
          <w:rFonts w:hAnsi="宋体"/>
          <w:sz w:val="24"/>
          <w:szCs w:val="24"/>
        </w:rPr>
      </w:pPr>
      <w:r>
        <w:rPr>
          <w:rFonts w:hAnsi="宋体"/>
          <w:sz w:val="24"/>
          <w:szCs w:val="24"/>
        </w:rPr>
        <w:t>1</w:t>
      </w:r>
      <w:r>
        <w:rPr>
          <w:rFonts w:hint="eastAsia" w:hAnsi="宋体"/>
          <w:sz w:val="24"/>
          <w:szCs w:val="24"/>
        </w:rPr>
        <w:t>、</w:t>
      </w:r>
      <w:r>
        <w:rPr>
          <w:rFonts w:hAnsi="宋体"/>
          <w:sz w:val="24"/>
          <w:szCs w:val="24"/>
        </w:rPr>
        <w:t>“采购人”系指</w:t>
      </w:r>
      <w:r>
        <w:rPr>
          <w:rFonts w:hint="eastAsia" w:hAnsi="宋体"/>
          <w:sz w:val="24"/>
          <w:szCs w:val="24"/>
          <w:lang w:eastAsia="zh-CN"/>
        </w:rPr>
        <w:t>湖州市自然资源和规划局吴兴分局</w:t>
      </w:r>
      <w:r>
        <w:rPr>
          <w:rFonts w:hAnsi="宋体"/>
          <w:sz w:val="24"/>
          <w:szCs w:val="24"/>
        </w:rPr>
        <w:t>。</w:t>
      </w:r>
    </w:p>
    <w:p w14:paraId="7444F509">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供应商”系指提交投标文件的单位或个人。</w:t>
      </w:r>
    </w:p>
    <w:p w14:paraId="220B31FB">
      <w:pPr>
        <w:snapToGrid w:val="0"/>
        <w:spacing w:line="360" w:lineRule="auto"/>
        <w:ind w:firstLine="480" w:firstLineChars="200"/>
        <w:jc w:val="left"/>
        <w:rPr>
          <w:rFonts w:ascii="宋体" w:hAnsi="宋体"/>
          <w:sz w:val="24"/>
        </w:rPr>
      </w:pPr>
      <w:r>
        <w:rPr>
          <w:rFonts w:hint="eastAsia" w:ascii="宋体" w:hAnsi="宋体"/>
          <w:sz w:val="24"/>
        </w:rPr>
        <w:t>3、“采购代理机构”系指</w:t>
      </w:r>
      <w:r>
        <w:rPr>
          <w:rFonts w:hint="eastAsia" w:ascii="宋体" w:hAnsi="宋体"/>
          <w:sz w:val="24"/>
          <w:lang w:eastAsia="zh-CN"/>
        </w:rPr>
        <w:t>湖州泓达工程管理咨询有限公司</w:t>
      </w:r>
      <w:r>
        <w:rPr>
          <w:rFonts w:hint="eastAsia" w:ascii="宋体" w:hAnsi="宋体"/>
          <w:sz w:val="24"/>
        </w:rPr>
        <w:t>。</w:t>
      </w:r>
    </w:p>
    <w:p w14:paraId="21AC2180">
      <w:pPr>
        <w:snapToGrid w:val="0"/>
        <w:spacing w:line="360" w:lineRule="auto"/>
        <w:ind w:firstLine="480" w:firstLineChars="200"/>
        <w:jc w:val="left"/>
        <w:rPr>
          <w:rFonts w:ascii="宋体" w:hAnsi="宋体" w:cs="仿宋"/>
          <w:sz w:val="24"/>
        </w:rPr>
      </w:pPr>
      <w:r>
        <w:rPr>
          <w:rFonts w:hint="eastAsia" w:ascii="宋体" w:hAnsi="宋体" w:cs="仿宋"/>
          <w:sz w:val="24"/>
        </w:rPr>
        <w:t>4、“产品”系指供方按招标文件规定，须向采购单位提供的一切设备、保险、税金、备品备件、工具、手册及其它有关技术资料和材料。</w:t>
      </w:r>
    </w:p>
    <w:p w14:paraId="663A07E2">
      <w:pPr>
        <w:snapToGrid w:val="0"/>
        <w:spacing w:line="360" w:lineRule="auto"/>
        <w:ind w:firstLine="480" w:firstLineChars="200"/>
        <w:jc w:val="left"/>
        <w:rPr>
          <w:rFonts w:ascii="宋体" w:hAnsi="宋体" w:cs="仿宋"/>
          <w:sz w:val="24"/>
        </w:rPr>
      </w:pPr>
      <w:r>
        <w:rPr>
          <w:rFonts w:hint="eastAsia" w:ascii="宋体" w:hAnsi="宋体" w:cs="仿宋"/>
          <w:sz w:val="24"/>
        </w:rPr>
        <w:t>5、“服务”系指招标文件规定投标供应商中标后须承担的与本项目有关的义务。</w:t>
      </w:r>
    </w:p>
    <w:p w14:paraId="5DE7F946">
      <w:pPr>
        <w:snapToGrid w:val="0"/>
        <w:spacing w:line="360" w:lineRule="auto"/>
        <w:ind w:firstLine="480" w:firstLineChars="200"/>
        <w:jc w:val="left"/>
        <w:rPr>
          <w:rFonts w:ascii="宋体" w:hAnsi="宋体" w:cs="仿宋"/>
          <w:sz w:val="24"/>
        </w:rPr>
      </w:pPr>
      <w:r>
        <w:rPr>
          <w:rFonts w:hint="eastAsia" w:ascii="宋体" w:hAnsi="宋体" w:cs="仿宋"/>
          <w:sz w:val="24"/>
        </w:rPr>
        <w:t>6、“项目”系指投标供应商按招标文件规定向采购单位提供的产品和服务。</w:t>
      </w:r>
    </w:p>
    <w:p w14:paraId="1B6E1F9E">
      <w:pPr>
        <w:snapToGrid w:val="0"/>
        <w:spacing w:line="360" w:lineRule="auto"/>
        <w:ind w:firstLine="480" w:firstLineChars="200"/>
        <w:jc w:val="left"/>
        <w:rPr>
          <w:rFonts w:ascii="宋体" w:hAnsi="宋体" w:cs="仿宋"/>
          <w:sz w:val="24"/>
        </w:rPr>
      </w:pPr>
      <w:r>
        <w:rPr>
          <w:rFonts w:hint="eastAsia" w:ascii="宋体" w:hAnsi="宋体" w:cs="仿宋"/>
          <w:sz w:val="24"/>
        </w:rPr>
        <w:t>7、“书面形式”包括</w:t>
      </w:r>
      <w:r>
        <w:rPr>
          <w:rFonts w:ascii="宋体" w:hAnsi="宋体" w:cs="Arial"/>
          <w:kern w:val="0"/>
          <w:sz w:val="24"/>
        </w:rPr>
        <w:t>信函、传真、电子扫描件</w:t>
      </w:r>
      <w:r>
        <w:rPr>
          <w:rFonts w:hint="eastAsia" w:ascii="宋体" w:hAnsi="宋体" w:cs="仿宋"/>
          <w:sz w:val="24"/>
        </w:rPr>
        <w:t>等。</w:t>
      </w:r>
    </w:p>
    <w:p w14:paraId="01724BFB">
      <w:pPr>
        <w:snapToGrid w:val="0"/>
        <w:spacing w:line="500" w:lineRule="exact"/>
        <w:ind w:firstLine="482" w:firstLineChars="200"/>
        <w:outlineLvl w:val="2"/>
        <w:rPr>
          <w:rFonts w:ascii="宋体" w:hAnsi="宋体" w:cs="仿宋"/>
          <w:b/>
          <w:sz w:val="24"/>
        </w:rPr>
      </w:pPr>
      <w:r>
        <w:rPr>
          <w:rFonts w:hint="eastAsia" w:ascii="宋体" w:hAnsi="宋体" w:cs="仿宋"/>
          <w:b/>
          <w:sz w:val="24"/>
        </w:rPr>
        <w:t>（三）招标方式</w:t>
      </w:r>
    </w:p>
    <w:p w14:paraId="42E42B83">
      <w:pPr>
        <w:snapToGrid w:val="0"/>
        <w:spacing w:line="500" w:lineRule="exact"/>
        <w:ind w:firstLine="480" w:firstLineChars="200"/>
        <w:rPr>
          <w:rFonts w:ascii="宋体" w:hAnsi="宋体" w:cs="仿宋"/>
          <w:sz w:val="24"/>
          <w:szCs w:val="20"/>
        </w:rPr>
      </w:pPr>
      <w:r>
        <w:rPr>
          <w:rFonts w:hint="eastAsia" w:ascii="宋体" w:hAnsi="宋体" w:cs="仿宋"/>
          <w:sz w:val="24"/>
        </w:rPr>
        <w:t>本次招标采用公开招标方式进行。</w:t>
      </w:r>
    </w:p>
    <w:p w14:paraId="6B995BDB">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（四）投标委托</w:t>
      </w:r>
    </w:p>
    <w:p w14:paraId="0787D3AB">
      <w:pPr>
        <w:snapToGrid w:val="0"/>
        <w:spacing w:line="500" w:lineRule="exact"/>
        <w:ind w:firstLine="480" w:firstLineChars="200"/>
        <w:rPr>
          <w:rFonts w:ascii="宋体" w:hAnsi="宋体" w:cs="仿宋"/>
          <w:sz w:val="24"/>
        </w:rPr>
      </w:pPr>
      <w:r>
        <w:rPr>
          <w:rFonts w:hint="eastAsia" w:ascii="宋体" w:hAnsi="宋体" w:cs="仿宋"/>
          <w:sz w:val="24"/>
        </w:rPr>
        <w:t>各投标供应商应指派专人（法定代表人或其他本单位正式员工）负责本项目的投标、开标、评标等具体事务和签署相关文件。</w:t>
      </w:r>
    </w:p>
    <w:p w14:paraId="21A33102">
      <w:pPr>
        <w:snapToGrid w:val="0"/>
        <w:spacing w:line="500" w:lineRule="exact"/>
        <w:ind w:firstLine="482" w:firstLineChars="200"/>
        <w:outlineLvl w:val="2"/>
        <w:rPr>
          <w:rFonts w:ascii="宋体" w:hAnsi="宋体" w:cs="仿宋"/>
          <w:b/>
          <w:sz w:val="24"/>
        </w:rPr>
      </w:pPr>
      <w:r>
        <w:rPr>
          <w:rFonts w:hint="eastAsia" w:ascii="宋体" w:hAnsi="宋体" w:cs="仿宋"/>
          <w:b/>
          <w:sz w:val="24"/>
        </w:rPr>
        <w:t>（五）投标费用</w:t>
      </w:r>
    </w:p>
    <w:p w14:paraId="6F74535B">
      <w:pPr>
        <w:spacing w:line="360" w:lineRule="auto"/>
        <w:ind w:firstLine="480" w:firstLineChars="200"/>
        <w:rPr>
          <w:rFonts w:ascii="宋体" w:hAnsi="宋体" w:cs="仿宋"/>
          <w:sz w:val="24"/>
        </w:rPr>
      </w:pPr>
      <w:r>
        <w:rPr>
          <w:rFonts w:hint="eastAsia" w:ascii="宋体" w:hAnsi="宋体" w:cs="仿宋"/>
          <w:sz w:val="24"/>
        </w:rPr>
        <w:t>不论投标结果如何，投标供应商均应自行承担所有与投标有关的全部费用（招标文件有相关规定除外）。</w:t>
      </w:r>
    </w:p>
    <w:p w14:paraId="4C2FEE79">
      <w:pPr>
        <w:snapToGrid w:val="0"/>
        <w:spacing w:line="360" w:lineRule="auto"/>
        <w:ind w:firstLine="480" w:firstLineChars="200"/>
        <w:jc w:val="left"/>
        <w:rPr>
          <w:rFonts w:ascii="宋体" w:hAnsi="宋体"/>
          <w:color w:val="000000"/>
          <w:sz w:val="24"/>
        </w:rPr>
      </w:pPr>
      <w:r>
        <w:rPr>
          <w:rFonts w:hint="eastAsia" w:ascii="宋体" w:hAnsi="宋体"/>
          <w:sz w:val="24"/>
        </w:rPr>
        <w:t>本项目</w:t>
      </w:r>
      <w:r>
        <w:rPr>
          <w:rFonts w:hint="eastAsia" w:ascii="宋体" w:hAnsi="宋体"/>
          <w:color w:val="000000"/>
          <w:sz w:val="24"/>
        </w:rPr>
        <w:t>招标代理服务费：</w:t>
      </w:r>
      <w:r>
        <w:rPr>
          <w:rFonts w:hint="eastAsia" w:ascii="宋体" w:hAnsi="宋体"/>
          <w:sz w:val="24"/>
        </w:rPr>
        <w:t>按</w:t>
      </w:r>
      <w:bookmarkStart w:id="30" w:name="_GoBack"/>
      <w:bookmarkEnd w:id="30"/>
      <w:r>
        <w:rPr>
          <w:rFonts w:hint="eastAsia" w:ascii="宋体" w:hAnsi="宋体"/>
          <w:color w:val="000000"/>
          <w:sz w:val="24"/>
          <w:lang w:val="en-US" w:eastAsia="zh-CN"/>
        </w:rPr>
        <w:t>13629</w:t>
      </w:r>
      <w:r>
        <w:rPr>
          <w:rFonts w:hint="eastAsia" w:ascii="宋体" w:hAnsi="宋体"/>
          <w:color w:val="000000"/>
          <w:sz w:val="24"/>
        </w:rPr>
        <w:t>元</w:t>
      </w:r>
      <w:r>
        <w:rPr>
          <w:rFonts w:hint="eastAsia" w:ascii="宋体" w:hAnsi="宋体"/>
          <w:sz w:val="24"/>
        </w:rPr>
        <w:t>整收取。</w:t>
      </w:r>
      <w:r>
        <w:rPr>
          <w:rFonts w:hint="eastAsia" w:ascii="宋体" w:hAnsi="宋体"/>
          <w:color w:val="000000"/>
          <w:sz w:val="24"/>
        </w:rPr>
        <w:t>由中标供应商全额支付，投标供应商应自行考虑列入投标报价。</w:t>
      </w:r>
    </w:p>
    <w:p w14:paraId="23884A49">
      <w:pPr>
        <w:snapToGrid w:val="0"/>
        <w:spacing w:line="360" w:lineRule="auto"/>
        <w:ind w:firstLine="472" w:firstLineChars="196"/>
        <w:jc w:val="left"/>
        <w:rPr>
          <w:rFonts w:ascii="宋体" w:hAnsi="宋体"/>
          <w:b/>
          <w:sz w:val="24"/>
        </w:rPr>
      </w:pPr>
      <w:r>
        <w:rPr>
          <w:rFonts w:hint="eastAsia" w:ascii="宋体" w:hAnsi="宋体"/>
          <w:b/>
          <w:sz w:val="24"/>
        </w:rPr>
        <w:t>（六）联合体投标</w:t>
      </w:r>
    </w:p>
    <w:p w14:paraId="149FAA20">
      <w:pPr>
        <w:snapToGrid w:val="0"/>
        <w:spacing w:line="360" w:lineRule="auto"/>
        <w:ind w:firstLine="480" w:firstLineChars="200"/>
        <w:jc w:val="left"/>
        <w:rPr>
          <w:rFonts w:ascii="宋体" w:hAnsi="宋体" w:cs="Arial"/>
          <w:sz w:val="24"/>
          <w:highlight w:val="none"/>
        </w:rPr>
      </w:pPr>
      <w:r>
        <w:rPr>
          <w:rFonts w:hint="eastAsia" w:ascii="宋体" w:hAnsi="宋体" w:cs="Arial"/>
          <w:sz w:val="24"/>
          <w:highlight w:val="none"/>
        </w:rPr>
        <w:t>本项目</w:t>
      </w:r>
      <w:r>
        <w:rPr>
          <w:rFonts w:hint="eastAsia" w:ascii="宋体" w:hAnsi="宋体" w:cs="Arial"/>
          <w:sz w:val="24"/>
          <w:highlight w:val="none"/>
          <w:lang w:eastAsia="zh-CN"/>
        </w:rPr>
        <w:t>不</w:t>
      </w:r>
      <w:r>
        <w:rPr>
          <w:rFonts w:hint="eastAsia" w:ascii="宋体" w:hAnsi="宋体" w:cs="Arial"/>
          <w:sz w:val="24"/>
          <w:highlight w:val="none"/>
        </w:rPr>
        <w:t>接受联合体投标。</w:t>
      </w:r>
    </w:p>
    <w:p w14:paraId="18638E94">
      <w:pPr>
        <w:snapToGrid w:val="0"/>
        <w:spacing w:line="360" w:lineRule="auto"/>
        <w:ind w:firstLine="472" w:firstLineChars="196"/>
        <w:rPr>
          <w:rFonts w:ascii="宋体" w:hAnsi="宋体" w:cs="宋体"/>
          <w:b/>
          <w:kern w:val="0"/>
          <w:sz w:val="24"/>
        </w:rPr>
      </w:pPr>
      <w:r>
        <w:rPr>
          <w:rFonts w:hint="eastAsia" w:ascii="宋体" w:hAnsi="宋体"/>
          <w:b/>
          <w:sz w:val="24"/>
        </w:rPr>
        <w:t>（七）</w:t>
      </w:r>
      <w:r>
        <w:rPr>
          <w:rFonts w:hint="eastAsia" w:ascii="宋体" w:hAnsi="宋体" w:cs="宋体"/>
          <w:b/>
          <w:kern w:val="0"/>
          <w:sz w:val="24"/>
        </w:rPr>
        <w:t>转包与分包</w:t>
      </w:r>
    </w:p>
    <w:p w14:paraId="7B7EA7DB">
      <w:pPr>
        <w:snapToGrid w:val="0"/>
        <w:spacing w:line="360" w:lineRule="auto"/>
        <w:ind w:firstLine="480" w:firstLineChars="200"/>
        <w:rPr>
          <w:rFonts w:ascii="宋体" w:hAnsi="宋体"/>
          <w:sz w:val="24"/>
        </w:rPr>
      </w:pPr>
      <w:r>
        <w:rPr>
          <w:rFonts w:ascii="宋体" w:hAnsi="宋体" w:cs="宋体"/>
          <w:kern w:val="0"/>
          <w:sz w:val="24"/>
        </w:rPr>
        <w:t>本项目不允许</w:t>
      </w:r>
      <w:r>
        <w:rPr>
          <w:rFonts w:hint="eastAsia" w:ascii="宋体" w:hAnsi="宋体" w:cs="宋体"/>
          <w:kern w:val="0"/>
          <w:sz w:val="24"/>
        </w:rPr>
        <w:t>任何形式的</w:t>
      </w:r>
      <w:r>
        <w:rPr>
          <w:rFonts w:ascii="宋体" w:hAnsi="宋体" w:cs="宋体"/>
          <w:kern w:val="0"/>
          <w:sz w:val="24"/>
        </w:rPr>
        <w:t>转包</w:t>
      </w:r>
      <w:r>
        <w:rPr>
          <w:rFonts w:hint="eastAsia" w:ascii="宋体" w:hAnsi="宋体" w:cs="宋体"/>
          <w:kern w:val="0"/>
          <w:sz w:val="24"/>
        </w:rPr>
        <w:t>和</w:t>
      </w:r>
      <w:r>
        <w:rPr>
          <w:rFonts w:ascii="宋体" w:hAnsi="宋体" w:cs="宋体"/>
          <w:kern w:val="0"/>
          <w:sz w:val="24"/>
        </w:rPr>
        <w:t>分包</w:t>
      </w:r>
      <w:r>
        <w:rPr>
          <w:rFonts w:hint="eastAsia" w:ascii="宋体" w:hAnsi="宋体" w:cs="宋体"/>
          <w:kern w:val="0"/>
          <w:sz w:val="24"/>
        </w:rPr>
        <w:t>。</w:t>
      </w:r>
    </w:p>
    <w:p w14:paraId="3EEEEB5B">
      <w:pPr>
        <w:snapToGrid w:val="0"/>
        <w:spacing w:line="500" w:lineRule="exact"/>
        <w:ind w:firstLine="482" w:firstLineChars="200"/>
        <w:outlineLvl w:val="2"/>
        <w:rPr>
          <w:rFonts w:ascii="宋体" w:hAnsi="宋体" w:cs="仿宋"/>
          <w:b/>
          <w:sz w:val="24"/>
        </w:rPr>
      </w:pPr>
      <w:r>
        <w:rPr>
          <w:rFonts w:hint="eastAsia" w:ascii="宋体" w:hAnsi="宋体" w:cs="仿宋"/>
          <w:b/>
          <w:sz w:val="24"/>
        </w:rPr>
        <w:t>（八）特别说明：</w:t>
      </w:r>
    </w:p>
    <w:p w14:paraId="713D60AB">
      <w:pPr>
        <w:spacing w:line="500" w:lineRule="exact"/>
        <w:ind w:firstLine="480" w:firstLineChars="200"/>
        <w:rPr>
          <w:rFonts w:ascii="宋体" w:hAnsi="宋体" w:cs="仿宋"/>
          <w:sz w:val="24"/>
        </w:rPr>
      </w:pPr>
      <w:r>
        <w:rPr>
          <w:rFonts w:hint="eastAsia" w:ascii="宋体" w:hAnsi="宋体" w:cs="仿宋"/>
          <w:sz w:val="24"/>
        </w:rPr>
        <w:t>▲1、单位负责人为同一人或者存在直接控股、管理关系的不同投标供应商，不得参加同一合同项下的政府采购活动。</w:t>
      </w:r>
    </w:p>
    <w:p w14:paraId="238AF73C">
      <w:pPr>
        <w:spacing w:line="500" w:lineRule="exact"/>
        <w:ind w:firstLine="480" w:firstLineChars="200"/>
        <w:rPr>
          <w:rFonts w:ascii="宋体" w:hAnsi="宋体" w:cs="仿宋"/>
          <w:sz w:val="24"/>
        </w:rPr>
      </w:pPr>
      <w:r>
        <w:rPr>
          <w:rFonts w:hint="eastAsia" w:ascii="宋体" w:hAnsi="宋体" w:cs="仿宋"/>
          <w:sz w:val="24"/>
        </w:rPr>
        <w:t>▲2、投标供应商投标所使用的资格、信誉、业绩与企业认证必须为本法人所拥有。投标供应商投标所使用的采购项目实施人员必须为本法人员工（或必须为本法人或控股公司正式员工）。</w:t>
      </w:r>
    </w:p>
    <w:p w14:paraId="78824BDC">
      <w:pPr>
        <w:spacing w:line="500" w:lineRule="exact"/>
        <w:ind w:firstLine="480" w:firstLineChars="200"/>
        <w:rPr>
          <w:rFonts w:ascii="宋体" w:hAnsi="宋体" w:cs="仿宋"/>
          <w:sz w:val="24"/>
        </w:rPr>
      </w:pPr>
      <w:r>
        <w:rPr>
          <w:rFonts w:hint="eastAsia" w:ascii="宋体" w:hAnsi="宋体" w:cs="仿宋"/>
          <w:sz w:val="24"/>
        </w:rPr>
        <w:t>▲3、投标供应商应仔细阅读招标文件的所有内容，按照招标文件的要求提交投标文件，并对所提供的全部资料的真实性承担法律责任。</w:t>
      </w:r>
    </w:p>
    <w:p w14:paraId="3B826FE0">
      <w:pPr>
        <w:spacing w:line="500" w:lineRule="exact"/>
        <w:ind w:firstLine="480" w:firstLineChars="200"/>
        <w:rPr>
          <w:rFonts w:ascii="宋体" w:hAnsi="宋体" w:cs="仿宋"/>
          <w:sz w:val="24"/>
        </w:rPr>
      </w:pPr>
      <w:r>
        <w:rPr>
          <w:rFonts w:hint="eastAsia" w:ascii="宋体" w:hAnsi="宋体" w:cs="仿宋"/>
          <w:sz w:val="24"/>
        </w:rPr>
        <w:t>▲4、投标供应商在投标活动中提供任何虚假材料,其投标无效，并报监管部门查处中标后发现的,中标人须依照《中华人民共和国政府采购法》第七十七条之规定处以采购金额千分之五以上千分之十以下的罚款， 列入不良行为记录名单， 在一至三年内禁止参加政府采购活动，有违法所得的，并处没收违法所得，情节严重的，由工商行政管理机关吊销营业执照； 构成犯罪的，依法追究刑事责任。</w:t>
      </w:r>
    </w:p>
    <w:p w14:paraId="7FBBD3FD">
      <w:pPr>
        <w:snapToGrid w:val="0"/>
        <w:spacing w:line="500" w:lineRule="exact"/>
        <w:ind w:firstLine="482" w:firstLineChars="200"/>
        <w:outlineLvl w:val="2"/>
        <w:rPr>
          <w:rFonts w:ascii="宋体" w:hAnsi="宋体" w:cs="仿宋"/>
          <w:b/>
          <w:sz w:val="24"/>
        </w:rPr>
      </w:pPr>
      <w:r>
        <w:rPr>
          <w:rFonts w:hint="eastAsia" w:ascii="宋体" w:hAnsi="宋体" w:cs="仿宋"/>
          <w:b/>
          <w:sz w:val="24"/>
        </w:rPr>
        <w:t>（九）质疑和投诉</w:t>
      </w:r>
    </w:p>
    <w:p w14:paraId="11D6F1F9">
      <w:pPr>
        <w:spacing w:line="500" w:lineRule="exact"/>
        <w:ind w:firstLine="480" w:firstLineChars="200"/>
        <w:rPr>
          <w:rFonts w:ascii="宋体" w:hAnsi="宋体" w:cs="仿宋"/>
          <w:sz w:val="24"/>
        </w:rPr>
      </w:pPr>
      <w:r>
        <w:rPr>
          <w:rFonts w:hint="eastAsia" w:ascii="宋体" w:hAnsi="宋体" w:cs="仿宋"/>
          <w:sz w:val="24"/>
        </w:rPr>
        <w:t>1、投标供应商认为招标文件、招标过程或中标结果使自己的合法权益受到损害的，应当在知道或者应知其权益受到损害之日起七个工作日内，以书面形式向采购单位、招标方提出质疑。投标供应商对招标采购单位的质疑答复不满意或者招标采购单位未在规定时间内作出答复的，可以在答复期满后十五个工作日内向同级采购监管部门投诉。</w:t>
      </w:r>
    </w:p>
    <w:p w14:paraId="2B163E49">
      <w:pPr>
        <w:spacing w:line="500" w:lineRule="exact"/>
        <w:ind w:firstLine="480" w:firstLineChars="200"/>
        <w:rPr>
          <w:rFonts w:ascii="宋体" w:hAnsi="宋体" w:cs="仿宋"/>
          <w:sz w:val="24"/>
        </w:rPr>
      </w:pPr>
      <w:r>
        <w:rPr>
          <w:rFonts w:hint="eastAsia" w:ascii="宋体" w:hAnsi="宋体" w:cs="仿宋"/>
          <w:sz w:val="24"/>
        </w:rPr>
        <w:t>2、提出质疑的投标供应商（以下简称质疑投标供应商）应当是参与所质疑项目采购活动的投标供应商。</w:t>
      </w:r>
    </w:p>
    <w:p w14:paraId="73A79C8C">
      <w:pPr>
        <w:spacing w:line="500" w:lineRule="exact"/>
        <w:ind w:firstLine="480" w:firstLineChars="200"/>
        <w:rPr>
          <w:rFonts w:ascii="宋体" w:hAnsi="宋体" w:cs="仿宋"/>
          <w:sz w:val="24"/>
        </w:rPr>
      </w:pPr>
      <w:r>
        <w:rPr>
          <w:rFonts w:hint="eastAsia" w:ascii="宋体" w:hAnsi="宋体" w:cs="仿宋"/>
          <w:sz w:val="24"/>
        </w:rPr>
        <w:t>潜在投标供应商已依法获取其可质疑的招标文件的，可以对该文件提出质疑。对招标文件提出质疑的，应当在获取招标文件或者招标文件公告期限届满之日起7个工作日内提出。</w:t>
      </w:r>
    </w:p>
    <w:p w14:paraId="0D1557E2">
      <w:pPr>
        <w:spacing w:line="500" w:lineRule="exact"/>
        <w:ind w:firstLine="480" w:firstLineChars="200"/>
        <w:rPr>
          <w:rFonts w:ascii="宋体" w:hAnsi="宋体" w:cs="仿宋"/>
          <w:sz w:val="24"/>
        </w:rPr>
      </w:pPr>
      <w:r>
        <w:rPr>
          <w:rFonts w:hint="eastAsia" w:ascii="宋体" w:hAnsi="宋体" w:cs="仿宋"/>
          <w:sz w:val="24"/>
        </w:rPr>
        <w:t>3、投标供应商提出质疑应当提交质疑函和必要的证明材料。质疑函应当包括下列内容：</w:t>
      </w:r>
    </w:p>
    <w:p w14:paraId="6B18064F">
      <w:pPr>
        <w:spacing w:line="500" w:lineRule="exact"/>
        <w:ind w:firstLine="480" w:firstLineChars="200"/>
        <w:rPr>
          <w:rFonts w:ascii="宋体" w:hAnsi="宋体" w:cs="仿宋"/>
          <w:sz w:val="24"/>
        </w:rPr>
      </w:pPr>
      <w:r>
        <w:rPr>
          <w:rFonts w:hint="eastAsia" w:ascii="宋体" w:hAnsi="宋体" w:cs="仿宋"/>
          <w:sz w:val="24"/>
        </w:rPr>
        <w:t>（1）投标供应商的姓名或者名称、地址、邮编、联系人及联系电话；</w:t>
      </w:r>
    </w:p>
    <w:p w14:paraId="58D85433">
      <w:pPr>
        <w:spacing w:line="500" w:lineRule="exact"/>
        <w:ind w:firstLine="480" w:firstLineChars="200"/>
        <w:rPr>
          <w:rFonts w:ascii="宋体" w:hAnsi="宋体" w:cs="仿宋"/>
          <w:sz w:val="24"/>
        </w:rPr>
      </w:pPr>
      <w:r>
        <w:rPr>
          <w:rFonts w:hint="eastAsia" w:ascii="宋体" w:hAnsi="宋体" w:cs="仿宋"/>
          <w:sz w:val="24"/>
        </w:rPr>
        <w:t>（2）质疑项目的名称、编号；</w:t>
      </w:r>
    </w:p>
    <w:p w14:paraId="3E1E6238">
      <w:pPr>
        <w:spacing w:line="500" w:lineRule="exact"/>
        <w:ind w:firstLine="480" w:firstLineChars="200"/>
        <w:rPr>
          <w:rFonts w:ascii="宋体" w:hAnsi="宋体" w:cs="仿宋"/>
          <w:sz w:val="24"/>
        </w:rPr>
      </w:pPr>
      <w:r>
        <w:rPr>
          <w:rFonts w:hint="eastAsia" w:ascii="宋体" w:hAnsi="宋体" w:cs="仿宋"/>
          <w:sz w:val="24"/>
        </w:rPr>
        <w:t>（3）具体、明确的质疑事项和与质疑事项相关的请求；</w:t>
      </w:r>
    </w:p>
    <w:p w14:paraId="183C613F">
      <w:pPr>
        <w:spacing w:line="500" w:lineRule="exact"/>
        <w:ind w:firstLine="480" w:firstLineChars="200"/>
        <w:rPr>
          <w:rFonts w:ascii="宋体" w:hAnsi="宋体" w:cs="仿宋"/>
          <w:sz w:val="24"/>
        </w:rPr>
      </w:pPr>
      <w:r>
        <w:rPr>
          <w:rFonts w:hint="eastAsia" w:ascii="宋体" w:hAnsi="宋体" w:cs="仿宋"/>
          <w:sz w:val="24"/>
        </w:rPr>
        <w:t>（4）事实依据；</w:t>
      </w:r>
    </w:p>
    <w:p w14:paraId="36E8EBA8">
      <w:pPr>
        <w:spacing w:line="500" w:lineRule="exact"/>
        <w:ind w:firstLine="480" w:firstLineChars="200"/>
        <w:rPr>
          <w:rFonts w:ascii="宋体" w:hAnsi="宋体" w:cs="仿宋"/>
          <w:sz w:val="24"/>
        </w:rPr>
      </w:pPr>
      <w:r>
        <w:rPr>
          <w:rFonts w:hint="eastAsia" w:ascii="宋体" w:hAnsi="宋体" w:cs="仿宋"/>
          <w:sz w:val="24"/>
        </w:rPr>
        <w:t>（5）必要的法律依据；</w:t>
      </w:r>
    </w:p>
    <w:p w14:paraId="6D51C47F">
      <w:pPr>
        <w:spacing w:line="500" w:lineRule="exact"/>
        <w:ind w:firstLine="480" w:firstLineChars="200"/>
        <w:rPr>
          <w:rFonts w:ascii="宋体" w:hAnsi="宋体" w:cs="仿宋"/>
          <w:sz w:val="24"/>
        </w:rPr>
      </w:pPr>
      <w:r>
        <w:rPr>
          <w:rFonts w:hint="eastAsia" w:ascii="宋体" w:hAnsi="宋体" w:cs="仿宋"/>
          <w:sz w:val="24"/>
        </w:rPr>
        <w:t>（6）提出质疑的日期。</w:t>
      </w:r>
    </w:p>
    <w:p w14:paraId="7BC8B585">
      <w:pPr>
        <w:spacing w:line="500" w:lineRule="exact"/>
        <w:ind w:firstLine="480" w:firstLineChars="200"/>
        <w:rPr>
          <w:rFonts w:ascii="宋体" w:hAnsi="宋体" w:cs="仿宋"/>
          <w:sz w:val="24"/>
        </w:rPr>
      </w:pPr>
      <w:r>
        <w:rPr>
          <w:rFonts w:hint="eastAsia" w:ascii="宋体" w:hAnsi="宋体" w:cs="仿宋"/>
          <w:sz w:val="24"/>
        </w:rPr>
        <w:t>投标供应商为自然人的，应当由本人签字；投标供应商为法人或者其他组织的，应当由法定代表人、主要负责人，或者其授权代表签字或者盖章，并加盖公章。</w:t>
      </w:r>
    </w:p>
    <w:p w14:paraId="35B1975B">
      <w:pPr>
        <w:spacing w:line="500" w:lineRule="exact"/>
        <w:ind w:firstLine="480" w:firstLineChars="200"/>
        <w:rPr>
          <w:rFonts w:ascii="宋体" w:hAnsi="宋体" w:cs="仿宋"/>
          <w:sz w:val="24"/>
        </w:rPr>
      </w:pPr>
      <w:r>
        <w:rPr>
          <w:rFonts w:hint="eastAsia" w:ascii="宋体" w:hAnsi="宋体" w:cs="仿宋"/>
          <w:sz w:val="24"/>
        </w:rPr>
        <w:t>4、采购人、采购代理机构不得拒收质疑投标供应商在法定质疑期内发出的质疑函，应当在收到质疑函后7个工作日内作出答复，并以书面形式通知质疑投标供应商和其他有关投标供应商。</w:t>
      </w:r>
    </w:p>
    <w:p w14:paraId="23E9A687">
      <w:pPr>
        <w:spacing w:line="500" w:lineRule="exact"/>
        <w:ind w:firstLine="480" w:firstLineChars="200"/>
        <w:rPr>
          <w:rFonts w:ascii="宋体" w:hAnsi="宋体" w:cs="仿宋"/>
          <w:sz w:val="24"/>
        </w:rPr>
      </w:pPr>
      <w:r>
        <w:rPr>
          <w:rFonts w:hint="eastAsia" w:ascii="宋体" w:hAnsi="宋体" w:cs="仿宋"/>
          <w:sz w:val="24"/>
        </w:rPr>
        <w:t>5、投标供应商对评审过程、中标或者成交结果提出质疑的，采购人、采购代理机构可以组织原评标委员会、竞争性谈判小组、询价小组或者竞争性评标委员会协助答复质疑。</w:t>
      </w:r>
    </w:p>
    <w:p w14:paraId="5ECE98F9">
      <w:pPr>
        <w:spacing w:line="500" w:lineRule="exact"/>
        <w:ind w:firstLine="480" w:firstLineChars="200"/>
        <w:rPr>
          <w:rFonts w:ascii="宋体" w:hAnsi="宋体" w:cs="仿宋"/>
          <w:sz w:val="24"/>
        </w:rPr>
      </w:pPr>
      <w:r>
        <w:rPr>
          <w:rFonts w:hint="eastAsia" w:ascii="宋体" w:hAnsi="宋体" w:cs="仿宋"/>
          <w:sz w:val="24"/>
        </w:rPr>
        <w:t>6、质疑答复应当包括下列内容：</w:t>
      </w:r>
    </w:p>
    <w:p w14:paraId="7C3E1AF0">
      <w:pPr>
        <w:spacing w:line="500" w:lineRule="exact"/>
        <w:ind w:firstLine="480" w:firstLineChars="200"/>
        <w:rPr>
          <w:rFonts w:ascii="宋体" w:hAnsi="宋体" w:cs="仿宋"/>
          <w:sz w:val="24"/>
        </w:rPr>
      </w:pPr>
      <w:r>
        <w:rPr>
          <w:rFonts w:hint="eastAsia" w:ascii="宋体" w:hAnsi="宋体" w:cs="仿宋"/>
          <w:sz w:val="24"/>
        </w:rPr>
        <w:t>（1）质疑投标供应商的姓名或者名称；</w:t>
      </w:r>
    </w:p>
    <w:p w14:paraId="12CA0936">
      <w:pPr>
        <w:spacing w:line="500" w:lineRule="exact"/>
        <w:ind w:firstLine="480" w:firstLineChars="200"/>
        <w:rPr>
          <w:rFonts w:ascii="宋体" w:hAnsi="宋体" w:cs="仿宋"/>
          <w:sz w:val="24"/>
        </w:rPr>
      </w:pPr>
      <w:r>
        <w:rPr>
          <w:rFonts w:hint="eastAsia" w:ascii="宋体" w:hAnsi="宋体" w:cs="仿宋"/>
          <w:sz w:val="24"/>
        </w:rPr>
        <w:t>（2）收到质疑函的日期、质疑项目名称及编号；</w:t>
      </w:r>
    </w:p>
    <w:p w14:paraId="3030430D">
      <w:pPr>
        <w:spacing w:line="500" w:lineRule="exact"/>
        <w:ind w:firstLine="480" w:firstLineChars="200"/>
        <w:rPr>
          <w:rFonts w:ascii="宋体" w:hAnsi="宋体" w:cs="仿宋"/>
          <w:sz w:val="24"/>
        </w:rPr>
      </w:pPr>
      <w:r>
        <w:rPr>
          <w:rFonts w:hint="eastAsia" w:ascii="宋体" w:hAnsi="宋体" w:cs="仿宋"/>
          <w:sz w:val="24"/>
        </w:rPr>
        <w:t>（3）质疑事项、质疑答复的具体内容、事实依据和法律依据；</w:t>
      </w:r>
    </w:p>
    <w:p w14:paraId="7A9D46B1">
      <w:pPr>
        <w:spacing w:line="500" w:lineRule="exact"/>
        <w:ind w:firstLine="480" w:firstLineChars="200"/>
        <w:rPr>
          <w:rFonts w:ascii="宋体" w:hAnsi="宋体" w:cs="仿宋"/>
          <w:sz w:val="24"/>
        </w:rPr>
      </w:pPr>
      <w:r>
        <w:rPr>
          <w:rFonts w:hint="eastAsia" w:ascii="宋体" w:hAnsi="宋体" w:cs="仿宋"/>
          <w:sz w:val="24"/>
        </w:rPr>
        <w:t>（4）告知质疑投标供应商依法投诉的权利；</w:t>
      </w:r>
    </w:p>
    <w:p w14:paraId="3E8C6505">
      <w:pPr>
        <w:spacing w:line="500" w:lineRule="exact"/>
        <w:ind w:firstLine="480" w:firstLineChars="200"/>
        <w:rPr>
          <w:rFonts w:ascii="宋体" w:hAnsi="宋体" w:cs="仿宋"/>
          <w:sz w:val="24"/>
        </w:rPr>
      </w:pPr>
      <w:r>
        <w:rPr>
          <w:rFonts w:hint="eastAsia" w:ascii="宋体" w:hAnsi="宋体" w:cs="仿宋"/>
          <w:sz w:val="24"/>
        </w:rPr>
        <w:t>（5）质疑答复人名称；</w:t>
      </w:r>
    </w:p>
    <w:p w14:paraId="4A1DDFFC">
      <w:pPr>
        <w:spacing w:line="500" w:lineRule="exact"/>
        <w:ind w:firstLine="480" w:firstLineChars="200"/>
        <w:rPr>
          <w:rFonts w:ascii="宋体" w:hAnsi="宋体" w:cs="仿宋"/>
          <w:sz w:val="24"/>
        </w:rPr>
      </w:pPr>
      <w:r>
        <w:rPr>
          <w:rFonts w:hint="eastAsia" w:ascii="宋体" w:hAnsi="宋体" w:cs="仿宋"/>
          <w:sz w:val="24"/>
        </w:rPr>
        <w:t>（6）答复质疑的日期。</w:t>
      </w:r>
    </w:p>
    <w:p w14:paraId="64FA4372">
      <w:pPr>
        <w:spacing w:line="500" w:lineRule="exact"/>
        <w:ind w:firstLine="480" w:firstLineChars="200"/>
        <w:rPr>
          <w:rFonts w:ascii="宋体" w:hAnsi="宋体" w:cs="仿宋"/>
          <w:sz w:val="24"/>
        </w:rPr>
      </w:pPr>
      <w:r>
        <w:rPr>
          <w:rFonts w:hint="eastAsia" w:ascii="宋体" w:hAnsi="宋体" w:cs="仿宋"/>
          <w:sz w:val="24"/>
        </w:rPr>
        <w:t>质疑答复的内容不得涉及商业秘密。</w:t>
      </w:r>
    </w:p>
    <w:p w14:paraId="03CEE1D7">
      <w:pPr>
        <w:spacing w:line="500" w:lineRule="exact"/>
        <w:ind w:firstLine="480" w:firstLineChars="200"/>
        <w:rPr>
          <w:rFonts w:ascii="宋体" w:hAnsi="宋体" w:cs="仿宋"/>
          <w:sz w:val="24"/>
        </w:rPr>
      </w:pPr>
      <w:r>
        <w:rPr>
          <w:rFonts w:hint="eastAsia" w:ascii="宋体" w:hAnsi="宋体" w:cs="仿宋"/>
          <w:sz w:val="24"/>
        </w:rPr>
        <w:t>7、采购人、采购代理机构认为投标供应商质疑不成立，或者成立但未对中标、成交结果构成影响的，继续开展采购活动；认为投标供应商质疑成立且影响或者可能影响中标、成交结果的，按照下列情况处理：</w:t>
      </w:r>
    </w:p>
    <w:p w14:paraId="4CAB2C38">
      <w:pPr>
        <w:spacing w:line="500" w:lineRule="exact"/>
        <w:ind w:firstLine="480" w:firstLineChars="200"/>
        <w:rPr>
          <w:rFonts w:ascii="宋体" w:hAnsi="宋体" w:cs="仿宋"/>
          <w:sz w:val="24"/>
        </w:rPr>
      </w:pPr>
      <w:r>
        <w:rPr>
          <w:rFonts w:hint="eastAsia" w:ascii="宋体" w:hAnsi="宋体" w:cs="仿宋"/>
          <w:sz w:val="24"/>
        </w:rPr>
        <w:t>（1）对招标文件提出的质疑，依法通过澄清或者修改可以继续开展采购活动的，澄清或者修改招标文件后继续开展采购活动；否则应当修改招标文件后重新开展采购活动。</w:t>
      </w:r>
    </w:p>
    <w:p w14:paraId="02A64EE4">
      <w:pPr>
        <w:spacing w:line="500" w:lineRule="exact"/>
        <w:ind w:firstLine="480" w:firstLineChars="200"/>
        <w:rPr>
          <w:rFonts w:ascii="宋体" w:hAnsi="宋体" w:cs="仿宋"/>
          <w:sz w:val="24"/>
        </w:rPr>
      </w:pPr>
      <w:r>
        <w:rPr>
          <w:rFonts w:hint="eastAsia" w:ascii="宋体" w:hAnsi="宋体" w:cs="仿宋"/>
          <w:sz w:val="24"/>
        </w:rPr>
        <w:t>（2）对采购过程、中标或者成交结果提出的质疑，合格投标供应商符合法定数量时，可以从合格的中标或者成交候选人中另行确定中标、成交投标供应商的，应当依法另行确定中标、成交投标供应商；否则应当重新开展采购活动。</w:t>
      </w:r>
    </w:p>
    <w:p w14:paraId="23792630">
      <w:pPr>
        <w:spacing w:line="500" w:lineRule="exact"/>
        <w:ind w:firstLine="480" w:firstLineChars="200"/>
        <w:rPr>
          <w:rFonts w:ascii="宋体" w:hAnsi="宋体" w:cs="仿宋"/>
          <w:sz w:val="24"/>
        </w:rPr>
      </w:pPr>
      <w:r>
        <w:rPr>
          <w:rFonts w:hint="eastAsia" w:ascii="宋体" w:hAnsi="宋体" w:cs="仿宋"/>
          <w:sz w:val="24"/>
        </w:rPr>
        <w:t>质疑答复导致中标、成交结果改变的，采购人或者采购代理机构应当将有关情况书面报告本级财政部门。</w:t>
      </w:r>
    </w:p>
    <w:p w14:paraId="751D4150">
      <w:pPr>
        <w:spacing w:line="500" w:lineRule="exact"/>
        <w:jc w:val="center"/>
        <w:outlineLvl w:val="1"/>
        <w:rPr>
          <w:rFonts w:ascii="宋体" w:hAnsi="宋体" w:cs="仿宋"/>
          <w:b/>
          <w:sz w:val="32"/>
          <w:szCs w:val="32"/>
        </w:rPr>
      </w:pPr>
      <w:bookmarkStart w:id="19" w:name="_Toc13309"/>
      <w:r>
        <w:rPr>
          <w:rFonts w:hint="eastAsia" w:ascii="宋体" w:hAnsi="宋体" w:cs="仿宋"/>
          <w:b/>
          <w:sz w:val="32"/>
          <w:szCs w:val="32"/>
        </w:rPr>
        <w:t>二、招标文件</w:t>
      </w:r>
      <w:bookmarkEnd w:id="19"/>
    </w:p>
    <w:p w14:paraId="782E59DF">
      <w:pPr>
        <w:snapToGrid w:val="0"/>
        <w:spacing w:line="500" w:lineRule="exact"/>
        <w:ind w:firstLine="482" w:firstLineChars="200"/>
        <w:outlineLvl w:val="2"/>
        <w:rPr>
          <w:rFonts w:ascii="宋体" w:hAnsi="宋体" w:cs="仿宋"/>
          <w:b/>
          <w:sz w:val="24"/>
        </w:rPr>
      </w:pPr>
      <w:r>
        <w:rPr>
          <w:rFonts w:hint="eastAsia" w:ascii="宋体" w:hAnsi="宋体" w:cs="仿宋"/>
          <w:b/>
          <w:sz w:val="24"/>
        </w:rPr>
        <w:t>（一）招标文件的构成。本招标文件由以下部份组成：</w:t>
      </w:r>
    </w:p>
    <w:p w14:paraId="7F78D98C">
      <w:pPr>
        <w:snapToGrid w:val="0"/>
        <w:spacing w:line="500" w:lineRule="exact"/>
        <w:ind w:firstLine="480" w:firstLineChars="200"/>
        <w:rPr>
          <w:rFonts w:ascii="宋体" w:hAnsi="宋体" w:cs="仿宋"/>
          <w:sz w:val="24"/>
        </w:rPr>
      </w:pPr>
      <w:r>
        <w:rPr>
          <w:rFonts w:hint="eastAsia" w:ascii="宋体" w:hAnsi="宋体" w:cs="仿宋"/>
          <w:sz w:val="24"/>
        </w:rPr>
        <w:t>1、招标公告</w:t>
      </w:r>
    </w:p>
    <w:p w14:paraId="731EC699">
      <w:pPr>
        <w:snapToGrid w:val="0"/>
        <w:spacing w:line="500" w:lineRule="exact"/>
        <w:ind w:firstLine="480" w:firstLineChars="200"/>
        <w:rPr>
          <w:rFonts w:ascii="宋体" w:hAnsi="宋体" w:cs="仿宋"/>
          <w:sz w:val="24"/>
        </w:rPr>
      </w:pPr>
      <w:r>
        <w:rPr>
          <w:rFonts w:hint="eastAsia" w:ascii="宋体" w:hAnsi="宋体" w:cs="仿宋"/>
          <w:sz w:val="24"/>
        </w:rPr>
        <w:t>2、招标需求</w:t>
      </w:r>
    </w:p>
    <w:p w14:paraId="0C4420B5">
      <w:pPr>
        <w:snapToGrid w:val="0"/>
        <w:spacing w:line="500" w:lineRule="exact"/>
        <w:ind w:firstLine="480" w:firstLineChars="200"/>
        <w:rPr>
          <w:rFonts w:ascii="宋体" w:hAnsi="宋体" w:cs="仿宋"/>
          <w:sz w:val="24"/>
        </w:rPr>
      </w:pPr>
      <w:r>
        <w:rPr>
          <w:rFonts w:hint="eastAsia" w:ascii="宋体" w:hAnsi="宋体" w:cs="仿宋"/>
          <w:sz w:val="24"/>
        </w:rPr>
        <w:t>3、投标供应商须知</w:t>
      </w:r>
    </w:p>
    <w:p w14:paraId="1EB17AAA">
      <w:pPr>
        <w:snapToGrid w:val="0"/>
        <w:spacing w:line="500" w:lineRule="exact"/>
        <w:ind w:firstLine="480" w:firstLineChars="200"/>
        <w:rPr>
          <w:rFonts w:ascii="宋体" w:hAnsi="宋体" w:cs="仿宋"/>
          <w:sz w:val="24"/>
        </w:rPr>
      </w:pPr>
      <w:r>
        <w:rPr>
          <w:rFonts w:hint="eastAsia" w:ascii="宋体" w:hAnsi="宋体" w:cs="仿宋"/>
          <w:sz w:val="24"/>
        </w:rPr>
        <w:t>4、评标办法及标准</w:t>
      </w:r>
    </w:p>
    <w:p w14:paraId="31E002D5">
      <w:pPr>
        <w:snapToGrid w:val="0"/>
        <w:spacing w:line="500" w:lineRule="exact"/>
        <w:ind w:firstLine="480" w:firstLineChars="200"/>
        <w:rPr>
          <w:rFonts w:ascii="宋体" w:hAnsi="宋体" w:cs="仿宋"/>
          <w:sz w:val="24"/>
        </w:rPr>
      </w:pPr>
      <w:r>
        <w:rPr>
          <w:rFonts w:hint="eastAsia" w:ascii="宋体" w:hAnsi="宋体" w:cs="仿宋"/>
          <w:sz w:val="24"/>
        </w:rPr>
        <w:t>5、合同主要条款</w:t>
      </w:r>
    </w:p>
    <w:p w14:paraId="6929C686">
      <w:pPr>
        <w:snapToGrid w:val="0"/>
        <w:spacing w:line="500" w:lineRule="exact"/>
        <w:ind w:firstLine="480" w:firstLineChars="200"/>
        <w:rPr>
          <w:rFonts w:ascii="宋体" w:hAnsi="宋体" w:cs="仿宋"/>
          <w:sz w:val="24"/>
        </w:rPr>
      </w:pPr>
      <w:r>
        <w:rPr>
          <w:rFonts w:hint="eastAsia" w:ascii="宋体" w:hAnsi="宋体" w:cs="仿宋"/>
          <w:sz w:val="24"/>
        </w:rPr>
        <w:t>6、投标文件格式</w:t>
      </w:r>
    </w:p>
    <w:p w14:paraId="6E1251B0">
      <w:pPr>
        <w:snapToGrid w:val="0"/>
        <w:spacing w:line="500" w:lineRule="exact"/>
        <w:ind w:firstLine="480" w:firstLineChars="200"/>
        <w:rPr>
          <w:rFonts w:ascii="宋体" w:hAnsi="宋体" w:cs="仿宋"/>
          <w:sz w:val="24"/>
        </w:rPr>
      </w:pPr>
      <w:r>
        <w:rPr>
          <w:rFonts w:hint="eastAsia" w:ascii="宋体" w:hAnsi="宋体" w:cs="仿宋"/>
          <w:sz w:val="24"/>
        </w:rPr>
        <w:t>7、本项目招标文件的澄清、答复、修改、补充的内容</w:t>
      </w:r>
    </w:p>
    <w:p w14:paraId="49F9A319">
      <w:pPr>
        <w:snapToGrid w:val="0"/>
        <w:spacing w:line="500" w:lineRule="exact"/>
        <w:ind w:firstLine="482" w:firstLineChars="200"/>
        <w:outlineLvl w:val="2"/>
        <w:rPr>
          <w:rFonts w:ascii="宋体" w:hAnsi="宋体" w:cs="仿宋"/>
          <w:b/>
          <w:sz w:val="24"/>
        </w:rPr>
      </w:pPr>
      <w:r>
        <w:rPr>
          <w:rFonts w:hint="eastAsia" w:ascii="宋体" w:hAnsi="宋体" w:cs="仿宋"/>
          <w:b/>
          <w:sz w:val="24"/>
        </w:rPr>
        <w:t>（二）投标供应商的风险</w:t>
      </w:r>
    </w:p>
    <w:p w14:paraId="26EA8B86">
      <w:pPr>
        <w:snapToGrid w:val="0"/>
        <w:spacing w:line="500" w:lineRule="exact"/>
        <w:ind w:firstLine="480" w:firstLineChars="200"/>
        <w:rPr>
          <w:rFonts w:ascii="宋体" w:hAnsi="宋体" w:cs="仿宋"/>
          <w:sz w:val="24"/>
        </w:rPr>
      </w:pPr>
      <w:r>
        <w:rPr>
          <w:rFonts w:hint="eastAsia" w:ascii="宋体" w:hAnsi="宋体" w:cs="仿宋"/>
          <w:sz w:val="24"/>
        </w:rPr>
        <w:t>投标供应商没有按照招标文件要求提供全部资料，或者投标供应商没有对招标文件在各方面作出实质性响应是投标供应商的风险，并可能导致其投标被拒绝。</w:t>
      </w:r>
    </w:p>
    <w:p w14:paraId="23483420">
      <w:pPr>
        <w:snapToGrid w:val="0"/>
        <w:spacing w:line="500" w:lineRule="exact"/>
        <w:ind w:firstLine="482" w:firstLineChars="200"/>
        <w:outlineLvl w:val="2"/>
        <w:rPr>
          <w:rFonts w:ascii="宋体" w:hAnsi="宋体" w:cs="仿宋"/>
          <w:b/>
          <w:sz w:val="24"/>
        </w:rPr>
      </w:pPr>
      <w:r>
        <w:rPr>
          <w:rFonts w:hint="eastAsia" w:ascii="宋体" w:hAnsi="宋体" w:cs="仿宋"/>
          <w:b/>
          <w:sz w:val="24"/>
        </w:rPr>
        <w:t>（三）招标文件的澄清与修改</w:t>
      </w:r>
    </w:p>
    <w:p w14:paraId="753861A2">
      <w:pPr>
        <w:snapToGrid w:val="0"/>
        <w:spacing w:line="500" w:lineRule="exact"/>
        <w:ind w:firstLine="480" w:firstLineChars="200"/>
        <w:rPr>
          <w:rFonts w:ascii="宋体" w:hAnsi="宋体" w:cs="仿宋"/>
          <w:sz w:val="24"/>
        </w:rPr>
      </w:pPr>
      <w:r>
        <w:rPr>
          <w:rFonts w:hint="eastAsia" w:ascii="宋体" w:hAnsi="宋体" w:cs="仿宋"/>
          <w:sz w:val="24"/>
        </w:rPr>
        <w:t>1、投标供应商应认真阅读本招标文件，发现本文件表述不清晰、存在歧视性、排他性或者其他违法内容的，应当在获取采购文件或者采购文件公告期限届满之日起 7个工作日内提出，一次性以书面形式要求招标采购单位作出书面解释、澄清或者向招标采购单位提出书面质疑。招标采购单位对已发出的招标文件进行必要澄清、答复、修改或补充的，应当在招标文件要求提交投标文件截止时间三日前，</w:t>
      </w:r>
      <w:r>
        <w:rPr>
          <w:rFonts w:hint="eastAsia" w:ascii="宋体" w:hAnsi="宋体" w:cs="Arial"/>
          <w:b/>
          <w:kern w:val="0"/>
          <w:sz w:val="24"/>
          <w:szCs w:val="22"/>
        </w:rPr>
        <w:t>在财政部门指定的政府采购信息发布媒体上发布澄清或</w:t>
      </w:r>
      <w:r>
        <w:rPr>
          <w:rFonts w:ascii="宋体" w:hAnsi="宋体" w:cs="Arial"/>
          <w:b/>
          <w:kern w:val="0"/>
          <w:sz w:val="24"/>
          <w:szCs w:val="22"/>
        </w:rPr>
        <w:t>更正公告，并以</w:t>
      </w:r>
      <w:r>
        <w:rPr>
          <w:rFonts w:hint="eastAsia" w:ascii="宋体" w:hAnsi="宋体" w:cs="Arial"/>
          <w:b/>
          <w:kern w:val="0"/>
          <w:sz w:val="24"/>
          <w:szCs w:val="22"/>
        </w:rPr>
        <w:t>网上公告形式告知所有已登记获取采购文件的投标供应商</w:t>
      </w:r>
      <w:r>
        <w:rPr>
          <w:rFonts w:hint="eastAsia" w:ascii="宋体" w:hAnsi="宋体" w:cs="仿宋"/>
          <w:sz w:val="24"/>
        </w:rPr>
        <w:t>。</w:t>
      </w:r>
    </w:p>
    <w:p w14:paraId="4758180F">
      <w:pPr>
        <w:snapToGrid w:val="0"/>
        <w:spacing w:line="500" w:lineRule="exact"/>
        <w:ind w:firstLine="480" w:firstLineChars="200"/>
        <w:rPr>
          <w:rFonts w:ascii="宋体" w:hAnsi="宋体" w:cs="仿宋"/>
          <w:sz w:val="24"/>
        </w:rPr>
      </w:pPr>
      <w:r>
        <w:rPr>
          <w:rFonts w:hint="eastAsia" w:ascii="宋体" w:hAnsi="宋体" w:cs="仿宋"/>
          <w:sz w:val="24"/>
        </w:rPr>
        <w:t>2、招标采购单位必须以网上公告等答复投标供应商要求澄清的问题，并将不包含问题来源的答复以此形式通知所有获取招标文件的投标供应商；除网上公告形式答复以外的其他澄清方式及澄清内容均无效。</w:t>
      </w:r>
    </w:p>
    <w:p w14:paraId="02C40722">
      <w:pPr>
        <w:snapToGrid w:val="0"/>
        <w:spacing w:line="500" w:lineRule="exact"/>
        <w:ind w:firstLine="480" w:firstLineChars="200"/>
        <w:rPr>
          <w:rFonts w:ascii="宋体" w:hAnsi="宋体" w:cs="仿宋"/>
          <w:sz w:val="24"/>
        </w:rPr>
      </w:pPr>
      <w:r>
        <w:rPr>
          <w:rFonts w:hint="eastAsia" w:ascii="宋体" w:hAnsi="宋体" w:cs="仿宋"/>
          <w:sz w:val="24"/>
        </w:rPr>
        <w:t>3、招标文件澄清、答复、修改、补充的内容为招标文件的组成部分。当招标文件与招标文件的答复、澄清、修改、补充通知就同一内容的表述不一致时，以最后发出的文件为准。</w:t>
      </w:r>
    </w:p>
    <w:p w14:paraId="7FA50501">
      <w:pPr>
        <w:snapToGrid w:val="0"/>
        <w:spacing w:line="500" w:lineRule="exact"/>
        <w:ind w:firstLine="480" w:firstLineChars="200"/>
        <w:rPr>
          <w:rFonts w:ascii="宋体" w:hAnsi="宋体" w:cs="仿宋"/>
          <w:sz w:val="24"/>
        </w:rPr>
      </w:pPr>
      <w:r>
        <w:rPr>
          <w:rFonts w:hint="eastAsia" w:ascii="宋体" w:hAnsi="宋体" w:cs="仿宋"/>
          <w:sz w:val="24"/>
        </w:rPr>
        <w:t>4、招标文件的澄清、答复、修改或补充都应该通过本招标机构以法定形式发布，采购单位非通过本机构，不得擅自澄清、答复、修改或补充招标文件。</w:t>
      </w:r>
    </w:p>
    <w:p w14:paraId="4B674D81">
      <w:pPr>
        <w:spacing w:line="500" w:lineRule="exact"/>
        <w:jc w:val="center"/>
        <w:outlineLvl w:val="1"/>
        <w:rPr>
          <w:rFonts w:ascii="宋体" w:hAnsi="宋体" w:cs="仿宋"/>
          <w:sz w:val="24"/>
        </w:rPr>
      </w:pPr>
      <w:bookmarkStart w:id="20" w:name="_Toc3451"/>
      <w:r>
        <w:rPr>
          <w:rFonts w:hint="eastAsia" w:ascii="宋体" w:hAnsi="宋体" w:cs="仿宋"/>
          <w:b/>
          <w:sz w:val="32"/>
          <w:szCs w:val="32"/>
        </w:rPr>
        <w:t>三、投标文件的编制</w:t>
      </w:r>
      <w:bookmarkEnd w:id="20"/>
    </w:p>
    <w:p w14:paraId="097E9CAD">
      <w:pPr>
        <w:numPr>
          <w:ilvl w:val="0"/>
          <w:numId w:val="7"/>
        </w:numPr>
        <w:snapToGrid w:val="0"/>
        <w:spacing w:line="360" w:lineRule="auto"/>
        <w:ind w:firstLine="482" w:firstLineChars="200"/>
        <w:outlineLvl w:val="2"/>
        <w:rPr>
          <w:rFonts w:ascii="宋体" w:hAnsi="宋体" w:cs="仿宋"/>
          <w:b/>
          <w:sz w:val="24"/>
        </w:rPr>
      </w:pPr>
      <w:r>
        <w:rPr>
          <w:rFonts w:hint="eastAsia" w:ascii="宋体" w:hAnsi="宋体" w:cs="仿宋"/>
          <w:b/>
          <w:sz w:val="24"/>
        </w:rPr>
        <w:t>投标文件的组成</w:t>
      </w:r>
    </w:p>
    <w:p w14:paraId="49071C8F">
      <w:pPr>
        <w:snapToGrid w:val="0"/>
        <w:spacing w:line="500" w:lineRule="exact"/>
        <w:ind w:firstLine="480" w:firstLineChars="200"/>
      </w:pPr>
      <w:r>
        <w:rPr>
          <w:rFonts w:hint="eastAsia" w:ascii="宋体" w:hAnsi="宋体" w:cs="宋体"/>
          <w:sz w:val="24"/>
        </w:rPr>
        <w:t>投标文件（包括电子投标文件及数据电子备份投标文件）由《资格文件》、《商务技术文件》和《报价文件》组成，</w:t>
      </w:r>
      <w:r>
        <w:rPr>
          <w:rFonts w:hint="eastAsia" w:ascii="宋体" w:hAnsi="宋体" w:cs="宋体"/>
          <w:b/>
          <w:bCs/>
          <w:sz w:val="24"/>
        </w:rPr>
        <w:t>其中电子投标文件中所须加盖公章部分均采用 CA 签章。</w:t>
      </w:r>
    </w:p>
    <w:p w14:paraId="6275D537">
      <w:pPr>
        <w:numPr>
          <w:ilvl w:val="0"/>
          <w:numId w:val="8"/>
        </w:numPr>
        <w:snapToGrid w:val="0"/>
        <w:spacing w:line="360" w:lineRule="auto"/>
        <w:ind w:firstLine="482" w:firstLineChars="200"/>
        <w:outlineLvl w:val="3"/>
        <w:rPr>
          <w:rFonts w:ascii="宋体" w:hAnsi="Courier New" w:cs="Courier New"/>
          <w:b/>
          <w:bCs/>
          <w:sz w:val="24"/>
          <w:szCs w:val="21"/>
        </w:rPr>
      </w:pPr>
      <w:r>
        <w:rPr>
          <w:rFonts w:hint="eastAsia" w:ascii="宋体" w:hAnsi="Courier New" w:cs="Courier New"/>
          <w:b/>
          <w:bCs/>
          <w:sz w:val="24"/>
          <w:szCs w:val="21"/>
        </w:rPr>
        <w:t>资格文件：</w:t>
      </w:r>
    </w:p>
    <w:p w14:paraId="39A4C055">
      <w:pPr>
        <w:spacing w:line="460" w:lineRule="exact"/>
        <w:ind w:firstLine="480" w:firstLineChars="200"/>
        <w:rPr>
          <w:rFonts w:hint="eastAsia" w:eastAsia="宋体"/>
          <w:sz w:val="24"/>
          <w:szCs w:val="24"/>
          <w:lang w:val="en-US"/>
        </w:rPr>
      </w:pPr>
      <w:r>
        <w:rPr>
          <w:rFonts w:hint="eastAsia" w:eastAsia="宋体"/>
          <w:sz w:val="24"/>
          <w:szCs w:val="24"/>
          <w:lang w:val="en-US" w:eastAsia="zh-CN"/>
        </w:rPr>
        <w:t>（1）供应商</w:t>
      </w:r>
      <w:r>
        <w:rPr>
          <w:rFonts w:hint="eastAsia" w:eastAsia="宋体"/>
          <w:sz w:val="24"/>
          <w:szCs w:val="24"/>
          <w:lang w:val="en-US"/>
        </w:rPr>
        <w:t>情况表；</w:t>
      </w:r>
    </w:p>
    <w:p w14:paraId="7740FEA2">
      <w:pPr>
        <w:spacing w:line="460" w:lineRule="exact"/>
        <w:ind w:firstLine="480" w:firstLineChars="200"/>
        <w:rPr>
          <w:sz w:val="24"/>
          <w:szCs w:val="24"/>
          <w:lang w:val="en-US"/>
        </w:rPr>
      </w:pPr>
      <w:r>
        <w:rPr>
          <w:rFonts w:hint="eastAsia"/>
          <w:sz w:val="24"/>
          <w:szCs w:val="24"/>
          <w:lang w:val="en-US" w:eastAsia="zh-CN"/>
        </w:rPr>
        <w:t>（2）</w:t>
      </w:r>
      <w:r>
        <w:rPr>
          <w:rFonts w:hint="eastAsia"/>
          <w:sz w:val="24"/>
          <w:szCs w:val="24"/>
          <w:lang w:val="en-US"/>
        </w:rPr>
        <w:t>“三证合一”的营业执照或“五证合一”的营业执照（原件扫描件）</w:t>
      </w:r>
    </w:p>
    <w:p w14:paraId="3FD073BE">
      <w:pPr>
        <w:spacing w:line="460" w:lineRule="exact"/>
        <w:ind w:firstLine="480" w:firstLineChars="200"/>
        <w:rPr>
          <w:sz w:val="24"/>
          <w:szCs w:val="24"/>
          <w:lang w:val="en-US"/>
        </w:rPr>
      </w:pPr>
      <w:r>
        <w:rPr>
          <w:rFonts w:hint="eastAsia"/>
          <w:sz w:val="24"/>
          <w:szCs w:val="24"/>
          <w:lang w:val="en-US" w:eastAsia="zh-CN"/>
        </w:rPr>
        <w:t>（3）</w:t>
      </w:r>
      <w:r>
        <w:rPr>
          <w:rFonts w:hint="eastAsia"/>
          <w:sz w:val="24"/>
          <w:szCs w:val="24"/>
          <w:lang w:val="en-US"/>
        </w:rPr>
        <w:t xml:space="preserve"> 法定代表人有效身份证明书及身份证或法定代表人授权书及授权人身份证；（格式见第</w:t>
      </w:r>
      <w:r>
        <w:rPr>
          <w:rFonts w:hint="eastAsia"/>
          <w:sz w:val="24"/>
          <w:szCs w:val="24"/>
          <w:lang w:val="en-US" w:eastAsia="zh-CN"/>
        </w:rPr>
        <w:t>六</w:t>
      </w:r>
      <w:r>
        <w:rPr>
          <w:rFonts w:hint="eastAsia"/>
          <w:sz w:val="24"/>
          <w:szCs w:val="24"/>
          <w:lang w:val="en-US"/>
        </w:rPr>
        <w:t>章）</w:t>
      </w:r>
    </w:p>
    <w:p w14:paraId="5AB27248">
      <w:pPr>
        <w:spacing w:line="460" w:lineRule="exact"/>
        <w:ind w:firstLine="480" w:firstLineChars="200"/>
        <w:rPr>
          <w:rFonts w:hint="eastAsia" w:eastAsia="宋体"/>
          <w:sz w:val="24"/>
          <w:szCs w:val="24"/>
          <w:lang w:val="en-US" w:eastAsia="zh-CN"/>
        </w:rPr>
      </w:pPr>
      <w:r>
        <w:rPr>
          <w:rFonts w:hint="eastAsia"/>
          <w:sz w:val="24"/>
          <w:szCs w:val="24"/>
          <w:lang w:val="en-US" w:eastAsia="zh-CN"/>
        </w:rPr>
        <w:t>（4）</w:t>
      </w:r>
      <w:r>
        <w:rPr>
          <w:rFonts w:hint="eastAsia"/>
          <w:sz w:val="24"/>
          <w:szCs w:val="24"/>
          <w:lang w:val="en-US"/>
        </w:rPr>
        <w:t>授权代理人提供最近三个月中任意一个月的社保证明</w:t>
      </w:r>
      <w:r>
        <w:rPr>
          <w:rFonts w:hint="eastAsia"/>
          <w:sz w:val="24"/>
          <w:szCs w:val="24"/>
          <w:lang w:val="en-US" w:eastAsia="zh-CN"/>
        </w:rPr>
        <w:t>；</w:t>
      </w:r>
    </w:p>
    <w:p w14:paraId="5A594A42">
      <w:pPr>
        <w:spacing w:line="460" w:lineRule="exact"/>
        <w:ind w:firstLine="480" w:firstLineChars="200"/>
        <w:rPr>
          <w:sz w:val="24"/>
          <w:szCs w:val="24"/>
          <w:lang w:val="en-US"/>
        </w:rPr>
      </w:pPr>
      <w:r>
        <w:rPr>
          <w:rFonts w:hint="eastAsia"/>
          <w:sz w:val="24"/>
          <w:szCs w:val="24"/>
          <w:lang w:val="en-US" w:eastAsia="zh-CN"/>
        </w:rPr>
        <w:t>（5）</w:t>
      </w:r>
      <w:r>
        <w:rPr>
          <w:rFonts w:hint="eastAsia"/>
          <w:sz w:val="24"/>
          <w:szCs w:val="24"/>
          <w:lang w:val="en-US"/>
        </w:rPr>
        <w:t>最近一个季度中任意一个月的依法缴纳税收和社保费的证明税费凭证复印件加盖公章，或者依法缴纳税费或依法免缴税费的证明；</w:t>
      </w:r>
    </w:p>
    <w:p w14:paraId="35475F8C">
      <w:pPr>
        <w:spacing w:line="460" w:lineRule="exact"/>
        <w:ind w:firstLine="480" w:firstLineChars="200"/>
        <w:rPr>
          <w:sz w:val="24"/>
          <w:szCs w:val="24"/>
          <w:lang w:val="en-US"/>
        </w:rPr>
      </w:pPr>
      <w:r>
        <w:rPr>
          <w:rFonts w:hint="eastAsia"/>
          <w:sz w:val="24"/>
          <w:szCs w:val="24"/>
          <w:lang w:val="en-US" w:eastAsia="zh-CN"/>
        </w:rPr>
        <w:t>（6）</w:t>
      </w:r>
      <w:r>
        <w:rPr>
          <w:rFonts w:hint="eastAsia"/>
          <w:sz w:val="24"/>
          <w:szCs w:val="24"/>
          <w:lang w:val="en-US"/>
        </w:rPr>
        <w:t>自</w:t>
      </w:r>
      <w:r>
        <w:rPr>
          <w:rFonts w:hint="eastAsia"/>
          <w:sz w:val="24"/>
          <w:szCs w:val="24"/>
          <w:lang w:val="en-US" w:eastAsia="zh-CN"/>
        </w:rPr>
        <w:t>招标</w:t>
      </w:r>
      <w:r>
        <w:rPr>
          <w:rFonts w:hint="eastAsia"/>
          <w:sz w:val="24"/>
          <w:szCs w:val="24"/>
          <w:lang w:val="en-US"/>
        </w:rPr>
        <w:t>公告发布之后任意时间的“信用中国”（www.creditchina.gov.cn）、中国政府采购（www.ccgp.gov.cn）供应商信用查询网页截图；（二者缺一不可，平台网页截图加盖单位公章）</w:t>
      </w:r>
    </w:p>
    <w:p w14:paraId="1FF5A6BA">
      <w:pPr>
        <w:spacing w:line="460" w:lineRule="exact"/>
        <w:ind w:firstLine="480" w:firstLineChars="200"/>
        <w:rPr>
          <w:sz w:val="24"/>
          <w:szCs w:val="24"/>
          <w:lang w:val="en-US"/>
        </w:rPr>
      </w:pPr>
      <w:r>
        <w:rPr>
          <w:rFonts w:hint="eastAsia"/>
          <w:sz w:val="24"/>
          <w:szCs w:val="24"/>
          <w:lang w:val="en-US" w:eastAsia="zh-CN"/>
        </w:rPr>
        <w:t>（7）</w:t>
      </w:r>
      <w:r>
        <w:rPr>
          <w:rFonts w:hint="eastAsia" w:ascii="宋体" w:hAnsi="宋体" w:eastAsia="宋体" w:cs="宋体"/>
          <w:sz w:val="24"/>
        </w:rPr>
        <w:t>供应商</w:t>
      </w:r>
      <w:r>
        <w:rPr>
          <w:rFonts w:hint="eastAsia" w:ascii="宋体" w:hAnsi="宋体" w:eastAsia="宋体" w:cs="宋体"/>
          <w:sz w:val="24"/>
          <w:lang w:eastAsia="zh-CN"/>
        </w:rPr>
        <w:t>的</w:t>
      </w:r>
      <w:r>
        <w:rPr>
          <w:rFonts w:hint="eastAsia" w:ascii="宋体" w:hAnsi="宋体" w:eastAsia="宋体" w:cs="宋体"/>
          <w:sz w:val="24"/>
        </w:rPr>
        <w:t>《中小企业声明函》，或属残疾人福利性单位、监狱企业的证明</w:t>
      </w:r>
      <w:r>
        <w:rPr>
          <w:rFonts w:hint="eastAsia" w:ascii="宋体" w:hAnsi="宋体" w:eastAsia="宋体" w:cs="宋体"/>
          <w:sz w:val="24"/>
          <w:lang w:eastAsia="zh-CN"/>
        </w:rPr>
        <w:t>；</w:t>
      </w:r>
    </w:p>
    <w:p w14:paraId="3E87B451">
      <w:pPr>
        <w:spacing w:line="460" w:lineRule="exact"/>
        <w:ind w:firstLine="480" w:firstLineChars="200"/>
        <w:rPr>
          <w:rFonts w:hint="eastAsia"/>
          <w:sz w:val="24"/>
          <w:szCs w:val="24"/>
          <w:lang w:val="en-US" w:eastAsia="zh-CN"/>
        </w:rPr>
      </w:pPr>
      <w:r>
        <w:rPr>
          <w:rFonts w:hint="eastAsia"/>
          <w:sz w:val="24"/>
          <w:szCs w:val="24"/>
          <w:lang w:val="en-US" w:eastAsia="zh-CN"/>
        </w:rPr>
        <w:t>（8）信用承诺书；</w:t>
      </w:r>
    </w:p>
    <w:p w14:paraId="41D23782">
      <w:pPr>
        <w:spacing w:line="460" w:lineRule="exact"/>
        <w:ind w:firstLine="480" w:firstLineChars="200"/>
        <w:rPr>
          <w:rFonts w:hAnsi="宋体"/>
          <w:sz w:val="24"/>
        </w:rPr>
      </w:pPr>
      <w:r>
        <w:rPr>
          <w:rFonts w:hint="eastAsia"/>
          <w:sz w:val="24"/>
          <w:szCs w:val="24"/>
          <w:lang w:val="en-US" w:eastAsia="zh-CN"/>
        </w:rPr>
        <w:t>（9）</w:t>
      </w:r>
      <w:r>
        <w:rPr>
          <w:rFonts w:hint="eastAsia"/>
          <w:sz w:val="24"/>
          <w:szCs w:val="24"/>
          <w:lang w:val="en-US"/>
        </w:rPr>
        <w:t>供应商认为需要的其他文件资料。</w:t>
      </w:r>
    </w:p>
    <w:p w14:paraId="4F9C1B47">
      <w:pPr>
        <w:spacing w:line="360" w:lineRule="auto"/>
        <w:ind w:firstLine="472" w:firstLineChars="196"/>
        <w:rPr>
          <w:rFonts w:hAnsi="宋体"/>
          <w:b/>
          <w:sz w:val="24"/>
        </w:rPr>
      </w:pPr>
      <w:r>
        <w:rPr>
          <w:rFonts w:hint="eastAsia" w:hAnsi="宋体"/>
          <w:b/>
          <w:sz w:val="24"/>
        </w:rPr>
        <w:t>2、技术、商务、资信及其他文件</w:t>
      </w:r>
    </w:p>
    <w:p w14:paraId="031B8AC1">
      <w:pPr>
        <w:numPr>
          <w:ilvl w:val="0"/>
          <w:numId w:val="0"/>
        </w:numPr>
        <w:spacing w:line="460" w:lineRule="exact"/>
        <w:ind w:firstLine="480" w:firstLineChars="200"/>
        <w:rPr>
          <w:rFonts w:hint="eastAsia"/>
          <w:sz w:val="24"/>
          <w:szCs w:val="24"/>
          <w:lang w:val="en-US"/>
        </w:rPr>
      </w:pPr>
      <w:r>
        <w:rPr>
          <w:rFonts w:hint="eastAsia"/>
          <w:sz w:val="24"/>
          <w:szCs w:val="24"/>
          <w:lang w:val="en-US" w:eastAsia="zh-CN"/>
        </w:rPr>
        <w:t>（1）</w:t>
      </w:r>
      <w:r>
        <w:rPr>
          <w:rFonts w:hint="eastAsia"/>
          <w:sz w:val="24"/>
          <w:szCs w:val="24"/>
          <w:lang w:val="en-US"/>
        </w:rPr>
        <w:t>供应商自评分索引表；</w:t>
      </w:r>
    </w:p>
    <w:p w14:paraId="6C35A03C">
      <w:pPr>
        <w:numPr>
          <w:ilvl w:val="0"/>
          <w:numId w:val="0"/>
        </w:numPr>
        <w:spacing w:line="460" w:lineRule="exact"/>
        <w:ind w:firstLine="480" w:firstLineChars="200"/>
        <w:rPr>
          <w:rFonts w:hint="eastAsia"/>
          <w:sz w:val="24"/>
          <w:szCs w:val="24"/>
          <w:lang w:val="en-US"/>
        </w:rPr>
      </w:pPr>
      <w:r>
        <w:rPr>
          <w:rFonts w:hint="eastAsia"/>
          <w:sz w:val="24"/>
          <w:szCs w:val="24"/>
          <w:lang w:val="en-US" w:eastAsia="zh-CN"/>
        </w:rPr>
        <w:t>（2）投标声明书</w:t>
      </w:r>
      <w:r>
        <w:rPr>
          <w:rFonts w:hint="eastAsia"/>
          <w:sz w:val="24"/>
          <w:szCs w:val="24"/>
          <w:lang w:val="en-US"/>
        </w:rPr>
        <w:t>；</w:t>
      </w:r>
    </w:p>
    <w:p w14:paraId="42ACD412">
      <w:pPr>
        <w:numPr>
          <w:ilvl w:val="0"/>
          <w:numId w:val="0"/>
        </w:numPr>
        <w:spacing w:line="460" w:lineRule="exact"/>
        <w:ind w:firstLine="480" w:firstLineChars="200"/>
        <w:rPr>
          <w:rFonts w:hint="eastAsia" w:eastAsia="宋体"/>
          <w:sz w:val="24"/>
          <w:szCs w:val="24"/>
          <w:lang w:val="en-US" w:eastAsia="zh-CN"/>
        </w:rPr>
      </w:pPr>
      <w:r>
        <w:rPr>
          <w:rFonts w:hint="eastAsia"/>
          <w:sz w:val="24"/>
          <w:szCs w:val="24"/>
          <w:lang w:val="en-US" w:eastAsia="zh-CN"/>
        </w:rPr>
        <w:t>（3）对本项目的理解；</w:t>
      </w:r>
    </w:p>
    <w:p w14:paraId="5FEEE193">
      <w:pPr>
        <w:spacing w:line="460" w:lineRule="exact"/>
        <w:ind w:firstLine="480" w:firstLineChars="200"/>
        <w:rPr>
          <w:sz w:val="24"/>
          <w:szCs w:val="24"/>
          <w:lang w:val="en-US"/>
        </w:rPr>
      </w:pPr>
      <w:r>
        <w:rPr>
          <w:rFonts w:hint="eastAsia"/>
          <w:sz w:val="24"/>
          <w:szCs w:val="24"/>
          <w:lang w:val="en-US" w:eastAsia="zh-CN"/>
        </w:rPr>
        <w:t>（4）项目实施方案</w:t>
      </w:r>
      <w:r>
        <w:rPr>
          <w:rFonts w:hint="eastAsia"/>
          <w:sz w:val="24"/>
          <w:szCs w:val="24"/>
          <w:lang w:val="en-US"/>
        </w:rPr>
        <w:t>；</w:t>
      </w:r>
    </w:p>
    <w:p w14:paraId="101A4500">
      <w:pPr>
        <w:spacing w:line="460" w:lineRule="exact"/>
        <w:ind w:firstLine="480" w:firstLineChars="200"/>
        <w:rPr>
          <w:sz w:val="24"/>
          <w:szCs w:val="24"/>
          <w:lang w:val="en-US"/>
        </w:rPr>
      </w:pPr>
      <w:r>
        <w:rPr>
          <w:rFonts w:hint="eastAsia"/>
          <w:sz w:val="24"/>
          <w:szCs w:val="24"/>
          <w:lang w:val="en-US" w:eastAsia="zh-CN"/>
        </w:rPr>
        <w:t>（5）保证工期和施工进度的方案和措施</w:t>
      </w:r>
      <w:r>
        <w:rPr>
          <w:rFonts w:hint="eastAsia"/>
          <w:sz w:val="24"/>
          <w:szCs w:val="24"/>
          <w:lang w:val="en-US"/>
        </w:rPr>
        <w:t>；</w:t>
      </w:r>
    </w:p>
    <w:p w14:paraId="0248BF4E">
      <w:pPr>
        <w:spacing w:line="460" w:lineRule="exact"/>
        <w:ind w:firstLine="480" w:firstLineChars="200"/>
        <w:rPr>
          <w:sz w:val="24"/>
          <w:szCs w:val="24"/>
          <w:lang w:val="en-US"/>
        </w:rPr>
      </w:pPr>
      <w:r>
        <w:rPr>
          <w:rFonts w:hint="eastAsia"/>
          <w:sz w:val="24"/>
          <w:szCs w:val="24"/>
          <w:lang w:val="en-US" w:eastAsia="zh-CN"/>
        </w:rPr>
        <w:t>（6）关键点、难点解决方案</w:t>
      </w:r>
      <w:r>
        <w:rPr>
          <w:rFonts w:hint="eastAsia"/>
          <w:sz w:val="24"/>
          <w:szCs w:val="24"/>
          <w:lang w:val="en-US"/>
        </w:rPr>
        <w:t>；</w:t>
      </w:r>
    </w:p>
    <w:p w14:paraId="244F3B78">
      <w:pPr>
        <w:spacing w:line="460" w:lineRule="exact"/>
        <w:ind w:firstLine="480" w:firstLineChars="200"/>
        <w:rPr>
          <w:sz w:val="24"/>
          <w:szCs w:val="24"/>
          <w:lang w:val="en-US"/>
        </w:rPr>
      </w:pPr>
      <w:r>
        <w:rPr>
          <w:rFonts w:hint="eastAsia"/>
          <w:sz w:val="24"/>
          <w:szCs w:val="24"/>
          <w:lang w:val="en-US" w:eastAsia="zh-CN"/>
        </w:rPr>
        <w:t>（7）保证安全和文明施工的方案和措施</w:t>
      </w:r>
      <w:r>
        <w:rPr>
          <w:rFonts w:hint="eastAsia"/>
          <w:sz w:val="24"/>
          <w:szCs w:val="24"/>
          <w:lang w:val="en-US"/>
        </w:rPr>
        <w:t>；</w:t>
      </w:r>
    </w:p>
    <w:p w14:paraId="17C36566">
      <w:pPr>
        <w:spacing w:line="460" w:lineRule="exact"/>
        <w:ind w:firstLine="480" w:firstLineChars="200"/>
        <w:rPr>
          <w:sz w:val="24"/>
          <w:szCs w:val="24"/>
          <w:lang w:val="en-US"/>
        </w:rPr>
      </w:pPr>
      <w:r>
        <w:rPr>
          <w:rFonts w:hint="eastAsia"/>
          <w:sz w:val="24"/>
          <w:szCs w:val="24"/>
          <w:lang w:val="en-US" w:eastAsia="zh-CN"/>
        </w:rPr>
        <w:t>（8）保证施工质量的技术方案和措施</w:t>
      </w:r>
      <w:r>
        <w:rPr>
          <w:rFonts w:hint="eastAsia"/>
          <w:sz w:val="24"/>
          <w:szCs w:val="24"/>
          <w:lang w:val="en-US"/>
        </w:rPr>
        <w:t>；</w:t>
      </w:r>
    </w:p>
    <w:p w14:paraId="5A1E0975">
      <w:pPr>
        <w:spacing w:line="460" w:lineRule="exact"/>
        <w:ind w:firstLine="480" w:firstLineChars="200"/>
        <w:rPr>
          <w:sz w:val="24"/>
          <w:szCs w:val="24"/>
          <w:lang w:val="en-US"/>
        </w:rPr>
      </w:pPr>
      <w:r>
        <w:rPr>
          <w:rFonts w:hint="eastAsia"/>
          <w:sz w:val="24"/>
          <w:szCs w:val="24"/>
          <w:lang w:val="en-US" w:eastAsia="zh-CN"/>
        </w:rPr>
        <w:t>（9）突发事件的应急预案</w:t>
      </w:r>
      <w:r>
        <w:rPr>
          <w:rFonts w:hint="eastAsia"/>
          <w:sz w:val="24"/>
          <w:szCs w:val="24"/>
          <w:lang w:val="en-US"/>
        </w:rPr>
        <w:t>；</w:t>
      </w:r>
    </w:p>
    <w:p w14:paraId="7B5C04B3">
      <w:pPr>
        <w:spacing w:line="460" w:lineRule="exact"/>
        <w:ind w:firstLine="480" w:firstLineChars="200"/>
        <w:rPr>
          <w:sz w:val="24"/>
          <w:szCs w:val="24"/>
          <w:lang w:val="en-US"/>
        </w:rPr>
      </w:pPr>
      <w:r>
        <w:rPr>
          <w:rFonts w:hint="eastAsia"/>
          <w:sz w:val="24"/>
          <w:szCs w:val="24"/>
          <w:lang w:val="en-US" w:eastAsia="zh-CN"/>
        </w:rPr>
        <w:t>（10）项目人员配备</w:t>
      </w:r>
      <w:r>
        <w:rPr>
          <w:rFonts w:hint="eastAsia"/>
          <w:sz w:val="24"/>
          <w:szCs w:val="24"/>
          <w:lang w:val="en-US"/>
        </w:rPr>
        <w:t>；</w:t>
      </w:r>
    </w:p>
    <w:p w14:paraId="5E071EF6">
      <w:pPr>
        <w:spacing w:line="460" w:lineRule="exact"/>
        <w:ind w:firstLine="480" w:firstLineChars="200"/>
        <w:rPr>
          <w:rFonts w:hint="eastAsia"/>
          <w:sz w:val="24"/>
          <w:szCs w:val="24"/>
          <w:lang w:val="en-US"/>
        </w:rPr>
      </w:pPr>
      <w:r>
        <w:rPr>
          <w:rFonts w:hint="eastAsia"/>
          <w:sz w:val="24"/>
          <w:szCs w:val="24"/>
          <w:lang w:val="en-US" w:eastAsia="zh-CN"/>
        </w:rPr>
        <w:t>（11）拟投入本项目的设备情况</w:t>
      </w:r>
      <w:r>
        <w:rPr>
          <w:rFonts w:hint="eastAsia"/>
          <w:sz w:val="24"/>
          <w:szCs w:val="24"/>
          <w:lang w:val="en-US"/>
        </w:rPr>
        <w:t>；</w:t>
      </w:r>
    </w:p>
    <w:p w14:paraId="64E48334">
      <w:pPr>
        <w:spacing w:line="460" w:lineRule="exact"/>
        <w:ind w:firstLine="480" w:firstLineChars="200"/>
        <w:rPr>
          <w:rFonts w:hint="eastAsia"/>
          <w:sz w:val="24"/>
          <w:szCs w:val="24"/>
          <w:lang w:val="en-US" w:eastAsia="zh-CN"/>
        </w:rPr>
      </w:pPr>
      <w:r>
        <w:rPr>
          <w:rFonts w:hint="eastAsia"/>
          <w:sz w:val="24"/>
          <w:szCs w:val="24"/>
          <w:lang w:val="en-US" w:eastAsia="zh-CN"/>
        </w:rPr>
        <w:t>（12）售后服务承诺；</w:t>
      </w:r>
    </w:p>
    <w:p w14:paraId="1C93AB22">
      <w:pPr>
        <w:spacing w:line="460" w:lineRule="exact"/>
        <w:ind w:firstLine="480" w:firstLineChars="200"/>
        <w:rPr>
          <w:rFonts w:hint="eastAsia" w:eastAsia="宋体"/>
          <w:sz w:val="24"/>
          <w:szCs w:val="24"/>
          <w:lang w:val="en-US" w:eastAsia="zh-CN"/>
        </w:rPr>
      </w:pPr>
      <w:r>
        <w:rPr>
          <w:rFonts w:hint="eastAsia"/>
          <w:sz w:val="24"/>
          <w:szCs w:val="24"/>
          <w:lang w:val="en-US" w:eastAsia="zh-CN"/>
        </w:rPr>
        <w:t>（13）合理化建议；</w:t>
      </w:r>
    </w:p>
    <w:p w14:paraId="5A1D354B">
      <w:pPr>
        <w:spacing w:line="460" w:lineRule="exact"/>
        <w:ind w:firstLine="480" w:firstLineChars="200"/>
        <w:rPr>
          <w:sz w:val="24"/>
          <w:szCs w:val="24"/>
          <w:lang w:val="en-US"/>
        </w:rPr>
      </w:pPr>
      <w:r>
        <w:rPr>
          <w:rFonts w:hint="eastAsia"/>
          <w:sz w:val="24"/>
          <w:szCs w:val="24"/>
          <w:lang w:val="en-US" w:eastAsia="zh-CN"/>
        </w:rPr>
        <w:t>（14）</w:t>
      </w:r>
      <w:r>
        <w:rPr>
          <w:rFonts w:hint="eastAsia"/>
          <w:sz w:val="24"/>
          <w:szCs w:val="24"/>
          <w:lang w:val="en-US"/>
        </w:rPr>
        <w:t>企业业绩；</w:t>
      </w:r>
    </w:p>
    <w:p w14:paraId="3C435635">
      <w:pPr>
        <w:spacing w:line="460" w:lineRule="exact"/>
        <w:ind w:firstLine="480" w:firstLineChars="200"/>
        <w:rPr>
          <w:rFonts w:hint="eastAsia"/>
          <w:sz w:val="24"/>
          <w:szCs w:val="24"/>
          <w:lang w:val="en-US" w:eastAsia="zh-CN"/>
        </w:rPr>
      </w:pPr>
      <w:r>
        <w:rPr>
          <w:rFonts w:hint="eastAsia"/>
          <w:sz w:val="24"/>
          <w:szCs w:val="24"/>
          <w:lang w:val="en-US" w:eastAsia="zh-CN"/>
        </w:rPr>
        <w:t>（15）企业实力；</w:t>
      </w:r>
    </w:p>
    <w:p w14:paraId="5D0B253D">
      <w:pPr>
        <w:spacing w:line="460" w:lineRule="exact"/>
        <w:ind w:firstLine="480" w:firstLineChars="200"/>
        <w:rPr>
          <w:rFonts w:hint="eastAsia"/>
          <w:sz w:val="24"/>
          <w:szCs w:val="24"/>
          <w:lang w:val="en-US"/>
        </w:rPr>
      </w:pPr>
      <w:r>
        <w:rPr>
          <w:rFonts w:hint="eastAsia"/>
          <w:sz w:val="24"/>
          <w:szCs w:val="24"/>
          <w:lang w:val="en-US" w:eastAsia="zh-CN"/>
        </w:rPr>
        <w:t>（16）商务响应表；</w:t>
      </w:r>
    </w:p>
    <w:p w14:paraId="21C67B93">
      <w:pPr>
        <w:spacing w:line="460" w:lineRule="exact"/>
        <w:ind w:firstLine="480" w:firstLineChars="200"/>
        <w:rPr>
          <w:sz w:val="24"/>
          <w:szCs w:val="24"/>
          <w:lang w:val="en-US"/>
        </w:rPr>
      </w:pPr>
      <w:r>
        <w:rPr>
          <w:rFonts w:hint="eastAsia"/>
          <w:sz w:val="24"/>
          <w:szCs w:val="24"/>
          <w:lang w:val="en-US" w:eastAsia="zh-CN"/>
        </w:rPr>
        <w:t>（17）</w:t>
      </w:r>
      <w:r>
        <w:rPr>
          <w:rFonts w:hint="eastAsia"/>
          <w:sz w:val="24"/>
          <w:szCs w:val="24"/>
          <w:lang w:val="en-US"/>
        </w:rPr>
        <w:t>供应商认为需要的其他文件资料。</w:t>
      </w:r>
    </w:p>
    <w:p w14:paraId="77BD3528">
      <w:pPr>
        <w:pStyle w:val="21"/>
        <w:spacing w:line="360" w:lineRule="auto"/>
        <w:ind w:firstLine="482" w:firstLineChars="200"/>
        <w:rPr>
          <w:rFonts w:ascii="宋体"/>
          <w:b/>
          <w:sz w:val="24"/>
          <w:szCs w:val="24"/>
        </w:rPr>
      </w:pPr>
      <w:r>
        <w:rPr>
          <w:rFonts w:hint="eastAsia" w:ascii="宋体"/>
          <w:b/>
          <w:sz w:val="24"/>
          <w:szCs w:val="24"/>
        </w:rPr>
        <w:t>3、报价文件</w:t>
      </w:r>
    </w:p>
    <w:p w14:paraId="74D6735C">
      <w:pPr>
        <w:tabs>
          <w:tab w:val="left" w:pos="720"/>
        </w:tabs>
        <w:spacing w:line="360" w:lineRule="auto"/>
        <w:ind w:firstLine="480" w:firstLineChars="200"/>
        <w:rPr>
          <w:rFonts w:ascii="宋体" w:hAnsi="宋体"/>
          <w:sz w:val="24"/>
        </w:rPr>
      </w:pPr>
      <w:r>
        <w:rPr>
          <w:rFonts w:hint="eastAsia" w:ascii="宋体" w:hAnsi="宋体"/>
          <w:sz w:val="24"/>
        </w:rPr>
        <w:t>（1) 投标函；</w:t>
      </w:r>
    </w:p>
    <w:p w14:paraId="5614BAE4">
      <w:pPr>
        <w:tabs>
          <w:tab w:val="left" w:pos="720"/>
        </w:tabs>
        <w:spacing w:line="360" w:lineRule="auto"/>
        <w:ind w:firstLine="480" w:firstLineChars="200"/>
        <w:rPr>
          <w:rFonts w:ascii="宋体" w:hAnsi="宋体"/>
          <w:sz w:val="24"/>
        </w:rPr>
      </w:pPr>
      <w:r>
        <w:rPr>
          <w:rFonts w:hint="eastAsia" w:ascii="宋体" w:hAnsi="宋体"/>
          <w:sz w:val="24"/>
        </w:rPr>
        <w:t>（2) 开标一览表（格式见附件）；</w:t>
      </w:r>
    </w:p>
    <w:p w14:paraId="1DD88EC4">
      <w:pPr>
        <w:tabs>
          <w:tab w:val="left" w:pos="720"/>
        </w:tabs>
        <w:spacing w:line="360" w:lineRule="auto"/>
        <w:ind w:firstLine="480" w:firstLineChars="200"/>
        <w:rPr>
          <w:rFonts w:ascii="宋体" w:hAnsi="宋体"/>
          <w:sz w:val="24"/>
        </w:rPr>
      </w:pPr>
      <w:r>
        <w:rPr>
          <w:rFonts w:hint="eastAsia" w:ascii="宋体" w:hAnsi="宋体"/>
          <w:sz w:val="24"/>
        </w:rPr>
        <w:t>（3）报价明细表；</w:t>
      </w:r>
    </w:p>
    <w:p w14:paraId="7DFADD95">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）招标代理服务费承诺函(格式见附件)；</w:t>
      </w:r>
    </w:p>
    <w:p w14:paraId="42CF4FAC">
      <w:pPr>
        <w:tabs>
          <w:tab w:val="left" w:pos="720"/>
        </w:tabs>
        <w:spacing w:line="360" w:lineRule="auto"/>
        <w:ind w:firstLine="480" w:firstLineChars="200"/>
      </w:pPr>
      <w:r>
        <w:rPr>
          <w:rFonts w:hint="eastAsia" w:ascii="宋体" w:hAnsi="宋体"/>
          <w:sz w:val="24"/>
        </w:rPr>
        <w:t>（</w:t>
      </w:r>
      <w:r>
        <w:rPr>
          <w:rFonts w:hint="eastAsia" w:ascii="宋体" w:hAnsi="宋体"/>
          <w:sz w:val="24"/>
          <w:lang w:val="en-US" w:eastAsia="zh-CN"/>
        </w:rPr>
        <w:t>5</w:t>
      </w:r>
      <w:r>
        <w:rPr>
          <w:rFonts w:hint="eastAsia" w:ascii="宋体" w:hAnsi="宋体"/>
          <w:sz w:val="24"/>
        </w:rPr>
        <w:t>）其他投标供应商认为有必要提供的资料。</w:t>
      </w:r>
      <w:r>
        <w:rPr>
          <w:rFonts w:hint="eastAsia" w:ascii="宋体" w:hAnsi="宋体"/>
          <w:sz w:val="24"/>
        </w:rPr>
        <w:tab/>
      </w:r>
      <w:r>
        <w:tab/>
      </w:r>
    </w:p>
    <w:p w14:paraId="7F7B774F">
      <w:pPr>
        <w:snapToGrid w:val="0"/>
        <w:spacing w:line="360" w:lineRule="auto"/>
        <w:ind w:firstLine="480"/>
        <w:rPr>
          <w:rFonts w:ascii="宋体"/>
          <w:b/>
          <w:color w:val="000000"/>
          <w:sz w:val="24"/>
        </w:rPr>
      </w:pPr>
      <w:r>
        <w:rPr>
          <w:rFonts w:hint="eastAsia" w:ascii="宋体" w:hAnsi="宋体"/>
          <w:b/>
          <w:sz w:val="24"/>
        </w:rPr>
        <w:t>（二）投标文件的语言及计量</w:t>
      </w:r>
    </w:p>
    <w:p w14:paraId="681F110A">
      <w:pPr>
        <w:snapToGrid w:val="0"/>
        <w:spacing w:line="360" w:lineRule="auto"/>
        <w:ind w:firstLine="480"/>
        <w:rPr>
          <w:rFonts w:ascii="宋体"/>
          <w:b/>
          <w:color w:val="000000"/>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投标文件以及投标供应商与采购人就有关投标事宜的所有来往函电，均应以中文汉语书写。除签名、盖章、专用名称等特殊情形外，以中文汉语以外的文字表述的投标文件视同未提供。</w:t>
      </w:r>
    </w:p>
    <w:p w14:paraId="54A2B175">
      <w:pPr>
        <w:snapToGrid w:val="0"/>
        <w:spacing w:line="360" w:lineRule="auto"/>
        <w:ind w:firstLine="480"/>
        <w:rPr>
          <w:rFonts w:ascii="宋体"/>
          <w:b/>
          <w:color w:val="000000"/>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投标计量单位，采购文件已有明确规定的，使用采购文件规定的计量单位</w:t>
      </w:r>
      <w:r>
        <w:rPr>
          <w:rFonts w:hint="eastAsia" w:ascii="宋体" w:hAnsi="宋体"/>
          <w:sz w:val="24"/>
        </w:rPr>
        <w:t>；</w:t>
      </w:r>
      <w:r>
        <w:rPr>
          <w:rFonts w:ascii="宋体" w:hAnsi="宋体"/>
          <w:sz w:val="24"/>
        </w:rPr>
        <w:t>采购文件没有规定的，应采用中华人民共和国法定计量单位（货币单位：人民币元），否则视同未响应。</w:t>
      </w:r>
    </w:p>
    <w:p w14:paraId="151CC983">
      <w:pPr>
        <w:snapToGrid w:val="0"/>
        <w:spacing w:line="360" w:lineRule="auto"/>
        <w:ind w:firstLine="480"/>
        <w:rPr>
          <w:rFonts w:ascii="宋体"/>
          <w:b/>
          <w:color w:val="000000"/>
          <w:sz w:val="24"/>
        </w:rPr>
      </w:pPr>
      <w:r>
        <w:rPr>
          <w:rFonts w:hint="eastAsia" w:ascii="宋体" w:hAnsi="宋体"/>
          <w:sz w:val="24"/>
        </w:rPr>
        <w:t>▲</w:t>
      </w:r>
      <w:r>
        <w:rPr>
          <w:rFonts w:hint="eastAsia" w:ascii="宋体" w:hAnsi="宋体"/>
          <w:b/>
          <w:sz w:val="24"/>
        </w:rPr>
        <w:t>（三）投标报价：</w:t>
      </w:r>
    </w:p>
    <w:p w14:paraId="18224624">
      <w:pPr>
        <w:snapToGrid w:val="0"/>
        <w:spacing w:line="360" w:lineRule="auto"/>
        <w:ind w:firstLine="480"/>
        <w:rPr>
          <w:rFonts w:ascii="宋体"/>
          <w:b/>
          <w:color w:val="000000"/>
          <w:sz w:val="24"/>
        </w:rPr>
      </w:pPr>
      <w:r>
        <w:rPr>
          <w:rFonts w:ascii="宋体" w:hAnsi="宋体"/>
          <w:sz w:val="24"/>
        </w:rPr>
        <w:t>1</w:t>
      </w:r>
      <w:r>
        <w:rPr>
          <w:rFonts w:hint="eastAsia" w:ascii="宋体" w:hAnsi="宋体"/>
          <w:sz w:val="24"/>
        </w:rPr>
        <w:t>、</w:t>
      </w:r>
      <w:r>
        <w:rPr>
          <w:rFonts w:ascii="宋体" w:hAnsi="宋体"/>
          <w:sz w:val="24"/>
        </w:rPr>
        <w:t>投标报价应按采购文件中相关附表格式填写。</w:t>
      </w:r>
      <w:r>
        <w:rPr>
          <w:rFonts w:hint="eastAsia" w:ascii="宋体" w:hAnsi="宋体" w:cs="宋体"/>
          <w:kern w:val="0"/>
          <w:sz w:val="24"/>
        </w:rPr>
        <w:t>所有投标均以人民币报价为准</w:t>
      </w:r>
      <w:r>
        <w:rPr>
          <w:rFonts w:hint="eastAsia" w:ascii="宋体"/>
          <w:color w:val="000000"/>
          <w:sz w:val="24"/>
        </w:rPr>
        <w:t>。</w:t>
      </w:r>
    </w:p>
    <w:p w14:paraId="11E13A9A">
      <w:pPr>
        <w:snapToGrid w:val="0"/>
        <w:spacing w:line="360" w:lineRule="auto"/>
        <w:ind w:firstLine="480" w:firstLineChars="200"/>
        <w:jc w:val="left"/>
        <w:rPr>
          <w:rFonts w:ascii="宋体" w:hAnsi="宋体" w:cs="宋体"/>
          <w:bCs/>
        </w:rPr>
      </w:pPr>
      <w:r>
        <w:rPr>
          <w:rFonts w:ascii="宋体" w:hAnsi="宋体"/>
          <w:sz w:val="24"/>
        </w:rPr>
        <w:t>2</w:t>
      </w:r>
      <w:r>
        <w:rPr>
          <w:rFonts w:hint="eastAsia" w:ascii="宋体" w:hAnsi="宋体"/>
          <w:sz w:val="24"/>
        </w:rPr>
        <w:t>、</w:t>
      </w:r>
      <w:r>
        <w:rPr>
          <w:rFonts w:ascii="宋体" w:hAnsi="宋体"/>
          <w:sz w:val="24"/>
        </w:rPr>
        <w:t>投标报价是履行合同的最终价格</w:t>
      </w:r>
      <w:r>
        <w:rPr>
          <w:rFonts w:hint="eastAsia" w:ascii="宋体" w:hAnsi="宋体" w:cs="宋体"/>
          <w:bCs/>
        </w:rPr>
        <w:t>，</w:t>
      </w:r>
      <w:r>
        <w:rPr>
          <w:rFonts w:ascii="宋体" w:hAnsi="宋体"/>
          <w:sz w:val="24"/>
        </w:rPr>
        <w:t>应包括</w:t>
      </w:r>
      <w:r>
        <w:rPr>
          <w:rFonts w:hint="eastAsia" w:ascii="宋体" w:hAnsi="宋体"/>
          <w:sz w:val="24"/>
        </w:rPr>
        <w:t>系统的设备、人员、交通、耗材、培训、调试、验收、专用工具、保险、税金等完成本项目的</w:t>
      </w:r>
      <w:r>
        <w:rPr>
          <w:rFonts w:hAnsi="宋体"/>
          <w:color w:val="000000"/>
          <w:sz w:val="24"/>
        </w:rPr>
        <w:t>一切税金和费用。</w:t>
      </w:r>
    </w:p>
    <w:p w14:paraId="64558611">
      <w:pPr>
        <w:spacing w:line="360" w:lineRule="auto"/>
        <w:ind w:firstLine="480" w:firstLineChars="200"/>
        <w:rPr>
          <w:rFonts w:ascii="Wingdings" w:hAnsi="Wingdings" w:cs="Wingdings"/>
          <w:b/>
          <w:color w:val="000000"/>
          <w:kern w:val="0"/>
          <w:sz w:val="24"/>
          <w:u w:val="single"/>
        </w:rPr>
      </w:pPr>
      <w:r>
        <w:rPr>
          <w:rFonts w:ascii="Wingdings" w:hAnsi="Wingdings" w:cs="Wingdings"/>
          <w:color w:val="000000"/>
          <w:kern w:val="0"/>
          <w:sz w:val="24"/>
          <w:u w:val="single"/>
        </w:rPr>
        <w:t>投标供应商对在合同执行中，除上述费用及采购文件规定的由中标供应商负责的工作范围以外需要采购人协调或提供便利的工作应当在报价文件中说明。</w:t>
      </w:r>
    </w:p>
    <w:p w14:paraId="11B7D4B2">
      <w:pPr>
        <w:snapToGrid w:val="0"/>
        <w:spacing w:line="360" w:lineRule="auto"/>
        <w:ind w:firstLine="480"/>
        <w:rPr>
          <w:rFonts w:hAnsi="宋体"/>
          <w:color w:val="000000"/>
        </w:rPr>
      </w:pP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06EF1E5C">
      <w:pPr>
        <w:snapToGrid w:val="0"/>
        <w:spacing w:line="360" w:lineRule="auto"/>
        <w:ind w:firstLine="480"/>
        <w:rPr>
          <w:rFonts w:ascii="宋体"/>
          <w:color w:val="000000"/>
          <w:sz w:val="24"/>
        </w:rPr>
      </w:pPr>
      <w:r>
        <w:rPr>
          <w:rFonts w:hint="eastAsia" w:ascii="宋体"/>
          <w:color w:val="000000"/>
          <w:sz w:val="24"/>
        </w:rPr>
        <w:t>4、投标供应商的最终报价由投标供应商自担全部风险责任，中标后不得以任何理由调整报价或追加任何费用；</w:t>
      </w:r>
    </w:p>
    <w:p w14:paraId="3CBC3009">
      <w:pPr>
        <w:snapToGrid w:val="0"/>
        <w:spacing w:line="360" w:lineRule="auto"/>
        <w:ind w:firstLine="480"/>
        <w:rPr>
          <w:rFonts w:ascii="宋体"/>
          <w:color w:val="000000"/>
          <w:sz w:val="24"/>
        </w:rPr>
      </w:pPr>
      <w:r>
        <w:rPr>
          <w:rFonts w:hint="eastAsia" w:ascii="宋体"/>
          <w:color w:val="000000"/>
          <w:sz w:val="24"/>
        </w:rPr>
        <w:t>5、投标供应商所有优惠条件和优惠费用不得降低和影响本采购项目质量；</w:t>
      </w:r>
    </w:p>
    <w:p w14:paraId="0107F35C">
      <w:pPr>
        <w:snapToGrid w:val="0"/>
        <w:spacing w:line="360" w:lineRule="auto"/>
        <w:ind w:firstLine="480"/>
        <w:rPr>
          <w:rFonts w:ascii="宋体"/>
          <w:color w:val="000000"/>
          <w:sz w:val="24"/>
        </w:rPr>
      </w:pPr>
      <w:r>
        <w:rPr>
          <w:rFonts w:hint="eastAsia" w:ascii="宋体"/>
          <w:color w:val="000000"/>
          <w:sz w:val="24"/>
        </w:rPr>
        <w:t>6、报价如单价与总价不符时，以单价为准；大写与小写不符时以大写为准；</w:t>
      </w:r>
    </w:p>
    <w:p w14:paraId="28C89471">
      <w:pPr>
        <w:snapToGrid w:val="0"/>
        <w:spacing w:line="360" w:lineRule="auto"/>
        <w:ind w:firstLine="480"/>
        <w:rPr>
          <w:rFonts w:ascii="宋体"/>
          <w:color w:val="000000"/>
          <w:sz w:val="24"/>
        </w:rPr>
      </w:pPr>
      <w:r>
        <w:rPr>
          <w:rFonts w:hint="eastAsia" w:ascii="宋体"/>
          <w:color w:val="000000"/>
          <w:sz w:val="24"/>
        </w:rPr>
        <w:t>7、投标供应商对采购文件里有关投标报价的全部内容应仔细确认，若有个别异议，应在开标前提出修改意见，否则视同全部确认；</w:t>
      </w:r>
    </w:p>
    <w:p w14:paraId="589BB730">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（四）投标文件的有效期</w:t>
      </w:r>
    </w:p>
    <w:p w14:paraId="0DE9D3B8">
      <w:pPr>
        <w:pStyle w:val="15"/>
        <w:widowControl w:val="0"/>
        <w:tabs>
          <w:tab w:val="clear" w:pos="454"/>
        </w:tabs>
        <w:snapToGrid w:val="0"/>
        <w:spacing w:afterLines="0" w:line="500" w:lineRule="exact"/>
        <w:ind w:left="0" w:firstLine="480" w:firstLineChars="200"/>
        <w:jc w:val="both"/>
        <w:rPr>
          <w:rFonts w:ascii="宋体" w:hAnsi="宋体" w:cs="仿宋"/>
          <w:szCs w:val="24"/>
        </w:rPr>
      </w:pPr>
      <w:r>
        <w:rPr>
          <w:rFonts w:hint="eastAsia" w:ascii="宋体" w:hAnsi="宋体" w:cs="仿宋"/>
          <w:szCs w:val="24"/>
        </w:rPr>
        <w:t>▲1、自投标截止日起</w:t>
      </w:r>
      <w:r>
        <w:rPr>
          <w:rFonts w:hint="eastAsia" w:ascii="宋体" w:hAnsi="宋体" w:cs="仿宋"/>
          <w:szCs w:val="24"/>
          <w:u w:val="single"/>
        </w:rPr>
        <w:t>60</w:t>
      </w:r>
      <w:r>
        <w:rPr>
          <w:rFonts w:hint="eastAsia" w:ascii="宋体" w:hAnsi="宋体" w:cs="仿宋"/>
          <w:szCs w:val="24"/>
        </w:rPr>
        <w:t>天投标文件应保持有效。有效期不足的投标文件将被拒绝。</w:t>
      </w:r>
    </w:p>
    <w:p w14:paraId="5029EE74">
      <w:pPr>
        <w:pStyle w:val="15"/>
        <w:widowControl w:val="0"/>
        <w:tabs>
          <w:tab w:val="clear" w:pos="454"/>
        </w:tabs>
        <w:snapToGrid w:val="0"/>
        <w:spacing w:afterLines="0" w:line="500" w:lineRule="exact"/>
        <w:ind w:left="0" w:firstLine="480" w:firstLineChars="200"/>
        <w:jc w:val="both"/>
        <w:rPr>
          <w:rFonts w:ascii="宋体" w:hAnsi="宋体" w:cs="仿宋"/>
          <w:szCs w:val="24"/>
        </w:rPr>
      </w:pPr>
      <w:r>
        <w:rPr>
          <w:rFonts w:hint="eastAsia" w:ascii="宋体" w:hAnsi="宋体" w:cs="仿宋"/>
          <w:szCs w:val="24"/>
        </w:rPr>
        <w:t>2、在特殊情况下，采购单位可与投标供应商协商延长投标书的有效期，这种要求和答复均以书面形式进行。</w:t>
      </w:r>
    </w:p>
    <w:p w14:paraId="3F763915">
      <w:pPr>
        <w:snapToGrid w:val="0"/>
        <w:spacing w:line="500" w:lineRule="exact"/>
        <w:ind w:firstLine="480" w:firstLineChars="200"/>
        <w:rPr>
          <w:rFonts w:ascii="宋体" w:hAnsi="宋体" w:cs="仿宋"/>
          <w:b/>
          <w:sz w:val="24"/>
        </w:rPr>
      </w:pPr>
      <w:r>
        <w:rPr>
          <w:rFonts w:hint="eastAsia" w:ascii="宋体" w:hAnsi="宋体" w:cs="仿宋"/>
          <w:sz w:val="24"/>
        </w:rPr>
        <w:t>3、投标供应商可拒绝接受延期要求。同意延长有效期的投标供应商需要相应延长投标保证金的有效期，但不能修改投标文件。</w:t>
      </w:r>
    </w:p>
    <w:p w14:paraId="22B2BA01">
      <w:pPr>
        <w:snapToGrid w:val="0"/>
        <w:spacing w:line="500" w:lineRule="exact"/>
        <w:ind w:firstLine="480" w:firstLineChars="200"/>
        <w:rPr>
          <w:rFonts w:ascii="宋体" w:hAnsi="宋体" w:cs="仿宋"/>
          <w:b/>
          <w:sz w:val="24"/>
        </w:rPr>
      </w:pPr>
      <w:r>
        <w:rPr>
          <w:rFonts w:hint="eastAsia" w:ascii="宋体" w:hAnsi="宋体" w:cs="仿宋"/>
          <w:sz w:val="24"/>
        </w:rPr>
        <w:t>4、中标人的投标文件自开标之日起至合同履行完毕止均应保持有效。</w:t>
      </w:r>
    </w:p>
    <w:p w14:paraId="2D79F803">
      <w:pPr>
        <w:snapToGrid w:val="0"/>
        <w:spacing w:line="500" w:lineRule="exact"/>
        <w:ind w:firstLine="482" w:firstLineChars="200"/>
        <w:outlineLvl w:val="2"/>
        <w:rPr>
          <w:rFonts w:ascii="宋体" w:hAnsi="宋体" w:cs="仿宋"/>
          <w:b/>
          <w:sz w:val="24"/>
        </w:rPr>
      </w:pPr>
      <w:r>
        <w:rPr>
          <w:rFonts w:hint="eastAsia" w:ascii="宋体" w:hAnsi="宋体" w:cs="仿宋"/>
          <w:b/>
          <w:sz w:val="24"/>
        </w:rPr>
        <w:t>（五）投标文件的编制</w:t>
      </w:r>
    </w:p>
    <w:p w14:paraId="268676C9">
      <w:pPr>
        <w:snapToGrid w:val="0"/>
        <w:spacing w:line="500" w:lineRule="exact"/>
        <w:ind w:firstLine="480" w:firstLineChars="200"/>
        <w:rPr>
          <w:rFonts w:ascii="宋体" w:hAnsi="宋体" w:cs="仿宋"/>
          <w:bCs/>
          <w:sz w:val="24"/>
        </w:rPr>
      </w:pPr>
      <w:r>
        <w:rPr>
          <w:rFonts w:hint="eastAsia" w:ascii="宋体" w:hAnsi="宋体" w:cs="仿宋"/>
          <w:bCs/>
          <w:sz w:val="24"/>
        </w:rPr>
        <w:t>1、本项目通过“政府采购云平台（www.zcygov.cn）”实行在线投标响应（电子投标）。投标供应商应通过“政采云电子交易客户端”，并按照本采购文件和“政府采购云平台”的要求编制并加密投标文件。</w:t>
      </w:r>
    </w:p>
    <w:p w14:paraId="58AA13CB">
      <w:pPr>
        <w:snapToGrid w:val="0"/>
        <w:spacing w:line="500" w:lineRule="exact"/>
        <w:ind w:firstLine="480" w:firstLineChars="200"/>
        <w:rPr>
          <w:rFonts w:ascii="宋体" w:hAnsi="宋体" w:cs="仿宋"/>
          <w:bCs/>
          <w:sz w:val="24"/>
        </w:rPr>
      </w:pPr>
      <w:r>
        <w:rPr>
          <w:rFonts w:hint="eastAsia" w:ascii="宋体" w:hAnsi="宋体" w:cs="仿宋"/>
          <w:bCs/>
          <w:sz w:val="24"/>
        </w:rPr>
        <w:t>2、投标供应商应当按照本章节“投标文件的组成”规定的内容及顺序在“政采云电子交易客户端”编制投标文件。其中《资格文件》和《商务技术资信及其他文件》中不得出现本项目投标报价，如因投标供应商原因提前泄露投标报价，是投标供应商的责任。</w:t>
      </w:r>
    </w:p>
    <w:p w14:paraId="64A94F7E">
      <w:pPr>
        <w:snapToGrid w:val="0"/>
        <w:spacing w:line="500" w:lineRule="exact"/>
        <w:ind w:firstLine="480" w:firstLineChars="200"/>
        <w:rPr>
          <w:rFonts w:ascii="宋体" w:hAnsi="宋体" w:cs="仿宋"/>
          <w:bCs/>
          <w:sz w:val="24"/>
        </w:rPr>
      </w:pPr>
      <w:r>
        <w:rPr>
          <w:rFonts w:hint="eastAsia" w:ascii="宋体" w:hAnsi="宋体" w:cs="仿宋"/>
          <w:bCs/>
          <w:sz w:val="24"/>
        </w:rPr>
        <w:t>3、本采购文件中有提供格式的，投标供应商须参照格式进行编制（格式中要求提供相关证明材料的还需后附相关证明材料），并按格式要求在指定位置根据要求进行签章，未提供格式的，请各投标供应商自行拟定格式，并加盖单位公章并由法定代表人或其授权代表签署（盖章），否则视为未提供。</w:t>
      </w:r>
    </w:p>
    <w:p w14:paraId="305931B6">
      <w:pPr>
        <w:snapToGrid w:val="0"/>
        <w:spacing w:line="500" w:lineRule="exact"/>
        <w:ind w:firstLine="480" w:firstLineChars="200"/>
        <w:rPr>
          <w:rFonts w:ascii="宋体" w:hAnsi="宋体" w:cs="仿宋"/>
          <w:bCs/>
          <w:sz w:val="24"/>
        </w:rPr>
      </w:pPr>
      <w:r>
        <w:rPr>
          <w:rFonts w:hint="eastAsia" w:ascii="宋体" w:hAnsi="宋体" w:cs="仿宋"/>
          <w:bCs/>
          <w:sz w:val="24"/>
        </w:rPr>
        <w:t>4、《投标文件》内容不完整、编排混乱导致《投标文件》被误读、漏读或者查找不到相关内容的，是投标供应商的责任。</w:t>
      </w:r>
    </w:p>
    <w:p w14:paraId="04BAAFB7">
      <w:pPr>
        <w:snapToGrid w:val="0"/>
        <w:spacing w:line="500" w:lineRule="exact"/>
        <w:ind w:firstLine="480" w:firstLineChars="200"/>
        <w:rPr>
          <w:rFonts w:ascii="宋体" w:hAnsi="宋体" w:cs="仿宋"/>
          <w:bCs/>
          <w:sz w:val="24"/>
        </w:rPr>
      </w:pPr>
      <w:r>
        <w:rPr>
          <w:rFonts w:hint="eastAsia" w:ascii="宋体" w:hAnsi="宋体" w:cs="仿宋"/>
          <w:bCs/>
          <w:sz w:val="24"/>
        </w:rPr>
        <w:t>5、《投标文件》因字迹潦草、上传的内容不清楚或表达不清所引起的后果由投标供应商负责。</w:t>
      </w:r>
    </w:p>
    <w:p w14:paraId="30B313A4">
      <w:pPr>
        <w:snapToGrid w:val="0"/>
        <w:spacing w:line="500" w:lineRule="exact"/>
        <w:ind w:firstLine="480" w:firstLineChars="200"/>
        <w:rPr>
          <w:rFonts w:ascii="宋体" w:hAnsi="宋体" w:cs="仿宋"/>
          <w:bCs/>
          <w:sz w:val="24"/>
        </w:rPr>
      </w:pPr>
      <w:r>
        <w:rPr>
          <w:rFonts w:hint="eastAsia" w:ascii="宋体" w:hAnsi="宋体" w:cs="仿宋"/>
          <w:bCs/>
          <w:sz w:val="24"/>
        </w:rPr>
        <w:t>6、投标供应商没有按照本采购文件中“投标文件组成”要求提供全部资料，或者没有仔细阅读采购文件，或者没有对采购文件在各方面的要求作出实质性响应是投标供应商的风险，由此造成的一切后果由投标供应商自行承担。</w:t>
      </w:r>
    </w:p>
    <w:p w14:paraId="460333EC">
      <w:pPr>
        <w:snapToGrid w:val="0"/>
        <w:spacing w:line="500" w:lineRule="exact"/>
        <w:ind w:firstLine="482" w:firstLineChars="200"/>
        <w:outlineLvl w:val="2"/>
        <w:rPr>
          <w:rFonts w:ascii="宋体" w:hAnsi="宋体" w:cs="仿宋"/>
          <w:b/>
          <w:sz w:val="24"/>
        </w:rPr>
      </w:pPr>
      <w:r>
        <w:rPr>
          <w:rFonts w:hint="eastAsia" w:ascii="宋体" w:hAnsi="宋体" w:cs="仿宋"/>
          <w:b/>
          <w:sz w:val="24"/>
        </w:rPr>
        <w:t>（六）投标文件的签章</w:t>
      </w:r>
    </w:p>
    <w:p w14:paraId="2BE53CB7">
      <w:pPr>
        <w:snapToGrid w:val="0"/>
        <w:spacing w:line="500" w:lineRule="exact"/>
        <w:ind w:firstLine="480" w:firstLineChars="200"/>
        <w:rPr>
          <w:rFonts w:ascii="宋体" w:hAnsi="宋体" w:cs="仿宋"/>
          <w:bCs/>
          <w:sz w:val="24"/>
        </w:rPr>
      </w:pPr>
      <w:r>
        <w:rPr>
          <w:rFonts w:hint="eastAsia" w:ascii="宋体" w:hAnsi="宋体" w:cs="仿宋"/>
          <w:bCs/>
          <w:sz w:val="24"/>
        </w:rPr>
        <w:t>1、《投标文件》的签章：使用电子签章；</w:t>
      </w:r>
    </w:p>
    <w:p w14:paraId="172F3048">
      <w:pPr>
        <w:snapToGrid w:val="0"/>
        <w:spacing w:line="500" w:lineRule="exact"/>
        <w:ind w:firstLine="480" w:firstLineChars="200"/>
        <w:rPr>
          <w:rFonts w:ascii="宋体" w:hAnsi="宋体" w:cs="仿宋"/>
          <w:bCs/>
          <w:sz w:val="24"/>
        </w:rPr>
      </w:pPr>
      <w:r>
        <w:rPr>
          <w:rFonts w:hint="eastAsia" w:ascii="宋体" w:hAnsi="宋体" w:cs="仿宋"/>
          <w:bCs/>
          <w:sz w:val="24"/>
        </w:rPr>
        <w:t>2、《投标文件》应由投标供应商法定代表人或其授权代表签字（或盖章），并同时加盖单位公章。</w:t>
      </w:r>
    </w:p>
    <w:p w14:paraId="783CBD77">
      <w:pPr>
        <w:snapToGrid w:val="0"/>
        <w:spacing w:line="500" w:lineRule="exact"/>
        <w:ind w:firstLine="480" w:firstLineChars="200"/>
        <w:rPr>
          <w:rFonts w:ascii="宋体" w:hAnsi="宋体" w:cs="仿宋"/>
          <w:bCs/>
          <w:sz w:val="24"/>
        </w:rPr>
      </w:pPr>
      <w:r>
        <w:rPr>
          <w:rFonts w:hint="eastAsia" w:ascii="宋体" w:hAnsi="宋体" w:cs="仿宋"/>
          <w:bCs/>
          <w:sz w:val="24"/>
        </w:rPr>
        <w:t>3、参与在线投标时如遇平台技术问题详询95763。</w:t>
      </w:r>
    </w:p>
    <w:p w14:paraId="679C0D22">
      <w:pPr>
        <w:snapToGrid w:val="0"/>
        <w:spacing w:line="500" w:lineRule="exact"/>
        <w:ind w:firstLine="482" w:firstLineChars="200"/>
        <w:outlineLvl w:val="2"/>
        <w:rPr>
          <w:rFonts w:ascii="宋体" w:hAnsi="宋体" w:cs="仿宋"/>
          <w:b/>
          <w:sz w:val="24"/>
        </w:rPr>
      </w:pPr>
      <w:r>
        <w:rPr>
          <w:rFonts w:hint="eastAsia" w:ascii="宋体" w:hAnsi="宋体" w:cs="仿宋"/>
          <w:b/>
          <w:sz w:val="24"/>
        </w:rPr>
        <w:t>（七）投标文件的形式</w:t>
      </w:r>
    </w:p>
    <w:p w14:paraId="32626BDA">
      <w:pPr>
        <w:snapToGrid w:val="0"/>
        <w:spacing w:line="500" w:lineRule="exact"/>
        <w:ind w:firstLine="480" w:firstLineChars="200"/>
        <w:rPr>
          <w:rFonts w:ascii="宋体" w:hAnsi="宋体" w:cs="仿宋"/>
          <w:bCs/>
          <w:sz w:val="24"/>
        </w:rPr>
      </w:pPr>
      <w:r>
        <w:rPr>
          <w:rFonts w:hint="eastAsia" w:ascii="宋体" w:hAnsi="宋体" w:cs="仿宋"/>
          <w:bCs/>
          <w:sz w:val="24"/>
        </w:rPr>
        <w:t>1、投标文件的形式：见《前附表》；</w:t>
      </w:r>
    </w:p>
    <w:p w14:paraId="3403D8FE">
      <w:pPr>
        <w:snapToGrid w:val="0"/>
        <w:spacing w:line="500" w:lineRule="exact"/>
        <w:ind w:firstLine="480" w:firstLineChars="200"/>
        <w:rPr>
          <w:rFonts w:ascii="宋体" w:hAnsi="宋体" w:cs="仿宋"/>
          <w:bCs/>
          <w:sz w:val="24"/>
        </w:rPr>
      </w:pPr>
      <w:r>
        <w:rPr>
          <w:rFonts w:hint="eastAsia" w:ascii="宋体" w:hAnsi="宋体" w:cs="仿宋"/>
          <w:bCs/>
          <w:sz w:val="24"/>
        </w:rPr>
        <w:t>2、“电子加密投标文件”：“电子加密投标文件”是指通过“政采云电子交易客户端”完成投标文件编制后生成并加密的数据电文形式的投标文件。</w:t>
      </w:r>
    </w:p>
    <w:p w14:paraId="4B6E0A08">
      <w:pPr>
        <w:snapToGrid w:val="0"/>
        <w:spacing w:line="500" w:lineRule="exact"/>
        <w:ind w:firstLine="480" w:firstLineChars="200"/>
        <w:rPr>
          <w:rFonts w:ascii="宋体" w:hAnsi="宋体" w:cs="仿宋"/>
          <w:bCs/>
          <w:sz w:val="24"/>
        </w:rPr>
      </w:pPr>
      <w:r>
        <w:rPr>
          <w:rFonts w:hint="eastAsia" w:ascii="宋体" w:hAnsi="宋体" w:cs="仿宋"/>
          <w:bCs/>
          <w:sz w:val="24"/>
        </w:rPr>
        <w:t>3、“备份投标文件”：“备份投标文件”是指与“电子加密投标文件”同时生成的数据电文形式的电子文件（备份标书），其他方式编制的“备份投标文件”视为无效的“备份投标文件”。</w:t>
      </w:r>
    </w:p>
    <w:p w14:paraId="38877845">
      <w:pPr>
        <w:snapToGrid w:val="0"/>
        <w:spacing w:line="500" w:lineRule="exact"/>
        <w:ind w:firstLine="482" w:firstLineChars="200"/>
        <w:outlineLvl w:val="2"/>
        <w:rPr>
          <w:rFonts w:ascii="宋体" w:hAnsi="宋体" w:cs="仿宋"/>
          <w:b/>
          <w:sz w:val="24"/>
        </w:rPr>
      </w:pPr>
      <w:r>
        <w:rPr>
          <w:rFonts w:hint="eastAsia" w:ascii="宋体" w:hAnsi="宋体" w:cs="仿宋"/>
          <w:b/>
          <w:sz w:val="24"/>
        </w:rPr>
        <w:t>（八）投标文件的份数：投标文件的份数：</w:t>
      </w:r>
      <w:r>
        <w:rPr>
          <w:rFonts w:hint="eastAsia" w:ascii="宋体" w:hAnsi="宋体" w:cs="仿宋"/>
          <w:bCs/>
          <w:sz w:val="24"/>
        </w:rPr>
        <w:t>见《前附表》</w:t>
      </w:r>
      <w:r>
        <w:rPr>
          <w:rFonts w:hint="eastAsia" w:ascii="宋体" w:hAnsi="宋体" w:cs="仿宋"/>
          <w:b/>
          <w:sz w:val="24"/>
        </w:rPr>
        <w:t>。</w:t>
      </w:r>
    </w:p>
    <w:p w14:paraId="1F82EA87">
      <w:pPr>
        <w:snapToGrid w:val="0"/>
        <w:spacing w:beforeLines="50" w:line="360" w:lineRule="auto"/>
        <w:ind w:firstLine="482" w:firstLineChars="200"/>
        <w:jc w:val="left"/>
        <w:rPr>
          <w:rFonts w:ascii="宋体" w:hAnsi="宋体" w:cs="宋体"/>
          <w:sz w:val="24"/>
        </w:rPr>
      </w:pPr>
      <w:r>
        <w:rPr>
          <w:rFonts w:hint="eastAsia" w:ascii="宋体" w:hAnsi="宋体" w:cs="宋体"/>
          <w:b/>
          <w:sz w:val="24"/>
        </w:rPr>
        <w:t>（九）投标文件的上传和递交：</w:t>
      </w:r>
      <w:r>
        <w:rPr>
          <w:rFonts w:hint="eastAsia" w:ascii="宋体" w:hAnsi="宋体" w:cs="宋体"/>
          <w:sz w:val="24"/>
        </w:rPr>
        <w:t>见《前附表》。</w:t>
      </w:r>
    </w:p>
    <w:p w14:paraId="3B210D98">
      <w:pPr>
        <w:snapToGrid w:val="0"/>
        <w:spacing w:beforeLines="50" w:line="360" w:lineRule="auto"/>
        <w:ind w:firstLine="482" w:firstLineChars="200"/>
        <w:jc w:val="left"/>
        <w:rPr>
          <w:rFonts w:ascii="宋体" w:hAnsi="宋体" w:cs="宋体"/>
          <w:sz w:val="24"/>
        </w:rPr>
      </w:pPr>
      <w:r>
        <w:rPr>
          <w:rFonts w:hint="eastAsia" w:ascii="宋体" w:hAnsi="宋体" w:cs="宋体"/>
          <w:b/>
          <w:sz w:val="24"/>
        </w:rPr>
        <w:t>（十）“电子加密投标文件”解密和异常情况处理：</w:t>
      </w:r>
      <w:r>
        <w:rPr>
          <w:rFonts w:hint="eastAsia" w:ascii="宋体" w:hAnsi="宋体" w:cs="宋体"/>
          <w:sz w:val="24"/>
        </w:rPr>
        <w:t>见《前附表》。</w:t>
      </w:r>
    </w:p>
    <w:p w14:paraId="5EDCE66A">
      <w:pPr>
        <w:snapToGrid w:val="0"/>
        <w:spacing w:beforeLines="50" w:line="360" w:lineRule="auto"/>
        <w:ind w:firstLine="482" w:firstLineChars="200"/>
        <w:jc w:val="left"/>
        <w:rPr>
          <w:rFonts w:ascii="宋体" w:hAnsi="宋体" w:cs="宋体"/>
          <w:b/>
          <w:sz w:val="24"/>
        </w:rPr>
      </w:pPr>
      <w:r>
        <w:rPr>
          <w:rFonts w:hint="eastAsia" w:ascii="宋体" w:hAnsi="宋体" w:cs="宋体"/>
          <w:b/>
          <w:sz w:val="24"/>
        </w:rPr>
        <w:t>（十一）投标文件的补充、修改或撤回</w:t>
      </w:r>
    </w:p>
    <w:p w14:paraId="3B342BAD">
      <w:pPr>
        <w:spacing w:line="360" w:lineRule="auto"/>
        <w:ind w:firstLine="424" w:firstLineChars="177"/>
        <w:rPr>
          <w:rFonts w:ascii="宋体" w:hAnsi="宋体" w:cs="宋体"/>
          <w:bCs/>
          <w:sz w:val="24"/>
        </w:rPr>
      </w:pPr>
      <w:r>
        <w:rPr>
          <w:rFonts w:hint="eastAsia" w:ascii="宋体" w:hAnsi="宋体" w:cs="宋体"/>
          <w:bCs/>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4FD9CF9">
      <w:pPr>
        <w:snapToGrid w:val="0"/>
        <w:spacing w:line="360" w:lineRule="auto"/>
        <w:ind w:firstLine="480" w:firstLineChars="200"/>
        <w:outlineLvl w:val="2"/>
      </w:pPr>
      <w:r>
        <w:rPr>
          <w:rFonts w:hint="eastAsia" w:ascii="宋体" w:hAnsi="宋体" w:cs="宋体"/>
          <w:bCs/>
          <w:sz w:val="24"/>
        </w:rPr>
        <w:t>2、投标截止时间后，投标供应商不得撤回、修改《投标文件》。</w:t>
      </w:r>
    </w:p>
    <w:p w14:paraId="19682044">
      <w:pPr>
        <w:spacing w:line="500" w:lineRule="exact"/>
        <w:jc w:val="center"/>
        <w:outlineLvl w:val="1"/>
        <w:rPr>
          <w:rFonts w:ascii="宋体" w:hAnsi="宋体" w:cs="仿宋"/>
          <w:b/>
          <w:sz w:val="32"/>
          <w:szCs w:val="32"/>
        </w:rPr>
      </w:pPr>
      <w:bookmarkStart w:id="21" w:name="_Toc16193"/>
      <w:r>
        <w:rPr>
          <w:rFonts w:hint="eastAsia" w:ascii="宋体" w:hAnsi="宋体" w:cs="仿宋"/>
          <w:b/>
          <w:sz w:val="32"/>
          <w:szCs w:val="32"/>
        </w:rPr>
        <w:t>四、开标</w:t>
      </w:r>
      <w:bookmarkEnd w:id="21"/>
    </w:p>
    <w:p w14:paraId="2593AA00">
      <w:pPr>
        <w:snapToGrid w:val="0"/>
        <w:spacing w:line="500" w:lineRule="exact"/>
        <w:ind w:firstLine="482" w:firstLineChars="200"/>
        <w:outlineLvl w:val="2"/>
        <w:rPr>
          <w:rFonts w:ascii="宋体" w:hAnsi="宋体" w:cs="仿宋"/>
          <w:b/>
          <w:sz w:val="24"/>
        </w:rPr>
      </w:pPr>
      <w:r>
        <w:rPr>
          <w:rFonts w:hint="eastAsia" w:ascii="宋体" w:hAnsi="宋体" w:cs="仿宋"/>
          <w:b/>
          <w:sz w:val="24"/>
        </w:rPr>
        <w:t>（一）开标形式</w:t>
      </w:r>
    </w:p>
    <w:p w14:paraId="2496AEFA">
      <w:pPr>
        <w:pStyle w:val="29"/>
        <w:spacing w:line="500" w:lineRule="exact"/>
        <w:ind w:firstLine="480" w:firstLineChars="200"/>
        <w:rPr>
          <w:rFonts w:hAnsi="宋体" w:cs="仿宋"/>
          <w:sz w:val="24"/>
          <w:szCs w:val="24"/>
        </w:rPr>
      </w:pPr>
      <w:r>
        <w:rPr>
          <w:rFonts w:hint="eastAsia" w:hAnsi="宋体" w:cs="仿宋"/>
          <w:sz w:val="24"/>
          <w:szCs w:val="24"/>
        </w:rPr>
        <w:t>采购代理机构将按照采购文件规定的时间通过“政府采购云平台”组织开标、开启投标文件，所有投标供应商均应当准时在线参加。</w:t>
      </w:r>
    </w:p>
    <w:p w14:paraId="408368A4">
      <w:pPr>
        <w:snapToGrid w:val="0"/>
        <w:spacing w:line="500" w:lineRule="exact"/>
        <w:ind w:firstLine="482" w:firstLineChars="200"/>
        <w:outlineLvl w:val="2"/>
        <w:rPr>
          <w:rFonts w:ascii="宋体" w:hAnsi="宋体" w:cs="仿宋"/>
          <w:b/>
          <w:sz w:val="24"/>
        </w:rPr>
      </w:pPr>
      <w:r>
        <w:rPr>
          <w:rFonts w:hint="eastAsia" w:ascii="宋体" w:hAnsi="宋体" w:cs="仿宋"/>
          <w:b/>
          <w:sz w:val="24"/>
        </w:rPr>
        <w:t>（二）开标准备</w:t>
      </w:r>
    </w:p>
    <w:p w14:paraId="1A728598">
      <w:pPr>
        <w:pStyle w:val="29"/>
        <w:spacing w:line="500" w:lineRule="exact"/>
        <w:ind w:firstLine="480" w:firstLineChars="200"/>
        <w:rPr>
          <w:rFonts w:hAnsi="宋体" w:cs="仿宋"/>
          <w:sz w:val="24"/>
          <w:szCs w:val="24"/>
        </w:rPr>
      </w:pPr>
      <w:r>
        <w:rPr>
          <w:rFonts w:hint="eastAsia" w:hAnsi="宋体" w:cs="仿宋"/>
          <w:sz w:val="24"/>
          <w:szCs w:val="24"/>
        </w:rPr>
        <w:t>1、开标的准备工作由采购代理机构负责落实；</w:t>
      </w:r>
    </w:p>
    <w:p w14:paraId="0DADAB51">
      <w:pPr>
        <w:pStyle w:val="29"/>
        <w:spacing w:line="500" w:lineRule="exact"/>
        <w:ind w:firstLine="480" w:firstLineChars="200"/>
        <w:rPr>
          <w:rFonts w:hAnsi="宋体" w:cs="仿宋"/>
          <w:sz w:val="24"/>
          <w:szCs w:val="24"/>
        </w:rPr>
      </w:pPr>
      <w:r>
        <w:rPr>
          <w:rFonts w:hint="eastAsia" w:hAnsi="宋体" w:cs="仿宋"/>
          <w:sz w:val="24"/>
          <w:szCs w:val="24"/>
        </w:rPr>
        <w:t>2、</w:t>
      </w:r>
      <w:r>
        <w:rPr>
          <w:rFonts w:hint="eastAsia" w:hAnsi="宋体" w:cs="仿宋"/>
          <w:b/>
          <w:bCs/>
          <w:sz w:val="24"/>
          <w:szCs w:val="24"/>
        </w:rPr>
        <w:t>采购代理机构将按照采购文件规定的时间通过“政府采购云平台”组织开标、开启投标文件，所有投标供应商均应当准时在线参加。投标供应商如不参加开标大会的，视同认可开标结果，事后不得对采购相关人员、开标过程和开标结果提出异议，同时投标供应商因未在线参加开标而导致投标文件无法按时解密等一切后果由投标供应商自己承担</w:t>
      </w:r>
      <w:r>
        <w:rPr>
          <w:rFonts w:hint="eastAsia" w:hAnsi="宋体" w:cs="仿宋"/>
          <w:sz w:val="24"/>
          <w:szCs w:val="24"/>
        </w:rPr>
        <w:t>。</w:t>
      </w:r>
    </w:p>
    <w:p w14:paraId="38029A35">
      <w:pPr>
        <w:snapToGrid w:val="0"/>
        <w:spacing w:line="500" w:lineRule="exact"/>
        <w:ind w:firstLine="482" w:firstLineChars="200"/>
        <w:outlineLvl w:val="2"/>
        <w:rPr>
          <w:rFonts w:ascii="宋体" w:hAnsi="宋体" w:cs="仿宋"/>
          <w:b/>
          <w:sz w:val="24"/>
        </w:rPr>
      </w:pPr>
      <w:r>
        <w:rPr>
          <w:rFonts w:hint="eastAsia" w:ascii="宋体" w:hAnsi="宋体" w:cs="仿宋"/>
          <w:b/>
          <w:sz w:val="24"/>
        </w:rPr>
        <w:t>（三）开标流程（两个阶段）</w:t>
      </w:r>
    </w:p>
    <w:p w14:paraId="7984F5B8">
      <w:pPr>
        <w:snapToGrid w:val="0"/>
        <w:spacing w:line="500" w:lineRule="exact"/>
        <w:ind w:firstLine="482" w:firstLineChars="200"/>
        <w:outlineLvl w:val="3"/>
        <w:rPr>
          <w:rFonts w:ascii="宋体" w:hAnsi="宋体" w:cs="仿宋"/>
          <w:b/>
          <w:sz w:val="24"/>
        </w:rPr>
      </w:pPr>
      <w:r>
        <w:rPr>
          <w:rFonts w:hint="eastAsia" w:ascii="宋体" w:hAnsi="宋体" w:cs="仿宋"/>
          <w:b/>
          <w:sz w:val="24"/>
        </w:rPr>
        <w:t>1、开标第一阶段</w:t>
      </w:r>
    </w:p>
    <w:p w14:paraId="4B5E7CC6">
      <w:pPr>
        <w:pStyle w:val="29"/>
        <w:spacing w:line="500" w:lineRule="exact"/>
        <w:ind w:firstLine="480" w:firstLineChars="200"/>
        <w:rPr>
          <w:rFonts w:hAnsi="宋体" w:cs="仿宋"/>
          <w:sz w:val="24"/>
          <w:szCs w:val="24"/>
        </w:rPr>
      </w:pPr>
      <w:r>
        <w:rPr>
          <w:rFonts w:hint="eastAsia" w:hAnsi="宋体" w:cs="仿宋"/>
          <w:sz w:val="24"/>
          <w:szCs w:val="24"/>
        </w:rPr>
        <w:t>（1）向各投标供应商发出电子加密投标文件【开始解密】通知，由投标供应商按采购文件规定的时间内自行进行投标文件解密。投标供应商在规定的时间内无法完成已递交的“电子加密投标文件”解密的，如已按规定递交了备份投标文件的，将由采购代理机构按“政府采购云平台”操作规范点击“异常处理”，由代理机构将备份投标文件上传至“政府采购云平台”，上传成功后，“电子加密投标文件”自动失效；</w:t>
      </w:r>
    </w:p>
    <w:p w14:paraId="5335A26C">
      <w:pPr>
        <w:pStyle w:val="29"/>
        <w:spacing w:line="500" w:lineRule="exact"/>
        <w:ind w:firstLine="480" w:firstLineChars="200"/>
        <w:rPr>
          <w:rFonts w:hAnsi="宋体" w:cs="仿宋"/>
          <w:sz w:val="24"/>
          <w:szCs w:val="24"/>
        </w:rPr>
      </w:pPr>
      <w:r>
        <w:rPr>
          <w:rFonts w:hint="eastAsia" w:hAnsi="宋体" w:cs="仿宋"/>
          <w:sz w:val="24"/>
          <w:szCs w:val="24"/>
        </w:rPr>
        <w:t>（2）投标文件解密结束，开启投标文件，进入资格审查；</w:t>
      </w:r>
    </w:p>
    <w:p w14:paraId="36AC9858">
      <w:pPr>
        <w:pStyle w:val="29"/>
        <w:spacing w:line="500" w:lineRule="exact"/>
        <w:ind w:firstLine="480" w:firstLineChars="200"/>
        <w:rPr>
          <w:rFonts w:hAnsi="宋体" w:cs="仿宋"/>
          <w:sz w:val="24"/>
          <w:szCs w:val="24"/>
        </w:rPr>
      </w:pPr>
      <w:r>
        <w:rPr>
          <w:rFonts w:hint="eastAsia" w:hAnsi="宋体" w:cs="仿宋"/>
          <w:sz w:val="24"/>
          <w:szCs w:val="24"/>
        </w:rPr>
        <w:t>（3）开启资格审查通过的投标供应商的商务技术资信及其他文件进入符合性审查、商务技术评审；</w:t>
      </w:r>
    </w:p>
    <w:p w14:paraId="3EF79591">
      <w:pPr>
        <w:pStyle w:val="29"/>
        <w:spacing w:line="500" w:lineRule="exact"/>
        <w:ind w:firstLine="480" w:firstLineChars="200"/>
        <w:rPr>
          <w:rFonts w:hAnsi="宋体" w:cs="仿宋"/>
          <w:sz w:val="24"/>
          <w:szCs w:val="24"/>
        </w:rPr>
      </w:pPr>
      <w:r>
        <w:rPr>
          <w:rFonts w:hint="eastAsia" w:hAnsi="宋体" w:cs="仿宋"/>
          <w:sz w:val="24"/>
          <w:szCs w:val="24"/>
        </w:rPr>
        <w:t>（4）第一阶段开标结束。</w:t>
      </w:r>
    </w:p>
    <w:p w14:paraId="45E9B9E1">
      <w:pPr>
        <w:pStyle w:val="29"/>
        <w:spacing w:line="500" w:lineRule="exact"/>
        <w:ind w:firstLine="482" w:firstLineChars="200"/>
        <w:rPr>
          <w:rFonts w:hAnsi="宋体" w:cs="仿宋"/>
          <w:b/>
          <w:bCs/>
          <w:sz w:val="24"/>
          <w:szCs w:val="24"/>
        </w:rPr>
      </w:pPr>
      <w:r>
        <w:rPr>
          <w:rFonts w:hint="eastAsia" w:hAnsi="宋体" w:cs="仿宋"/>
          <w:b/>
          <w:bCs/>
          <w:sz w:val="24"/>
          <w:szCs w:val="24"/>
        </w:rPr>
        <w:t>备注：开标大会的第一阶段结束后，采购人或采购代理机构将依法对投标供应商的资格进行审查，资格审查结束后进入符合性审查和商务技术的评审工作。</w:t>
      </w:r>
    </w:p>
    <w:p w14:paraId="12EF6F84">
      <w:pPr>
        <w:snapToGrid w:val="0"/>
        <w:spacing w:line="500" w:lineRule="exact"/>
        <w:ind w:firstLine="482" w:firstLineChars="200"/>
        <w:outlineLvl w:val="3"/>
        <w:rPr>
          <w:rFonts w:ascii="宋体" w:hAnsi="宋体" w:cs="仿宋"/>
          <w:b/>
          <w:sz w:val="24"/>
        </w:rPr>
      </w:pPr>
      <w:r>
        <w:rPr>
          <w:rFonts w:hint="eastAsia" w:ascii="宋体" w:hAnsi="宋体" w:cs="仿宋"/>
          <w:b/>
          <w:sz w:val="24"/>
        </w:rPr>
        <w:t>2、开标大会第二阶段</w:t>
      </w:r>
    </w:p>
    <w:p w14:paraId="36BBBA7B">
      <w:pPr>
        <w:spacing w:line="500" w:lineRule="exact"/>
        <w:ind w:firstLine="480" w:firstLineChars="200"/>
        <w:jc w:val="left"/>
        <w:rPr>
          <w:rFonts w:ascii="宋体" w:hAnsi="宋体" w:cs="仿宋"/>
          <w:sz w:val="24"/>
        </w:rPr>
      </w:pPr>
      <w:r>
        <w:rPr>
          <w:rFonts w:hint="eastAsia" w:ascii="宋体" w:hAnsi="宋体" w:cs="仿宋"/>
          <w:sz w:val="24"/>
        </w:rPr>
        <w:t>（1）符合性审查、商务技术评审结束后，举行开标大会第二阶段会议。首先通过政采云公布符合性审查、商务技术评审无效投标供应商名称及理由；公布经商务技术评审后有效投标供应商的名单，同时公布其商务技术得分（总分）情况。</w:t>
      </w:r>
    </w:p>
    <w:p w14:paraId="4281127B">
      <w:pPr>
        <w:spacing w:line="500" w:lineRule="exact"/>
        <w:ind w:firstLine="480" w:firstLineChars="200"/>
        <w:jc w:val="left"/>
        <w:rPr>
          <w:rFonts w:ascii="宋体" w:hAnsi="宋体" w:cs="仿宋"/>
          <w:sz w:val="24"/>
        </w:rPr>
      </w:pPr>
      <w:r>
        <w:rPr>
          <w:rFonts w:hint="eastAsia" w:ascii="宋体" w:hAnsi="宋体" w:cs="仿宋"/>
          <w:sz w:val="24"/>
        </w:rPr>
        <w:t>（2）开启符合性审查、商务技术评审有效投标供应商的《报价文件》，通过政采云公布开标记录表（所有投标供应商的报价），投标供应商对自己的报价金额有异议的通过发送邮件形式说明（不予说明视为无异议）。唱标结束后，由评标委员会对报价的合理性、准确性等进行审查核实。</w:t>
      </w:r>
    </w:p>
    <w:p w14:paraId="355A35E4">
      <w:pPr>
        <w:spacing w:line="500" w:lineRule="exact"/>
        <w:ind w:firstLine="480" w:firstLineChars="200"/>
        <w:jc w:val="left"/>
        <w:rPr>
          <w:rFonts w:ascii="宋体" w:hAnsi="宋体" w:cs="仿宋"/>
          <w:sz w:val="24"/>
        </w:rPr>
      </w:pPr>
      <w:r>
        <w:rPr>
          <w:rFonts w:hint="eastAsia" w:ascii="宋体" w:hAnsi="宋体" w:cs="仿宋"/>
          <w:sz w:val="24"/>
        </w:rPr>
        <w:t>（3）评审结束后，通过政采云公布中标候选投标供应商名单，及采购人最终确定中标人。</w:t>
      </w:r>
    </w:p>
    <w:p w14:paraId="56D42DA3">
      <w:pPr>
        <w:spacing w:line="500" w:lineRule="exact"/>
        <w:ind w:firstLine="482" w:firstLineChars="200"/>
        <w:jc w:val="left"/>
        <w:rPr>
          <w:rFonts w:ascii="宋体" w:hAnsi="宋体" w:cs="仿宋"/>
          <w:b/>
          <w:bCs/>
          <w:sz w:val="24"/>
        </w:rPr>
      </w:pPr>
      <w:r>
        <w:rPr>
          <w:rFonts w:hint="eastAsia" w:ascii="宋体" w:hAnsi="宋体" w:cs="仿宋"/>
          <w:b/>
          <w:bCs/>
          <w:sz w:val="24"/>
        </w:rPr>
        <w:t>特别说明：如遇“政府采购云平台”电子化开标或评审程序调整的，按调整后程序执行。</w:t>
      </w:r>
    </w:p>
    <w:p w14:paraId="080A7ADF">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（四）投标供应商资格审查</w:t>
      </w:r>
    </w:p>
    <w:p w14:paraId="46EBE216">
      <w:pPr>
        <w:spacing w:line="500" w:lineRule="exact"/>
        <w:ind w:firstLine="480" w:firstLineChars="200"/>
        <w:jc w:val="left"/>
        <w:rPr>
          <w:rFonts w:ascii="宋体" w:hAnsi="宋体" w:cs="仿宋"/>
          <w:sz w:val="24"/>
        </w:rPr>
      </w:pPr>
      <w:r>
        <w:rPr>
          <w:rFonts w:hint="eastAsia" w:ascii="宋体" w:hAnsi="宋体" w:cs="仿宋"/>
          <w:sz w:val="24"/>
        </w:rPr>
        <w:t>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681DDFC">
      <w:pPr>
        <w:spacing w:line="500" w:lineRule="exact"/>
        <w:ind w:firstLine="480" w:firstLineChars="200"/>
        <w:jc w:val="left"/>
        <w:rPr>
          <w:rFonts w:ascii="宋体" w:hAnsi="宋体" w:cs="仿宋"/>
          <w:sz w:val="24"/>
        </w:rPr>
      </w:pPr>
      <w:r>
        <w:rPr>
          <w:rFonts w:hint="eastAsia" w:ascii="宋体" w:hAnsi="宋体" w:cs="仿宋"/>
          <w:sz w:val="24"/>
        </w:rPr>
        <w:t>2、投标供应商提交的资格证明材料无法证明其符合采购文件规定的“投标供应商资格要求”的，采购人或采购代理机构将对其作资格审查不通过处理（无效投标），并不再将其投标提交评标委员会进行后续评审。</w:t>
      </w:r>
    </w:p>
    <w:p w14:paraId="5BDADA87">
      <w:pPr>
        <w:spacing w:line="500" w:lineRule="exact"/>
        <w:ind w:firstLine="480" w:firstLineChars="200"/>
        <w:jc w:val="left"/>
      </w:pPr>
      <w:r>
        <w:rPr>
          <w:rFonts w:hint="eastAsia" w:ascii="宋体" w:hAnsi="宋体" w:cs="仿宋"/>
          <w:sz w:val="24"/>
        </w:rPr>
        <w:t>3、单位负责人为同一人或者存在直接控股、管理关系的不同投标供应商参加同一项目下的政府采购活动的，相关投标供应商均作资格无效处理。</w:t>
      </w:r>
    </w:p>
    <w:p w14:paraId="65D8B801">
      <w:pPr>
        <w:spacing w:line="500" w:lineRule="exact"/>
        <w:jc w:val="center"/>
        <w:outlineLvl w:val="1"/>
        <w:rPr>
          <w:rFonts w:ascii="宋体" w:hAnsi="宋体" w:cs="仿宋"/>
          <w:b/>
          <w:sz w:val="32"/>
          <w:szCs w:val="32"/>
        </w:rPr>
      </w:pPr>
      <w:bookmarkStart w:id="22" w:name="_Toc17761"/>
      <w:r>
        <w:rPr>
          <w:rFonts w:hint="eastAsia" w:ascii="宋体" w:hAnsi="宋体" w:cs="仿宋"/>
          <w:b/>
          <w:sz w:val="32"/>
          <w:szCs w:val="32"/>
        </w:rPr>
        <w:t>五、评标</w:t>
      </w:r>
      <w:bookmarkEnd w:id="22"/>
    </w:p>
    <w:p w14:paraId="766E4A15">
      <w:pPr>
        <w:snapToGrid w:val="0"/>
        <w:spacing w:line="500" w:lineRule="exact"/>
        <w:ind w:firstLine="482" w:firstLineChars="200"/>
        <w:outlineLvl w:val="2"/>
        <w:rPr>
          <w:rFonts w:ascii="宋体" w:hAnsi="宋体" w:cs="仿宋"/>
          <w:b/>
          <w:sz w:val="24"/>
        </w:rPr>
      </w:pPr>
      <w:r>
        <w:rPr>
          <w:rFonts w:hint="eastAsia" w:ascii="宋体" w:hAnsi="宋体" w:cs="仿宋"/>
          <w:b/>
          <w:sz w:val="24"/>
        </w:rPr>
        <w:t>（一）评审工作的组织</w:t>
      </w:r>
    </w:p>
    <w:p w14:paraId="4C4877C0">
      <w:pPr>
        <w:spacing w:line="500" w:lineRule="exact"/>
        <w:ind w:firstLine="480" w:firstLineChars="200"/>
        <w:jc w:val="left"/>
        <w:rPr>
          <w:rFonts w:ascii="宋体" w:hAnsi="宋体" w:cs="仿宋"/>
          <w:sz w:val="24"/>
        </w:rPr>
      </w:pPr>
      <w:r>
        <w:rPr>
          <w:rFonts w:hint="eastAsia" w:ascii="宋体" w:hAnsi="宋体" w:cs="仿宋"/>
          <w:sz w:val="24"/>
        </w:rPr>
        <w:t>1、采购代理机构负责组织本项目的评审工作，并依据《政府采购货物和服务招标投标管理办法（财政部第87号令）》第四十五条的相关规定履行职责。</w:t>
      </w:r>
    </w:p>
    <w:p w14:paraId="2EDE705D">
      <w:pPr>
        <w:snapToGrid w:val="0"/>
        <w:spacing w:line="500" w:lineRule="exact"/>
        <w:ind w:firstLine="482" w:firstLineChars="200"/>
        <w:outlineLvl w:val="2"/>
        <w:rPr>
          <w:rFonts w:ascii="宋体" w:hAnsi="宋体" w:cs="仿宋"/>
          <w:b/>
          <w:sz w:val="24"/>
        </w:rPr>
      </w:pPr>
      <w:r>
        <w:rPr>
          <w:rFonts w:hint="eastAsia" w:ascii="宋体" w:hAnsi="宋体" w:cs="仿宋"/>
          <w:b/>
          <w:sz w:val="24"/>
        </w:rPr>
        <w:t>（二）评标委员会的组建</w:t>
      </w:r>
    </w:p>
    <w:p w14:paraId="0D3D6CC0">
      <w:pPr>
        <w:spacing w:line="500" w:lineRule="exact"/>
        <w:ind w:firstLine="480" w:firstLineChars="200"/>
        <w:jc w:val="left"/>
        <w:rPr>
          <w:rFonts w:ascii="宋体" w:hAnsi="宋体" w:cs="仿宋"/>
          <w:sz w:val="24"/>
        </w:rPr>
      </w:pPr>
      <w:r>
        <w:rPr>
          <w:rFonts w:hint="eastAsia" w:ascii="宋体" w:hAnsi="宋体" w:cs="仿宋"/>
          <w:sz w:val="24"/>
        </w:rPr>
        <w:t>1、评标委员会由采购人或采购代理机构依法组建，成员包括采购人代表和评审专家，成员人数为5人或以上单数，其中评审专家不少于成员总数的三分之二。</w:t>
      </w:r>
    </w:p>
    <w:p w14:paraId="4CBE30E6">
      <w:pPr>
        <w:spacing w:line="500" w:lineRule="exact"/>
        <w:ind w:firstLine="480" w:firstLineChars="200"/>
        <w:jc w:val="left"/>
        <w:rPr>
          <w:rFonts w:ascii="宋体" w:hAnsi="宋体" w:cs="仿宋"/>
          <w:sz w:val="24"/>
        </w:rPr>
      </w:pPr>
      <w:r>
        <w:rPr>
          <w:rFonts w:hint="eastAsia" w:ascii="宋体" w:hAnsi="宋体" w:cs="仿宋"/>
          <w:sz w:val="24"/>
        </w:rPr>
        <w:t>2、评标委员会成员名单在评审结果（采购结果）公告前保密。</w:t>
      </w:r>
    </w:p>
    <w:p w14:paraId="2ACB2233">
      <w:pPr>
        <w:snapToGrid w:val="0"/>
        <w:spacing w:line="500" w:lineRule="exact"/>
        <w:ind w:firstLine="482" w:firstLineChars="200"/>
        <w:outlineLvl w:val="2"/>
        <w:rPr>
          <w:rFonts w:ascii="宋体" w:hAnsi="宋体" w:cs="仿宋"/>
          <w:b/>
          <w:sz w:val="24"/>
        </w:rPr>
      </w:pPr>
      <w:r>
        <w:rPr>
          <w:rFonts w:hint="eastAsia" w:ascii="宋体" w:hAnsi="宋体" w:cs="仿宋"/>
          <w:b/>
          <w:sz w:val="24"/>
        </w:rPr>
        <w:t>（三）评标委员会的职责</w:t>
      </w:r>
    </w:p>
    <w:p w14:paraId="62515C88">
      <w:pPr>
        <w:spacing w:line="500" w:lineRule="exact"/>
        <w:ind w:firstLine="482" w:firstLineChars="200"/>
        <w:jc w:val="left"/>
        <w:rPr>
          <w:rFonts w:ascii="宋体" w:hAnsi="宋体" w:cs="仿宋"/>
          <w:b/>
          <w:bCs/>
          <w:sz w:val="24"/>
        </w:rPr>
      </w:pPr>
      <w:r>
        <w:rPr>
          <w:rFonts w:hint="eastAsia" w:ascii="宋体" w:hAnsi="宋体" w:cs="仿宋"/>
          <w:b/>
          <w:bCs/>
          <w:sz w:val="24"/>
        </w:rPr>
        <w:t>1、评标委员会负责具体评审事务，并独立履行下列职责：</w:t>
      </w:r>
    </w:p>
    <w:p w14:paraId="23416758">
      <w:pPr>
        <w:spacing w:line="500" w:lineRule="exact"/>
        <w:ind w:firstLine="480" w:firstLineChars="200"/>
        <w:jc w:val="left"/>
        <w:rPr>
          <w:rFonts w:ascii="宋体" w:hAnsi="宋体" w:cs="仿宋"/>
          <w:sz w:val="24"/>
        </w:rPr>
      </w:pPr>
      <w:r>
        <w:rPr>
          <w:rFonts w:hint="eastAsia" w:ascii="宋体" w:hAnsi="宋体" w:cs="仿宋"/>
          <w:sz w:val="24"/>
        </w:rPr>
        <w:t>（1）审查、评价投标文件是否符合采购文件的资信、技术等实质性要求；</w:t>
      </w:r>
    </w:p>
    <w:p w14:paraId="526C62C4">
      <w:pPr>
        <w:spacing w:line="500" w:lineRule="exact"/>
        <w:ind w:firstLine="480" w:firstLineChars="200"/>
        <w:jc w:val="left"/>
        <w:rPr>
          <w:rFonts w:ascii="宋体" w:hAnsi="宋体" w:cs="仿宋"/>
          <w:sz w:val="24"/>
        </w:rPr>
      </w:pPr>
      <w:r>
        <w:rPr>
          <w:rFonts w:hint="eastAsia" w:ascii="宋体" w:hAnsi="宋体" w:cs="仿宋"/>
          <w:sz w:val="24"/>
        </w:rPr>
        <w:t>（2）要求投标供应商对投标文件有关事项作出澄清或者说明；</w:t>
      </w:r>
    </w:p>
    <w:p w14:paraId="1284CC4F">
      <w:pPr>
        <w:spacing w:line="500" w:lineRule="exact"/>
        <w:ind w:firstLine="480" w:firstLineChars="200"/>
        <w:jc w:val="left"/>
        <w:rPr>
          <w:rFonts w:ascii="宋体" w:hAnsi="宋体" w:cs="仿宋"/>
          <w:sz w:val="24"/>
        </w:rPr>
      </w:pPr>
      <w:r>
        <w:rPr>
          <w:rFonts w:hint="eastAsia" w:ascii="宋体" w:hAnsi="宋体" w:cs="仿宋"/>
          <w:sz w:val="24"/>
        </w:rPr>
        <w:t>（3）对投标文件进行比较和评价；</w:t>
      </w:r>
    </w:p>
    <w:p w14:paraId="01C0B1FD">
      <w:pPr>
        <w:spacing w:line="500" w:lineRule="exact"/>
        <w:ind w:firstLine="480" w:firstLineChars="200"/>
        <w:jc w:val="left"/>
        <w:rPr>
          <w:rFonts w:ascii="宋体" w:hAnsi="宋体" w:cs="仿宋"/>
          <w:sz w:val="24"/>
        </w:rPr>
      </w:pPr>
      <w:r>
        <w:rPr>
          <w:rFonts w:hint="eastAsia" w:ascii="宋体" w:hAnsi="宋体" w:cs="仿宋"/>
          <w:sz w:val="24"/>
        </w:rPr>
        <w:t>（4）确定中标候选人名单，以及根据采购人委托直接确定中标人；</w:t>
      </w:r>
    </w:p>
    <w:p w14:paraId="00C06E5C">
      <w:pPr>
        <w:spacing w:line="500" w:lineRule="exact"/>
        <w:ind w:firstLine="480" w:firstLineChars="200"/>
        <w:jc w:val="left"/>
        <w:rPr>
          <w:rFonts w:ascii="宋体" w:hAnsi="宋体" w:cs="仿宋"/>
          <w:sz w:val="24"/>
        </w:rPr>
      </w:pPr>
      <w:r>
        <w:rPr>
          <w:rFonts w:hint="eastAsia" w:ascii="宋体" w:hAnsi="宋体" w:cs="仿宋"/>
          <w:sz w:val="24"/>
        </w:rPr>
        <w:t>（5）向采购人、采购代理机构或者有关部门报告评审中发现的违法行为。</w:t>
      </w:r>
    </w:p>
    <w:p w14:paraId="51314F72">
      <w:pPr>
        <w:snapToGrid w:val="0"/>
        <w:spacing w:line="500" w:lineRule="exact"/>
        <w:ind w:firstLine="482" w:firstLineChars="200"/>
        <w:outlineLvl w:val="2"/>
        <w:rPr>
          <w:rFonts w:ascii="宋体" w:hAnsi="宋体" w:cs="仿宋"/>
          <w:b/>
          <w:sz w:val="24"/>
        </w:rPr>
      </w:pPr>
      <w:r>
        <w:rPr>
          <w:rFonts w:hint="eastAsia" w:ascii="宋体" w:hAnsi="宋体" w:cs="仿宋"/>
          <w:b/>
          <w:sz w:val="24"/>
        </w:rPr>
        <w:t>（四）评审原则</w:t>
      </w:r>
    </w:p>
    <w:p w14:paraId="34B9473C">
      <w:pPr>
        <w:spacing w:line="500" w:lineRule="exact"/>
        <w:ind w:firstLine="480" w:firstLineChars="200"/>
        <w:jc w:val="left"/>
        <w:rPr>
          <w:rFonts w:ascii="宋体" w:hAnsi="宋体" w:cs="仿宋"/>
          <w:sz w:val="24"/>
        </w:rPr>
      </w:pPr>
      <w:r>
        <w:rPr>
          <w:rFonts w:hint="eastAsia" w:ascii="宋体" w:hAnsi="宋体" w:cs="仿宋"/>
          <w:sz w:val="24"/>
        </w:rPr>
        <w:t>1、评审原则：评标委员会按照客观、公正、审慎、择优的原则，根据采购文件规定的评审程序、评审方法和评审标准进行独立评审。</w:t>
      </w:r>
    </w:p>
    <w:p w14:paraId="776583BF">
      <w:pPr>
        <w:spacing w:line="500" w:lineRule="exact"/>
        <w:ind w:firstLine="480" w:firstLineChars="200"/>
        <w:jc w:val="left"/>
        <w:rPr>
          <w:rFonts w:ascii="宋体" w:hAnsi="宋体" w:cs="仿宋"/>
          <w:sz w:val="24"/>
        </w:rPr>
      </w:pPr>
      <w:r>
        <w:rPr>
          <w:rFonts w:hint="eastAsia" w:ascii="宋体" w:hAnsi="宋体" w:cs="仿宋"/>
          <w:sz w:val="24"/>
        </w:rPr>
        <w:t>2、评审工作将依据采购文件、投标文件及采购文件中事先已列明的内容进行。</w:t>
      </w:r>
    </w:p>
    <w:p w14:paraId="4F816267">
      <w:pPr>
        <w:snapToGrid w:val="0"/>
        <w:spacing w:line="500" w:lineRule="exact"/>
        <w:ind w:firstLine="482" w:firstLineChars="200"/>
        <w:outlineLvl w:val="2"/>
        <w:rPr>
          <w:rFonts w:ascii="宋体" w:hAnsi="宋体" w:cs="仿宋"/>
          <w:b/>
          <w:sz w:val="24"/>
        </w:rPr>
      </w:pPr>
      <w:r>
        <w:rPr>
          <w:rFonts w:hint="eastAsia" w:ascii="宋体" w:hAnsi="宋体" w:cs="仿宋"/>
          <w:b/>
          <w:sz w:val="24"/>
        </w:rPr>
        <w:t>（五）评审意见的争议处理</w:t>
      </w:r>
    </w:p>
    <w:p w14:paraId="7B02C926">
      <w:pPr>
        <w:spacing w:line="500" w:lineRule="exact"/>
        <w:ind w:firstLine="480" w:firstLineChars="200"/>
        <w:jc w:val="left"/>
        <w:rPr>
          <w:rFonts w:ascii="宋体" w:hAnsi="宋体" w:cs="仿宋"/>
          <w:sz w:val="24"/>
        </w:rPr>
      </w:pPr>
      <w:r>
        <w:rPr>
          <w:rFonts w:hint="eastAsia" w:ascii="宋体" w:hAnsi="宋体" w:cs="仿宋"/>
          <w:sz w:val="24"/>
        </w:rPr>
        <w:t>评标委员会成员对需要共同认定的事项存在争议的，按照少数服从多数的原则作出结论。持不同意见的评标委员会成员应当在评审报告上签署不同意见及理由，否则视为同意评审报告。</w:t>
      </w:r>
    </w:p>
    <w:p w14:paraId="2A98DFD1">
      <w:pPr>
        <w:snapToGrid w:val="0"/>
        <w:spacing w:line="500" w:lineRule="exact"/>
        <w:ind w:firstLine="482" w:firstLineChars="200"/>
        <w:outlineLvl w:val="2"/>
        <w:rPr>
          <w:rFonts w:ascii="宋体" w:hAnsi="宋体" w:cs="仿宋"/>
          <w:b/>
          <w:sz w:val="24"/>
        </w:rPr>
      </w:pPr>
      <w:r>
        <w:rPr>
          <w:rFonts w:hint="eastAsia" w:ascii="宋体" w:hAnsi="宋体" w:cs="仿宋"/>
          <w:b/>
          <w:sz w:val="24"/>
        </w:rPr>
        <w:t>（六）评委纪律</w:t>
      </w:r>
    </w:p>
    <w:p w14:paraId="5B00D9A0">
      <w:pPr>
        <w:spacing w:line="500" w:lineRule="exact"/>
        <w:ind w:firstLine="480" w:firstLineChars="200"/>
        <w:jc w:val="left"/>
        <w:rPr>
          <w:rFonts w:ascii="宋体" w:hAnsi="宋体" w:cs="仿宋"/>
          <w:sz w:val="24"/>
        </w:rPr>
      </w:pPr>
      <w:r>
        <w:rPr>
          <w:rFonts w:hint="eastAsia" w:ascii="宋体" w:hAnsi="宋体" w:cs="仿宋"/>
          <w:sz w:val="24"/>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41A054AE">
      <w:pPr>
        <w:snapToGrid w:val="0"/>
        <w:spacing w:line="500" w:lineRule="exact"/>
        <w:ind w:firstLine="482" w:firstLineChars="200"/>
        <w:outlineLvl w:val="2"/>
        <w:rPr>
          <w:rFonts w:ascii="宋体" w:hAnsi="宋体" w:cs="仿宋"/>
          <w:b/>
          <w:sz w:val="24"/>
        </w:rPr>
      </w:pPr>
      <w:r>
        <w:rPr>
          <w:rFonts w:hint="eastAsia" w:ascii="宋体" w:hAnsi="宋体" w:cs="仿宋"/>
          <w:b/>
          <w:sz w:val="24"/>
        </w:rPr>
        <w:t>（七）评审流程及内容</w:t>
      </w:r>
    </w:p>
    <w:p w14:paraId="57239D87">
      <w:pPr>
        <w:spacing w:line="500" w:lineRule="exact"/>
        <w:ind w:firstLine="482" w:firstLineChars="200"/>
        <w:jc w:val="left"/>
        <w:rPr>
          <w:rFonts w:ascii="宋体" w:hAnsi="宋体" w:cs="仿宋"/>
          <w:b/>
          <w:bCs/>
          <w:sz w:val="24"/>
        </w:rPr>
      </w:pPr>
      <w:r>
        <w:rPr>
          <w:rFonts w:hint="eastAsia" w:ascii="宋体" w:hAnsi="宋体" w:cs="仿宋"/>
          <w:b/>
          <w:bCs/>
          <w:sz w:val="24"/>
        </w:rPr>
        <w:t>本项目具体的评审事务由评标委员会负责，评审流程及内容如下：</w:t>
      </w:r>
    </w:p>
    <w:p w14:paraId="625CF9FA">
      <w:pPr>
        <w:spacing w:line="500" w:lineRule="exact"/>
        <w:ind w:firstLine="480" w:firstLineChars="200"/>
        <w:jc w:val="left"/>
        <w:outlineLvl w:val="3"/>
        <w:rPr>
          <w:rFonts w:ascii="宋体" w:hAnsi="宋体" w:cs="仿宋"/>
          <w:sz w:val="24"/>
        </w:rPr>
      </w:pPr>
      <w:r>
        <w:rPr>
          <w:rFonts w:hint="eastAsia" w:ascii="宋体" w:hAnsi="宋体" w:cs="仿宋"/>
          <w:sz w:val="24"/>
        </w:rPr>
        <w:t>1、评审前准备</w:t>
      </w:r>
    </w:p>
    <w:p w14:paraId="4900C5E1">
      <w:pPr>
        <w:spacing w:line="500" w:lineRule="exact"/>
        <w:ind w:firstLine="480" w:firstLineChars="200"/>
        <w:jc w:val="left"/>
        <w:rPr>
          <w:rFonts w:ascii="宋体" w:hAnsi="宋体" w:cs="仿宋"/>
          <w:sz w:val="24"/>
        </w:rPr>
      </w:pPr>
      <w:r>
        <w:rPr>
          <w:rFonts w:hint="eastAsia" w:ascii="宋体" w:hAnsi="宋体" w:cs="仿宋"/>
          <w:sz w:val="24"/>
        </w:rPr>
        <w:t>（1）由评审专家推选评审小组组长，采购人代表不得担任评审小组组长。</w:t>
      </w:r>
    </w:p>
    <w:p w14:paraId="592E0CE1">
      <w:pPr>
        <w:spacing w:line="500" w:lineRule="exact"/>
        <w:ind w:firstLine="480" w:firstLineChars="200"/>
        <w:jc w:val="left"/>
        <w:rPr>
          <w:rFonts w:ascii="宋体" w:hAnsi="宋体" w:cs="仿宋"/>
          <w:sz w:val="24"/>
        </w:rPr>
      </w:pPr>
      <w:r>
        <w:rPr>
          <w:rFonts w:hint="eastAsia" w:ascii="宋体" w:hAnsi="宋体" w:cs="仿宋"/>
          <w:sz w:val="24"/>
        </w:rPr>
        <w:t>（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20925DC9">
      <w:pPr>
        <w:spacing w:line="500" w:lineRule="exact"/>
        <w:ind w:firstLine="480" w:firstLineChars="200"/>
        <w:jc w:val="left"/>
        <w:outlineLvl w:val="3"/>
        <w:rPr>
          <w:rFonts w:ascii="宋体" w:hAnsi="宋体" w:cs="仿宋"/>
          <w:sz w:val="24"/>
        </w:rPr>
      </w:pPr>
      <w:r>
        <w:rPr>
          <w:rFonts w:hint="eastAsia" w:ascii="宋体" w:hAnsi="宋体" w:cs="仿宋"/>
          <w:sz w:val="24"/>
        </w:rPr>
        <w:t>2、投标文件的初步审查、符合性审查</w:t>
      </w:r>
    </w:p>
    <w:p w14:paraId="0F4EF900">
      <w:pPr>
        <w:spacing w:line="500" w:lineRule="exact"/>
        <w:ind w:firstLine="482" w:firstLineChars="200"/>
        <w:jc w:val="left"/>
        <w:rPr>
          <w:rFonts w:ascii="宋体" w:hAnsi="宋体" w:cs="仿宋"/>
          <w:b/>
          <w:bCs/>
          <w:sz w:val="24"/>
        </w:rPr>
      </w:pPr>
      <w:r>
        <w:rPr>
          <w:rFonts w:hint="eastAsia" w:ascii="宋体" w:hAnsi="宋体" w:cs="仿宋"/>
          <w:b/>
          <w:bCs/>
          <w:sz w:val="24"/>
        </w:rPr>
        <w:t>对所有通过资格审查的投标供应商的投标文件进行初步审查，审查、评价投标文件是否符合采购文件的资信、技术、服务等实质性要求。</w:t>
      </w:r>
    </w:p>
    <w:p w14:paraId="3661CD55">
      <w:pPr>
        <w:spacing w:line="500" w:lineRule="exact"/>
        <w:ind w:firstLine="480" w:firstLineChars="200"/>
        <w:jc w:val="left"/>
        <w:rPr>
          <w:rFonts w:ascii="宋体" w:hAnsi="宋体" w:cs="仿宋"/>
          <w:sz w:val="24"/>
        </w:rPr>
      </w:pPr>
      <w:r>
        <w:rPr>
          <w:rFonts w:hint="eastAsia" w:ascii="宋体" w:hAnsi="宋体" w:cs="仿宋"/>
          <w:sz w:val="24"/>
        </w:rPr>
        <w:t>（1）评标委员会首先对所有通过资格审查的投标供应商的投标文件进行符合性审查，审查每份投标文件是否实质上响应了采购文件的要求（实质性响应的投标文件是指投标文件符合采购文件规定的实质性内容、条件和规定）。</w:t>
      </w:r>
    </w:p>
    <w:p w14:paraId="600FFA6D">
      <w:pPr>
        <w:spacing w:line="500" w:lineRule="exact"/>
        <w:ind w:firstLine="480" w:firstLineChars="200"/>
        <w:jc w:val="left"/>
        <w:outlineLvl w:val="3"/>
        <w:rPr>
          <w:rFonts w:ascii="宋体" w:hAnsi="宋体" w:cs="仿宋"/>
          <w:sz w:val="24"/>
        </w:rPr>
      </w:pPr>
      <w:r>
        <w:rPr>
          <w:rFonts w:hint="eastAsia" w:ascii="宋体" w:hAnsi="宋体" w:cs="仿宋"/>
          <w:sz w:val="24"/>
        </w:rPr>
        <w:t>3、投标文件的澄清、说明或补正</w:t>
      </w:r>
    </w:p>
    <w:p w14:paraId="2A4017AA">
      <w:pPr>
        <w:spacing w:line="500" w:lineRule="exact"/>
        <w:ind w:firstLine="480" w:firstLineChars="200"/>
        <w:jc w:val="left"/>
        <w:rPr>
          <w:rFonts w:ascii="宋体" w:hAnsi="宋体" w:cs="仿宋"/>
          <w:sz w:val="24"/>
        </w:rPr>
      </w:pPr>
      <w:r>
        <w:rPr>
          <w:rFonts w:hint="eastAsia" w:ascii="宋体" w:hAnsi="宋体" w:cs="仿宋"/>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0C419FB">
      <w:pPr>
        <w:spacing w:line="500" w:lineRule="exact"/>
        <w:ind w:firstLine="480" w:firstLineChars="200"/>
        <w:jc w:val="left"/>
        <w:rPr>
          <w:rFonts w:ascii="宋体" w:hAnsi="宋体" w:cs="仿宋"/>
          <w:sz w:val="24"/>
        </w:rPr>
      </w:pPr>
      <w:r>
        <w:rPr>
          <w:rFonts w:hint="eastAsia" w:ascii="宋体" w:hAnsi="宋体" w:cs="仿宋"/>
          <w:sz w:val="24"/>
        </w:rPr>
        <w:t>（2）评标过程中评标委员会对投标供应商提出质询或要求投标供应商书面确认的（或通过“政府采购云平台”在线答复），采用书面形式提交并加盖公章，或者由法定代表人或其授权的代表签字或盖章，30分钟内予以书面回复或确认，否则视为不予回复或确认，评标委员会有权拒绝该投标文件，澄清、说明或者补正不得超出投标文件的范围或者改变投标文件的实质性内容。</w:t>
      </w:r>
    </w:p>
    <w:p w14:paraId="0E9079F2">
      <w:pPr>
        <w:spacing w:line="500" w:lineRule="exact"/>
        <w:ind w:firstLine="480" w:firstLineChars="200"/>
        <w:jc w:val="left"/>
        <w:outlineLvl w:val="3"/>
        <w:rPr>
          <w:rFonts w:ascii="宋体" w:hAnsi="宋体" w:cs="仿宋"/>
          <w:sz w:val="24"/>
        </w:rPr>
      </w:pPr>
      <w:r>
        <w:rPr>
          <w:rFonts w:hint="eastAsia" w:ascii="宋体" w:hAnsi="宋体" w:cs="仿宋"/>
          <w:sz w:val="24"/>
        </w:rPr>
        <w:t>4、投标文件的错误修正</w:t>
      </w:r>
    </w:p>
    <w:p w14:paraId="19D243DC">
      <w:pPr>
        <w:spacing w:line="500" w:lineRule="exact"/>
        <w:ind w:firstLine="480" w:firstLineChars="200"/>
        <w:jc w:val="left"/>
        <w:rPr>
          <w:rFonts w:ascii="宋体" w:hAnsi="宋体" w:cs="仿宋"/>
          <w:sz w:val="24"/>
        </w:rPr>
      </w:pPr>
      <w:r>
        <w:rPr>
          <w:rFonts w:hint="eastAsia" w:ascii="宋体" w:hAnsi="宋体" w:cs="仿宋"/>
          <w:sz w:val="24"/>
        </w:rPr>
        <w:t>《投标文件》如果出现计算或表达上的错误，修正错误的原则如下：</w:t>
      </w:r>
    </w:p>
    <w:p w14:paraId="1C1AF1B7">
      <w:pPr>
        <w:spacing w:line="500" w:lineRule="exact"/>
        <w:ind w:firstLine="480" w:firstLineChars="200"/>
        <w:jc w:val="left"/>
        <w:rPr>
          <w:rFonts w:ascii="宋体" w:hAnsi="宋体" w:cs="仿宋"/>
          <w:sz w:val="24"/>
        </w:rPr>
      </w:pPr>
      <w:r>
        <w:rPr>
          <w:rFonts w:hint="eastAsia" w:ascii="宋体" w:hAnsi="宋体" w:cs="仿宋"/>
          <w:sz w:val="24"/>
        </w:rPr>
        <w:t>（1）投标文件中开标一览表内容与投标文件中相应内容不一致的，以开标一览表为准。</w:t>
      </w:r>
    </w:p>
    <w:p w14:paraId="3116379F">
      <w:pPr>
        <w:spacing w:line="500" w:lineRule="exact"/>
        <w:ind w:firstLine="480" w:firstLineChars="200"/>
        <w:jc w:val="left"/>
        <w:rPr>
          <w:rFonts w:ascii="宋体" w:hAnsi="宋体" w:cs="仿宋"/>
          <w:sz w:val="24"/>
        </w:rPr>
      </w:pPr>
      <w:r>
        <w:rPr>
          <w:rFonts w:hint="eastAsia" w:ascii="宋体" w:hAnsi="宋体" w:cs="仿宋"/>
          <w:sz w:val="24"/>
        </w:rPr>
        <w:t>（2）《投标文件》的大写金额和小写金额不一致的，以大写金额为准；</w:t>
      </w:r>
    </w:p>
    <w:p w14:paraId="55A4F668">
      <w:pPr>
        <w:spacing w:line="500" w:lineRule="exact"/>
        <w:ind w:firstLine="480" w:firstLineChars="200"/>
        <w:jc w:val="left"/>
        <w:rPr>
          <w:rFonts w:ascii="宋体" w:hAnsi="宋体" w:cs="仿宋"/>
          <w:sz w:val="24"/>
        </w:rPr>
      </w:pPr>
      <w:r>
        <w:rPr>
          <w:rFonts w:hint="eastAsia" w:ascii="宋体" w:hAnsi="宋体" w:cs="仿宋"/>
          <w:sz w:val="24"/>
        </w:rPr>
        <w:t>（3）单价金额小数点或者百分比有明显错位的，应以开标一览表的总价为准，并修改单价；</w:t>
      </w:r>
    </w:p>
    <w:p w14:paraId="41AF49C5">
      <w:pPr>
        <w:spacing w:line="500" w:lineRule="exact"/>
        <w:ind w:firstLine="480" w:firstLineChars="200"/>
        <w:jc w:val="left"/>
        <w:rPr>
          <w:rFonts w:ascii="宋体" w:hAnsi="宋体" w:cs="仿宋"/>
          <w:sz w:val="24"/>
        </w:rPr>
      </w:pPr>
      <w:r>
        <w:rPr>
          <w:rFonts w:hint="eastAsia" w:ascii="宋体" w:hAnsi="宋体" w:cs="仿宋"/>
          <w:sz w:val="24"/>
        </w:rPr>
        <w:t>（4）总价金额与按单价汇总金额不一致的，以单价金额计算结果为准。</w:t>
      </w:r>
    </w:p>
    <w:p w14:paraId="3741A967">
      <w:pPr>
        <w:spacing w:line="500" w:lineRule="exact"/>
        <w:ind w:firstLine="480" w:firstLineChars="200"/>
        <w:jc w:val="left"/>
        <w:outlineLvl w:val="3"/>
        <w:rPr>
          <w:rFonts w:ascii="宋体" w:hAnsi="宋体" w:cs="仿宋"/>
          <w:sz w:val="24"/>
        </w:rPr>
      </w:pPr>
      <w:r>
        <w:rPr>
          <w:rFonts w:hint="eastAsia" w:ascii="宋体" w:hAnsi="宋体" w:cs="仿宋"/>
          <w:sz w:val="24"/>
        </w:rPr>
        <w:t>5、对不同文字文本《投标文件》的解释发生异议的，以中文文本为准。</w:t>
      </w:r>
    </w:p>
    <w:p w14:paraId="4BAD6B46">
      <w:pPr>
        <w:snapToGrid w:val="0"/>
        <w:spacing w:line="500" w:lineRule="exact"/>
        <w:ind w:firstLine="482" w:firstLineChars="200"/>
        <w:outlineLvl w:val="2"/>
        <w:rPr>
          <w:rFonts w:ascii="宋体" w:hAnsi="宋体" w:cs="仿宋"/>
          <w:b/>
          <w:sz w:val="24"/>
        </w:rPr>
      </w:pPr>
      <w:r>
        <w:rPr>
          <w:rFonts w:hint="eastAsia" w:ascii="宋体" w:hAnsi="宋体" w:cs="仿宋"/>
          <w:b/>
          <w:sz w:val="24"/>
        </w:rPr>
        <w:t>（八）投标文件有下列情况之一者将视为无效：</w:t>
      </w:r>
    </w:p>
    <w:p w14:paraId="65337402">
      <w:pPr>
        <w:spacing w:line="500" w:lineRule="exact"/>
        <w:ind w:firstLine="482" w:firstLineChars="200"/>
        <w:jc w:val="left"/>
        <w:outlineLvl w:val="3"/>
        <w:rPr>
          <w:rFonts w:ascii="宋体" w:hAnsi="宋体" w:cs="仿宋"/>
          <w:b/>
          <w:bCs/>
          <w:sz w:val="24"/>
        </w:rPr>
      </w:pPr>
      <w:r>
        <w:rPr>
          <w:rFonts w:hint="eastAsia" w:ascii="宋体" w:hAnsi="宋体" w:cs="仿宋"/>
          <w:b/>
          <w:bCs/>
          <w:sz w:val="24"/>
        </w:rPr>
        <w:t>1、资格文件、商务技术资信及其他文件符合性审查中，存在下列情形之一的，经评标委员会认定后作无效标处理：</w:t>
      </w:r>
    </w:p>
    <w:p w14:paraId="6BD31D8F">
      <w:pPr>
        <w:spacing w:line="500" w:lineRule="exact"/>
        <w:ind w:firstLine="480" w:firstLineChars="200"/>
        <w:jc w:val="left"/>
        <w:rPr>
          <w:rFonts w:ascii="宋体" w:hAnsi="宋体" w:cs="仿宋"/>
          <w:sz w:val="24"/>
        </w:rPr>
      </w:pPr>
      <w:r>
        <w:rPr>
          <w:rFonts w:hint="eastAsia" w:ascii="宋体" w:hAnsi="宋体" w:cs="仿宋"/>
          <w:sz w:val="24"/>
        </w:rPr>
        <w:t>（1）投标文件未有效授权，法定代表人授权委托书等填写错误或有涂改未修正的；</w:t>
      </w:r>
    </w:p>
    <w:p w14:paraId="56B7F6F6">
      <w:pPr>
        <w:spacing w:line="500" w:lineRule="exact"/>
        <w:ind w:firstLine="480" w:firstLineChars="200"/>
        <w:jc w:val="left"/>
        <w:rPr>
          <w:rFonts w:ascii="宋体" w:hAnsi="宋体" w:cs="仿宋"/>
          <w:sz w:val="24"/>
        </w:rPr>
      </w:pPr>
      <w:r>
        <w:rPr>
          <w:rFonts w:hint="eastAsia" w:ascii="宋体" w:hAnsi="宋体" w:cs="仿宋"/>
          <w:sz w:val="24"/>
        </w:rPr>
        <w:t>（2）投标文件没有对本采购文件作出实质性响应的，或不满足（不响应）本采购文件实质性要求条款的，或资格文件证明文件不全的，或存在采购文件中明确规定的其他无效标情形的；</w:t>
      </w:r>
    </w:p>
    <w:p w14:paraId="4CF205ED">
      <w:pPr>
        <w:spacing w:line="500" w:lineRule="exact"/>
        <w:ind w:firstLine="480" w:firstLineChars="200"/>
        <w:jc w:val="left"/>
        <w:rPr>
          <w:rFonts w:ascii="宋体" w:hAnsi="宋体" w:cs="仿宋"/>
          <w:sz w:val="24"/>
        </w:rPr>
      </w:pPr>
      <w:r>
        <w:rPr>
          <w:rFonts w:hint="eastAsia" w:ascii="宋体" w:hAnsi="宋体" w:cs="仿宋"/>
          <w:sz w:val="24"/>
        </w:rPr>
        <w:t>（3）投标文件存在一个或一个以上备选（替代）投标方案的；</w:t>
      </w:r>
    </w:p>
    <w:p w14:paraId="5604515B">
      <w:pPr>
        <w:spacing w:line="500" w:lineRule="exact"/>
        <w:ind w:firstLine="480" w:firstLineChars="200"/>
        <w:jc w:val="left"/>
        <w:rPr>
          <w:rFonts w:ascii="宋体" w:hAnsi="宋体" w:cs="仿宋"/>
          <w:sz w:val="24"/>
        </w:rPr>
      </w:pPr>
      <w:r>
        <w:rPr>
          <w:rFonts w:hint="eastAsia" w:ascii="宋体" w:hAnsi="宋体" w:cs="仿宋"/>
          <w:sz w:val="24"/>
        </w:rPr>
        <w:t>（4）仅提交“备份投标文件”的；</w:t>
      </w:r>
    </w:p>
    <w:p w14:paraId="6E83E98B">
      <w:pPr>
        <w:spacing w:line="500" w:lineRule="exact"/>
        <w:ind w:firstLine="480" w:firstLineChars="200"/>
        <w:jc w:val="left"/>
        <w:rPr>
          <w:rFonts w:ascii="宋体" w:hAnsi="宋体" w:cs="仿宋"/>
          <w:sz w:val="24"/>
        </w:rPr>
      </w:pPr>
      <w:r>
        <w:rPr>
          <w:rFonts w:hint="eastAsia" w:ascii="宋体" w:hAnsi="宋体" w:cs="仿宋"/>
          <w:sz w:val="24"/>
        </w:rPr>
        <w:t>（5）资格文件组成内容不齐全；</w:t>
      </w:r>
    </w:p>
    <w:p w14:paraId="657A8826">
      <w:pPr>
        <w:spacing w:line="500" w:lineRule="exact"/>
        <w:ind w:firstLine="480" w:firstLineChars="200"/>
        <w:jc w:val="left"/>
        <w:rPr>
          <w:rFonts w:ascii="宋体" w:hAnsi="宋体" w:cs="仿宋"/>
          <w:sz w:val="24"/>
        </w:rPr>
      </w:pPr>
      <w:r>
        <w:rPr>
          <w:rFonts w:hint="eastAsia" w:ascii="宋体" w:hAnsi="宋体" w:cs="仿宋"/>
          <w:sz w:val="24"/>
        </w:rPr>
        <w:t>（6）投标文件标注的响应或偏离情况与事实不符，或提供了虚假材料的；</w:t>
      </w:r>
    </w:p>
    <w:p w14:paraId="4DEDA97A">
      <w:pPr>
        <w:spacing w:line="500" w:lineRule="exact"/>
        <w:ind w:firstLine="480" w:firstLineChars="200"/>
        <w:jc w:val="left"/>
        <w:rPr>
          <w:rFonts w:ascii="宋体" w:hAnsi="宋体" w:cs="仿宋"/>
          <w:sz w:val="24"/>
        </w:rPr>
      </w:pPr>
      <w:r>
        <w:rPr>
          <w:rFonts w:hint="eastAsia" w:ascii="宋体" w:hAnsi="宋体" w:cs="仿宋"/>
          <w:sz w:val="24"/>
        </w:rPr>
        <w:t>（7）不响应或擅自改变本采购文件要求或投标文件有采购人不能接受的附加条件的；</w:t>
      </w:r>
    </w:p>
    <w:p w14:paraId="79C14A3D">
      <w:pPr>
        <w:spacing w:line="500" w:lineRule="exact"/>
        <w:ind w:firstLine="480" w:firstLineChars="200"/>
        <w:jc w:val="left"/>
        <w:rPr>
          <w:rFonts w:ascii="宋体" w:hAnsi="宋体" w:cs="仿宋"/>
          <w:sz w:val="24"/>
        </w:rPr>
      </w:pPr>
      <w:r>
        <w:rPr>
          <w:rFonts w:hint="eastAsia" w:ascii="宋体" w:hAnsi="宋体" w:cs="仿宋"/>
          <w:sz w:val="24"/>
        </w:rPr>
        <w:t>（8）参加同一项目下政府采购活动的不同投标供应商之间存在利害关系并且存在影响政府采购公平竞争行为的；</w:t>
      </w:r>
    </w:p>
    <w:p w14:paraId="127483F4">
      <w:pPr>
        <w:spacing w:line="500" w:lineRule="exact"/>
        <w:ind w:firstLine="480" w:firstLineChars="200"/>
        <w:jc w:val="left"/>
        <w:rPr>
          <w:rFonts w:ascii="宋体" w:hAnsi="宋体" w:cs="仿宋"/>
          <w:sz w:val="24"/>
        </w:rPr>
      </w:pPr>
      <w:r>
        <w:rPr>
          <w:rFonts w:hint="eastAsia" w:ascii="宋体" w:hAnsi="宋体" w:cs="仿宋"/>
          <w:sz w:val="24"/>
        </w:rPr>
        <w:t>（9）违反国家或政府部门相关法律、法规、文件规定的。</w:t>
      </w:r>
    </w:p>
    <w:p w14:paraId="4E430568">
      <w:pPr>
        <w:spacing w:line="500" w:lineRule="exact"/>
        <w:ind w:firstLine="482" w:firstLineChars="200"/>
        <w:jc w:val="left"/>
        <w:outlineLvl w:val="3"/>
        <w:rPr>
          <w:rFonts w:ascii="宋体" w:hAnsi="宋体" w:cs="仿宋"/>
          <w:b/>
          <w:bCs/>
          <w:sz w:val="24"/>
        </w:rPr>
      </w:pPr>
      <w:r>
        <w:rPr>
          <w:rFonts w:hint="eastAsia" w:ascii="宋体" w:hAnsi="宋体" w:cs="仿宋"/>
          <w:b/>
          <w:bCs/>
          <w:sz w:val="24"/>
        </w:rPr>
        <w:t>2、报价文件符合性审查中，存在下列情形之一的，经评标委员会认定后作无效标处理：</w:t>
      </w:r>
    </w:p>
    <w:p w14:paraId="6481F3CB">
      <w:pPr>
        <w:spacing w:line="500" w:lineRule="exact"/>
        <w:ind w:firstLine="480" w:firstLineChars="200"/>
        <w:jc w:val="left"/>
        <w:rPr>
          <w:rFonts w:ascii="宋体" w:hAnsi="宋体" w:cs="仿宋"/>
          <w:sz w:val="24"/>
        </w:rPr>
      </w:pPr>
      <w:r>
        <w:rPr>
          <w:rFonts w:hint="eastAsia" w:ascii="宋体" w:hAnsi="宋体" w:cs="仿宋"/>
          <w:sz w:val="24"/>
        </w:rPr>
        <w:t>（1）投标文件没有对本采购文件作出实质性响应的，或不满足（不响应）本采购文件规定的实质性要求条款的，或存在采购文件中明确规定的其他无效标情形的；</w:t>
      </w:r>
    </w:p>
    <w:p w14:paraId="2BAFD76D">
      <w:pPr>
        <w:spacing w:line="500" w:lineRule="exact"/>
        <w:ind w:firstLine="480" w:firstLineChars="200"/>
        <w:jc w:val="left"/>
        <w:rPr>
          <w:rFonts w:ascii="宋体" w:hAnsi="宋体" w:cs="仿宋"/>
          <w:sz w:val="24"/>
        </w:rPr>
      </w:pPr>
      <w:r>
        <w:rPr>
          <w:rFonts w:hint="eastAsia" w:ascii="宋体" w:hAnsi="宋体" w:cs="仿宋"/>
          <w:sz w:val="24"/>
        </w:rPr>
        <w:t>（2）投标文件存在一个或一个以上备选（替代）投标方案的；</w:t>
      </w:r>
    </w:p>
    <w:p w14:paraId="7B1FE33C">
      <w:pPr>
        <w:spacing w:line="500" w:lineRule="exact"/>
        <w:ind w:firstLine="480" w:firstLineChars="200"/>
        <w:jc w:val="left"/>
        <w:rPr>
          <w:rFonts w:ascii="宋体" w:hAnsi="宋体" w:cs="仿宋"/>
          <w:sz w:val="24"/>
        </w:rPr>
      </w:pPr>
      <w:r>
        <w:rPr>
          <w:rFonts w:hint="eastAsia" w:ascii="宋体" w:hAnsi="宋体" w:cs="仿宋"/>
          <w:sz w:val="24"/>
        </w:rPr>
        <w:t>（3）未按照采购文件标明的币种报价的，或者投标报价涵盖的内容不符合采购文件要求的；</w:t>
      </w:r>
    </w:p>
    <w:p w14:paraId="53ABC828">
      <w:pPr>
        <w:spacing w:line="500" w:lineRule="exact"/>
        <w:ind w:firstLine="480" w:firstLineChars="200"/>
        <w:jc w:val="left"/>
        <w:rPr>
          <w:rFonts w:ascii="宋体" w:hAnsi="宋体" w:cs="仿宋"/>
          <w:sz w:val="24"/>
        </w:rPr>
      </w:pPr>
      <w:r>
        <w:rPr>
          <w:rFonts w:hint="eastAsia" w:ascii="宋体" w:hAnsi="宋体" w:cs="仿宋"/>
          <w:sz w:val="24"/>
        </w:rPr>
        <w:t>（4）投标报价具有选择性；</w:t>
      </w:r>
    </w:p>
    <w:p w14:paraId="67DA5E77">
      <w:pPr>
        <w:spacing w:line="500" w:lineRule="exact"/>
        <w:ind w:firstLine="480" w:firstLineChars="200"/>
        <w:jc w:val="left"/>
        <w:rPr>
          <w:rFonts w:ascii="宋体" w:hAnsi="宋体" w:cs="仿宋"/>
          <w:sz w:val="24"/>
        </w:rPr>
      </w:pPr>
      <w:r>
        <w:rPr>
          <w:rFonts w:hint="eastAsia" w:ascii="宋体" w:hAnsi="宋体" w:cs="仿宋"/>
          <w:sz w:val="24"/>
        </w:rPr>
        <w:t>（5）投标报价超过采购预算（或最高限价）的；</w:t>
      </w:r>
    </w:p>
    <w:p w14:paraId="1C6C17E7">
      <w:pPr>
        <w:spacing w:line="500" w:lineRule="exact"/>
        <w:ind w:firstLine="480" w:firstLineChars="200"/>
        <w:jc w:val="left"/>
        <w:rPr>
          <w:rFonts w:ascii="宋体" w:hAnsi="宋体" w:cs="仿宋"/>
          <w:sz w:val="24"/>
        </w:rPr>
      </w:pPr>
      <w:r>
        <w:rPr>
          <w:rFonts w:hint="eastAsia" w:ascii="宋体" w:hAnsi="宋体" w:cs="仿宋"/>
          <w:sz w:val="24"/>
        </w:rPr>
        <w:t>（6）投标文件组成内容不齐全，本采购文件规定必须提供而未提供的（属于资格审查范围的除外）；</w:t>
      </w:r>
    </w:p>
    <w:p w14:paraId="2D745F4C">
      <w:pPr>
        <w:spacing w:line="500" w:lineRule="exact"/>
        <w:ind w:firstLine="480" w:firstLineChars="200"/>
        <w:jc w:val="left"/>
        <w:rPr>
          <w:rFonts w:ascii="宋体" w:hAnsi="宋体" w:cs="仿宋"/>
          <w:sz w:val="24"/>
        </w:rPr>
      </w:pPr>
      <w:r>
        <w:rPr>
          <w:rFonts w:hint="eastAsia" w:ascii="宋体" w:hAnsi="宋体" w:cs="仿宋"/>
          <w:sz w:val="24"/>
        </w:rPr>
        <w:t>（7）投标文件标注的响应或偏离情况与事实不符，或提供了虚假材料的；</w:t>
      </w:r>
    </w:p>
    <w:p w14:paraId="13C08858">
      <w:pPr>
        <w:spacing w:line="500" w:lineRule="exact"/>
        <w:ind w:firstLine="480" w:firstLineChars="200"/>
        <w:jc w:val="left"/>
        <w:rPr>
          <w:rFonts w:ascii="宋体" w:hAnsi="宋体" w:cs="仿宋"/>
          <w:sz w:val="24"/>
        </w:rPr>
      </w:pPr>
      <w:r>
        <w:rPr>
          <w:rFonts w:hint="eastAsia" w:ascii="宋体" w:hAnsi="宋体" w:cs="仿宋"/>
          <w:sz w:val="24"/>
        </w:rPr>
        <w:t>（8）不响应或擅自改变本采购文件要求或投标文件有采购人不能接受的附加条件的；</w:t>
      </w:r>
    </w:p>
    <w:p w14:paraId="626FABF6">
      <w:pPr>
        <w:spacing w:line="500" w:lineRule="exact"/>
        <w:ind w:firstLine="480" w:firstLineChars="200"/>
        <w:jc w:val="left"/>
        <w:rPr>
          <w:rFonts w:ascii="宋体" w:hAnsi="宋体" w:cs="仿宋"/>
          <w:sz w:val="24"/>
        </w:rPr>
      </w:pPr>
      <w:r>
        <w:rPr>
          <w:rFonts w:hint="eastAsia" w:ascii="宋体" w:hAnsi="宋体" w:cs="仿宋"/>
          <w:sz w:val="24"/>
        </w:rPr>
        <w:t>（9）评审委员会认为投标供应商报价明显低于其他合格投标供应商的报价，有可能影响服务质量或者不能诚信履约的，应当要求其在合理时间内提供书面说明，必要时提供相关证明材料；投标供应商不能证明其报价合理性的，评审委员会应当将其作为无效投标或者无效响应处理；</w:t>
      </w:r>
    </w:p>
    <w:p w14:paraId="26541E9E">
      <w:pPr>
        <w:spacing w:line="500" w:lineRule="exact"/>
        <w:ind w:firstLine="480" w:firstLineChars="200"/>
        <w:jc w:val="left"/>
        <w:rPr>
          <w:rFonts w:ascii="宋体" w:hAnsi="宋体" w:cs="仿宋"/>
          <w:sz w:val="24"/>
        </w:rPr>
      </w:pPr>
      <w:r>
        <w:rPr>
          <w:rFonts w:hint="eastAsia" w:ascii="宋体" w:hAnsi="宋体" w:cs="仿宋"/>
          <w:sz w:val="24"/>
        </w:rPr>
        <w:t>（10）违反国家或政府部门相关法律、法规、文件规定的。</w:t>
      </w:r>
    </w:p>
    <w:p w14:paraId="748F385C">
      <w:pPr>
        <w:snapToGrid w:val="0"/>
        <w:spacing w:line="500" w:lineRule="exact"/>
        <w:ind w:firstLine="482" w:firstLineChars="200"/>
        <w:outlineLvl w:val="2"/>
        <w:rPr>
          <w:rFonts w:ascii="宋体" w:hAnsi="宋体" w:cs="仿宋"/>
          <w:b/>
          <w:sz w:val="24"/>
        </w:rPr>
      </w:pPr>
      <w:r>
        <w:rPr>
          <w:rFonts w:hint="eastAsia" w:ascii="宋体" w:hAnsi="宋体" w:cs="仿宋"/>
          <w:b/>
          <w:sz w:val="24"/>
        </w:rPr>
        <w:t>（九）投标文件的评估、比较、评分</w:t>
      </w:r>
    </w:p>
    <w:p w14:paraId="4EB34447">
      <w:pPr>
        <w:spacing w:line="500" w:lineRule="exact"/>
        <w:ind w:firstLine="480" w:firstLineChars="200"/>
        <w:jc w:val="left"/>
        <w:rPr>
          <w:rFonts w:ascii="宋体" w:hAnsi="宋体" w:cs="仿宋"/>
          <w:sz w:val="24"/>
        </w:rPr>
      </w:pPr>
      <w:r>
        <w:rPr>
          <w:rFonts w:hint="eastAsia" w:ascii="宋体" w:hAnsi="宋体" w:cs="仿宋"/>
          <w:sz w:val="24"/>
        </w:rPr>
        <w:t>1、评标委员会应当按照采购文件中规定的评审方法和标准，对符合性审查合格的投标文件进行商务和技术评估，综合比较与评价。评标时，评标委员会各成员将独立对每个投标供应商的投标文件进行评价，并汇总每个投标供应商的得分。评审细则详见第四部分“评标办法及评分标准”。</w:t>
      </w:r>
    </w:p>
    <w:p w14:paraId="64142C23">
      <w:pPr>
        <w:spacing w:line="500" w:lineRule="exact"/>
        <w:ind w:firstLine="480" w:firstLineChars="200"/>
        <w:jc w:val="left"/>
        <w:rPr>
          <w:rFonts w:ascii="宋体" w:hAnsi="宋体" w:cs="仿宋"/>
          <w:sz w:val="24"/>
        </w:rPr>
      </w:pPr>
      <w:r>
        <w:rPr>
          <w:rFonts w:hint="eastAsia" w:ascii="宋体" w:hAnsi="宋体" w:cs="仿宋"/>
          <w:sz w:val="24"/>
        </w:rPr>
        <w:t>2、对采购代理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72C14ACA">
      <w:pPr>
        <w:snapToGrid w:val="0"/>
        <w:spacing w:line="500" w:lineRule="exact"/>
        <w:ind w:firstLine="482" w:firstLineChars="200"/>
        <w:outlineLvl w:val="2"/>
        <w:rPr>
          <w:rFonts w:ascii="宋体" w:hAnsi="宋体" w:cs="仿宋"/>
          <w:b/>
          <w:sz w:val="24"/>
        </w:rPr>
      </w:pPr>
      <w:r>
        <w:rPr>
          <w:rFonts w:hint="eastAsia" w:ascii="宋体" w:hAnsi="宋体" w:cs="仿宋"/>
          <w:b/>
          <w:sz w:val="24"/>
        </w:rPr>
        <w:t>（十）修改评审结果</w:t>
      </w:r>
    </w:p>
    <w:p w14:paraId="741D33AF">
      <w:pPr>
        <w:spacing w:line="500" w:lineRule="exact"/>
        <w:ind w:firstLine="482" w:firstLineChars="200"/>
        <w:jc w:val="left"/>
        <w:outlineLvl w:val="3"/>
        <w:rPr>
          <w:rFonts w:ascii="宋体" w:hAnsi="宋体" w:cs="仿宋"/>
          <w:b/>
          <w:bCs/>
          <w:sz w:val="24"/>
        </w:rPr>
      </w:pPr>
      <w:r>
        <w:rPr>
          <w:rFonts w:hint="eastAsia" w:ascii="宋体" w:hAnsi="宋体" w:cs="仿宋"/>
          <w:b/>
          <w:bCs/>
          <w:sz w:val="24"/>
        </w:rPr>
        <w:t>1、评标结果汇总完成后，除下列情形外，任何人不得修改评标结果：</w:t>
      </w:r>
    </w:p>
    <w:p w14:paraId="6B4AAABC">
      <w:pPr>
        <w:spacing w:line="500" w:lineRule="exact"/>
        <w:ind w:firstLine="480" w:firstLineChars="200"/>
        <w:jc w:val="left"/>
        <w:rPr>
          <w:rFonts w:ascii="宋体" w:hAnsi="宋体" w:cs="仿宋"/>
          <w:sz w:val="24"/>
        </w:rPr>
      </w:pPr>
      <w:r>
        <w:rPr>
          <w:rFonts w:hint="eastAsia" w:ascii="宋体" w:hAnsi="宋体" w:cs="仿宋"/>
          <w:sz w:val="24"/>
        </w:rPr>
        <w:t>（1）分值汇总计算错误的；</w:t>
      </w:r>
    </w:p>
    <w:p w14:paraId="0773F698">
      <w:pPr>
        <w:spacing w:line="500" w:lineRule="exact"/>
        <w:ind w:firstLine="480" w:firstLineChars="200"/>
        <w:jc w:val="left"/>
        <w:rPr>
          <w:rFonts w:ascii="宋体" w:hAnsi="宋体" w:cs="仿宋"/>
          <w:sz w:val="24"/>
        </w:rPr>
      </w:pPr>
      <w:r>
        <w:rPr>
          <w:rFonts w:hint="eastAsia" w:ascii="宋体" w:hAnsi="宋体" w:cs="仿宋"/>
          <w:sz w:val="24"/>
        </w:rPr>
        <w:t>（2）分项评分超出评分标准范围的；</w:t>
      </w:r>
    </w:p>
    <w:p w14:paraId="57553A97">
      <w:pPr>
        <w:spacing w:line="500" w:lineRule="exact"/>
        <w:ind w:firstLine="480" w:firstLineChars="200"/>
        <w:jc w:val="left"/>
        <w:rPr>
          <w:rFonts w:ascii="宋体" w:hAnsi="宋体" w:cs="仿宋"/>
          <w:sz w:val="24"/>
        </w:rPr>
      </w:pPr>
      <w:r>
        <w:rPr>
          <w:rFonts w:hint="eastAsia" w:ascii="宋体" w:hAnsi="宋体" w:cs="仿宋"/>
          <w:sz w:val="24"/>
        </w:rPr>
        <w:t>（3）评标委员会成员对客观评审因素评分不一致的；</w:t>
      </w:r>
    </w:p>
    <w:p w14:paraId="18C1495E">
      <w:pPr>
        <w:spacing w:line="500" w:lineRule="exact"/>
        <w:ind w:firstLine="480" w:firstLineChars="200"/>
        <w:jc w:val="left"/>
        <w:rPr>
          <w:rFonts w:ascii="宋体" w:hAnsi="宋体" w:cs="仿宋"/>
          <w:sz w:val="24"/>
        </w:rPr>
      </w:pPr>
      <w:r>
        <w:rPr>
          <w:rFonts w:hint="eastAsia" w:ascii="宋体" w:hAnsi="宋体" w:cs="仿宋"/>
          <w:sz w:val="24"/>
        </w:rPr>
        <w:t>（4）经评标委员会认定评分畸高、畸低的。</w:t>
      </w:r>
    </w:p>
    <w:p w14:paraId="17762B9E">
      <w:pPr>
        <w:spacing w:line="500" w:lineRule="exact"/>
        <w:ind w:firstLine="482" w:firstLineChars="200"/>
        <w:jc w:val="left"/>
        <w:outlineLvl w:val="3"/>
        <w:rPr>
          <w:rFonts w:ascii="宋体" w:hAnsi="宋体" w:cs="仿宋"/>
          <w:b/>
          <w:bCs/>
          <w:sz w:val="24"/>
        </w:rPr>
      </w:pPr>
      <w:r>
        <w:rPr>
          <w:rFonts w:hint="eastAsia" w:ascii="宋体" w:hAnsi="宋体" w:cs="仿宋"/>
          <w:b/>
          <w:bCs/>
          <w:sz w:val="24"/>
        </w:rPr>
        <w:t>2、评标报告签署前，经复核发现存在以上情形之一的，评标委员会将当场修改评标结果，并在评标报告中记载。</w:t>
      </w:r>
    </w:p>
    <w:p w14:paraId="0EAAE702">
      <w:pPr>
        <w:snapToGrid w:val="0"/>
        <w:spacing w:line="500" w:lineRule="exact"/>
        <w:ind w:firstLine="482" w:firstLineChars="200"/>
        <w:outlineLvl w:val="2"/>
        <w:rPr>
          <w:rFonts w:ascii="宋体" w:hAnsi="宋体" w:cs="仿宋"/>
          <w:b/>
          <w:sz w:val="24"/>
        </w:rPr>
      </w:pPr>
      <w:r>
        <w:rPr>
          <w:rFonts w:hint="eastAsia" w:ascii="宋体" w:hAnsi="宋体" w:cs="仿宋"/>
          <w:b/>
          <w:sz w:val="24"/>
        </w:rPr>
        <w:t>（十一）投标供应商排序及推荐中标候选投标供应商</w:t>
      </w:r>
    </w:p>
    <w:p w14:paraId="1BBE064A">
      <w:pPr>
        <w:spacing w:line="500" w:lineRule="exact"/>
        <w:ind w:firstLine="480" w:firstLineChars="200"/>
        <w:jc w:val="left"/>
        <w:rPr>
          <w:rFonts w:ascii="宋体" w:hAnsi="宋体" w:cs="仿宋"/>
          <w:sz w:val="24"/>
        </w:rPr>
      </w:pPr>
      <w:r>
        <w:rPr>
          <w:rFonts w:hint="eastAsia" w:ascii="宋体" w:hAnsi="宋体" w:cs="仿宋"/>
          <w:sz w:val="24"/>
        </w:rPr>
        <w:t>评标委员会根据以下规定确定投标供应商排名并推荐中标候选投标供应商。</w:t>
      </w:r>
    </w:p>
    <w:p w14:paraId="01C2BAE8">
      <w:pPr>
        <w:spacing w:line="500" w:lineRule="exact"/>
        <w:ind w:firstLine="482" w:firstLineChars="200"/>
        <w:rPr>
          <w:rFonts w:ascii="宋体" w:hAnsi="宋体" w:cs="宋体"/>
          <w:kern w:val="0"/>
          <w:sz w:val="24"/>
        </w:rPr>
      </w:pPr>
      <w:r>
        <w:rPr>
          <w:rFonts w:hint="eastAsia" w:ascii="宋体" w:hAnsi="宋体" w:cs="宋体"/>
          <w:b/>
          <w:sz w:val="24"/>
        </w:rPr>
        <w:t>1、评标委员会根据各投标供应商的综合得分（商务技术分与报价得分之和）从高到低依次进行排名排序。特殊情形按以下原则处理：</w:t>
      </w:r>
    </w:p>
    <w:p w14:paraId="7E15EF43">
      <w:pPr>
        <w:spacing w:line="500" w:lineRule="exact"/>
        <w:ind w:firstLine="480" w:firstLineChars="200"/>
        <w:jc w:val="left"/>
        <w:rPr>
          <w:rFonts w:ascii="宋体" w:hAnsi="宋体" w:cs="仿宋"/>
          <w:sz w:val="24"/>
        </w:rPr>
      </w:pPr>
      <w:r>
        <w:rPr>
          <w:rFonts w:hint="eastAsia" w:ascii="宋体" w:hAnsi="宋体" w:cs="仿宋"/>
          <w:sz w:val="24"/>
        </w:rPr>
        <w:t>（1）综合得分相同的，按投标报价低的优先原则确定排名；</w:t>
      </w:r>
    </w:p>
    <w:p w14:paraId="35BD23DF">
      <w:pPr>
        <w:spacing w:line="500" w:lineRule="exact"/>
        <w:ind w:firstLine="480" w:firstLineChars="200"/>
        <w:jc w:val="left"/>
        <w:rPr>
          <w:rFonts w:ascii="宋体" w:hAnsi="宋体" w:cs="仿宋"/>
          <w:sz w:val="24"/>
        </w:rPr>
      </w:pPr>
      <w:r>
        <w:rPr>
          <w:rFonts w:hint="eastAsia" w:ascii="宋体" w:hAnsi="宋体" w:cs="仿宋"/>
          <w:sz w:val="24"/>
        </w:rPr>
        <w:t>（2）综合得分和投标报价均相同的，按技术得分从高到低确定排名；</w:t>
      </w:r>
    </w:p>
    <w:p w14:paraId="3DA9DC14">
      <w:pPr>
        <w:spacing w:line="500" w:lineRule="exact"/>
        <w:ind w:firstLine="482" w:firstLineChars="200"/>
        <w:rPr>
          <w:rFonts w:ascii="宋体" w:hAnsi="宋体" w:cs="宋体"/>
          <w:b/>
          <w:sz w:val="24"/>
        </w:rPr>
      </w:pPr>
      <w:r>
        <w:rPr>
          <w:rFonts w:hint="eastAsia" w:ascii="宋体" w:hAnsi="宋体" w:cs="宋体"/>
          <w:b/>
          <w:sz w:val="24"/>
        </w:rPr>
        <w:t>2、根据最终得分排序，通过书面评审报告的形式，向采购人推荐排名第一的投标供应商为中标人。</w:t>
      </w:r>
    </w:p>
    <w:p w14:paraId="08C3C60D">
      <w:pPr>
        <w:spacing w:line="500" w:lineRule="exact"/>
        <w:ind w:firstLine="482" w:firstLineChars="200"/>
        <w:rPr>
          <w:rFonts w:ascii="宋体" w:hAnsi="宋体" w:cs="宋体"/>
          <w:b/>
          <w:sz w:val="24"/>
        </w:rPr>
      </w:pPr>
      <w:r>
        <w:rPr>
          <w:rFonts w:hint="eastAsia" w:ascii="宋体" w:hAnsi="宋体" w:cs="宋体"/>
          <w:b/>
          <w:sz w:val="24"/>
        </w:rPr>
        <w:t>（十二）起草、签署评审报告</w:t>
      </w:r>
    </w:p>
    <w:p w14:paraId="157614F2">
      <w:pPr>
        <w:autoSpaceDE w:val="0"/>
        <w:autoSpaceDN w:val="0"/>
        <w:spacing w:line="500" w:lineRule="exact"/>
        <w:ind w:firstLine="480" w:firstLineChars="200"/>
        <w:rPr>
          <w:rFonts w:ascii="宋体" w:hAnsi="宋体" w:cs="宋体"/>
          <w:sz w:val="24"/>
        </w:rPr>
      </w:pPr>
      <w:r>
        <w:rPr>
          <w:rFonts w:hint="eastAsia" w:ascii="宋体" w:hAnsi="宋体" w:cs="宋体"/>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37D5C650">
      <w:pPr>
        <w:pStyle w:val="116"/>
        <w:spacing w:before="0" w:line="500" w:lineRule="exact"/>
        <w:ind w:firstLine="482"/>
        <w:outlineLvl w:val="0"/>
        <w:rPr>
          <w:rFonts w:ascii="宋体" w:hAnsi="宋体" w:cs="宋体"/>
          <w:b/>
          <w:szCs w:val="24"/>
        </w:rPr>
      </w:pPr>
      <w:r>
        <w:rPr>
          <w:rFonts w:hint="eastAsia" w:ascii="宋体" w:hAnsi="宋体" w:cs="宋体"/>
          <w:b/>
          <w:szCs w:val="24"/>
        </w:rPr>
        <w:t>（十三） 评标内容的保密</w:t>
      </w:r>
    </w:p>
    <w:p w14:paraId="33F8EEED">
      <w:pPr>
        <w:pStyle w:val="116"/>
        <w:spacing w:before="0" w:line="500" w:lineRule="exact"/>
        <w:ind w:firstLine="480"/>
        <w:rPr>
          <w:rFonts w:ascii="宋体" w:hAnsi="宋体" w:cs="宋体"/>
          <w:szCs w:val="24"/>
        </w:rPr>
      </w:pPr>
      <w:r>
        <w:rPr>
          <w:rFonts w:hint="eastAsia" w:ascii="宋体" w:hAnsi="宋体" w:cs="宋体"/>
          <w:szCs w:val="24"/>
        </w:rPr>
        <w:t>1、公开开标后，直到宣布中标人止，凡属于审查、澄清、评价和比较投标的所有资料，都不应向投标供应商或与评标无关的其他人泄露。</w:t>
      </w:r>
    </w:p>
    <w:p w14:paraId="7D55BA02">
      <w:pPr>
        <w:pStyle w:val="116"/>
        <w:spacing w:before="0" w:line="500" w:lineRule="exact"/>
        <w:ind w:firstLine="480"/>
        <w:rPr>
          <w:rFonts w:ascii="宋体" w:hAnsi="宋体" w:cs="宋体"/>
          <w:szCs w:val="24"/>
        </w:rPr>
      </w:pPr>
      <w:r>
        <w:rPr>
          <w:rFonts w:hint="eastAsia" w:ascii="宋体" w:hAnsi="宋体" w:cs="宋体"/>
          <w:szCs w:val="24"/>
        </w:rPr>
        <w:t>2、在投标文件的审查、澄清、评价和比较以及确定中标人过程中，投标供应商对采购人和评标机构施加影响的任何行为，都将导致取消资格。</w:t>
      </w:r>
    </w:p>
    <w:p w14:paraId="44151641">
      <w:pPr>
        <w:pStyle w:val="116"/>
        <w:spacing w:before="0" w:line="500" w:lineRule="exact"/>
        <w:ind w:firstLine="482"/>
        <w:outlineLvl w:val="2"/>
        <w:rPr>
          <w:rFonts w:ascii="宋体" w:hAnsi="宋体" w:cs="宋体"/>
          <w:b/>
          <w:szCs w:val="24"/>
        </w:rPr>
      </w:pPr>
      <w:r>
        <w:rPr>
          <w:rFonts w:hint="eastAsia" w:ascii="宋体" w:hAnsi="宋体" w:cs="宋体"/>
          <w:b/>
          <w:szCs w:val="24"/>
        </w:rPr>
        <w:t>（十四） 投标文件的澄清</w:t>
      </w:r>
    </w:p>
    <w:p w14:paraId="3BF70DBC">
      <w:pPr>
        <w:snapToGrid w:val="0"/>
        <w:spacing w:line="500" w:lineRule="exact"/>
        <w:ind w:firstLine="480" w:firstLineChars="200"/>
        <w:rPr>
          <w:rFonts w:ascii="宋体" w:hAnsi="宋体" w:cs="宋体"/>
          <w:sz w:val="24"/>
        </w:rPr>
      </w:pPr>
      <w:r>
        <w:rPr>
          <w:rFonts w:hint="eastAsia" w:ascii="宋体" w:hAnsi="宋体" w:cs="宋体"/>
          <w:sz w:val="24"/>
        </w:rPr>
        <w:t>1、公开开标后，直到宣布中标人止，凡属于审查、澄清、评价和比较投标的所有资料，都不应向投标供应商或与评标无关的其他人泄露。</w:t>
      </w:r>
    </w:p>
    <w:p w14:paraId="40ABEF21">
      <w:pPr>
        <w:snapToGrid w:val="0"/>
        <w:spacing w:line="500" w:lineRule="exact"/>
        <w:ind w:firstLine="480" w:firstLineChars="200"/>
        <w:rPr>
          <w:rFonts w:ascii="宋体" w:hAnsi="宋体" w:cs="宋体"/>
          <w:sz w:val="24"/>
        </w:rPr>
      </w:pPr>
      <w:r>
        <w:rPr>
          <w:rFonts w:hint="eastAsia" w:ascii="宋体" w:hAnsi="宋体" w:cs="宋体"/>
          <w:sz w:val="24"/>
        </w:rPr>
        <w:t>2、在投标文件的审查、澄清、评价和比较以及确定中标人过程中，投标供应商对采购人、采购代理机构和评标委员会施加影响的任何行为，都将导致取消资格。</w:t>
      </w:r>
    </w:p>
    <w:p w14:paraId="244041FD">
      <w:pPr>
        <w:pStyle w:val="116"/>
        <w:spacing w:before="0" w:line="500" w:lineRule="exact"/>
        <w:ind w:firstLine="482"/>
        <w:outlineLvl w:val="2"/>
        <w:rPr>
          <w:rFonts w:ascii="宋体" w:hAnsi="宋体" w:cs="宋体"/>
          <w:b/>
          <w:szCs w:val="24"/>
        </w:rPr>
      </w:pPr>
      <w:r>
        <w:rPr>
          <w:rFonts w:hint="eastAsia" w:ascii="宋体" w:hAnsi="宋体" w:cs="宋体"/>
          <w:b/>
          <w:szCs w:val="24"/>
        </w:rPr>
        <w:t>（十五）废标</w:t>
      </w:r>
    </w:p>
    <w:p w14:paraId="3CDCCF71">
      <w:pPr>
        <w:pStyle w:val="23"/>
        <w:snapToGrid w:val="0"/>
        <w:rPr>
          <w:rFonts w:hAnsi="宋体" w:cs="宋体"/>
          <w:sz w:val="24"/>
          <w:szCs w:val="24"/>
        </w:rPr>
      </w:pPr>
      <w:r>
        <w:rPr>
          <w:rFonts w:hint="eastAsia" w:hAnsi="宋体" w:cs="宋体"/>
          <w:sz w:val="24"/>
          <w:szCs w:val="24"/>
        </w:rPr>
        <w:t>在采购中，出现下列情形之一的，应予废标：</w:t>
      </w:r>
    </w:p>
    <w:p w14:paraId="347FCF57">
      <w:pPr>
        <w:pStyle w:val="23"/>
        <w:snapToGrid w:val="0"/>
        <w:rPr>
          <w:rFonts w:hAnsi="宋体" w:cs="宋体"/>
          <w:sz w:val="24"/>
          <w:szCs w:val="24"/>
        </w:rPr>
      </w:pPr>
      <w:r>
        <w:rPr>
          <w:rFonts w:hint="eastAsia" w:hAnsi="宋体" w:cs="宋体"/>
          <w:sz w:val="24"/>
          <w:szCs w:val="24"/>
        </w:rPr>
        <w:t>1、符合专业条件的投标供应商或者对采购文件作实质响应的投标供应商不足3家的；</w:t>
      </w:r>
    </w:p>
    <w:p w14:paraId="79ECA3F7">
      <w:pPr>
        <w:pStyle w:val="23"/>
        <w:snapToGrid w:val="0"/>
        <w:rPr>
          <w:rFonts w:hAnsi="宋体" w:cs="宋体"/>
          <w:sz w:val="24"/>
          <w:szCs w:val="24"/>
        </w:rPr>
      </w:pPr>
      <w:r>
        <w:rPr>
          <w:rFonts w:hint="eastAsia" w:hAnsi="宋体" w:cs="宋体"/>
          <w:sz w:val="24"/>
          <w:szCs w:val="24"/>
        </w:rPr>
        <w:t>2、出现影响采购公正的违法、违规行为的；</w:t>
      </w:r>
    </w:p>
    <w:p w14:paraId="2A965EE1">
      <w:pPr>
        <w:pStyle w:val="23"/>
        <w:snapToGrid w:val="0"/>
        <w:rPr>
          <w:rFonts w:hAnsi="宋体" w:cs="宋体"/>
          <w:sz w:val="24"/>
          <w:szCs w:val="24"/>
        </w:rPr>
      </w:pPr>
      <w:r>
        <w:rPr>
          <w:rFonts w:hint="eastAsia" w:hAnsi="宋体" w:cs="宋体"/>
          <w:sz w:val="24"/>
          <w:szCs w:val="24"/>
        </w:rPr>
        <w:t>3、报价均超过预算，不能支付的；</w:t>
      </w:r>
    </w:p>
    <w:p w14:paraId="6091AB38">
      <w:pPr>
        <w:snapToGrid w:val="0"/>
        <w:spacing w:line="500" w:lineRule="exact"/>
        <w:ind w:firstLine="480" w:firstLineChars="200"/>
        <w:rPr>
          <w:rFonts w:ascii="宋体" w:hAnsi="宋体" w:cs="宋体"/>
          <w:bCs/>
          <w:sz w:val="24"/>
        </w:rPr>
      </w:pPr>
      <w:r>
        <w:rPr>
          <w:rFonts w:hint="eastAsia" w:ascii="宋体" w:hAnsi="宋体" w:cs="宋体"/>
          <w:sz w:val="24"/>
        </w:rPr>
        <w:t>4、因重大变故，采购任务取消的。</w:t>
      </w:r>
    </w:p>
    <w:p w14:paraId="4FD77CC7">
      <w:pPr>
        <w:pStyle w:val="116"/>
        <w:spacing w:before="0" w:line="500" w:lineRule="exact"/>
        <w:ind w:firstLine="482"/>
        <w:outlineLvl w:val="2"/>
        <w:rPr>
          <w:rFonts w:ascii="宋体" w:hAnsi="宋体" w:cs="宋体"/>
          <w:b/>
          <w:szCs w:val="24"/>
        </w:rPr>
      </w:pPr>
      <w:r>
        <w:rPr>
          <w:rFonts w:hint="eastAsia" w:ascii="宋体" w:hAnsi="宋体" w:cs="宋体"/>
          <w:b/>
          <w:szCs w:val="24"/>
        </w:rPr>
        <w:t>（十六）可中止电子交易活动的情形</w:t>
      </w:r>
    </w:p>
    <w:p w14:paraId="3D927DC3">
      <w:pPr>
        <w:spacing w:line="500" w:lineRule="exact"/>
        <w:ind w:firstLine="482" w:firstLineChars="200"/>
        <w:rPr>
          <w:rFonts w:ascii="宋体" w:hAnsi="宋体" w:cs="宋体"/>
          <w:sz w:val="24"/>
        </w:rPr>
      </w:pPr>
      <w:r>
        <w:rPr>
          <w:rFonts w:hint="eastAsia" w:ascii="宋体" w:hAnsi="宋体" w:cs="宋体"/>
          <w:b/>
          <w:sz w:val="24"/>
        </w:rPr>
        <w:t>采购过程中出现以下情形，导致电子交易平台无法正常运行，或者无法保证电子交易的公平、公正和安全时，采购代理机构可中止电子交易活动：</w:t>
      </w:r>
    </w:p>
    <w:p w14:paraId="5B497CBC">
      <w:pPr>
        <w:spacing w:line="500" w:lineRule="exact"/>
        <w:ind w:firstLine="480" w:firstLineChars="200"/>
        <w:rPr>
          <w:rFonts w:ascii="宋体" w:hAnsi="宋体" w:cs="宋体"/>
          <w:sz w:val="24"/>
        </w:rPr>
      </w:pPr>
      <w:r>
        <w:rPr>
          <w:rFonts w:hint="eastAsia" w:ascii="宋体" w:hAnsi="宋体" w:cs="宋体"/>
          <w:sz w:val="24"/>
        </w:rPr>
        <w:t>1、电子交易平台发生故障而无法登录访问的；</w:t>
      </w:r>
    </w:p>
    <w:p w14:paraId="1154E5B0">
      <w:pPr>
        <w:spacing w:line="500" w:lineRule="exact"/>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14A0B77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cs="宋体"/>
          <w:sz w:val="24"/>
        </w:rPr>
      </w:pPr>
      <w:r>
        <w:rPr>
          <w:rFonts w:hint="eastAsia" w:ascii="宋体" w:hAnsi="宋体" w:cs="宋体"/>
          <w:sz w:val="24"/>
        </w:rPr>
        <w:t>3、电子交易平台发现严重安全漏洞，有潜在泄密危险的；</w:t>
      </w:r>
    </w:p>
    <w:p w14:paraId="76D5A7DD">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cs="宋体"/>
          <w:sz w:val="24"/>
        </w:rPr>
      </w:pPr>
      <w:r>
        <w:rPr>
          <w:rFonts w:hint="eastAsia" w:ascii="宋体" w:hAnsi="宋体" w:cs="宋体"/>
          <w:sz w:val="24"/>
        </w:rPr>
        <w:t>4、病毒发作导致不能进行正常操作的；</w:t>
      </w:r>
    </w:p>
    <w:p w14:paraId="2A9FFA4E">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hAnsi="宋体" w:cs="宋体"/>
          <w:sz w:val="24"/>
        </w:rPr>
      </w:pPr>
      <w:r>
        <w:rPr>
          <w:rFonts w:hint="eastAsia" w:ascii="宋体" w:hAnsi="宋体" w:cs="宋体"/>
          <w:sz w:val="24"/>
        </w:rPr>
        <w:t>5、其他无法保证电子交易的公平、公正和安全的情况。</w:t>
      </w:r>
    </w:p>
    <w:p w14:paraId="25CF8BFA">
      <w:pPr>
        <w:pStyle w:val="23"/>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Ansi="宋体" w:cs="仿宋"/>
          <w:b/>
          <w:sz w:val="24"/>
          <w:szCs w:val="24"/>
        </w:rPr>
      </w:pPr>
      <w:r>
        <w:rPr>
          <w:rFonts w:hint="eastAsia" w:hAnsi="宋体" w:cs="宋体"/>
          <w:b/>
          <w:sz w:val="24"/>
          <w:szCs w:val="24"/>
        </w:rPr>
        <w:t>出现以上规定的情形，如果不影响采购公平、公正性的，采购代理机构可以待上述情形消除后继续组织电子交易活动；如果影响或可能影响采购公平、公正性的，应当重新采购</w:t>
      </w:r>
      <w:r>
        <w:rPr>
          <w:rFonts w:hint="eastAsia" w:hAnsi="宋体" w:cs="仿宋"/>
          <w:b/>
          <w:sz w:val="24"/>
          <w:szCs w:val="24"/>
        </w:rPr>
        <w:t>。</w:t>
      </w:r>
    </w:p>
    <w:p w14:paraId="24778634">
      <w:pPr>
        <w:keepNext w:val="0"/>
        <w:keepLines w:val="0"/>
        <w:pageBreakBefore w:val="0"/>
        <w:kinsoku/>
        <w:wordWrap/>
        <w:overflowPunct/>
        <w:topLinePunct w:val="0"/>
        <w:autoSpaceDE/>
        <w:autoSpaceDN/>
        <w:bidi w:val="0"/>
        <w:adjustRightInd/>
        <w:spacing w:line="400" w:lineRule="exact"/>
        <w:jc w:val="center"/>
        <w:textAlignment w:val="auto"/>
        <w:outlineLvl w:val="1"/>
        <w:rPr>
          <w:rFonts w:ascii="宋体" w:hAnsi="宋体" w:cs="仿宋"/>
          <w:b/>
          <w:sz w:val="32"/>
          <w:szCs w:val="32"/>
        </w:rPr>
      </w:pPr>
      <w:bookmarkStart w:id="23" w:name="_Toc7711"/>
      <w:r>
        <w:rPr>
          <w:rFonts w:hint="eastAsia" w:ascii="宋体" w:hAnsi="宋体" w:cs="仿宋"/>
          <w:b/>
          <w:sz w:val="32"/>
          <w:szCs w:val="32"/>
        </w:rPr>
        <w:t>六、定标</w:t>
      </w:r>
      <w:bookmarkEnd w:id="23"/>
    </w:p>
    <w:p w14:paraId="37DB6799">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2"/>
        <w:rPr>
          <w:rFonts w:ascii="宋体" w:hAnsi="宋体" w:cs="仿宋"/>
          <w:b/>
          <w:sz w:val="24"/>
        </w:rPr>
      </w:pPr>
      <w:r>
        <w:rPr>
          <w:rFonts w:hint="eastAsia" w:ascii="宋体" w:hAnsi="宋体" w:cs="仿宋"/>
          <w:b/>
          <w:sz w:val="24"/>
        </w:rPr>
        <w:t>（一）确定中标人。本项目由采购单位授权评标委员会直接确定中标人。</w:t>
      </w:r>
    </w:p>
    <w:p w14:paraId="75410F9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sz w:val="24"/>
        </w:rPr>
      </w:pPr>
      <w:r>
        <w:rPr>
          <w:rFonts w:hint="eastAsia" w:ascii="宋体" w:hAnsi="宋体" w:cs="仿宋"/>
          <w:sz w:val="24"/>
        </w:rPr>
        <w:t>1、采购代理机构在评标结束后2个工作日内将评标报告交采购单位确认，同时在发布招标公告的网站上对评标结果进行公示。</w:t>
      </w:r>
    </w:p>
    <w:p w14:paraId="0C8EA98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sz w:val="24"/>
        </w:rPr>
      </w:pPr>
      <w:r>
        <w:rPr>
          <w:rFonts w:hint="eastAsia" w:ascii="宋体" w:hAnsi="宋体" w:cs="仿宋"/>
          <w:sz w:val="24"/>
        </w:rPr>
        <w:t>2、投标供应商对评标结果无异议的，采购单位应在收到评标报告后5个工作日内对评标结果进行确认。如有投标供应商对评标结果提出质疑的，采购单位可在质疑处理完毕后确定中标人。</w:t>
      </w:r>
    </w:p>
    <w:p w14:paraId="7FECE32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sz w:val="24"/>
        </w:rPr>
      </w:pPr>
      <w:r>
        <w:rPr>
          <w:rFonts w:hint="eastAsia" w:ascii="宋体" w:hAnsi="宋体" w:cs="仿宋"/>
          <w:sz w:val="24"/>
        </w:rPr>
        <w:t>3、采购单位依法确定中标人后2个工作日内，采购代理机构以书面形式发出《中标通知书》。</w:t>
      </w:r>
    </w:p>
    <w:p w14:paraId="7EC6589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2"/>
        <w:rPr>
          <w:rFonts w:ascii="宋体" w:hAnsi="宋体" w:cs="仿宋"/>
          <w:b/>
          <w:sz w:val="24"/>
        </w:rPr>
      </w:pPr>
      <w:r>
        <w:rPr>
          <w:rFonts w:hint="eastAsia" w:ascii="宋体" w:hAnsi="宋体" w:cs="仿宋"/>
          <w:b/>
          <w:sz w:val="24"/>
        </w:rPr>
        <w:t>（二）中标通知书</w:t>
      </w:r>
    </w:p>
    <w:p w14:paraId="3321D2B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sz w:val="24"/>
        </w:rPr>
      </w:pPr>
      <w:r>
        <w:rPr>
          <w:rFonts w:hint="eastAsia" w:ascii="宋体" w:hAnsi="宋体" w:cs="仿宋"/>
          <w:sz w:val="24"/>
        </w:rPr>
        <w:t>1、确定中标投标供应商后，招标采购单位将以书面形式发出中标通知书，通知中标的投标供应商其投标被接受。</w:t>
      </w:r>
    </w:p>
    <w:p w14:paraId="427BA75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sz w:val="24"/>
        </w:rPr>
      </w:pPr>
      <w:r>
        <w:rPr>
          <w:rFonts w:hint="eastAsia" w:ascii="宋体" w:hAnsi="宋体" w:cs="仿宋"/>
          <w:sz w:val="24"/>
        </w:rPr>
        <w:t>2、中标通知书为双方签订合同的依据。</w:t>
      </w:r>
    </w:p>
    <w:p w14:paraId="2D0D2EE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sz w:val="24"/>
        </w:rPr>
      </w:pPr>
      <w:r>
        <w:rPr>
          <w:rFonts w:hint="eastAsia" w:ascii="宋体" w:hAnsi="宋体" w:cs="仿宋"/>
          <w:sz w:val="24"/>
        </w:rPr>
        <w:t>3、中标投标供应商应根据中标通知书中规定的时间内，由法定代表人或其授权代理人与采购单位签订合同。</w:t>
      </w:r>
    </w:p>
    <w:p w14:paraId="2870C2E2">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2"/>
        <w:rPr>
          <w:rFonts w:ascii="宋体" w:hAnsi="宋体" w:cs="仿宋"/>
          <w:b/>
          <w:sz w:val="24"/>
        </w:rPr>
      </w:pPr>
      <w:r>
        <w:rPr>
          <w:rFonts w:hint="eastAsia" w:ascii="宋体" w:hAnsi="宋体" w:cs="仿宋"/>
          <w:b/>
          <w:sz w:val="24"/>
        </w:rPr>
        <w:t>（三）出现下述情况之一的，采购单位可以与排位在中标人之后第一位的中标候选人签订政府采购合同，以此类推。采购单位也可重新组织招标。</w:t>
      </w:r>
    </w:p>
    <w:p w14:paraId="106E0B9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sz w:val="24"/>
        </w:rPr>
      </w:pPr>
      <w:r>
        <w:rPr>
          <w:rFonts w:hint="eastAsia" w:ascii="宋体" w:hAnsi="宋体" w:cs="仿宋"/>
          <w:sz w:val="24"/>
        </w:rPr>
        <w:t>1、中标人因自身原因放弃中标成交或因不可抗力不能履行合同的；</w:t>
      </w:r>
    </w:p>
    <w:p w14:paraId="133905D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sz w:val="24"/>
        </w:rPr>
      </w:pPr>
      <w:r>
        <w:rPr>
          <w:rFonts w:hint="eastAsia" w:ascii="宋体" w:hAnsi="宋体" w:cs="仿宋"/>
          <w:sz w:val="24"/>
        </w:rPr>
        <w:t>2、经质疑，采购代理机构审查确认因中标人在本次采购活动中存在违法违规行为或其他原因使质疑成立的。</w:t>
      </w:r>
    </w:p>
    <w:p w14:paraId="3C9FFE8A">
      <w:pPr>
        <w:keepNext w:val="0"/>
        <w:keepLines w:val="0"/>
        <w:pageBreakBefore w:val="0"/>
        <w:kinsoku/>
        <w:wordWrap/>
        <w:overflowPunct/>
        <w:topLinePunct w:val="0"/>
        <w:autoSpaceDE/>
        <w:autoSpaceDN/>
        <w:bidi w:val="0"/>
        <w:adjustRightInd/>
        <w:spacing w:line="400" w:lineRule="exact"/>
        <w:jc w:val="center"/>
        <w:textAlignment w:val="auto"/>
        <w:outlineLvl w:val="1"/>
        <w:rPr>
          <w:rFonts w:ascii="宋体" w:hAnsi="宋体" w:cs="仿宋"/>
          <w:b/>
          <w:sz w:val="32"/>
          <w:szCs w:val="32"/>
        </w:rPr>
      </w:pPr>
      <w:bookmarkStart w:id="24" w:name="_Toc23098"/>
      <w:r>
        <w:rPr>
          <w:rFonts w:hint="eastAsia" w:ascii="宋体" w:hAnsi="宋体" w:cs="仿宋"/>
          <w:b/>
          <w:sz w:val="32"/>
          <w:szCs w:val="32"/>
        </w:rPr>
        <w:t>七、合同授予</w:t>
      </w:r>
      <w:bookmarkEnd w:id="24"/>
    </w:p>
    <w:p w14:paraId="78A1D003">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2"/>
        <w:rPr>
          <w:rFonts w:ascii="宋体" w:hAnsi="宋体" w:cs="仿宋"/>
          <w:b/>
          <w:sz w:val="24"/>
        </w:rPr>
      </w:pPr>
      <w:r>
        <w:rPr>
          <w:rFonts w:hint="eastAsia" w:ascii="宋体" w:hAnsi="宋体" w:cs="仿宋"/>
          <w:b/>
          <w:sz w:val="24"/>
        </w:rPr>
        <w:t>（一）签订合同</w:t>
      </w:r>
    </w:p>
    <w:p w14:paraId="1CA2809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sz w:val="24"/>
        </w:rPr>
      </w:pPr>
      <w:r>
        <w:rPr>
          <w:rFonts w:hint="eastAsia" w:ascii="宋体" w:hAnsi="宋体" w:cs="仿宋"/>
          <w:sz w:val="24"/>
        </w:rPr>
        <w:t>1、采购人与中标人应当在《中标通知书》发出之日起30日内签订政府采购合同。同时，采购代理机构对合同内容进行审查，如发现与采购结果和投标承诺内容不一致的，应予以纠正。</w:t>
      </w:r>
    </w:p>
    <w:p w14:paraId="71A6EE1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仿宋"/>
          <w:sz w:val="24"/>
        </w:rPr>
      </w:pPr>
      <w:r>
        <w:rPr>
          <w:rFonts w:hint="eastAsia" w:ascii="宋体" w:hAnsi="宋体" w:cs="仿宋"/>
          <w:sz w:val="24"/>
        </w:rPr>
        <w:t>2、中标人拖延、拒签合同的，或未按投标时承诺的内容履行的，将被扣罚投标保证金并取消中标资格，采购人可以与排位在中标人之后第一位的中标候选人签订政府采购合同,以此类推。</w:t>
      </w:r>
    </w:p>
    <w:p w14:paraId="7E3D0ADA">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outlineLvl w:val="2"/>
        <w:rPr>
          <w:rFonts w:ascii="宋体" w:hAnsi="宋体" w:cs="仿宋"/>
          <w:b/>
          <w:sz w:val="24"/>
        </w:rPr>
      </w:pPr>
      <w:r>
        <w:rPr>
          <w:rFonts w:hint="eastAsia" w:ascii="宋体" w:hAnsi="宋体" w:cs="仿宋"/>
          <w:b/>
          <w:sz w:val="24"/>
        </w:rPr>
        <w:t>（二）履约保证金：</w:t>
      </w:r>
      <w:r>
        <w:rPr>
          <w:rFonts w:hint="eastAsia" w:ascii="宋体" w:hAnsi="宋体" w:cs="仿宋"/>
          <w:sz w:val="24"/>
        </w:rPr>
        <w:t>无</w:t>
      </w:r>
    </w:p>
    <w:p w14:paraId="0E72B17B">
      <w:pPr>
        <w:spacing w:line="500" w:lineRule="exact"/>
        <w:jc w:val="center"/>
        <w:outlineLvl w:val="0"/>
        <w:rPr>
          <w:rFonts w:ascii="宋体" w:hAnsi="宋体" w:cs="仿宋"/>
          <w:b/>
          <w:sz w:val="44"/>
          <w:szCs w:val="44"/>
        </w:rPr>
      </w:pPr>
      <w:r>
        <w:rPr>
          <w:rFonts w:hint="eastAsia" w:ascii="宋体" w:hAnsi="宋体" w:cs="仿宋"/>
          <w:b/>
          <w:sz w:val="44"/>
          <w:szCs w:val="44"/>
        </w:rPr>
        <w:br w:type="page"/>
      </w:r>
      <w:bookmarkStart w:id="25" w:name="_Toc31705"/>
      <w:r>
        <w:rPr>
          <w:rFonts w:hint="eastAsia" w:ascii="宋体" w:hAnsi="宋体" w:cs="仿宋"/>
          <w:b/>
          <w:sz w:val="30"/>
          <w:szCs w:val="30"/>
          <w:highlight w:val="none"/>
        </w:rPr>
        <w:t>第四章  评标办法及评分标准</w:t>
      </w:r>
      <w:bookmarkEnd w:id="25"/>
    </w:p>
    <w:p w14:paraId="5D0ED861">
      <w:pPr>
        <w:spacing w:line="500" w:lineRule="exact"/>
        <w:ind w:firstLine="480" w:firstLineChars="200"/>
        <w:rPr>
          <w:rFonts w:ascii="宋体" w:hAnsi="宋体" w:cs="仿宋"/>
          <w:sz w:val="24"/>
        </w:rPr>
      </w:pPr>
      <w:r>
        <w:rPr>
          <w:rFonts w:hint="eastAsia" w:ascii="宋体" w:hAnsi="宋体" w:cs="仿宋"/>
          <w:sz w:val="24"/>
        </w:rPr>
        <w:t>为公正、公平、科学地选择中标人，根据《中华人民共和国政府采购法》、《政府采购货物和服务招投标管理办法》等有关法律法规的规定，并结合本项目的实际，制定本办法。</w:t>
      </w:r>
    </w:p>
    <w:p w14:paraId="719F09B0">
      <w:pPr>
        <w:spacing w:line="500" w:lineRule="exact"/>
        <w:ind w:firstLine="480" w:firstLineChars="200"/>
        <w:rPr>
          <w:rFonts w:hint="eastAsia" w:ascii="宋体" w:hAnsi="宋体" w:cs="仿宋"/>
          <w:sz w:val="24"/>
          <w:lang w:eastAsia="zh-CN"/>
        </w:rPr>
      </w:pPr>
      <w:r>
        <w:rPr>
          <w:rFonts w:hint="eastAsia" w:ascii="宋体" w:hAnsi="宋体" w:cs="仿宋"/>
          <w:sz w:val="24"/>
        </w:rPr>
        <w:t>本办法适用于</w:t>
      </w:r>
      <w:r>
        <w:rPr>
          <w:rFonts w:hint="eastAsia" w:ascii="宋体" w:hAnsi="宋体" w:cs="仿宋"/>
          <w:sz w:val="24"/>
          <w:lang w:eastAsia="zh-CN"/>
        </w:rPr>
        <w:t>吴兴区2024年度千万亩森林质量精准提升工程</w:t>
      </w:r>
    </w:p>
    <w:p w14:paraId="4D5D8C38">
      <w:pPr>
        <w:spacing w:line="500" w:lineRule="exact"/>
        <w:ind w:firstLine="480" w:firstLineChars="200"/>
        <w:rPr>
          <w:rFonts w:ascii="宋体" w:hAnsi="宋体" w:cs="仿宋"/>
          <w:bCs/>
          <w:sz w:val="24"/>
          <w:szCs w:val="48"/>
        </w:rPr>
      </w:pPr>
      <w:r>
        <w:rPr>
          <w:rFonts w:hint="eastAsia" w:ascii="宋体" w:hAnsi="宋体" w:cs="仿宋"/>
          <w:bCs/>
          <w:sz w:val="24"/>
          <w:szCs w:val="48"/>
        </w:rPr>
        <w:t>的评标。</w:t>
      </w:r>
    </w:p>
    <w:p w14:paraId="30D58EA1">
      <w:pPr>
        <w:spacing w:line="500" w:lineRule="exact"/>
        <w:ind w:firstLine="562" w:firstLineChars="200"/>
        <w:outlineLvl w:val="1"/>
        <w:rPr>
          <w:rFonts w:ascii="宋体" w:hAnsi="宋体" w:cs="仿宋"/>
          <w:b/>
          <w:szCs w:val="28"/>
        </w:rPr>
      </w:pPr>
      <w:bookmarkStart w:id="26" w:name="_Toc23132"/>
      <w:r>
        <w:rPr>
          <w:rFonts w:hint="eastAsia" w:ascii="宋体" w:hAnsi="宋体" w:cs="仿宋"/>
          <w:b/>
          <w:szCs w:val="28"/>
        </w:rPr>
        <w:t>一、总则</w:t>
      </w:r>
      <w:bookmarkEnd w:id="26"/>
    </w:p>
    <w:p w14:paraId="16AE6993">
      <w:pPr>
        <w:spacing w:line="500" w:lineRule="exact"/>
        <w:ind w:firstLine="480" w:firstLineChars="200"/>
        <w:rPr>
          <w:rFonts w:ascii="宋体" w:hAnsi="宋体" w:cs="仿宋"/>
          <w:bCs/>
          <w:sz w:val="24"/>
        </w:rPr>
      </w:pPr>
      <w:r>
        <w:rPr>
          <w:rFonts w:hint="eastAsia" w:ascii="宋体" w:hAnsi="宋体" w:cs="仿宋"/>
          <w:sz w:val="24"/>
        </w:rPr>
        <w:t>本次评标采用综合评分法，总分为100分，其中价格分</w:t>
      </w:r>
      <w:r>
        <w:rPr>
          <w:rFonts w:hint="eastAsia" w:ascii="宋体" w:hAnsi="宋体" w:cs="仿宋"/>
          <w:sz w:val="24"/>
          <w:lang w:val="en-US" w:eastAsia="zh-CN"/>
        </w:rPr>
        <w:t>1</w:t>
      </w:r>
      <w:r>
        <w:rPr>
          <w:rFonts w:hint="eastAsia" w:ascii="宋体" w:hAnsi="宋体" w:cs="仿宋"/>
          <w:sz w:val="24"/>
        </w:rPr>
        <w:t>0分；商务技术分</w:t>
      </w:r>
      <w:r>
        <w:rPr>
          <w:rFonts w:hint="eastAsia" w:ascii="宋体" w:hAnsi="宋体" w:cs="仿宋"/>
          <w:sz w:val="24"/>
          <w:lang w:val="en-US" w:eastAsia="zh-CN"/>
        </w:rPr>
        <w:t>9</w:t>
      </w:r>
      <w:r>
        <w:rPr>
          <w:rFonts w:hint="eastAsia" w:ascii="宋体" w:hAnsi="宋体" w:cs="仿宋"/>
          <w:sz w:val="24"/>
        </w:rPr>
        <w:t>0分。合格投标供应商的评标得分为各项目汇总得分</w:t>
      </w:r>
      <w:r>
        <w:rPr>
          <w:rFonts w:hint="eastAsia" w:ascii="宋体" w:hAnsi="宋体" w:cs="仿宋"/>
          <w:bCs/>
          <w:sz w:val="24"/>
        </w:rPr>
        <w:t>。</w:t>
      </w:r>
    </w:p>
    <w:p w14:paraId="0305A4AB">
      <w:pPr>
        <w:spacing w:line="500" w:lineRule="exact"/>
        <w:ind w:firstLine="480" w:firstLineChars="200"/>
        <w:rPr>
          <w:rFonts w:ascii="宋体" w:hAnsi="宋体" w:cs="仿宋"/>
          <w:bCs/>
          <w:sz w:val="24"/>
        </w:rPr>
      </w:pPr>
      <w:r>
        <w:rPr>
          <w:rFonts w:hint="eastAsia" w:ascii="宋体" w:hAnsi="宋体" w:cs="仿宋"/>
          <w:bCs/>
          <w:sz w:val="24"/>
        </w:rPr>
        <w:t>评分过程中采用四舍五入法，并保留小数2位。</w:t>
      </w:r>
    </w:p>
    <w:p w14:paraId="364039DD">
      <w:pPr>
        <w:spacing w:line="500" w:lineRule="exact"/>
        <w:ind w:firstLine="480" w:firstLineChars="200"/>
        <w:rPr>
          <w:rFonts w:ascii="宋体" w:hAnsi="宋体" w:cs="仿宋"/>
          <w:bCs/>
          <w:sz w:val="24"/>
        </w:rPr>
      </w:pPr>
      <w:r>
        <w:rPr>
          <w:rFonts w:hint="eastAsia" w:ascii="宋体" w:hAnsi="宋体" w:cs="仿宋"/>
          <w:sz w:val="24"/>
        </w:rPr>
        <w:t>投标供应商评标</w:t>
      </w:r>
      <w:r>
        <w:rPr>
          <w:rFonts w:hint="eastAsia" w:ascii="宋体" w:hAnsi="宋体" w:cs="仿宋"/>
          <w:bCs/>
          <w:sz w:val="24"/>
        </w:rPr>
        <w:t>综合得分=价格分+商务技术分</w:t>
      </w:r>
    </w:p>
    <w:p w14:paraId="57EDA835">
      <w:pPr>
        <w:spacing w:line="520" w:lineRule="exact"/>
        <w:ind w:firstLine="562" w:firstLineChars="200"/>
        <w:jc w:val="left"/>
        <w:rPr>
          <w:rFonts w:ascii="宋体" w:hAnsi="宋体" w:cs="仿宋"/>
          <w:b/>
          <w:szCs w:val="28"/>
        </w:rPr>
      </w:pPr>
      <w:bookmarkStart w:id="27" w:name="_Toc25886"/>
      <w:r>
        <w:rPr>
          <w:rFonts w:hint="eastAsia" w:ascii="宋体" w:hAnsi="宋体" w:cs="仿宋"/>
          <w:b/>
          <w:szCs w:val="28"/>
        </w:rPr>
        <w:t>二、评标内容及标准</w:t>
      </w:r>
      <w:bookmarkEnd w:id="27"/>
    </w:p>
    <w:p w14:paraId="07322D13">
      <w:pPr>
        <w:pStyle w:val="23"/>
        <w:ind w:firstLine="482" w:firstLineChars="200"/>
        <w:outlineLvl w:val="2"/>
        <w:rPr>
          <w:rFonts w:hAnsi="宋体" w:cs="仿宋"/>
          <w:b/>
          <w:bCs/>
          <w:sz w:val="24"/>
        </w:rPr>
      </w:pPr>
      <w:r>
        <w:rPr>
          <w:rFonts w:hint="eastAsia" w:hAnsi="宋体" w:cs="仿宋"/>
          <w:b/>
          <w:sz w:val="24"/>
        </w:rPr>
        <w:t>（一）</w:t>
      </w:r>
      <w:r>
        <w:rPr>
          <w:rFonts w:hint="eastAsia" w:hAnsi="宋体" w:cs="仿宋"/>
          <w:b/>
          <w:bCs/>
          <w:sz w:val="24"/>
        </w:rPr>
        <w:t>价格分（</w:t>
      </w:r>
      <w:r>
        <w:rPr>
          <w:rFonts w:hint="eastAsia" w:hAnsi="宋体" w:cs="仿宋"/>
          <w:b/>
          <w:bCs/>
          <w:sz w:val="24"/>
          <w:lang w:val="en-US" w:eastAsia="zh-CN"/>
        </w:rPr>
        <w:t>1</w:t>
      </w:r>
      <w:r>
        <w:rPr>
          <w:rFonts w:hint="eastAsia" w:hAnsi="宋体" w:cs="仿宋"/>
          <w:b/>
          <w:bCs/>
          <w:sz w:val="24"/>
        </w:rPr>
        <w:t>0分）</w:t>
      </w:r>
    </w:p>
    <w:p w14:paraId="3273AF32">
      <w:pPr>
        <w:pStyle w:val="23"/>
        <w:ind w:firstLine="480" w:firstLineChars="200"/>
        <w:rPr>
          <w:rFonts w:hAnsi="宋体" w:cs="仿宋"/>
          <w:bCs/>
          <w:sz w:val="24"/>
        </w:rPr>
      </w:pPr>
      <w:r>
        <w:rPr>
          <w:rFonts w:hint="eastAsia" w:hAnsi="宋体" w:cs="仿宋"/>
          <w:bCs/>
          <w:sz w:val="24"/>
        </w:rPr>
        <w:t>价格部分评审：</w:t>
      </w:r>
    </w:p>
    <w:p w14:paraId="0ED796AC">
      <w:pPr>
        <w:pStyle w:val="23"/>
        <w:ind w:firstLine="480" w:firstLineChars="200"/>
        <w:rPr>
          <w:rFonts w:hAnsi="宋体" w:cs="仿宋"/>
          <w:bCs/>
          <w:sz w:val="24"/>
          <w:szCs w:val="24"/>
        </w:rPr>
      </w:pPr>
      <w:r>
        <w:rPr>
          <w:rFonts w:hint="eastAsia" w:hAnsi="宋体" w:cs="仿宋"/>
          <w:bCs/>
          <w:sz w:val="24"/>
        </w:rPr>
        <w:t>价格分</w:t>
      </w:r>
      <w:r>
        <w:rPr>
          <w:rFonts w:hint="eastAsia" w:hAnsi="宋体" w:cs="仿宋"/>
          <w:bCs/>
          <w:sz w:val="24"/>
          <w:szCs w:val="24"/>
        </w:rPr>
        <w:t>采用低价优先法计算，即满足招标文件要求且投标价格最低（最优惠）的有效投标报价为评标基准价，其他投标供应商的价格分按照下列公式计算（结果保留2位小数，第3位四舍五入）：</w:t>
      </w:r>
    </w:p>
    <w:p w14:paraId="12329472">
      <w:pPr>
        <w:snapToGrid w:val="0"/>
        <w:spacing w:line="360" w:lineRule="auto"/>
        <w:ind w:firstLine="482"/>
        <w:rPr>
          <w:rFonts w:ascii="宋体" w:hAnsi="宋体"/>
          <w:sz w:val="24"/>
        </w:rPr>
      </w:pPr>
      <w:r>
        <w:rPr>
          <w:rFonts w:hint="eastAsia" w:ascii="宋体" w:hAnsi="宋体" w:cs="宋体"/>
          <w:b/>
          <w:color w:val="000000"/>
          <w:sz w:val="24"/>
          <w:shd w:val="pct10" w:color="auto" w:fill="FFFFFF"/>
        </w:rPr>
        <w:t>价格分=（评标基准价/投标报价）×</w:t>
      </w:r>
      <w:r>
        <w:rPr>
          <w:rFonts w:hint="eastAsia" w:ascii="宋体" w:hAnsi="宋体" w:cs="宋体"/>
          <w:b/>
          <w:color w:val="000000"/>
          <w:sz w:val="24"/>
          <w:shd w:val="pct10" w:color="auto" w:fill="FFFFFF"/>
          <w:lang w:val="en-US" w:eastAsia="zh-CN"/>
        </w:rPr>
        <w:t>1</w:t>
      </w:r>
      <w:r>
        <w:rPr>
          <w:rFonts w:hint="eastAsia" w:ascii="宋体" w:hAnsi="宋体" w:cs="宋体"/>
          <w:b/>
          <w:color w:val="000000"/>
          <w:sz w:val="24"/>
          <w:shd w:val="pct10" w:color="auto" w:fill="FFFFFF"/>
        </w:rPr>
        <w:t>0%×100</w:t>
      </w:r>
    </w:p>
    <w:p w14:paraId="4A1C3F09">
      <w:pPr>
        <w:autoSpaceDE w:val="0"/>
        <w:autoSpaceDN w:val="0"/>
        <w:spacing w:before="66" w:line="375" w:lineRule="auto"/>
        <w:ind w:left="291" w:leftChars="104" w:right="291" w:rightChars="104"/>
        <w:rPr>
          <w:rFonts w:hint="eastAsia" w:ascii="宋体" w:hAnsi="宋体"/>
          <w:sz w:val="24"/>
        </w:rPr>
      </w:pPr>
      <w:r>
        <w:rPr>
          <w:rFonts w:hint="eastAsia" w:hAnsi="宋体"/>
          <w:sz w:val="24"/>
        </w:rPr>
        <w:t>评委</w:t>
      </w:r>
      <w:r>
        <w:rPr>
          <w:rFonts w:hint="eastAsia" w:ascii="宋体" w:hAnsi="宋体"/>
          <w:sz w:val="24"/>
        </w:rPr>
        <w:t>小组认为供应商的报价明低于其他通过符合性审查供应商的报价，有可能影响产品质量或都不能诚信履约的，应当要求供应商书面说明并提供相关证明材料。供应商不能当场合理说明原因并提供证明材料的，评标委员会应将该供应商的</w:t>
      </w:r>
      <w:r>
        <w:rPr>
          <w:rFonts w:hint="eastAsia" w:hAnsi="宋体"/>
          <w:sz w:val="24"/>
        </w:rPr>
        <w:t>响</w:t>
      </w:r>
      <w:r>
        <w:rPr>
          <w:rFonts w:hint="eastAsia" w:ascii="宋体" w:hAnsi="宋体"/>
          <w:sz w:val="24"/>
        </w:rPr>
        <w:t>应文件作无效处理，并在评审报告中说明。</w:t>
      </w:r>
    </w:p>
    <w:p w14:paraId="34750E85">
      <w:pPr>
        <w:pStyle w:val="23"/>
        <w:ind w:firstLine="482" w:firstLineChars="200"/>
        <w:outlineLvl w:val="2"/>
        <w:rPr>
          <w:rFonts w:hAnsi="宋体" w:cs="仿宋"/>
          <w:b/>
          <w:bCs/>
          <w:sz w:val="24"/>
        </w:rPr>
      </w:pPr>
      <w:r>
        <w:rPr>
          <w:rFonts w:hint="eastAsia" w:hAnsi="宋体" w:cs="仿宋"/>
          <w:b/>
          <w:bCs/>
          <w:sz w:val="24"/>
        </w:rPr>
        <w:t>（二）商务技术分（</w:t>
      </w:r>
      <w:r>
        <w:rPr>
          <w:rFonts w:hint="eastAsia" w:hAnsi="宋体" w:cs="仿宋"/>
          <w:b/>
          <w:bCs/>
          <w:sz w:val="24"/>
          <w:lang w:val="en-US" w:eastAsia="zh-CN"/>
        </w:rPr>
        <w:t>9</w:t>
      </w:r>
      <w:r>
        <w:rPr>
          <w:rFonts w:hint="eastAsia" w:hAnsi="宋体" w:cs="仿宋"/>
          <w:b/>
          <w:bCs/>
          <w:sz w:val="24"/>
        </w:rPr>
        <w:t>0分）</w:t>
      </w:r>
    </w:p>
    <w:p w14:paraId="05B4437D">
      <w:pPr>
        <w:pStyle w:val="23"/>
        <w:ind w:firstLine="720" w:firstLineChars="300"/>
        <w:outlineLvl w:val="2"/>
        <w:rPr>
          <w:rFonts w:hAnsi="宋体" w:cs="仿宋"/>
          <w:sz w:val="24"/>
        </w:rPr>
      </w:pPr>
      <w:r>
        <w:rPr>
          <w:rFonts w:hint="eastAsia" w:hAnsi="宋体" w:cs="仿宋"/>
          <w:sz w:val="24"/>
        </w:rPr>
        <w:t>技术、商务、资信及其他分按照评标小组成员的独立评分结果汇总数的算术平均分计算，计算公式为：</w:t>
      </w:r>
    </w:p>
    <w:p w14:paraId="37442CAC">
      <w:pPr>
        <w:pStyle w:val="23"/>
        <w:ind w:firstLine="723" w:firstLineChars="300"/>
        <w:outlineLvl w:val="2"/>
        <w:rPr>
          <w:rFonts w:hAnsi="宋体" w:cs="仿宋"/>
          <w:b/>
          <w:bCs/>
          <w:sz w:val="24"/>
        </w:rPr>
      </w:pPr>
      <w:r>
        <w:rPr>
          <w:rFonts w:hint="eastAsia" w:hAnsi="宋体" w:cs="仿宋"/>
          <w:b/>
          <w:bCs/>
          <w:sz w:val="24"/>
        </w:rPr>
        <w:t>技术分、商务分、资信及其他分=（评标小组所有成员评分合计数）/（评标小组组成人员数）</w:t>
      </w:r>
    </w:p>
    <w:p w14:paraId="44867A60">
      <w:pPr>
        <w:pStyle w:val="23"/>
        <w:ind w:firstLine="723" w:firstLineChars="300"/>
        <w:outlineLvl w:val="2"/>
        <w:rPr>
          <w:rFonts w:hAnsi="宋体" w:cs="仿宋"/>
          <w:b/>
          <w:bCs/>
          <w:sz w:val="24"/>
        </w:rPr>
      </w:pPr>
    </w:p>
    <w:p w14:paraId="4E630B35">
      <w:pPr>
        <w:rPr>
          <w:rFonts w:ascii="宋体" w:hAnsi="宋体" w:cs="宋体"/>
          <w:b/>
          <w:sz w:val="24"/>
        </w:rPr>
      </w:pPr>
      <w:r>
        <w:rPr>
          <w:rFonts w:hint="eastAsia" w:ascii="宋体" w:hAnsi="宋体" w:cs="宋体"/>
          <w:b/>
          <w:sz w:val="24"/>
        </w:rPr>
        <w:br w:type="page"/>
      </w:r>
    </w:p>
    <w:p w14:paraId="3318F41C">
      <w:pPr>
        <w:spacing w:line="440" w:lineRule="exact"/>
      </w:pPr>
      <w:r>
        <w:rPr>
          <w:rFonts w:hint="eastAsia" w:ascii="宋体" w:hAnsi="宋体" w:cs="宋体"/>
          <w:b/>
          <w:sz w:val="24"/>
        </w:rPr>
        <w:t>附件：评分表格式（技术、商务、资信及其他分，共</w:t>
      </w:r>
      <w:r>
        <w:rPr>
          <w:rFonts w:hint="eastAsia" w:ascii="宋体" w:hAnsi="宋体" w:cs="宋体"/>
          <w:b/>
          <w:sz w:val="24"/>
          <w:lang w:val="en-US" w:eastAsia="zh-CN"/>
        </w:rPr>
        <w:t>90</w:t>
      </w:r>
      <w:r>
        <w:rPr>
          <w:rFonts w:hint="eastAsia" w:ascii="宋体" w:hAnsi="宋体" w:cs="宋体"/>
          <w:b/>
          <w:sz w:val="24"/>
        </w:rPr>
        <w:t>分）</w:t>
      </w:r>
    </w:p>
    <w:tbl>
      <w:tblPr>
        <w:tblStyle w:val="44"/>
        <w:tblpPr w:leftFromText="180" w:rightFromText="180" w:vertAnchor="text" w:horzAnchor="page" w:tblpX="1158" w:tblpY="5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429"/>
        <w:gridCol w:w="6628"/>
        <w:gridCol w:w="894"/>
      </w:tblGrid>
      <w:tr w14:paraId="76895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8" w:type="dxa"/>
            <w:tcBorders>
              <w:top w:val="single" w:color="auto" w:sz="4" w:space="0"/>
              <w:left w:val="single" w:color="auto" w:sz="4" w:space="0"/>
              <w:bottom w:val="single" w:color="auto" w:sz="4" w:space="0"/>
              <w:right w:val="single" w:color="auto" w:sz="4" w:space="0"/>
            </w:tcBorders>
            <w:noWrap w:val="0"/>
            <w:vAlign w:val="center"/>
          </w:tcPr>
          <w:p w14:paraId="51A00D68">
            <w:pPr>
              <w:pStyle w:val="21"/>
              <w:keepNext w:val="0"/>
              <w:keepLines w:val="0"/>
              <w:pageBreakBefore w:val="0"/>
              <w:widowControl w:val="0"/>
              <w:kinsoku/>
              <w:wordWrap/>
              <w:overflowPunct/>
              <w:topLinePunct w:val="0"/>
              <w:autoSpaceDE w:val="0"/>
              <w:autoSpaceDN w:val="0"/>
              <w:bidi w:val="0"/>
              <w:adjustRightInd/>
              <w:snapToGrid/>
              <w:spacing w:line="440" w:lineRule="exact"/>
              <w:ind w:left="-140" w:leftChars="-50" w:right="-140" w:rightChars="-50"/>
              <w:jc w:val="center"/>
              <w:textAlignment w:val="auto"/>
              <w:rPr>
                <w:rFonts w:hint="eastAsia" w:ascii="宋体" w:hAnsi="宋体" w:eastAsia="宋体" w:cs="宋体"/>
                <w:b/>
                <w:sz w:val="24"/>
                <w:szCs w:val="24"/>
              </w:rPr>
            </w:pPr>
            <w:bookmarkStart w:id="28" w:name="_Toc16549"/>
            <w:r>
              <w:rPr>
                <w:rFonts w:hint="eastAsia" w:ascii="宋体" w:hAnsi="宋体" w:eastAsia="宋体" w:cs="宋体"/>
                <w:b/>
                <w:sz w:val="24"/>
                <w:szCs w:val="24"/>
              </w:rPr>
              <w:t>序号</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0C980D3">
            <w:pPr>
              <w:pStyle w:val="2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评审</w:t>
            </w:r>
          </w:p>
          <w:p w14:paraId="4107654D">
            <w:pPr>
              <w:pStyle w:val="2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内容</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47EEDD2E">
            <w:pPr>
              <w:pStyle w:val="2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评分标准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3B636616">
            <w:pPr>
              <w:pStyle w:val="21"/>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336BA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745" w:type="dxa"/>
            <w:gridSpan w:val="3"/>
            <w:tcBorders>
              <w:top w:val="single" w:color="auto" w:sz="4" w:space="0"/>
              <w:left w:val="single" w:color="auto" w:sz="4" w:space="0"/>
              <w:bottom w:val="single" w:color="auto" w:sz="4" w:space="0"/>
              <w:right w:val="single" w:color="auto" w:sz="4" w:space="0"/>
            </w:tcBorders>
            <w:noWrap w:val="0"/>
            <w:vAlign w:val="center"/>
          </w:tcPr>
          <w:p w14:paraId="6FB1EA6B">
            <w:pPr>
              <w:pStyle w:val="21"/>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技术分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637F0F1A">
            <w:pPr>
              <w:pStyle w:val="21"/>
              <w:spacing w:line="440" w:lineRule="exact"/>
              <w:jc w:val="center"/>
              <w:rPr>
                <w:rFonts w:hint="eastAsia" w:ascii="宋体" w:hAnsi="宋体" w:eastAsia="宋体" w:cs="宋体"/>
                <w:b/>
                <w:sz w:val="24"/>
                <w:szCs w:val="24"/>
              </w:rPr>
            </w:pPr>
            <w:r>
              <w:rPr>
                <w:rFonts w:hint="eastAsia" w:ascii="宋体" w:hAnsi="宋体" w:cs="宋体"/>
                <w:b/>
                <w:sz w:val="24"/>
                <w:szCs w:val="24"/>
                <w:lang w:val="en-US" w:eastAsia="zh-CN"/>
              </w:rPr>
              <w:t>69</w:t>
            </w:r>
            <w:r>
              <w:rPr>
                <w:rFonts w:hint="eastAsia" w:ascii="宋体" w:hAnsi="宋体" w:eastAsia="宋体" w:cs="宋体"/>
                <w:b/>
                <w:sz w:val="24"/>
                <w:szCs w:val="24"/>
              </w:rPr>
              <w:t>分</w:t>
            </w:r>
          </w:p>
        </w:tc>
      </w:tr>
      <w:tr w14:paraId="76C8E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1D9D4F3E">
            <w:pPr>
              <w:pStyle w:val="21"/>
              <w:spacing w:line="4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451C1204">
            <w:pPr>
              <w:tabs>
                <w:tab w:val="left" w:pos="2996"/>
              </w:tabs>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对本项目的理解</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7C7F9B3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对项目背景、需求、工作任务有清楚的认识，对项目解读及对招标需求的认识与表述等理解认识准确、全面、深刻的准确、全面、深刻的得</w:t>
            </w:r>
            <w:r>
              <w:rPr>
                <w:rFonts w:hint="eastAsia" w:ascii="宋体" w:hAnsi="宋体" w:cs="宋体"/>
                <w:sz w:val="24"/>
                <w:szCs w:val="24"/>
                <w:lang w:val="en-US" w:eastAsia="zh-CN"/>
              </w:rPr>
              <w:t>7</w:t>
            </w:r>
            <w:r>
              <w:rPr>
                <w:rFonts w:hint="eastAsia" w:ascii="宋体" w:hAnsi="宋体" w:eastAsia="宋体" w:cs="宋体"/>
                <w:sz w:val="24"/>
                <w:szCs w:val="24"/>
              </w:rPr>
              <w:t>分；基本正确、内容简单的得</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分；理解片面、分析内容有欠缺的得</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分，未提供的不得分。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E8ECD0D">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0-7分</w:t>
            </w:r>
          </w:p>
        </w:tc>
      </w:tr>
      <w:tr w14:paraId="41219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10E6D945">
            <w:pPr>
              <w:pStyle w:val="21"/>
              <w:spacing w:line="44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2</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39AD19C9">
            <w:pPr>
              <w:tabs>
                <w:tab w:val="left" w:pos="2996"/>
              </w:tabs>
              <w:spacing w:line="360" w:lineRule="auto"/>
              <w:jc w:val="center"/>
              <w:rPr>
                <w:rFonts w:hint="eastAsia" w:ascii="宋体" w:hAnsi="宋体" w:cs="宋体"/>
                <w:b/>
                <w:bCs/>
                <w:sz w:val="24"/>
                <w:szCs w:val="24"/>
                <w:lang w:eastAsia="zh-CN"/>
              </w:rPr>
            </w:pPr>
            <w:r>
              <w:rPr>
                <w:rFonts w:hint="eastAsia" w:ascii="宋体" w:hAnsi="宋体" w:cs="宋体"/>
                <w:b/>
                <w:bCs/>
                <w:sz w:val="24"/>
                <w:szCs w:val="24"/>
                <w:lang w:eastAsia="zh-CN"/>
              </w:rPr>
              <w:t>项目实施</w:t>
            </w:r>
          </w:p>
          <w:p w14:paraId="4E42BFC0">
            <w:pPr>
              <w:tabs>
                <w:tab w:val="left" w:pos="2996"/>
              </w:tabs>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方案</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0F4837E9">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sz w:val="24"/>
                <w:szCs w:val="24"/>
              </w:rPr>
            </w:pPr>
            <w:r>
              <w:rPr>
                <w:rFonts w:hint="eastAsia" w:ascii="宋体" w:hAnsi="宋体" w:cs="宋体"/>
                <w:bCs/>
                <w:sz w:val="24"/>
                <w:szCs w:val="24"/>
              </w:rPr>
              <w:t>根据投标供应商对本项目提出的项目实施工作方案是否科学合理，编写是否规范，内容是否齐全，结构是否完整，条理是否清晰，方案完善、科学、可行性高的得10分，方案有缺陷的每项扣0.5-1分，扣完为止。</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034E9491">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10</w:t>
            </w:r>
            <w:r>
              <w:rPr>
                <w:rFonts w:hint="eastAsia" w:ascii="宋体" w:hAnsi="宋体" w:eastAsia="宋体" w:cs="宋体"/>
                <w:sz w:val="24"/>
                <w:szCs w:val="24"/>
              </w:rPr>
              <w:t>分</w:t>
            </w:r>
          </w:p>
        </w:tc>
      </w:tr>
      <w:tr w14:paraId="51EC3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01EC0E68">
            <w:pPr>
              <w:pStyle w:val="21"/>
              <w:spacing w:line="44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3</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4227ADCD">
            <w:pPr>
              <w:tabs>
                <w:tab w:val="left" w:pos="2996"/>
              </w:tabs>
              <w:spacing w:line="360" w:lineRule="auto"/>
              <w:jc w:val="center"/>
              <w:rPr>
                <w:rFonts w:hint="eastAsia" w:ascii="宋体" w:hAnsi="宋体" w:eastAsia="宋体" w:cs="宋体"/>
                <w:b/>
                <w:bCs/>
                <w:sz w:val="24"/>
                <w:szCs w:val="24"/>
              </w:rPr>
            </w:pPr>
            <w:r>
              <w:rPr>
                <w:rFonts w:hint="eastAsia" w:ascii="宋体" w:hAnsi="宋体" w:eastAsia="宋体" w:cs="宋体"/>
                <w:b/>
                <w:bCs/>
                <w:color w:val="000000"/>
                <w:sz w:val="24"/>
                <w:szCs w:val="24"/>
                <w:shd w:val="clear" w:color="auto" w:fill="FFFFFF"/>
              </w:rPr>
              <w:t>保证工期和施工进度的方案和措施</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7A3A3556">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供应商</w:t>
            </w:r>
            <w:r>
              <w:rPr>
                <w:rFonts w:hint="eastAsia" w:ascii="宋体" w:hAnsi="宋体" w:eastAsia="宋体" w:cs="宋体"/>
                <w:sz w:val="24"/>
                <w:szCs w:val="24"/>
              </w:rPr>
              <w:t>针对本项目进度的跟踪提供准确的进度分析报告和进度控制</w:t>
            </w:r>
            <w:r>
              <w:rPr>
                <w:rFonts w:hint="eastAsia" w:ascii="宋体" w:hAnsi="宋体" w:eastAsia="宋体" w:cs="宋体"/>
                <w:sz w:val="24"/>
                <w:szCs w:val="24"/>
                <w:lang w:eastAsia="zh-CN"/>
              </w:rPr>
              <w:t>等</w:t>
            </w:r>
            <w:r>
              <w:rPr>
                <w:rFonts w:hint="eastAsia" w:cs="宋体"/>
                <w:sz w:val="24"/>
                <w:szCs w:val="24"/>
                <w:lang w:eastAsia="zh-CN"/>
              </w:rPr>
              <w:t>综合评分</w:t>
            </w:r>
            <w:r>
              <w:rPr>
                <w:rFonts w:hint="eastAsia" w:ascii="宋体" w:hAnsi="宋体" w:eastAsia="宋体" w:cs="宋体"/>
                <w:sz w:val="24"/>
                <w:szCs w:val="24"/>
              </w:rPr>
              <w:t>：有明确的项目进度安排，时间节点明确，</w:t>
            </w:r>
            <w:r>
              <w:rPr>
                <w:rFonts w:hint="eastAsia" w:ascii="宋体" w:hAnsi="宋体" w:eastAsia="宋体" w:cs="宋体"/>
                <w:sz w:val="24"/>
                <w:szCs w:val="24"/>
                <w:lang w:eastAsia="zh-CN"/>
              </w:rPr>
              <w:t>满足采购人时间要求，</w:t>
            </w:r>
            <w:r>
              <w:rPr>
                <w:rFonts w:hint="eastAsia" w:ascii="宋体" w:hAnsi="宋体" w:eastAsia="宋体" w:cs="宋体"/>
                <w:sz w:val="24"/>
                <w:szCs w:val="24"/>
              </w:rPr>
              <w:t>任务分解清晰具体</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6分</w:t>
            </w:r>
            <w:r>
              <w:rPr>
                <w:rFonts w:hint="eastAsia" w:ascii="宋体" w:hAnsi="宋体" w:eastAsia="宋体" w:cs="宋体"/>
                <w:sz w:val="24"/>
                <w:szCs w:val="24"/>
              </w:rPr>
              <w:t>。方案和措施有欠缺或描述与本项目要求不符的每项扣0.5-1分，扣完为止。</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7E10AEE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13B18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71718068">
            <w:pPr>
              <w:pStyle w:val="21"/>
              <w:spacing w:line="4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24434B9">
            <w:pPr>
              <w:tabs>
                <w:tab w:val="left" w:pos="2996"/>
              </w:tabs>
              <w:spacing w:line="360" w:lineRule="auto"/>
              <w:jc w:val="center"/>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关键点、难点解决方案</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070AFC8D">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根据供应商提供的针对本项目情况找准关键点、难点，并提出解决方案的科学性、有效性、可行性、合理性综合评分。提出的技术难点及解决方案贴近于本项目的得</w:t>
            </w:r>
            <w:r>
              <w:rPr>
                <w:rFonts w:hint="eastAsia" w:ascii="宋体" w:hAnsi="宋体" w:eastAsia="宋体" w:cs="宋体"/>
                <w:sz w:val="24"/>
                <w:szCs w:val="24"/>
                <w:lang w:val="en-US" w:eastAsia="zh-CN"/>
              </w:rPr>
              <w:t>6</w:t>
            </w:r>
            <w:r>
              <w:rPr>
                <w:rFonts w:hint="eastAsia" w:ascii="宋体" w:hAnsi="宋体" w:eastAsia="宋体" w:cs="宋体"/>
                <w:sz w:val="24"/>
                <w:szCs w:val="24"/>
              </w:rPr>
              <w:t>分、提出难点</w:t>
            </w:r>
            <w:r>
              <w:rPr>
                <w:rFonts w:hint="eastAsia" w:cs="宋体"/>
                <w:sz w:val="24"/>
                <w:szCs w:val="24"/>
                <w:lang w:eastAsia="zh-CN"/>
              </w:rPr>
              <w:t>和</w:t>
            </w:r>
            <w:r>
              <w:rPr>
                <w:rFonts w:hint="eastAsia" w:ascii="宋体" w:hAnsi="宋体" w:eastAsia="宋体" w:cs="宋体"/>
                <w:sz w:val="24"/>
                <w:szCs w:val="24"/>
              </w:rPr>
              <w:t>解决方案与本项目不符</w:t>
            </w:r>
            <w:r>
              <w:rPr>
                <w:rFonts w:hint="eastAsia" w:cs="宋体"/>
                <w:sz w:val="24"/>
                <w:szCs w:val="24"/>
                <w:lang w:eastAsia="zh-CN"/>
              </w:rPr>
              <w:t>的每项扣</w:t>
            </w:r>
            <w:r>
              <w:rPr>
                <w:rFonts w:hint="eastAsia" w:ascii="宋体" w:hAnsi="宋体" w:eastAsia="宋体" w:cs="宋体"/>
                <w:sz w:val="24"/>
                <w:szCs w:val="24"/>
              </w:rPr>
              <w:t>0.5-1分，扣完为止。</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71A01737">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0-6分</w:t>
            </w:r>
          </w:p>
        </w:tc>
      </w:tr>
      <w:tr w14:paraId="42A1B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88" w:type="dxa"/>
            <w:tcBorders>
              <w:top w:val="single" w:color="auto" w:sz="4" w:space="0"/>
              <w:left w:val="single" w:color="auto" w:sz="4" w:space="0"/>
              <w:right w:val="single" w:color="auto" w:sz="4" w:space="0"/>
            </w:tcBorders>
            <w:noWrap w:val="0"/>
            <w:vAlign w:val="center"/>
          </w:tcPr>
          <w:p w14:paraId="7C0DF15F">
            <w:pPr>
              <w:pStyle w:val="21"/>
              <w:spacing w:line="44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1429" w:type="dxa"/>
            <w:tcBorders>
              <w:top w:val="single" w:color="auto" w:sz="4" w:space="0"/>
              <w:left w:val="single" w:color="auto" w:sz="4" w:space="0"/>
              <w:right w:val="single" w:color="auto" w:sz="4" w:space="0"/>
            </w:tcBorders>
            <w:noWrap w:val="0"/>
            <w:vAlign w:val="center"/>
          </w:tcPr>
          <w:p w14:paraId="2085FEF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保证安全和文明施工的方案和措施</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097A78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bCs/>
                <w:sz w:val="24"/>
                <w:szCs w:val="24"/>
                <w:lang w:eastAsia="zh-CN"/>
              </w:rPr>
              <w:t>评审</w:t>
            </w:r>
            <w:r>
              <w:rPr>
                <w:rFonts w:hint="eastAsia" w:ascii="宋体" w:hAnsi="宋体" w:cs="宋体"/>
                <w:bCs/>
                <w:sz w:val="24"/>
                <w:szCs w:val="24"/>
              </w:rPr>
              <w:t>小组根据供应商</w:t>
            </w:r>
            <w:r>
              <w:rPr>
                <w:rFonts w:hint="eastAsia" w:ascii="宋体" w:hAnsi="宋体" w:cs="宋体"/>
                <w:bCs/>
                <w:sz w:val="24"/>
                <w:szCs w:val="24"/>
                <w:lang w:val="en-US" w:eastAsia="zh-CN"/>
              </w:rPr>
              <w:t>提供的保证</w:t>
            </w:r>
            <w:r>
              <w:rPr>
                <w:rFonts w:hint="eastAsia" w:ascii="宋体" w:hAnsi="宋体" w:cs="宋体"/>
                <w:bCs/>
                <w:sz w:val="24"/>
                <w:szCs w:val="24"/>
              </w:rPr>
              <w:t>安全和文明施工的方案</w:t>
            </w:r>
            <w:r>
              <w:rPr>
                <w:rFonts w:hint="eastAsia" w:ascii="宋体" w:hAnsi="宋体" w:cs="宋体"/>
                <w:bCs/>
                <w:sz w:val="24"/>
                <w:szCs w:val="24"/>
                <w:lang w:val="en-US" w:eastAsia="zh-CN"/>
              </w:rPr>
              <w:t>和</w:t>
            </w:r>
            <w:r>
              <w:rPr>
                <w:rFonts w:hint="eastAsia" w:ascii="宋体" w:hAnsi="宋体" w:cs="宋体"/>
                <w:bCs/>
                <w:sz w:val="24"/>
                <w:szCs w:val="24"/>
              </w:rPr>
              <w:t>措施进行评审：</w:t>
            </w:r>
            <w:r>
              <w:rPr>
                <w:rFonts w:hint="eastAsia" w:ascii="宋体" w:hAnsi="宋体" w:cs="宋体"/>
                <w:sz w:val="24"/>
              </w:rPr>
              <w:t>方案和措施全面、严密</w:t>
            </w:r>
            <w:r>
              <w:rPr>
                <w:rFonts w:hint="eastAsia" w:ascii="宋体" w:hAnsi="宋体" w:cs="宋体"/>
                <w:sz w:val="24"/>
                <w:lang w:eastAsia="zh-CN"/>
              </w:rPr>
              <w:t>、</w:t>
            </w:r>
            <w:r>
              <w:rPr>
                <w:rFonts w:hint="eastAsia" w:ascii="宋体" w:hAnsi="宋体" w:cs="宋体"/>
                <w:sz w:val="24"/>
              </w:rPr>
              <w:t>可行性</w:t>
            </w:r>
            <w:r>
              <w:rPr>
                <w:rFonts w:hint="eastAsia" w:ascii="宋体" w:hAnsi="宋体" w:cs="宋体"/>
                <w:color w:val="auto"/>
                <w:sz w:val="24"/>
              </w:rPr>
              <w:t>强且对本项目的实施有推进作用的得</w:t>
            </w:r>
            <w:r>
              <w:rPr>
                <w:rFonts w:hint="eastAsia" w:ascii="宋体" w:hAnsi="宋体" w:cs="宋体"/>
                <w:color w:val="auto"/>
                <w:sz w:val="24"/>
                <w:lang w:val="en-US" w:eastAsia="zh-CN"/>
              </w:rPr>
              <w:t>5-6</w:t>
            </w:r>
            <w:r>
              <w:rPr>
                <w:rFonts w:hint="eastAsia" w:ascii="宋体" w:hAnsi="宋体" w:cs="宋体"/>
                <w:color w:val="auto"/>
                <w:sz w:val="24"/>
              </w:rPr>
              <w:t>分；</w:t>
            </w:r>
            <w:r>
              <w:rPr>
                <w:rFonts w:hint="eastAsia" w:ascii="宋体" w:hAnsi="宋体" w:cs="宋体"/>
                <w:sz w:val="24"/>
              </w:rPr>
              <w:t>方案和措施较</w:t>
            </w:r>
            <w:r>
              <w:rPr>
                <w:rFonts w:hint="eastAsia" w:ascii="宋体" w:hAnsi="宋体" w:cs="宋体"/>
                <w:sz w:val="24"/>
                <w:lang w:val="en-US" w:eastAsia="zh-CN"/>
              </w:rPr>
              <w:t>为</w:t>
            </w:r>
            <w:r>
              <w:rPr>
                <w:rFonts w:hint="eastAsia" w:ascii="宋体" w:hAnsi="宋体" w:cs="宋体"/>
                <w:sz w:val="24"/>
              </w:rPr>
              <w:t>全面且可实施性强的得</w:t>
            </w:r>
            <w:r>
              <w:rPr>
                <w:rFonts w:hint="eastAsia" w:ascii="宋体" w:hAnsi="宋体" w:cs="宋体"/>
                <w:sz w:val="24"/>
                <w:lang w:val="en-US" w:eastAsia="zh-CN"/>
              </w:rPr>
              <w:t>4-5</w:t>
            </w:r>
            <w:r>
              <w:rPr>
                <w:rFonts w:hint="eastAsia" w:ascii="宋体" w:hAnsi="宋体" w:cs="宋体"/>
                <w:sz w:val="24"/>
              </w:rPr>
              <w:t>分；方案和措施基本</w:t>
            </w:r>
            <w:r>
              <w:rPr>
                <w:rFonts w:hint="eastAsia" w:ascii="宋体" w:hAnsi="宋体" w:cs="宋体"/>
                <w:sz w:val="24"/>
                <w:lang w:val="en-US" w:eastAsia="zh-CN"/>
              </w:rPr>
              <w:t>科学、合理</w:t>
            </w:r>
            <w:r>
              <w:rPr>
                <w:rFonts w:hint="eastAsia" w:ascii="宋体" w:hAnsi="宋体" w:cs="宋体"/>
                <w:sz w:val="24"/>
              </w:rPr>
              <w:t>的得</w:t>
            </w:r>
            <w:r>
              <w:rPr>
                <w:rFonts w:hint="eastAsia" w:ascii="宋体" w:hAnsi="宋体" w:cs="宋体"/>
                <w:sz w:val="24"/>
                <w:lang w:val="en-US" w:eastAsia="zh-CN"/>
              </w:rPr>
              <w:t>3-4</w:t>
            </w:r>
            <w:r>
              <w:rPr>
                <w:rFonts w:hint="eastAsia" w:ascii="宋体" w:hAnsi="宋体" w:cs="宋体"/>
                <w:sz w:val="24"/>
              </w:rPr>
              <w:t>分；方案和措施有缺失</w:t>
            </w:r>
            <w:r>
              <w:rPr>
                <w:rFonts w:hint="eastAsia" w:ascii="宋体" w:hAnsi="宋体" w:cs="宋体"/>
                <w:sz w:val="24"/>
                <w:lang w:val="en-US" w:eastAsia="zh-CN"/>
              </w:rPr>
              <w:t>且</w:t>
            </w:r>
            <w:r>
              <w:rPr>
                <w:rFonts w:hint="eastAsia" w:ascii="宋体" w:hAnsi="宋体" w:cs="宋体"/>
                <w:sz w:val="24"/>
              </w:rPr>
              <w:t>可行性一般的得</w:t>
            </w:r>
            <w:r>
              <w:rPr>
                <w:rFonts w:hint="eastAsia" w:ascii="宋体" w:hAnsi="宋体" w:cs="宋体"/>
                <w:sz w:val="24"/>
                <w:lang w:val="en-US" w:eastAsia="zh-CN"/>
              </w:rPr>
              <w:t>2-3</w:t>
            </w:r>
            <w:r>
              <w:rPr>
                <w:rFonts w:hint="eastAsia" w:ascii="宋体" w:hAnsi="宋体" w:cs="宋体"/>
                <w:sz w:val="24"/>
              </w:rPr>
              <w:t>分；方案和措施</w:t>
            </w:r>
            <w:r>
              <w:rPr>
                <w:rFonts w:hint="eastAsia" w:ascii="宋体" w:hAnsi="宋体" w:cs="宋体"/>
                <w:sz w:val="24"/>
                <w:lang w:val="en-US" w:eastAsia="zh-CN"/>
              </w:rPr>
              <w:t>简单</w:t>
            </w:r>
            <w:r>
              <w:rPr>
                <w:rFonts w:hint="eastAsia" w:ascii="宋体" w:hAnsi="宋体" w:cs="宋体"/>
                <w:color w:val="auto"/>
                <w:sz w:val="24"/>
                <w:lang w:val="en-US" w:eastAsia="zh-CN"/>
              </w:rPr>
              <w:t>且</w:t>
            </w:r>
            <w:r>
              <w:rPr>
                <w:rFonts w:hint="eastAsia" w:ascii="宋体" w:hAnsi="宋体" w:cs="宋体"/>
                <w:color w:val="auto"/>
                <w:sz w:val="24"/>
              </w:rPr>
              <w:t>与本项目实施无</w:t>
            </w:r>
            <w:r>
              <w:rPr>
                <w:rFonts w:hint="eastAsia" w:ascii="宋体" w:hAnsi="宋体" w:cs="宋体"/>
                <w:color w:val="auto"/>
                <w:sz w:val="24"/>
                <w:lang w:val="en-US" w:eastAsia="zh-CN"/>
              </w:rPr>
              <w:t>明显</w:t>
            </w:r>
            <w:r>
              <w:rPr>
                <w:rFonts w:hint="eastAsia" w:ascii="宋体" w:hAnsi="宋体" w:cs="宋体"/>
                <w:color w:val="auto"/>
                <w:sz w:val="24"/>
              </w:rPr>
              <w:t>关联性的得</w:t>
            </w:r>
            <w:r>
              <w:rPr>
                <w:rFonts w:hint="eastAsia" w:ascii="宋体" w:hAnsi="宋体" w:cs="宋体"/>
                <w:color w:val="auto"/>
                <w:sz w:val="24"/>
                <w:lang w:val="en-US" w:eastAsia="zh-CN"/>
              </w:rPr>
              <w:t>1-2</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lang w:val="en-US" w:eastAsia="zh-CN"/>
              </w:rPr>
              <w:t>方案和措施不科学、不合理或存在重大缺陷的得0分；</w:t>
            </w:r>
            <w:r>
              <w:rPr>
                <w:rFonts w:hint="eastAsia" w:ascii="宋体" w:hAnsi="宋体" w:cs="宋体"/>
                <w:color w:val="auto"/>
                <w:sz w:val="24"/>
              </w:rPr>
              <w:t>本项最高得</w:t>
            </w:r>
            <w:r>
              <w:rPr>
                <w:rFonts w:hint="eastAsia" w:ascii="宋体" w:hAnsi="宋体" w:cs="宋体"/>
                <w:color w:val="auto"/>
                <w:sz w:val="24"/>
                <w:lang w:val="en-US" w:eastAsia="zh-CN"/>
              </w:rPr>
              <w:t>6</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lang w:val="en-US" w:eastAsia="zh-CN"/>
              </w:rPr>
              <w:t>不提供不得分</w:t>
            </w:r>
            <w:r>
              <w:rPr>
                <w:rFonts w:hint="eastAsia" w:ascii="宋体" w:hAnsi="宋体" w:cs="宋体"/>
                <w:color w:val="auto"/>
                <w:sz w:val="24"/>
              </w:rPr>
              <w:t>。</w:t>
            </w:r>
          </w:p>
        </w:tc>
        <w:tc>
          <w:tcPr>
            <w:tcW w:w="894" w:type="dxa"/>
            <w:tcBorders>
              <w:top w:val="single" w:color="auto" w:sz="4" w:space="0"/>
              <w:left w:val="single" w:color="auto" w:sz="4" w:space="0"/>
              <w:right w:val="single" w:color="auto" w:sz="4" w:space="0"/>
            </w:tcBorders>
            <w:noWrap w:val="0"/>
            <w:vAlign w:val="center"/>
          </w:tcPr>
          <w:p w14:paraId="4ADDC63A">
            <w:pPr>
              <w:keepNext w:val="0"/>
              <w:keepLines w:val="0"/>
              <w:pageBreakBefore w:val="0"/>
              <w:widowControl w:val="0"/>
              <w:tabs>
                <w:tab w:val="left" w:pos="733"/>
              </w:tabs>
              <w:kinsoku/>
              <w:wordWrap/>
              <w:overflowPunct/>
              <w:topLinePunct w:val="0"/>
              <w:autoSpaceDE/>
              <w:autoSpaceDN/>
              <w:bidi w:val="0"/>
              <w:adjustRightInd/>
              <w:snapToGrid/>
              <w:spacing w:line="380" w:lineRule="exact"/>
              <w:ind w:left="-92" w:leftChars="-50" w:right="-140" w:rightChars="-50" w:hanging="48" w:hangingChars="2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w:t>
            </w:r>
          </w:p>
        </w:tc>
      </w:tr>
      <w:tr w14:paraId="1A5C6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88" w:type="dxa"/>
            <w:tcBorders>
              <w:top w:val="single" w:color="auto" w:sz="4" w:space="0"/>
              <w:left w:val="single" w:color="auto" w:sz="4" w:space="0"/>
              <w:right w:val="single" w:color="auto" w:sz="4" w:space="0"/>
            </w:tcBorders>
            <w:noWrap w:val="0"/>
            <w:vAlign w:val="center"/>
          </w:tcPr>
          <w:p w14:paraId="2F6536B1">
            <w:pPr>
              <w:pStyle w:val="21"/>
              <w:spacing w:line="44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6</w:t>
            </w:r>
          </w:p>
        </w:tc>
        <w:tc>
          <w:tcPr>
            <w:tcW w:w="1429" w:type="dxa"/>
            <w:tcBorders>
              <w:top w:val="single" w:color="auto" w:sz="4" w:space="0"/>
              <w:left w:val="single" w:color="auto" w:sz="4" w:space="0"/>
              <w:right w:val="single" w:color="auto" w:sz="4" w:space="0"/>
            </w:tcBorders>
            <w:noWrap w:val="0"/>
            <w:vAlign w:val="center"/>
          </w:tcPr>
          <w:p w14:paraId="75A7EAA1">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保证施工质量的技术方案和措施</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62AD05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sz w:val="24"/>
                <w:szCs w:val="24"/>
                <w:lang w:eastAsia="zh-CN"/>
              </w:rPr>
            </w:pPr>
            <w:r>
              <w:rPr>
                <w:rFonts w:hint="eastAsia" w:ascii="宋体" w:hAnsi="宋体" w:cs="宋体"/>
                <w:bCs/>
                <w:sz w:val="24"/>
                <w:szCs w:val="24"/>
                <w:lang w:eastAsia="zh-CN"/>
              </w:rPr>
              <w:t>根据供应商提供的项目质量保证措施。</w:t>
            </w:r>
          </w:p>
          <w:p w14:paraId="245ECE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sz w:val="24"/>
                <w:szCs w:val="24"/>
                <w:lang w:eastAsia="zh-CN"/>
              </w:rPr>
            </w:pPr>
            <w:r>
              <w:rPr>
                <w:rFonts w:hint="eastAsia" w:ascii="宋体" w:hAnsi="宋体" w:cs="宋体"/>
                <w:bCs/>
                <w:sz w:val="24"/>
                <w:szCs w:val="24"/>
                <w:lang w:eastAsia="zh-CN"/>
              </w:rPr>
              <w:t>服务工作质量保证措施详实、科学合理、针对性强、能确保成果质量得</w:t>
            </w:r>
            <w:r>
              <w:rPr>
                <w:rFonts w:hint="eastAsia" w:ascii="宋体" w:hAnsi="宋体" w:cs="宋体"/>
                <w:bCs/>
                <w:sz w:val="24"/>
                <w:szCs w:val="24"/>
                <w:lang w:val="en-US" w:eastAsia="zh-CN"/>
              </w:rPr>
              <w:t>6</w:t>
            </w:r>
            <w:r>
              <w:rPr>
                <w:rFonts w:hint="eastAsia" w:ascii="宋体" w:hAnsi="宋体" w:cs="宋体"/>
                <w:bCs/>
                <w:sz w:val="24"/>
                <w:szCs w:val="24"/>
                <w:lang w:eastAsia="zh-CN"/>
              </w:rPr>
              <w:t>分；有相应的质量保证措施且有一定针对性</w:t>
            </w:r>
            <w:r>
              <w:rPr>
                <w:rFonts w:hint="eastAsia" w:ascii="宋体" w:hAnsi="宋体" w:cs="宋体"/>
                <w:bCs/>
                <w:sz w:val="24"/>
                <w:szCs w:val="24"/>
                <w:lang w:val="en-US" w:eastAsia="zh-CN"/>
              </w:rPr>
              <w:t>但措施简单或不全面的每项扣0.5分，</w:t>
            </w:r>
            <w:r>
              <w:rPr>
                <w:rFonts w:hint="eastAsia" w:ascii="宋体" w:hAnsi="宋体" w:cs="宋体"/>
                <w:bCs/>
                <w:sz w:val="24"/>
                <w:szCs w:val="24"/>
                <w:lang w:eastAsia="zh-CN"/>
              </w:rPr>
              <w:t>质量保证措施不完善、针对性差、无法确保成果质量</w:t>
            </w:r>
            <w:r>
              <w:rPr>
                <w:rFonts w:hint="eastAsia" w:ascii="宋体" w:hAnsi="宋体" w:cs="宋体"/>
                <w:bCs/>
                <w:sz w:val="24"/>
                <w:szCs w:val="24"/>
                <w:lang w:val="en-US" w:eastAsia="zh-CN"/>
              </w:rPr>
              <w:t>每项扣1-2分，扣完为止</w:t>
            </w:r>
            <w:r>
              <w:rPr>
                <w:rFonts w:hint="eastAsia" w:ascii="宋体" w:hAnsi="宋体" w:cs="宋体"/>
                <w:bCs/>
                <w:sz w:val="24"/>
                <w:szCs w:val="24"/>
                <w:lang w:eastAsia="zh-CN"/>
              </w:rPr>
              <w:t>。</w:t>
            </w:r>
          </w:p>
        </w:tc>
        <w:tc>
          <w:tcPr>
            <w:tcW w:w="894" w:type="dxa"/>
            <w:tcBorders>
              <w:top w:val="single" w:color="auto" w:sz="4" w:space="0"/>
              <w:left w:val="single" w:color="auto" w:sz="4" w:space="0"/>
              <w:right w:val="single" w:color="auto" w:sz="4" w:space="0"/>
            </w:tcBorders>
            <w:noWrap w:val="0"/>
            <w:vAlign w:val="center"/>
          </w:tcPr>
          <w:p w14:paraId="289E8AB1">
            <w:pPr>
              <w:keepNext w:val="0"/>
              <w:keepLines w:val="0"/>
              <w:pageBreakBefore w:val="0"/>
              <w:widowControl w:val="0"/>
              <w:tabs>
                <w:tab w:val="left" w:pos="733"/>
              </w:tabs>
              <w:kinsoku/>
              <w:wordWrap/>
              <w:overflowPunct/>
              <w:topLinePunct w:val="0"/>
              <w:autoSpaceDE/>
              <w:autoSpaceDN/>
              <w:bidi w:val="0"/>
              <w:adjustRightInd/>
              <w:snapToGrid/>
              <w:spacing w:line="380" w:lineRule="exact"/>
              <w:ind w:left="-92" w:leftChars="-50" w:right="-140" w:rightChars="-50" w:hanging="48" w:hangingChars="20"/>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0-6分</w:t>
            </w:r>
          </w:p>
        </w:tc>
      </w:tr>
      <w:tr w14:paraId="2984D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3E27109D">
            <w:pPr>
              <w:tabs>
                <w:tab w:val="left" w:pos="1080"/>
              </w:tabs>
              <w:spacing w:line="47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7</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7DD7530E">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突发性事件的应急预案</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55A6CC8D">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根据投标人应对突发性事件时（如台风、暴雨、火灾等情况）的应急预案的科学性、合理性、可行性等进行评审，应急预案内容完善且合理的，得4-6分；内容较完善的，的2-</w:t>
            </w:r>
            <w:r>
              <w:rPr>
                <w:rFonts w:hint="eastAsia" w:ascii="宋体" w:hAnsi="宋体" w:cs="宋体"/>
                <w:sz w:val="24"/>
                <w:szCs w:val="24"/>
                <w:lang w:val="en-US" w:eastAsia="zh-CN"/>
              </w:rPr>
              <w:t>4</w:t>
            </w:r>
            <w:r>
              <w:rPr>
                <w:rFonts w:hint="eastAsia" w:ascii="宋体" w:hAnsi="宋体" w:eastAsia="宋体" w:cs="宋体"/>
                <w:sz w:val="24"/>
                <w:szCs w:val="24"/>
                <w:lang w:eastAsia="zh-CN"/>
              </w:rPr>
              <w:t>分；措施内容存在不足之处的，得</w:t>
            </w:r>
            <w:r>
              <w:rPr>
                <w:rFonts w:hint="eastAsia" w:ascii="宋体" w:hAnsi="宋体" w:cs="宋体"/>
                <w:sz w:val="24"/>
                <w:szCs w:val="24"/>
                <w:lang w:val="en-US" w:eastAsia="zh-CN"/>
              </w:rPr>
              <w:t>0</w:t>
            </w: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分；措施不合理或无法实现的，不得分。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982D89E">
            <w:pPr>
              <w:spacing w:line="360" w:lineRule="auto"/>
              <w:jc w:val="lef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68498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7D977C66">
            <w:pPr>
              <w:tabs>
                <w:tab w:val="left" w:pos="1080"/>
              </w:tabs>
              <w:spacing w:line="47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8</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64301519">
            <w:pPr>
              <w:tabs>
                <w:tab w:val="left" w:pos="2996"/>
              </w:tabs>
              <w:spacing w:line="360" w:lineRule="auto"/>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w:t>
            </w:r>
            <w:r>
              <w:rPr>
                <w:rFonts w:hint="eastAsia" w:ascii="宋体" w:hAnsi="宋体" w:cs="宋体"/>
                <w:b/>
                <w:bCs/>
                <w:sz w:val="24"/>
                <w:szCs w:val="24"/>
                <w:lang w:val="en-US" w:eastAsia="zh-CN"/>
              </w:rPr>
              <w:t>人员</w:t>
            </w:r>
          </w:p>
          <w:p w14:paraId="4434549E">
            <w:pPr>
              <w:tabs>
                <w:tab w:val="left" w:pos="2996"/>
              </w:tabs>
              <w:spacing w:line="360" w:lineRule="auto"/>
              <w:jc w:val="center"/>
              <w:rPr>
                <w:rFonts w:hint="eastAsia" w:ascii="宋体" w:hAnsi="宋体" w:eastAsia="宋体" w:cs="宋体"/>
                <w:b/>
                <w:bCs/>
                <w:sz w:val="24"/>
                <w:szCs w:val="24"/>
              </w:rPr>
            </w:pPr>
            <w:r>
              <w:rPr>
                <w:rFonts w:hint="eastAsia" w:ascii="宋体" w:hAnsi="宋体" w:cs="宋体"/>
                <w:b/>
                <w:bCs/>
                <w:sz w:val="24"/>
                <w:szCs w:val="24"/>
                <w:lang w:val="en-US" w:eastAsia="zh-CN"/>
              </w:rPr>
              <w:t>配备</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5CA9AA44">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1）项目负责人具有林业相关专业高级及以上职称的得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分，中级职称的得2分，其他不得分。</w:t>
            </w:r>
          </w:p>
          <w:p w14:paraId="443BDA73">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2）拟派项目组其他人员配备情况：项目组其他人员具有林业专业中级职称的一个得2分，最高得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p w14:paraId="52922945">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注：须提供职称证书扫描件及在投标单位已缴纳社保（近三个的其中一个月）或劳动合同的证明材料，职称证书中不能体现林业相关专业的，还须提供林业相关专业毕业证书的扫描件，否则不得分。</w:t>
            </w:r>
          </w:p>
          <w:p w14:paraId="37DCDA9D">
            <w:pPr>
              <w:keepNext w:val="0"/>
              <w:keepLines w:val="0"/>
              <w:pageBreakBefore w:val="0"/>
              <w:widowControl w:val="0"/>
              <w:numPr>
                <w:ilvl w:val="0"/>
                <w:numId w:val="9"/>
              </w:numPr>
              <w:kinsoku/>
              <w:wordWrap/>
              <w:overflowPunct/>
              <w:topLinePunct w:val="0"/>
              <w:bidi w:val="0"/>
              <w:adjustRightInd/>
              <w:snapToGrid/>
              <w:spacing w:line="400" w:lineRule="exact"/>
              <w:jc w:val="left"/>
              <w:textAlignment w:val="auto"/>
              <w:rPr>
                <w:rFonts w:hint="eastAsia"/>
                <w:lang w:val="en-US" w:eastAsia="zh-CN"/>
              </w:rPr>
            </w:pPr>
            <w:r>
              <w:rPr>
                <w:rFonts w:hint="eastAsia"/>
                <w:bCs/>
                <w:sz w:val="24"/>
                <w:szCs w:val="24"/>
              </w:rPr>
              <w:t>投入主要技术人员专业性、经验、岗位分工完整性进行对比，人员配置齐全，能很好的分工协调项目实施事宜的得4-5分；人员配置一般得2-3分；人员配置不齐，不能有效合理安排的，得0-1分</w:t>
            </w:r>
            <w:r>
              <w:rPr>
                <w:rFonts w:hint="eastAsia"/>
                <w:bCs/>
                <w:sz w:val="24"/>
                <w:szCs w:val="24"/>
                <w:lang w:eastAsia="zh-CN"/>
              </w:rPr>
              <w:t>。</w:t>
            </w:r>
          </w:p>
          <w:p w14:paraId="17713925">
            <w:pPr>
              <w:pStyle w:val="2"/>
              <w:ind w:left="0" w:leftChars="0" w:firstLine="0" w:firstLineChars="0"/>
              <w:rPr>
                <w:rFonts w:hint="default"/>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highlight w:val="none"/>
                <w:lang w:val="en-US" w:eastAsia="zh-CN" w:bidi="ar-SA"/>
              </w:rPr>
              <w:t>）</w:t>
            </w:r>
            <w:r>
              <w:rPr>
                <w:rFonts w:hint="eastAsia"/>
                <w:bCs/>
                <w:sz w:val="24"/>
                <w:szCs w:val="24"/>
                <w:highlight w:val="none"/>
                <w:lang w:val="en-US" w:eastAsia="zh-CN"/>
              </w:rPr>
              <w:t>承诺中标后为项目人员购买意外保险。提供承诺函。未提供不得分。（0-2分）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4F3876BA">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17</w:t>
            </w:r>
            <w:r>
              <w:rPr>
                <w:rFonts w:hint="eastAsia" w:ascii="宋体" w:hAnsi="宋体" w:eastAsia="宋体" w:cs="宋体"/>
                <w:sz w:val="24"/>
                <w:szCs w:val="24"/>
              </w:rPr>
              <w:t>分</w:t>
            </w:r>
          </w:p>
        </w:tc>
      </w:tr>
      <w:tr w14:paraId="48074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08C350A8">
            <w:pPr>
              <w:tabs>
                <w:tab w:val="left" w:pos="1080"/>
              </w:tabs>
              <w:spacing w:line="47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9</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651C77FF">
            <w:pPr>
              <w:keepNext w:val="0"/>
              <w:keepLines w:val="0"/>
              <w:pageBreakBefore w:val="0"/>
              <w:widowControl w:val="0"/>
              <w:tabs>
                <w:tab w:val="left" w:pos="2996"/>
              </w:tabs>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拟投入本项目的设备情况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573BD501">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评标委员会根据各供应商投入本项目的设备</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工具配置情况进行评审， 工具设备配置合理、完善、满足本项目的实际特点的得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分，工具设备配置存在明显不足、不符合本项特点的每项扣0.5-1分，扣完为止（提供工具设备的彩色图片，不提供不得分）（0-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6FAB965">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0-5分</w:t>
            </w:r>
          </w:p>
        </w:tc>
      </w:tr>
      <w:tr w14:paraId="49047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8745" w:type="dxa"/>
            <w:gridSpan w:val="3"/>
            <w:tcBorders>
              <w:top w:val="single" w:color="auto" w:sz="4" w:space="0"/>
              <w:left w:val="single" w:color="auto" w:sz="4" w:space="0"/>
              <w:bottom w:val="single" w:color="auto" w:sz="4" w:space="0"/>
              <w:right w:val="single" w:color="auto" w:sz="4" w:space="0"/>
            </w:tcBorders>
            <w:noWrap w:val="0"/>
            <w:vAlign w:val="center"/>
          </w:tcPr>
          <w:p w14:paraId="0BF097DB">
            <w:pPr>
              <w:pStyle w:val="21"/>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商务、资信及其他分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CE4CAA5">
            <w:pPr>
              <w:pStyle w:val="21"/>
              <w:spacing w:line="440" w:lineRule="exact"/>
              <w:jc w:val="center"/>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21</w:t>
            </w:r>
            <w:r>
              <w:rPr>
                <w:rFonts w:hint="eastAsia" w:ascii="宋体" w:hAnsi="宋体" w:eastAsia="宋体" w:cs="宋体"/>
                <w:b/>
                <w:color w:val="000000"/>
                <w:sz w:val="24"/>
                <w:szCs w:val="24"/>
              </w:rPr>
              <w:t>分</w:t>
            </w:r>
          </w:p>
        </w:tc>
      </w:tr>
      <w:tr w14:paraId="0916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8" w:type="dxa"/>
            <w:tcBorders>
              <w:left w:val="single" w:color="auto" w:sz="4" w:space="0"/>
              <w:bottom w:val="single" w:color="auto" w:sz="4" w:space="0"/>
              <w:right w:val="single" w:color="auto" w:sz="4" w:space="0"/>
            </w:tcBorders>
            <w:noWrap w:val="0"/>
            <w:vAlign w:val="center"/>
          </w:tcPr>
          <w:p w14:paraId="7CCFFD42">
            <w:pPr>
              <w:pStyle w:val="21"/>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w:t>
            </w:r>
          </w:p>
        </w:tc>
        <w:tc>
          <w:tcPr>
            <w:tcW w:w="1429" w:type="dxa"/>
            <w:tcBorders>
              <w:left w:val="single" w:color="auto" w:sz="4" w:space="0"/>
              <w:bottom w:val="single" w:color="auto" w:sz="4" w:space="0"/>
              <w:right w:val="single" w:color="auto" w:sz="4" w:space="0"/>
            </w:tcBorders>
            <w:noWrap w:val="0"/>
            <w:vAlign w:val="center"/>
          </w:tcPr>
          <w:p w14:paraId="573578A4">
            <w:pPr>
              <w:tabs>
                <w:tab w:val="left" w:pos="2996"/>
              </w:tabs>
              <w:spacing w:line="360" w:lineRule="auto"/>
              <w:jc w:val="center"/>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售后服务</w:t>
            </w:r>
          </w:p>
          <w:p w14:paraId="3DDE6A96">
            <w:pPr>
              <w:tabs>
                <w:tab w:val="left" w:pos="2996"/>
              </w:tabs>
              <w:spacing w:line="360" w:lineRule="auto"/>
              <w:jc w:val="center"/>
              <w:rPr>
                <w:rFonts w:hint="eastAsia" w:ascii="宋体" w:hAnsi="宋体" w:eastAsia="宋体" w:cs="宋体"/>
                <w:b/>
                <w:bCs/>
                <w:sz w:val="24"/>
                <w:szCs w:val="24"/>
              </w:rPr>
            </w:pPr>
            <w:r>
              <w:rPr>
                <w:rFonts w:hint="eastAsia" w:ascii="宋体" w:hAnsi="宋体" w:eastAsia="宋体" w:cs="宋体"/>
                <w:b/>
                <w:bCs/>
                <w:color w:val="000000"/>
                <w:sz w:val="24"/>
                <w:szCs w:val="24"/>
                <w:shd w:val="clear" w:color="auto" w:fill="FFFFFF"/>
              </w:rPr>
              <w:t>承诺</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4F239060">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1、响应时间：接到</w:t>
            </w:r>
            <w:r>
              <w:rPr>
                <w:rFonts w:hint="eastAsia" w:ascii="宋体" w:hAnsi="宋体" w:eastAsia="宋体" w:cs="宋体"/>
                <w:sz w:val="24"/>
                <w:szCs w:val="24"/>
                <w:lang w:eastAsia="zh-CN"/>
              </w:rPr>
              <w:t>采购人</w:t>
            </w:r>
            <w:r>
              <w:rPr>
                <w:rFonts w:hint="eastAsia" w:ascii="宋体" w:hAnsi="宋体" w:eastAsia="宋体" w:cs="宋体"/>
                <w:sz w:val="24"/>
                <w:szCs w:val="24"/>
              </w:rPr>
              <w:t>通知（电话、电传等）后2小时现场响应得</w:t>
            </w:r>
            <w:r>
              <w:rPr>
                <w:rFonts w:hint="eastAsia" w:ascii="宋体" w:hAnsi="宋体" w:cs="宋体"/>
                <w:sz w:val="24"/>
                <w:szCs w:val="24"/>
                <w:lang w:val="en-US" w:eastAsia="zh-CN"/>
              </w:rPr>
              <w:t>4</w:t>
            </w:r>
            <w:r>
              <w:rPr>
                <w:rFonts w:hint="eastAsia" w:ascii="宋体" w:hAnsi="宋体" w:eastAsia="宋体" w:cs="宋体"/>
                <w:sz w:val="24"/>
                <w:szCs w:val="24"/>
              </w:rPr>
              <w:t>分，每减少0.5小时加1分，最</w:t>
            </w:r>
            <w:r>
              <w:rPr>
                <w:rFonts w:hint="eastAsia" w:ascii="宋体" w:hAnsi="宋体" w:cs="宋体"/>
                <w:sz w:val="24"/>
                <w:szCs w:val="24"/>
                <w:lang w:eastAsia="zh-CN"/>
              </w:rPr>
              <w:t>多加</w:t>
            </w:r>
            <w:r>
              <w:rPr>
                <w:rFonts w:hint="eastAsia" w:ascii="宋体" w:hAnsi="宋体" w:cs="宋体"/>
                <w:sz w:val="24"/>
                <w:szCs w:val="24"/>
                <w:lang w:val="en-US" w:eastAsia="zh-CN"/>
              </w:rPr>
              <w:t>2</w:t>
            </w:r>
            <w:r>
              <w:rPr>
                <w:rFonts w:hint="eastAsia" w:ascii="宋体" w:hAnsi="宋体" w:eastAsia="宋体" w:cs="宋体"/>
                <w:sz w:val="24"/>
                <w:szCs w:val="24"/>
              </w:rPr>
              <w:t>分。</w:t>
            </w:r>
          </w:p>
          <w:p w14:paraId="40B240BE">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提供的售后服务方案全面周到且优惠幅度大、有利于</w:t>
            </w:r>
            <w:r>
              <w:rPr>
                <w:rFonts w:hint="eastAsia" w:ascii="宋体" w:hAnsi="宋体" w:eastAsia="宋体" w:cs="宋体"/>
                <w:sz w:val="24"/>
                <w:szCs w:val="24"/>
                <w:lang w:eastAsia="zh-CN"/>
              </w:rPr>
              <w:t>采购人</w:t>
            </w:r>
            <w:r>
              <w:rPr>
                <w:rFonts w:hint="eastAsia" w:ascii="宋体" w:hAnsi="宋体" w:eastAsia="宋体" w:cs="宋体"/>
                <w:sz w:val="24"/>
                <w:szCs w:val="24"/>
              </w:rPr>
              <w:t>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供应商</w:t>
            </w:r>
            <w:r>
              <w:rPr>
                <w:rFonts w:hint="eastAsia" w:ascii="宋体" w:hAnsi="宋体" w:eastAsia="宋体" w:cs="宋体"/>
                <w:sz w:val="24"/>
                <w:szCs w:val="24"/>
              </w:rPr>
              <w:t>提供的售后服务方案针对本项目需求无关联为无效承诺的或不利于</w:t>
            </w:r>
            <w:r>
              <w:rPr>
                <w:rFonts w:hint="eastAsia" w:ascii="宋体" w:hAnsi="宋体" w:eastAsia="宋体" w:cs="宋体"/>
                <w:sz w:val="24"/>
                <w:szCs w:val="24"/>
                <w:lang w:eastAsia="zh-CN"/>
              </w:rPr>
              <w:t>采购人</w:t>
            </w:r>
            <w:r>
              <w:rPr>
                <w:rFonts w:hint="eastAsia" w:ascii="宋体" w:hAnsi="宋体" w:eastAsia="宋体" w:cs="宋体"/>
                <w:sz w:val="24"/>
                <w:szCs w:val="24"/>
              </w:rPr>
              <w:t>的，每一项扣</w:t>
            </w:r>
            <w:r>
              <w:rPr>
                <w:rFonts w:hint="eastAsia" w:ascii="宋体" w:hAnsi="宋体" w:eastAsia="宋体" w:cs="宋体"/>
                <w:sz w:val="24"/>
                <w:szCs w:val="24"/>
                <w:lang w:val="en-US" w:eastAsia="zh-CN"/>
              </w:rPr>
              <w:t>0.5-1</w:t>
            </w:r>
            <w:r>
              <w:rPr>
                <w:rFonts w:hint="eastAsia" w:ascii="宋体" w:hAnsi="宋体" w:eastAsia="宋体" w:cs="宋体"/>
                <w:sz w:val="24"/>
                <w:szCs w:val="24"/>
              </w:rPr>
              <w:t>分，扣完为止，除</w:t>
            </w:r>
            <w:r>
              <w:rPr>
                <w:rFonts w:hint="eastAsia" w:cs="宋体"/>
                <w:sz w:val="24"/>
                <w:szCs w:val="24"/>
                <w:lang w:eastAsia="zh-CN"/>
              </w:rPr>
              <w:t>招标</w:t>
            </w:r>
            <w:r>
              <w:rPr>
                <w:rFonts w:hint="eastAsia" w:ascii="宋体" w:hAnsi="宋体" w:eastAsia="宋体" w:cs="宋体"/>
                <w:sz w:val="24"/>
                <w:szCs w:val="24"/>
              </w:rPr>
              <w:t>文件规定内容外无其他售后服务优惠承诺的，该项不得分。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4BD65DDC">
            <w:pPr>
              <w:keepNext w:val="0"/>
              <w:keepLines w:val="0"/>
              <w:pageBreakBefore w:val="0"/>
              <w:widowControl w:val="0"/>
              <w:tabs>
                <w:tab w:val="left" w:pos="2996"/>
              </w:tabs>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11</w:t>
            </w:r>
            <w:r>
              <w:rPr>
                <w:rFonts w:hint="eastAsia" w:ascii="宋体" w:hAnsi="宋体" w:eastAsia="宋体" w:cs="宋体"/>
                <w:sz w:val="24"/>
                <w:szCs w:val="24"/>
              </w:rPr>
              <w:t>分</w:t>
            </w:r>
          </w:p>
        </w:tc>
      </w:tr>
      <w:tr w14:paraId="3F06F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88" w:type="dxa"/>
            <w:tcBorders>
              <w:left w:val="single" w:color="auto" w:sz="4" w:space="0"/>
              <w:bottom w:val="single" w:color="auto" w:sz="4" w:space="0"/>
              <w:right w:val="single" w:color="auto" w:sz="4" w:space="0"/>
            </w:tcBorders>
            <w:noWrap w:val="0"/>
            <w:vAlign w:val="center"/>
          </w:tcPr>
          <w:p w14:paraId="6F75FAB2">
            <w:pPr>
              <w:pStyle w:val="21"/>
              <w:spacing w:line="44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11</w:t>
            </w:r>
          </w:p>
        </w:tc>
        <w:tc>
          <w:tcPr>
            <w:tcW w:w="1429" w:type="dxa"/>
            <w:tcBorders>
              <w:left w:val="single" w:color="auto" w:sz="4" w:space="0"/>
              <w:bottom w:val="single" w:color="auto" w:sz="4" w:space="0"/>
              <w:right w:val="single" w:color="auto" w:sz="4" w:space="0"/>
            </w:tcBorders>
            <w:noWrap w:val="0"/>
            <w:vAlign w:val="center"/>
          </w:tcPr>
          <w:p w14:paraId="665E841B">
            <w:pPr>
              <w:tabs>
                <w:tab w:val="left" w:pos="2996"/>
              </w:tabs>
              <w:spacing w:line="360" w:lineRule="auto"/>
              <w:jc w:val="center"/>
              <w:rPr>
                <w:rFonts w:hint="eastAsia" w:ascii="宋体" w:hAnsi="宋体" w:eastAsia="宋体" w:cs="宋体"/>
                <w:b/>
                <w:bCs/>
                <w:color w:val="000000"/>
                <w:sz w:val="24"/>
                <w:szCs w:val="24"/>
                <w:shd w:val="clear" w:color="auto" w:fill="FFFFFF"/>
                <w:lang w:eastAsia="zh-CN"/>
              </w:rPr>
            </w:pPr>
            <w:r>
              <w:rPr>
                <w:rFonts w:hint="eastAsia" w:ascii="宋体" w:hAnsi="宋体" w:cs="宋体"/>
                <w:b/>
                <w:bCs/>
                <w:color w:val="000000"/>
                <w:sz w:val="24"/>
                <w:szCs w:val="24"/>
                <w:shd w:val="clear" w:color="auto" w:fill="FFFFFF"/>
                <w:lang w:eastAsia="zh-CN"/>
              </w:rPr>
              <w:t>合理化建议</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6565AEFF">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评审</w:t>
            </w:r>
            <w:r>
              <w:rPr>
                <w:rFonts w:hint="eastAsia" w:ascii="宋体" w:hAnsi="宋体" w:eastAsia="宋体" w:cs="宋体"/>
                <w:sz w:val="24"/>
                <w:szCs w:val="24"/>
              </w:rPr>
              <w:t>小组根据供应商针对本项目能提出合理化建议，且所提建议确实能对项目的实施产生有益作用的，每提出一条合理化建议的得</w:t>
            </w:r>
            <w:r>
              <w:rPr>
                <w:rFonts w:hint="eastAsia" w:ascii="宋体" w:hAnsi="宋体" w:cs="宋体"/>
                <w:sz w:val="24"/>
                <w:szCs w:val="24"/>
                <w:lang w:val="en-US" w:eastAsia="zh-CN"/>
              </w:rPr>
              <w:t>1</w:t>
            </w:r>
            <w:r>
              <w:rPr>
                <w:rFonts w:hint="eastAsia" w:ascii="宋体" w:hAnsi="宋体" w:eastAsia="宋体" w:cs="宋体"/>
                <w:sz w:val="24"/>
                <w:szCs w:val="24"/>
              </w:rPr>
              <w:t>分，最高得</w:t>
            </w:r>
            <w:r>
              <w:rPr>
                <w:rFonts w:hint="eastAsia" w:ascii="宋体" w:hAnsi="宋体" w:cs="宋体"/>
                <w:sz w:val="24"/>
                <w:szCs w:val="24"/>
                <w:lang w:val="en-US" w:eastAsia="zh-CN"/>
              </w:rPr>
              <w:t>2</w:t>
            </w:r>
            <w:r>
              <w:rPr>
                <w:rFonts w:hint="eastAsia" w:ascii="宋体" w:hAnsi="宋体" w:eastAsia="宋体" w:cs="宋体"/>
                <w:sz w:val="24"/>
                <w:szCs w:val="24"/>
              </w:rPr>
              <w:t>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255E725F">
            <w:pPr>
              <w:tabs>
                <w:tab w:val="left" w:pos="2996"/>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0-2分</w:t>
            </w:r>
          </w:p>
        </w:tc>
      </w:tr>
      <w:tr w14:paraId="679BB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20158EBF">
            <w:pPr>
              <w:pStyle w:val="21"/>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12</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499381BF">
            <w:pPr>
              <w:pStyle w:val="29"/>
              <w:spacing w:before="120" w:after="120" w:line="470" w:lineRule="exact"/>
              <w:jc w:val="center"/>
              <w:rPr>
                <w:rFonts w:hint="eastAsia" w:ascii="宋体" w:hAnsi="宋体" w:eastAsia="宋体" w:cs="宋体"/>
                <w:b/>
                <w:bCs/>
                <w:sz w:val="24"/>
                <w:szCs w:val="24"/>
              </w:rPr>
            </w:pPr>
            <w:r>
              <w:rPr>
                <w:rFonts w:hint="eastAsia" w:ascii="宋体" w:hAnsi="宋体" w:eastAsia="宋体" w:cs="宋体"/>
                <w:b/>
                <w:bCs/>
                <w:sz w:val="24"/>
                <w:szCs w:val="24"/>
              </w:rPr>
              <w:t>企业业绩</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755D424C">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评委根据供应商20</w:t>
            </w:r>
            <w:r>
              <w:rPr>
                <w:rFonts w:hint="eastAsia" w:ascii="宋体" w:hAnsi="宋体" w:eastAsia="宋体" w:cs="宋体"/>
                <w:sz w:val="24"/>
                <w:szCs w:val="24"/>
                <w:lang w:val="en-US" w:eastAsia="zh-CN"/>
              </w:rPr>
              <w:t>20</w:t>
            </w:r>
            <w:r>
              <w:rPr>
                <w:rFonts w:hint="eastAsia" w:ascii="宋体" w:hAnsi="宋体" w:eastAsia="宋体" w:cs="宋体"/>
                <w:sz w:val="24"/>
                <w:szCs w:val="24"/>
              </w:rPr>
              <w:t>年1月1日至今提供的同类项目进行评定：供应商每提供1个同类项目的得</w:t>
            </w:r>
            <w:r>
              <w:rPr>
                <w:rFonts w:hint="eastAsia" w:ascii="宋体" w:hAnsi="宋体" w:cs="宋体"/>
                <w:sz w:val="24"/>
                <w:szCs w:val="24"/>
                <w:lang w:val="en-US" w:eastAsia="zh-CN"/>
              </w:rPr>
              <w:t>0.5</w:t>
            </w:r>
            <w:r>
              <w:rPr>
                <w:rFonts w:hint="eastAsia" w:ascii="宋体" w:hAnsi="宋体" w:eastAsia="宋体" w:cs="宋体"/>
                <w:sz w:val="24"/>
                <w:szCs w:val="24"/>
              </w:rPr>
              <w:t>分，最多得</w:t>
            </w:r>
            <w:r>
              <w:rPr>
                <w:rFonts w:hint="eastAsia" w:ascii="宋体" w:hAnsi="宋体" w:cs="宋体"/>
                <w:sz w:val="24"/>
                <w:szCs w:val="24"/>
                <w:lang w:val="en-US" w:eastAsia="zh-CN"/>
              </w:rPr>
              <w:t>1</w:t>
            </w:r>
            <w:r>
              <w:rPr>
                <w:rFonts w:hint="eastAsia" w:ascii="宋体" w:hAnsi="宋体" w:eastAsia="宋体" w:cs="宋体"/>
                <w:sz w:val="24"/>
                <w:szCs w:val="24"/>
              </w:rPr>
              <w:t>分。</w:t>
            </w:r>
          </w:p>
          <w:p w14:paraId="65A069E1">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提供合同或中标/成交通知书，如为复印件须加盖供应商公章。</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14B465F">
            <w:pPr>
              <w:tabs>
                <w:tab w:val="left" w:pos="2996"/>
              </w:tabs>
              <w:spacing w:line="360" w:lineRule="auto"/>
              <w:jc w:val="lef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分</w:t>
            </w:r>
          </w:p>
        </w:tc>
      </w:tr>
      <w:tr w14:paraId="532ED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498F3FC4">
            <w:pPr>
              <w:pStyle w:val="21"/>
              <w:spacing w:line="44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13</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7EF5015D">
            <w:pPr>
              <w:pStyle w:val="29"/>
              <w:spacing w:before="120" w:after="120" w:line="470" w:lineRule="exact"/>
              <w:jc w:val="center"/>
              <w:rPr>
                <w:rFonts w:hint="eastAsia" w:ascii="宋体" w:hAnsi="宋体" w:eastAsia="宋体" w:cs="宋体"/>
                <w:b/>
                <w:bCs/>
                <w:sz w:val="24"/>
                <w:szCs w:val="24"/>
                <w:lang w:eastAsia="zh-CN"/>
              </w:rPr>
            </w:pPr>
            <w:r>
              <w:rPr>
                <w:rFonts w:hint="eastAsia" w:hAnsi="宋体" w:cs="宋体"/>
                <w:b/>
                <w:bCs/>
                <w:sz w:val="24"/>
                <w:szCs w:val="24"/>
                <w:lang w:eastAsia="zh-CN"/>
              </w:rPr>
              <w:t>企业实力</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3A38516E">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具有森林</w:t>
            </w:r>
            <w:r>
              <w:rPr>
                <w:rFonts w:hint="eastAsia" w:ascii="宋体" w:hAnsi="宋体" w:cs="宋体"/>
                <w:sz w:val="24"/>
                <w:szCs w:val="24"/>
                <w:highlight w:val="none"/>
                <w:lang w:eastAsia="zh-CN"/>
              </w:rPr>
              <w:t>或山林</w:t>
            </w:r>
            <w:r>
              <w:rPr>
                <w:rFonts w:hint="eastAsia" w:ascii="宋体" w:hAnsi="宋体" w:eastAsia="宋体" w:cs="宋体"/>
                <w:sz w:val="24"/>
                <w:szCs w:val="24"/>
                <w:highlight w:val="none"/>
              </w:rPr>
              <w:t>抚育管理方面的专利或软著</w:t>
            </w:r>
            <w:r>
              <w:rPr>
                <w:rFonts w:hint="eastAsia" w:ascii="宋体" w:hAnsi="宋体" w:cs="宋体"/>
                <w:sz w:val="24"/>
                <w:szCs w:val="24"/>
                <w:highlight w:val="none"/>
                <w:lang w:eastAsia="zh-CN"/>
              </w:rPr>
              <w:t>的得</w:t>
            </w:r>
            <w:r>
              <w:rPr>
                <w:rFonts w:hint="eastAsia" w:ascii="宋体" w:hAnsi="宋体" w:cs="宋体"/>
                <w:sz w:val="24"/>
                <w:szCs w:val="24"/>
                <w:highlight w:val="none"/>
                <w:lang w:val="en-US" w:eastAsia="zh-CN"/>
              </w:rPr>
              <w:t>1分；</w:t>
            </w:r>
          </w:p>
          <w:p w14:paraId="4774EAF3">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cs="宋体"/>
                <w:sz w:val="24"/>
                <w:szCs w:val="24"/>
                <w:highlight w:val="none"/>
                <w:lang w:val="en-US" w:eastAsia="zh-CN"/>
              </w:rPr>
              <w:t>认证范围包含森林或山林抚育的三大体系认证（质量管理体系、环境管理体系、职业健康安全管理体系），每项得2分，最高得6分。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0125B504">
            <w:pPr>
              <w:tabs>
                <w:tab w:val="left" w:pos="2996"/>
              </w:tabs>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0-7分</w:t>
            </w:r>
          </w:p>
        </w:tc>
      </w:tr>
    </w:tbl>
    <w:p w14:paraId="69F37A23">
      <w:pPr>
        <w:spacing w:line="360" w:lineRule="auto"/>
        <w:jc w:val="center"/>
        <w:rPr>
          <w:rFonts w:ascii="宋体" w:hAnsi="宋体" w:cs="仿宋"/>
          <w:b/>
          <w:sz w:val="36"/>
          <w:szCs w:val="36"/>
        </w:rPr>
      </w:pPr>
    </w:p>
    <w:p w14:paraId="60559EFF">
      <w:r>
        <w:rPr>
          <w:rFonts w:hint="eastAsia"/>
        </w:rPr>
        <w:br w:type="page"/>
      </w:r>
    </w:p>
    <w:p w14:paraId="466D599D">
      <w:pPr>
        <w:pStyle w:val="62"/>
        <w:ind w:firstLine="560"/>
      </w:pPr>
    </w:p>
    <w:p w14:paraId="56714432">
      <w:pPr>
        <w:jc w:val="center"/>
        <w:rPr>
          <w:rFonts w:ascii="宋体" w:hAnsi="宋体" w:cs="仿宋"/>
          <w:b/>
          <w:sz w:val="30"/>
          <w:szCs w:val="30"/>
        </w:rPr>
      </w:pPr>
      <w:r>
        <w:rPr>
          <w:rFonts w:hint="eastAsia" w:ascii="宋体" w:hAnsi="宋体" w:cs="仿宋"/>
          <w:b/>
          <w:sz w:val="30"/>
          <w:szCs w:val="30"/>
        </w:rPr>
        <w:t>第五章  合同主要条款</w:t>
      </w:r>
      <w:bookmarkEnd w:id="28"/>
    </w:p>
    <w:p w14:paraId="3C57CBA4">
      <w:pPr>
        <w:spacing w:line="360" w:lineRule="auto"/>
        <w:rPr>
          <w:sz w:val="24"/>
          <w:szCs w:val="24"/>
          <w:lang w:val="en-US"/>
        </w:rPr>
      </w:pPr>
      <w:bookmarkStart w:id="29" w:name="_Toc11931"/>
      <w:r>
        <w:rPr>
          <w:rFonts w:hint="eastAsia"/>
          <w:sz w:val="24"/>
          <w:szCs w:val="24"/>
        </w:rPr>
        <w:t>财政审批编号</w:t>
      </w:r>
      <w:r>
        <w:rPr>
          <w:sz w:val="24"/>
          <w:szCs w:val="24"/>
        </w:rPr>
        <w:t>:</w:t>
      </w:r>
      <w:r>
        <w:rPr>
          <w:rFonts w:hint="eastAsia"/>
          <w:sz w:val="24"/>
          <w:szCs w:val="24"/>
          <w:lang w:val="en-US" w:eastAsia="zh-CN"/>
        </w:rPr>
        <w:t xml:space="preserve">                                    </w:t>
      </w:r>
      <w:r>
        <w:rPr>
          <w:rFonts w:hint="eastAsia"/>
          <w:sz w:val="24"/>
          <w:szCs w:val="24"/>
          <w:lang w:eastAsia="zh-CN"/>
        </w:rPr>
        <w:t>招标</w:t>
      </w:r>
      <w:r>
        <w:rPr>
          <w:rFonts w:hint="eastAsia"/>
          <w:sz w:val="24"/>
          <w:szCs w:val="24"/>
        </w:rPr>
        <w:t>文件编号</w:t>
      </w:r>
      <w:r>
        <w:rPr>
          <w:sz w:val="24"/>
          <w:szCs w:val="24"/>
        </w:rPr>
        <w:t xml:space="preserve">: </w:t>
      </w:r>
    </w:p>
    <w:p w14:paraId="5ED7E62C">
      <w:pPr>
        <w:spacing w:line="360" w:lineRule="auto"/>
        <w:rPr>
          <w:b/>
          <w:bCs/>
          <w:sz w:val="24"/>
          <w:szCs w:val="24"/>
        </w:rPr>
      </w:pPr>
      <w:r>
        <w:rPr>
          <w:rFonts w:hint="eastAsia"/>
          <w:b/>
          <w:bCs/>
          <w:sz w:val="24"/>
          <w:szCs w:val="24"/>
        </w:rPr>
        <w:t>1.定义</w:t>
      </w:r>
    </w:p>
    <w:p w14:paraId="5BB014F1">
      <w:pPr>
        <w:spacing w:line="360" w:lineRule="auto"/>
        <w:ind w:firstLine="480" w:firstLineChars="200"/>
        <w:rPr>
          <w:sz w:val="24"/>
          <w:szCs w:val="24"/>
        </w:rPr>
      </w:pPr>
      <w:r>
        <w:rPr>
          <w:rFonts w:hint="eastAsia"/>
          <w:sz w:val="24"/>
          <w:szCs w:val="24"/>
        </w:rPr>
        <w:t>本合同中的下列术语应解释为：</w:t>
      </w:r>
    </w:p>
    <w:p w14:paraId="7879C59F">
      <w:pPr>
        <w:spacing w:line="440" w:lineRule="exact"/>
        <w:ind w:firstLine="480" w:firstLineChars="200"/>
        <w:rPr>
          <w:sz w:val="24"/>
          <w:szCs w:val="24"/>
        </w:rPr>
      </w:pPr>
      <w:r>
        <w:rPr>
          <w:rFonts w:hint="eastAsia"/>
          <w:sz w:val="24"/>
          <w:szCs w:val="24"/>
        </w:rPr>
        <w:t>1.1“合同”系指供需双方签署的、合同格式中载明的供需双方所达成的协议，包括所有的附件、附录和构成合同的所有文件；</w:t>
      </w:r>
    </w:p>
    <w:p w14:paraId="24423FB6">
      <w:pPr>
        <w:spacing w:line="440" w:lineRule="exact"/>
        <w:ind w:firstLine="480" w:firstLineChars="200"/>
        <w:rPr>
          <w:sz w:val="24"/>
          <w:szCs w:val="24"/>
        </w:rPr>
      </w:pPr>
      <w:r>
        <w:rPr>
          <w:rFonts w:hint="eastAsia"/>
          <w:sz w:val="24"/>
          <w:szCs w:val="24"/>
        </w:rPr>
        <w:t>1.2“合同价”系指根据合同规定，采购人在供应商完全履行合同义务后应付给的价格；</w:t>
      </w:r>
    </w:p>
    <w:p w14:paraId="09E55B25">
      <w:pPr>
        <w:spacing w:line="440" w:lineRule="exact"/>
        <w:ind w:firstLine="480" w:firstLineChars="200"/>
        <w:rPr>
          <w:sz w:val="24"/>
          <w:szCs w:val="24"/>
        </w:rPr>
      </w:pPr>
      <w:r>
        <w:rPr>
          <w:rFonts w:hint="eastAsia"/>
          <w:sz w:val="24"/>
          <w:szCs w:val="24"/>
        </w:rPr>
        <w:t>1.3“货物”系指供应商根据合同规定向采购人提供的一切货物、质量保证书和其他技术资料及技术参数；</w:t>
      </w:r>
    </w:p>
    <w:p w14:paraId="01F4ABE2">
      <w:pPr>
        <w:spacing w:line="440" w:lineRule="exact"/>
        <w:ind w:firstLine="480" w:firstLineChars="200"/>
        <w:rPr>
          <w:sz w:val="24"/>
          <w:szCs w:val="24"/>
        </w:rPr>
      </w:pPr>
      <w:r>
        <w:rPr>
          <w:rFonts w:hint="eastAsia"/>
          <w:sz w:val="24"/>
          <w:szCs w:val="24"/>
        </w:rPr>
        <w:t>1.4“服务”系指根据合同规定供应商承担与供货有关的辅助服务，如运输、装卸、安装、保险以及其他的服务，例如安装、调试提供技术援助、培训和其他类似的义务；</w:t>
      </w:r>
    </w:p>
    <w:p w14:paraId="03BCE70F">
      <w:pPr>
        <w:spacing w:line="440" w:lineRule="exact"/>
        <w:ind w:firstLine="480" w:firstLineChars="200"/>
        <w:rPr>
          <w:sz w:val="24"/>
          <w:szCs w:val="24"/>
        </w:rPr>
      </w:pPr>
      <w:r>
        <w:rPr>
          <w:rFonts w:hint="eastAsia"/>
          <w:sz w:val="24"/>
          <w:szCs w:val="24"/>
        </w:rPr>
        <w:t>1.5“采购人”系指</w:t>
      </w:r>
      <w:r>
        <w:rPr>
          <w:rFonts w:hint="eastAsia"/>
          <w:bCs/>
          <w:sz w:val="24"/>
          <w:szCs w:val="24"/>
        </w:rPr>
        <w:t>具体使用货物和接受服务的使用单位；</w:t>
      </w:r>
    </w:p>
    <w:p w14:paraId="66F44ECF">
      <w:pPr>
        <w:spacing w:line="440" w:lineRule="exact"/>
        <w:ind w:firstLine="480" w:firstLineChars="200"/>
        <w:rPr>
          <w:sz w:val="24"/>
          <w:szCs w:val="24"/>
        </w:rPr>
      </w:pPr>
      <w:r>
        <w:rPr>
          <w:rFonts w:hint="eastAsia"/>
          <w:sz w:val="24"/>
          <w:szCs w:val="24"/>
        </w:rPr>
        <w:t>1.6“供应商”系指根据合同规定提供采购项目货物和服务的具有法人资格的公司、企业或实体；</w:t>
      </w:r>
    </w:p>
    <w:p w14:paraId="669057AB">
      <w:pPr>
        <w:spacing w:line="440" w:lineRule="exact"/>
        <w:ind w:firstLine="480" w:firstLineChars="200"/>
        <w:rPr>
          <w:sz w:val="24"/>
          <w:szCs w:val="24"/>
        </w:rPr>
      </w:pPr>
      <w:r>
        <w:rPr>
          <w:rFonts w:hint="eastAsia"/>
          <w:sz w:val="24"/>
          <w:szCs w:val="24"/>
        </w:rPr>
        <w:t>1.7“财政审批编号”系指</w:t>
      </w:r>
      <w:r>
        <w:rPr>
          <w:rFonts w:hint="eastAsia"/>
          <w:sz w:val="24"/>
          <w:szCs w:val="24"/>
          <w:lang w:val="en-US"/>
        </w:rPr>
        <w:t>湖州市财政局</w:t>
      </w:r>
      <w:r>
        <w:rPr>
          <w:rFonts w:hint="eastAsia"/>
          <w:sz w:val="24"/>
          <w:szCs w:val="24"/>
        </w:rPr>
        <w:t>审批编号。</w:t>
      </w:r>
    </w:p>
    <w:p w14:paraId="20B4CD33">
      <w:pPr>
        <w:spacing w:line="440" w:lineRule="exact"/>
        <w:rPr>
          <w:b/>
          <w:bCs/>
          <w:sz w:val="24"/>
          <w:szCs w:val="24"/>
        </w:rPr>
      </w:pPr>
      <w:r>
        <w:rPr>
          <w:rFonts w:hint="eastAsia"/>
          <w:b/>
          <w:bCs/>
          <w:sz w:val="24"/>
          <w:szCs w:val="24"/>
        </w:rPr>
        <w:t>2.合同项目与内容</w:t>
      </w:r>
    </w:p>
    <w:p w14:paraId="08D70B29">
      <w:pPr>
        <w:spacing w:line="440" w:lineRule="exact"/>
        <w:rPr>
          <w:rFonts w:hint="eastAsia"/>
          <w:b w:val="0"/>
          <w:bCs w:val="0"/>
          <w:sz w:val="24"/>
          <w:szCs w:val="24"/>
          <w:lang w:eastAsia="zh-CN"/>
        </w:rPr>
      </w:pPr>
      <w:r>
        <w:rPr>
          <w:rFonts w:hint="eastAsia"/>
          <w:b w:val="0"/>
          <w:bCs w:val="0"/>
          <w:sz w:val="24"/>
          <w:szCs w:val="24"/>
          <w:lang w:eastAsia="zh-CN"/>
        </w:rPr>
        <w:t>吴兴区2024年度千万亩森林质量精准提升工程</w:t>
      </w:r>
    </w:p>
    <w:p w14:paraId="416516C0">
      <w:pPr>
        <w:spacing w:line="440" w:lineRule="exact"/>
        <w:rPr>
          <w:rFonts w:hint="eastAsia" w:eastAsia="宋体"/>
          <w:b/>
          <w:bCs/>
          <w:sz w:val="24"/>
          <w:szCs w:val="24"/>
          <w:lang w:eastAsia="zh-CN"/>
        </w:rPr>
      </w:pPr>
      <w:r>
        <w:rPr>
          <w:rFonts w:hint="eastAsia"/>
          <w:b/>
          <w:bCs/>
          <w:sz w:val="24"/>
          <w:szCs w:val="24"/>
        </w:rPr>
        <w:t>3.服务时间</w:t>
      </w:r>
      <w:r>
        <w:rPr>
          <w:rFonts w:hint="eastAsia"/>
          <w:b/>
          <w:bCs/>
          <w:sz w:val="24"/>
          <w:szCs w:val="24"/>
          <w:lang w:eastAsia="zh-CN"/>
        </w:rPr>
        <w:t>、</w:t>
      </w:r>
      <w:r>
        <w:rPr>
          <w:rFonts w:hint="eastAsia"/>
          <w:b/>
          <w:bCs/>
          <w:sz w:val="24"/>
          <w:szCs w:val="24"/>
        </w:rPr>
        <w:t>地点</w:t>
      </w:r>
      <w:r>
        <w:rPr>
          <w:rFonts w:hint="eastAsia"/>
          <w:b/>
          <w:bCs/>
          <w:sz w:val="24"/>
          <w:szCs w:val="24"/>
          <w:lang w:eastAsia="zh-CN"/>
        </w:rPr>
        <w:t>及服务要求</w:t>
      </w:r>
    </w:p>
    <w:p w14:paraId="767C98B2">
      <w:pPr>
        <w:spacing w:line="440" w:lineRule="exact"/>
        <w:ind w:firstLine="480" w:firstLineChars="200"/>
        <w:rPr>
          <w:rFonts w:hint="eastAsia"/>
          <w:sz w:val="24"/>
          <w:szCs w:val="24"/>
          <w:lang w:eastAsia="zh-CN"/>
        </w:rPr>
      </w:pPr>
      <w:r>
        <w:rPr>
          <w:rFonts w:hint="eastAsia"/>
          <w:sz w:val="24"/>
          <w:szCs w:val="24"/>
          <w:lang w:eastAsia="zh-CN"/>
        </w:rPr>
        <w:t>工期：</w:t>
      </w:r>
      <w:r>
        <w:rPr>
          <w:rFonts w:hint="eastAsia"/>
          <w:sz w:val="24"/>
          <w:szCs w:val="24"/>
          <w:lang w:val="en-US" w:eastAsia="zh-CN"/>
        </w:rPr>
        <w:t xml:space="preserve">   日历天</w:t>
      </w:r>
      <w:r>
        <w:rPr>
          <w:rFonts w:hint="eastAsia"/>
          <w:sz w:val="24"/>
          <w:szCs w:val="24"/>
          <w:lang w:eastAsia="zh-CN"/>
        </w:rPr>
        <w:t>。</w:t>
      </w:r>
    </w:p>
    <w:p w14:paraId="26C7AE15">
      <w:pPr>
        <w:spacing w:line="440" w:lineRule="exact"/>
        <w:ind w:firstLine="480" w:firstLineChars="200"/>
        <w:rPr>
          <w:rFonts w:hint="eastAsia"/>
          <w:sz w:val="24"/>
          <w:szCs w:val="24"/>
          <w:lang w:eastAsia="zh-CN"/>
        </w:rPr>
      </w:pPr>
      <w:r>
        <w:rPr>
          <w:rFonts w:hint="eastAsia"/>
          <w:sz w:val="24"/>
          <w:szCs w:val="24"/>
          <w:lang w:eastAsia="zh-CN"/>
        </w:rPr>
        <w:t>服务地点：由采购人指定。</w:t>
      </w:r>
    </w:p>
    <w:p w14:paraId="3427857F">
      <w:pPr>
        <w:spacing w:line="440" w:lineRule="exact"/>
        <w:ind w:firstLine="480" w:firstLineChars="200"/>
        <w:rPr>
          <w:rFonts w:hint="default"/>
          <w:sz w:val="24"/>
          <w:szCs w:val="24"/>
          <w:highlight w:val="none"/>
          <w:lang w:val="en-US" w:eastAsia="zh-CN"/>
        </w:rPr>
      </w:pPr>
      <w:r>
        <w:rPr>
          <w:rFonts w:hint="eastAsia"/>
          <w:sz w:val="24"/>
          <w:szCs w:val="24"/>
          <w:highlight w:val="none"/>
          <w:lang w:val="en-US" w:eastAsia="zh-CN"/>
        </w:rPr>
        <w:t>服务要求：按采购人提供的作业设计进行施工。</w:t>
      </w:r>
    </w:p>
    <w:p w14:paraId="60ACAE5C">
      <w:pPr>
        <w:spacing w:line="440" w:lineRule="exact"/>
        <w:rPr>
          <w:b/>
          <w:bCs/>
          <w:sz w:val="24"/>
          <w:szCs w:val="24"/>
        </w:rPr>
      </w:pPr>
      <w:r>
        <w:rPr>
          <w:rFonts w:hint="eastAsia"/>
          <w:b/>
          <w:bCs/>
          <w:sz w:val="24"/>
          <w:szCs w:val="24"/>
        </w:rPr>
        <w:t>4.签署合同的要求</w:t>
      </w:r>
    </w:p>
    <w:p w14:paraId="05FDF8B2">
      <w:pPr>
        <w:spacing w:line="440" w:lineRule="exact"/>
        <w:ind w:firstLine="480" w:firstLineChars="200"/>
        <w:rPr>
          <w:bCs/>
          <w:sz w:val="24"/>
          <w:szCs w:val="24"/>
        </w:rPr>
      </w:pPr>
      <w:r>
        <w:rPr>
          <w:rFonts w:hint="eastAsia"/>
          <w:bCs/>
          <w:sz w:val="24"/>
          <w:szCs w:val="24"/>
        </w:rPr>
        <w:t>4.1、供应商必须按照响应文件和询标过程中承诺的条款以及</w:t>
      </w:r>
      <w:r>
        <w:rPr>
          <w:rFonts w:hint="eastAsia"/>
          <w:bCs/>
          <w:sz w:val="24"/>
          <w:szCs w:val="24"/>
          <w:lang w:eastAsia="zh-CN"/>
        </w:rPr>
        <w:t>中标</w:t>
      </w:r>
      <w:r>
        <w:rPr>
          <w:rFonts w:hint="eastAsia"/>
          <w:bCs/>
          <w:sz w:val="24"/>
          <w:szCs w:val="24"/>
        </w:rPr>
        <w:t>通知书中规定的时间、地点与采购人签订合同；</w:t>
      </w:r>
    </w:p>
    <w:p w14:paraId="31EC3F4E">
      <w:pPr>
        <w:spacing w:line="440" w:lineRule="exact"/>
        <w:ind w:firstLine="480" w:firstLineChars="200"/>
        <w:rPr>
          <w:bCs/>
          <w:sz w:val="24"/>
          <w:szCs w:val="24"/>
        </w:rPr>
      </w:pPr>
      <w:r>
        <w:rPr>
          <w:rFonts w:hint="eastAsia"/>
          <w:bCs/>
          <w:sz w:val="24"/>
          <w:szCs w:val="24"/>
        </w:rPr>
        <w:t>4.2、所签订的合同内容不得对</w:t>
      </w:r>
      <w:r>
        <w:rPr>
          <w:rFonts w:hint="eastAsia"/>
          <w:bCs/>
          <w:sz w:val="24"/>
          <w:szCs w:val="24"/>
          <w:lang w:eastAsia="zh-CN"/>
        </w:rPr>
        <w:t>招标</w:t>
      </w:r>
      <w:r>
        <w:rPr>
          <w:rFonts w:hint="eastAsia"/>
          <w:bCs/>
          <w:sz w:val="24"/>
          <w:szCs w:val="24"/>
        </w:rPr>
        <w:t>文件和供应商的</w:t>
      </w:r>
      <w:r>
        <w:rPr>
          <w:rFonts w:hint="eastAsia"/>
          <w:bCs/>
          <w:sz w:val="24"/>
          <w:szCs w:val="24"/>
          <w:lang w:eastAsia="zh-CN"/>
        </w:rPr>
        <w:t>投标</w:t>
      </w:r>
      <w:r>
        <w:rPr>
          <w:rFonts w:hint="eastAsia"/>
          <w:bCs/>
          <w:sz w:val="24"/>
          <w:szCs w:val="24"/>
        </w:rPr>
        <w:t>文件作实质性修改；</w:t>
      </w:r>
    </w:p>
    <w:p w14:paraId="7EC7C765">
      <w:pPr>
        <w:spacing w:line="440" w:lineRule="exact"/>
        <w:ind w:firstLine="480" w:firstLineChars="200"/>
        <w:rPr>
          <w:bCs/>
          <w:sz w:val="24"/>
          <w:szCs w:val="24"/>
        </w:rPr>
      </w:pPr>
      <w:r>
        <w:rPr>
          <w:rFonts w:hint="eastAsia"/>
          <w:bCs/>
          <w:sz w:val="24"/>
          <w:szCs w:val="24"/>
        </w:rPr>
        <w:t>4.3、采购人不得向供应商提出任何不合理的要求，作为签订合同的条件，不得与供应商私下订立背离合同实质性内容的协议；</w:t>
      </w:r>
    </w:p>
    <w:p w14:paraId="7FDFC898">
      <w:pPr>
        <w:spacing w:line="440" w:lineRule="exact"/>
        <w:rPr>
          <w:b/>
          <w:bCs/>
          <w:sz w:val="24"/>
          <w:szCs w:val="24"/>
        </w:rPr>
      </w:pPr>
      <w:r>
        <w:rPr>
          <w:rFonts w:hint="eastAsia"/>
          <w:b/>
          <w:bCs/>
          <w:sz w:val="24"/>
          <w:szCs w:val="24"/>
        </w:rPr>
        <w:t>5.技术规范</w:t>
      </w:r>
    </w:p>
    <w:p w14:paraId="65E4EB7F">
      <w:pPr>
        <w:spacing w:line="440" w:lineRule="exact"/>
        <w:ind w:firstLine="480" w:firstLineChars="200"/>
        <w:rPr>
          <w:sz w:val="24"/>
          <w:szCs w:val="24"/>
        </w:rPr>
      </w:pPr>
      <w:r>
        <w:rPr>
          <w:rFonts w:hint="eastAsia"/>
          <w:sz w:val="24"/>
          <w:szCs w:val="24"/>
        </w:rPr>
        <w:t>本合同执行国家及本省、市现行项目实施及验收规范及有关条例、实施办法等。</w:t>
      </w:r>
    </w:p>
    <w:p w14:paraId="0E101779">
      <w:pPr>
        <w:spacing w:line="440" w:lineRule="exact"/>
        <w:ind w:firstLine="480" w:firstLineChars="200"/>
        <w:rPr>
          <w:sz w:val="24"/>
          <w:szCs w:val="24"/>
        </w:rPr>
      </w:pPr>
      <w:r>
        <w:rPr>
          <w:rFonts w:hint="eastAsia"/>
          <w:sz w:val="24"/>
          <w:szCs w:val="24"/>
        </w:rPr>
        <w:t>提供和交付的服务技术规范应与</w:t>
      </w:r>
      <w:r>
        <w:rPr>
          <w:rFonts w:hint="eastAsia"/>
          <w:sz w:val="24"/>
          <w:szCs w:val="24"/>
          <w:lang w:eastAsia="zh-CN"/>
        </w:rPr>
        <w:t>招标</w:t>
      </w:r>
      <w:r>
        <w:rPr>
          <w:rFonts w:hint="eastAsia"/>
          <w:sz w:val="24"/>
          <w:szCs w:val="24"/>
        </w:rPr>
        <w:t>文件规定的技术规范相一致。</w:t>
      </w:r>
    </w:p>
    <w:p w14:paraId="3A1B76F1">
      <w:pPr>
        <w:spacing w:line="440" w:lineRule="exact"/>
        <w:rPr>
          <w:b/>
          <w:bCs/>
          <w:sz w:val="24"/>
          <w:szCs w:val="24"/>
        </w:rPr>
      </w:pPr>
      <w:r>
        <w:rPr>
          <w:rFonts w:hint="eastAsia"/>
          <w:b/>
          <w:bCs/>
          <w:sz w:val="24"/>
          <w:szCs w:val="24"/>
        </w:rPr>
        <w:t>6.知识产权</w:t>
      </w:r>
    </w:p>
    <w:p w14:paraId="7C024260">
      <w:pPr>
        <w:spacing w:line="440" w:lineRule="exact"/>
        <w:ind w:firstLine="480" w:firstLineChars="200"/>
        <w:rPr>
          <w:sz w:val="24"/>
          <w:szCs w:val="24"/>
        </w:rPr>
      </w:pPr>
      <w:r>
        <w:rPr>
          <w:rFonts w:hint="eastAsia"/>
          <w:sz w:val="24"/>
          <w:szCs w:val="24"/>
        </w:rPr>
        <w:t>供应商保证所提供的服务及货物均不存在知识产权纠纷。供应商应保证采购人在使用时不受第三方提出侵犯其专利权、商标权等知识产权的诉讼。</w:t>
      </w:r>
    </w:p>
    <w:p w14:paraId="6758B593">
      <w:pPr>
        <w:numPr>
          <w:ilvl w:val="0"/>
          <w:numId w:val="10"/>
        </w:numPr>
        <w:spacing w:line="440" w:lineRule="exact"/>
        <w:rPr>
          <w:b/>
          <w:bCs/>
          <w:sz w:val="24"/>
          <w:szCs w:val="24"/>
        </w:rPr>
      </w:pPr>
      <w:r>
        <w:rPr>
          <w:rFonts w:hint="eastAsia"/>
          <w:b/>
          <w:bCs/>
          <w:sz w:val="24"/>
          <w:szCs w:val="24"/>
        </w:rPr>
        <w:t>工作考核及付款方式</w:t>
      </w:r>
    </w:p>
    <w:p w14:paraId="0D1CF5F0">
      <w:pPr>
        <w:spacing w:line="360" w:lineRule="auto"/>
        <w:ind w:firstLine="480" w:firstLineChars="200"/>
        <w:rPr>
          <w:bCs/>
          <w:sz w:val="24"/>
          <w:lang w:val="en-US"/>
        </w:rPr>
      </w:pPr>
      <w:r>
        <w:rPr>
          <w:rFonts w:hint="eastAsia"/>
          <w:bCs/>
          <w:sz w:val="24"/>
          <w:lang w:val="en-US"/>
        </w:rPr>
        <w:t>7.1合同总价：</w:t>
      </w:r>
      <w:r>
        <w:rPr>
          <w:rFonts w:hint="eastAsia"/>
          <w:bCs/>
          <w:sz w:val="24"/>
          <w:u w:val="single"/>
          <w:lang w:val="en-US"/>
        </w:rPr>
        <w:t xml:space="preserve">         </w:t>
      </w:r>
      <w:r>
        <w:rPr>
          <w:rFonts w:hint="eastAsia"/>
          <w:bCs/>
          <w:sz w:val="24"/>
          <w:lang w:val="en-US"/>
        </w:rPr>
        <w:t>人民币元整（</w:t>
      </w:r>
      <w:r>
        <w:rPr>
          <w:rFonts w:ascii="Arial" w:hAnsi="Arial" w:cs="Arial"/>
          <w:bCs/>
          <w:sz w:val="24"/>
          <w:lang w:val="en-US"/>
        </w:rPr>
        <w:t>¥</w:t>
      </w:r>
      <w:r>
        <w:rPr>
          <w:rFonts w:hint="eastAsia"/>
          <w:bCs/>
          <w:sz w:val="24"/>
          <w:lang w:val="en-US"/>
        </w:rPr>
        <w:t>：</w:t>
      </w:r>
      <w:r>
        <w:rPr>
          <w:rFonts w:hint="eastAsia"/>
          <w:bCs/>
          <w:sz w:val="24"/>
          <w:u w:val="single"/>
          <w:lang w:val="en-US"/>
        </w:rPr>
        <w:t xml:space="preserve">       </w:t>
      </w:r>
      <w:r>
        <w:rPr>
          <w:rFonts w:hint="eastAsia"/>
          <w:bCs/>
          <w:sz w:val="24"/>
          <w:lang w:val="en-US"/>
        </w:rPr>
        <w:t>）</w:t>
      </w:r>
    </w:p>
    <w:p w14:paraId="61CA99A9">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bCs/>
          <w:sz w:val="24"/>
          <w:lang w:val="en-US"/>
        </w:rPr>
        <w:t>7.2</w:t>
      </w:r>
      <w:r>
        <w:rPr>
          <w:b/>
          <w:sz w:val="24"/>
        </w:rPr>
        <w:t>付款方式：</w:t>
      </w:r>
      <w:r>
        <w:rPr>
          <w:rFonts w:hint="eastAsia" w:ascii="宋体" w:hAnsi="宋体" w:eastAsia="宋体" w:cs="宋体"/>
          <w:sz w:val="24"/>
          <w:szCs w:val="24"/>
        </w:rPr>
        <w:t>采购人在合同生效以及具备实施条件后7个工作日内支付合同金额的</w:t>
      </w:r>
      <w:r>
        <w:rPr>
          <w:rFonts w:hint="eastAsia" w:ascii="宋体" w:hAnsi="宋体" w:cs="宋体"/>
          <w:sz w:val="24"/>
          <w:szCs w:val="24"/>
          <w:lang w:val="en-US" w:eastAsia="zh-CN"/>
        </w:rPr>
        <w:t>7</w:t>
      </w:r>
      <w:r>
        <w:rPr>
          <w:rFonts w:hint="eastAsia" w:ascii="宋体" w:hAnsi="宋体" w:eastAsia="宋体" w:cs="宋体"/>
          <w:sz w:val="24"/>
          <w:szCs w:val="24"/>
        </w:rPr>
        <w:t>0%预付款；项目</w:t>
      </w:r>
      <w:r>
        <w:rPr>
          <w:rFonts w:hint="eastAsia" w:ascii="宋体" w:hAnsi="宋体" w:cs="宋体"/>
          <w:sz w:val="24"/>
          <w:szCs w:val="24"/>
          <w:lang w:eastAsia="zh-CN"/>
        </w:rPr>
        <w:t>完成</w:t>
      </w:r>
      <w:r>
        <w:rPr>
          <w:rFonts w:hint="eastAsia" w:ascii="宋体" w:hAnsi="宋体" w:eastAsia="宋体" w:cs="宋体"/>
          <w:sz w:val="24"/>
          <w:szCs w:val="24"/>
        </w:rPr>
        <w:t>验收合格后支付</w:t>
      </w:r>
      <w:r>
        <w:rPr>
          <w:rFonts w:hint="eastAsia" w:ascii="宋体" w:hAnsi="宋体" w:cs="宋体"/>
          <w:sz w:val="24"/>
          <w:szCs w:val="24"/>
          <w:lang w:eastAsia="zh-CN"/>
        </w:rPr>
        <w:t>剩余款项</w:t>
      </w:r>
      <w:r>
        <w:rPr>
          <w:rFonts w:hint="eastAsia" w:ascii="宋体" w:hAnsi="宋体" w:eastAsia="宋体" w:cs="宋体"/>
          <w:sz w:val="24"/>
          <w:szCs w:val="24"/>
        </w:rPr>
        <w:t>。</w:t>
      </w:r>
      <w:r>
        <w:rPr>
          <w:rFonts w:hint="eastAsia" w:ascii="宋体" w:hAnsi="宋体" w:cs="宋体"/>
          <w:sz w:val="24"/>
          <w:szCs w:val="24"/>
          <w:lang w:eastAsia="zh-CN"/>
        </w:rPr>
        <w:t>中标</w:t>
      </w:r>
      <w:r>
        <w:rPr>
          <w:rFonts w:hint="eastAsia" w:ascii="宋体" w:hAnsi="宋体" w:eastAsia="宋体" w:cs="宋体"/>
          <w:sz w:val="24"/>
          <w:szCs w:val="24"/>
        </w:rPr>
        <w:t>供应商根据采购人每期的支付金额提供正规</w:t>
      </w:r>
      <w:r>
        <w:rPr>
          <w:rFonts w:hint="eastAsia" w:ascii="宋体" w:hAnsi="宋体" w:eastAsia="宋体" w:cs="宋体"/>
          <w:sz w:val="24"/>
        </w:rPr>
        <w:t>税务发票。</w:t>
      </w:r>
    </w:p>
    <w:p w14:paraId="11B587C1">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rPr>
        <w:t>税费：本服务执行中相关的一切税费均由</w:t>
      </w:r>
      <w:r>
        <w:rPr>
          <w:rFonts w:hint="eastAsia" w:ascii="宋体" w:hAnsi="宋体" w:cs="宋体"/>
          <w:sz w:val="24"/>
          <w:lang w:eastAsia="zh-CN"/>
        </w:rPr>
        <w:t>中标</w:t>
      </w:r>
      <w:r>
        <w:rPr>
          <w:rFonts w:hint="eastAsia" w:ascii="宋体" w:hAnsi="宋体" w:eastAsia="宋体" w:cs="宋体"/>
          <w:sz w:val="24"/>
        </w:rPr>
        <w:t xml:space="preserve">供应商负担。 </w:t>
      </w:r>
    </w:p>
    <w:p w14:paraId="2A2C93D2">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sz w:val="24"/>
        </w:rPr>
      </w:pPr>
      <w:r>
        <w:rPr>
          <w:rFonts w:hint="eastAsia" w:ascii="宋体" w:hAnsi="宋体" w:eastAsia="宋体" w:cs="宋体"/>
          <w:sz w:val="24"/>
        </w:rPr>
        <w:t>注：若</w:t>
      </w:r>
      <w:r>
        <w:rPr>
          <w:rFonts w:hint="eastAsia" w:ascii="宋体" w:hAnsi="宋体" w:cs="宋体"/>
          <w:sz w:val="24"/>
          <w:lang w:eastAsia="zh-CN"/>
        </w:rPr>
        <w:t>中标</w:t>
      </w:r>
      <w:r>
        <w:rPr>
          <w:rFonts w:hint="eastAsia" w:ascii="宋体" w:hAnsi="宋体" w:eastAsia="宋体" w:cs="宋体"/>
          <w:sz w:val="24"/>
        </w:rPr>
        <w:t>供应商明确表示无需预付款或者主动要求降低预付款比例的，采购人可不适用前述规定。</w:t>
      </w:r>
    </w:p>
    <w:p w14:paraId="06C56852">
      <w:pPr>
        <w:spacing w:line="440" w:lineRule="exact"/>
        <w:rPr>
          <w:sz w:val="24"/>
          <w:szCs w:val="24"/>
        </w:rPr>
      </w:pPr>
      <w:r>
        <w:rPr>
          <w:rFonts w:hint="eastAsia"/>
          <w:b/>
          <w:bCs/>
          <w:sz w:val="24"/>
          <w:szCs w:val="24"/>
        </w:rPr>
        <w:t>8.支付</w:t>
      </w:r>
      <w:r>
        <w:rPr>
          <w:rFonts w:hint="eastAsia"/>
          <w:sz w:val="24"/>
          <w:szCs w:val="24"/>
        </w:rPr>
        <w:t>：支付应使用人民币；</w:t>
      </w:r>
    </w:p>
    <w:p w14:paraId="557AE873">
      <w:pPr>
        <w:spacing w:line="440" w:lineRule="exact"/>
        <w:rPr>
          <w:b/>
          <w:bCs/>
          <w:sz w:val="24"/>
          <w:szCs w:val="24"/>
        </w:rPr>
      </w:pPr>
      <w:r>
        <w:rPr>
          <w:rFonts w:hint="eastAsia"/>
          <w:b/>
          <w:bCs/>
          <w:sz w:val="24"/>
          <w:szCs w:val="24"/>
        </w:rPr>
        <w:t>9.技术服务</w:t>
      </w:r>
    </w:p>
    <w:p w14:paraId="44763C88">
      <w:pPr>
        <w:spacing w:line="440" w:lineRule="exact"/>
        <w:ind w:firstLine="480" w:firstLineChars="200"/>
        <w:rPr>
          <w:sz w:val="24"/>
          <w:szCs w:val="24"/>
        </w:rPr>
      </w:pPr>
      <w:r>
        <w:rPr>
          <w:rFonts w:hint="eastAsia"/>
          <w:sz w:val="24"/>
          <w:szCs w:val="24"/>
        </w:rPr>
        <w:t>供应商应负责安排采购人相关人员进行操作、维修的培训。具体时间及培训内容在</w:t>
      </w:r>
      <w:r>
        <w:rPr>
          <w:rFonts w:hint="eastAsia"/>
          <w:sz w:val="24"/>
          <w:szCs w:val="24"/>
          <w:lang w:eastAsia="zh-CN"/>
        </w:rPr>
        <w:t>投标</w:t>
      </w:r>
      <w:r>
        <w:rPr>
          <w:rFonts w:hint="eastAsia"/>
          <w:sz w:val="24"/>
          <w:szCs w:val="24"/>
        </w:rPr>
        <w:t>时由供应商提出建议；</w:t>
      </w:r>
    </w:p>
    <w:p w14:paraId="6F389309">
      <w:pPr>
        <w:spacing w:line="440" w:lineRule="exact"/>
        <w:rPr>
          <w:b/>
          <w:bCs/>
          <w:sz w:val="24"/>
          <w:szCs w:val="24"/>
        </w:rPr>
      </w:pPr>
      <w:r>
        <w:rPr>
          <w:rFonts w:hint="eastAsia"/>
          <w:b/>
          <w:bCs/>
          <w:sz w:val="24"/>
          <w:szCs w:val="24"/>
        </w:rPr>
        <w:t>10.售后服务及承诺</w:t>
      </w:r>
    </w:p>
    <w:p w14:paraId="74C7E8C0">
      <w:pPr>
        <w:spacing w:line="440" w:lineRule="exact"/>
        <w:ind w:firstLine="480" w:firstLineChars="200"/>
        <w:rPr>
          <w:sz w:val="24"/>
          <w:szCs w:val="24"/>
        </w:rPr>
      </w:pPr>
      <w:r>
        <w:rPr>
          <w:rFonts w:hint="eastAsia"/>
          <w:sz w:val="24"/>
          <w:szCs w:val="24"/>
        </w:rPr>
        <w:t>10.1供应商应明确承诺售后服务各项内容和措施，提供详细的服务地点、联系人、电话等有关资料；</w:t>
      </w:r>
    </w:p>
    <w:p w14:paraId="4510A46B">
      <w:pPr>
        <w:spacing w:line="440" w:lineRule="exact"/>
        <w:rPr>
          <w:b/>
          <w:bCs/>
          <w:sz w:val="24"/>
          <w:szCs w:val="24"/>
        </w:rPr>
      </w:pPr>
      <w:r>
        <w:rPr>
          <w:rFonts w:hint="eastAsia"/>
          <w:b/>
          <w:bCs/>
          <w:sz w:val="24"/>
          <w:szCs w:val="24"/>
          <w:lang w:val="en-US"/>
        </w:rPr>
        <w:t>1</w:t>
      </w:r>
      <w:r>
        <w:rPr>
          <w:rFonts w:hint="eastAsia"/>
          <w:b/>
          <w:bCs/>
          <w:sz w:val="24"/>
          <w:szCs w:val="24"/>
          <w:lang w:val="en-US" w:eastAsia="zh-CN"/>
        </w:rPr>
        <w:t>1</w:t>
      </w:r>
      <w:r>
        <w:rPr>
          <w:rFonts w:hint="eastAsia"/>
          <w:b/>
          <w:bCs/>
          <w:sz w:val="24"/>
          <w:szCs w:val="24"/>
          <w:lang w:val="en-US"/>
        </w:rPr>
        <w:t>.</w:t>
      </w:r>
      <w:r>
        <w:rPr>
          <w:rFonts w:hint="eastAsia"/>
          <w:b/>
          <w:bCs/>
          <w:sz w:val="24"/>
          <w:szCs w:val="24"/>
        </w:rPr>
        <w:t>履约保证及后续服务</w:t>
      </w:r>
    </w:p>
    <w:p w14:paraId="0DAC8C45">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.1供应商应按</w:t>
      </w:r>
      <w:r>
        <w:rPr>
          <w:rFonts w:hint="eastAsia"/>
          <w:bCs/>
          <w:sz w:val="24"/>
          <w:szCs w:val="24"/>
          <w:lang w:eastAsia="zh-CN"/>
        </w:rPr>
        <w:t>招标</w:t>
      </w:r>
      <w:r>
        <w:rPr>
          <w:rFonts w:hint="eastAsia"/>
          <w:bCs/>
          <w:sz w:val="24"/>
          <w:szCs w:val="24"/>
        </w:rPr>
        <w:t>文件规定的服务标准向采购人提供服务。</w:t>
      </w:r>
    </w:p>
    <w:p w14:paraId="7548450A">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.2 如采购人检查发现供应商提供的服务服务不符合标准要求，供应商应立即进行整改，直到符合要求为止。采购人可根据考核标准中扣除供应商因检查不合格而应该扣罚的款项（扣罚款项在签订合同时明确）。</w:t>
      </w:r>
    </w:p>
    <w:p w14:paraId="711BC308">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.3 供应商提供的服务人员不符合本合同约定的数额，供应商应当自接到采购人通知之日起2日内予以补足。</w:t>
      </w:r>
    </w:p>
    <w:p w14:paraId="5CFE00AE">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.4 由于供应商服务人员原因在服务工作中给采购人的设施、材料造成损失，供应商应负责赔偿。</w:t>
      </w:r>
    </w:p>
    <w:p w14:paraId="6D7D5F45">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.5 在使用过程中发生问题，供应商在接到采购人通知后在</w:t>
      </w:r>
      <w:r>
        <w:rPr>
          <w:rFonts w:hint="eastAsia"/>
          <w:bCs/>
          <w:sz w:val="24"/>
          <w:szCs w:val="24"/>
          <w:u w:val="single"/>
          <w:lang w:val="en-US" w:eastAsia="zh-CN"/>
        </w:rPr>
        <w:t xml:space="preserve">   </w:t>
      </w:r>
      <w:r>
        <w:rPr>
          <w:rFonts w:hint="eastAsia"/>
          <w:bCs/>
          <w:sz w:val="24"/>
          <w:szCs w:val="24"/>
        </w:rPr>
        <w:t>小时内到达采购人现场。</w:t>
      </w:r>
    </w:p>
    <w:p w14:paraId="6D625C9F">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.6 在服务质量保证期内，供应商应对出现的服务质量及安全问题负责处理解决并承担一切费用。</w:t>
      </w:r>
    </w:p>
    <w:p w14:paraId="3E7C716C">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 xml:space="preserve">.7 在本合同履行完毕后，采购人扣除供应商在履约过程中产生的本合同涉及的相关赔偿金额后，在 </w:t>
      </w:r>
      <w:r>
        <w:rPr>
          <w:rFonts w:hint="eastAsia"/>
          <w:bCs/>
          <w:sz w:val="24"/>
          <w:szCs w:val="24"/>
          <w:u w:val="single"/>
        </w:rPr>
        <w:t xml:space="preserve">   </w:t>
      </w:r>
      <w:r>
        <w:rPr>
          <w:rFonts w:hint="eastAsia"/>
          <w:bCs/>
          <w:sz w:val="24"/>
          <w:szCs w:val="24"/>
        </w:rPr>
        <w:t xml:space="preserve"> 日内将剩余部分退还至供应商。</w:t>
      </w:r>
    </w:p>
    <w:p w14:paraId="3664F8ED">
      <w:pPr>
        <w:spacing w:line="440" w:lineRule="exact"/>
        <w:rPr>
          <w:b/>
          <w:bCs/>
          <w:sz w:val="24"/>
          <w:szCs w:val="24"/>
        </w:rPr>
      </w:pPr>
      <w:r>
        <w:rPr>
          <w:rFonts w:hint="eastAsia"/>
          <w:b/>
          <w:bCs/>
          <w:sz w:val="24"/>
          <w:szCs w:val="24"/>
        </w:rPr>
        <w:t>1</w:t>
      </w:r>
      <w:r>
        <w:rPr>
          <w:rFonts w:hint="eastAsia"/>
          <w:b/>
          <w:bCs/>
          <w:sz w:val="24"/>
          <w:szCs w:val="24"/>
          <w:lang w:val="en-US"/>
        </w:rPr>
        <w:t>3</w:t>
      </w:r>
      <w:r>
        <w:rPr>
          <w:rFonts w:hint="eastAsia"/>
          <w:b/>
          <w:bCs/>
          <w:sz w:val="24"/>
          <w:szCs w:val="24"/>
        </w:rPr>
        <w:t>.违约责任</w:t>
      </w:r>
    </w:p>
    <w:p w14:paraId="7FCA44A9">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.1 采购人无正当理由拒收接受服务的，采购人向供应商偿付合同款项百分之五作为违约金。</w:t>
      </w:r>
    </w:p>
    <w:p w14:paraId="0D1BBA4B">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.2 采购人无故逾期验收和办理款项支付手续的,采购人应按逾期付款总额每日万分之五向供应商支付违约金。</w:t>
      </w:r>
    </w:p>
    <w:p w14:paraId="4D083D55">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6266DDF1">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.4</w:t>
      </w:r>
      <w:r>
        <w:rPr>
          <w:rFonts w:hint="eastAsia"/>
          <w:sz w:val="24"/>
          <w:szCs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p>
    <w:p w14:paraId="2D8A516B">
      <w:pPr>
        <w:spacing w:line="440" w:lineRule="exact"/>
        <w:rPr>
          <w:b/>
          <w:bCs/>
          <w:sz w:val="24"/>
          <w:szCs w:val="24"/>
        </w:rPr>
      </w:pPr>
      <w:r>
        <w:rPr>
          <w:rFonts w:hint="eastAsia"/>
          <w:b/>
          <w:bCs/>
          <w:sz w:val="24"/>
          <w:szCs w:val="24"/>
        </w:rPr>
        <w:t>1</w:t>
      </w:r>
      <w:r>
        <w:rPr>
          <w:rFonts w:hint="eastAsia"/>
          <w:b/>
          <w:bCs/>
          <w:sz w:val="24"/>
          <w:szCs w:val="24"/>
          <w:lang w:val="en-US"/>
        </w:rPr>
        <w:t>4</w:t>
      </w:r>
      <w:r>
        <w:rPr>
          <w:rFonts w:hint="eastAsia"/>
          <w:b/>
          <w:bCs/>
          <w:sz w:val="24"/>
          <w:szCs w:val="24"/>
        </w:rPr>
        <w:t>.不可抗力事件处理</w:t>
      </w:r>
    </w:p>
    <w:p w14:paraId="0E538233">
      <w:pPr>
        <w:spacing w:line="440" w:lineRule="exact"/>
        <w:ind w:firstLine="480" w:firstLineChars="200"/>
        <w:rPr>
          <w:bCs/>
          <w:sz w:val="24"/>
          <w:szCs w:val="24"/>
        </w:rPr>
      </w:pPr>
      <w:r>
        <w:rPr>
          <w:rFonts w:hint="eastAsia"/>
          <w:bCs/>
          <w:sz w:val="24"/>
          <w:szCs w:val="24"/>
        </w:rPr>
        <w:t>1</w:t>
      </w:r>
      <w:r>
        <w:rPr>
          <w:rFonts w:hint="eastAsia"/>
          <w:bCs/>
          <w:sz w:val="24"/>
          <w:szCs w:val="24"/>
          <w:lang w:val="en-US"/>
        </w:rPr>
        <w:t>4</w:t>
      </w:r>
      <w:r>
        <w:rPr>
          <w:rFonts w:hint="eastAsia"/>
          <w:bCs/>
          <w:sz w:val="24"/>
          <w:szCs w:val="24"/>
        </w:rPr>
        <w:t>.1 在合同有效期内，任何一方因不可抗力事件导致不能履行合同，则合同履行期可延长，其延长期与不可抗力影响期相同。</w:t>
      </w:r>
    </w:p>
    <w:p w14:paraId="1FDCD660">
      <w:pPr>
        <w:spacing w:line="440" w:lineRule="exact"/>
        <w:ind w:firstLine="480" w:firstLineChars="200"/>
        <w:rPr>
          <w:bCs/>
          <w:sz w:val="24"/>
          <w:szCs w:val="24"/>
        </w:rPr>
      </w:pPr>
      <w:r>
        <w:rPr>
          <w:rFonts w:hint="eastAsia"/>
          <w:bCs/>
          <w:sz w:val="24"/>
          <w:szCs w:val="24"/>
        </w:rPr>
        <w:t>1</w:t>
      </w:r>
      <w:r>
        <w:rPr>
          <w:rFonts w:hint="eastAsia"/>
          <w:bCs/>
          <w:sz w:val="24"/>
          <w:szCs w:val="24"/>
          <w:lang w:val="en-US"/>
        </w:rPr>
        <w:t>4</w:t>
      </w:r>
      <w:r>
        <w:rPr>
          <w:rFonts w:hint="eastAsia"/>
          <w:bCs/>
          <w:sz w:val="24"/>
          <w:szCs w:val="24"/>
        </w:rPr>
        <w:t>.2 不可抗力事件发生后，应立即通知对方，并寄送有关权威机构出具的证明。</w:t>
      </w:r>
    </w:p>
    <w:p w14:paraId="7B3332C1">
      <w:pPr>
        <w:spacing w:line="440" w:lineRule="exact"/>
        <w:ind w:firstLine="480" w:firstLineChars="200"/>
        <w:rPr>
          <w:bCs/>
          <w:sz w:val="24"/>
          <w:szCs w:val="24"/>
        </w:rPr>
      </w:pPr>
      <w:r>
        <w:rPr>
          <w:rFonts w:hint="eastAsia"/>
          <w:bCs/>
          <w:sz w:val="24"/>
          <w:szCs w:val="24"/>
        </w:rPr>
        <w:t>1</w:t>
      </w:r>
      <w:r>
        <w:rPr>
          <w:rFonts w:hint="eastAsia"/>
          <w:bCs/>
          <w:sz w:val="24"/>
          <w:szCs w:val="24"/>
          <w:lang w:val="en-US"/>
        </w:rPr>
        <w:t>4</w:t>
      </w:r>
      <w:r>
        <w:rPr>
          <w:rFonts w:hint="eastAsia"/>
          <w:bCs/>
          <w:sz w:val="24"/>
          <w:szCs w:val="24"/>
        </w:rPr>
        <w:t>.3 不可抗力事件延续120天以上，双方应通过友好协商，确定是否继续履行合同。</w:t>
      </w:r>
    </w:p>
    <w:p w14:paraId="59F764EF">
      <w:pPr>
        <w:spacing w:line="440" w:lineRule="exact"/>
        <w:rPr>
          <w:bCs/>
          <w:sz w:val="24"/>
          <w:szCs w:val="24"/>
        </w:rPr>
      </w:pPr>
      <w:r>
        <w:rPr>
          <w:rFonts w:hint="eastAsia"/>
          <w:b/>
          <w:bCs/>
          <w:sz w:val="24"/>
          <w:szCs w:val="24"/>
        </w:rPr>
        <w:t>1</w:t>
      </w:r>
      <w:r>
        <w:rPr>
          <w:rFonts w:hint="eastAsia"/>
          <w:b/>
          <w:bCs/>
          <w:sz w:val="24"/>
          <w:szCs w:val="24"/>
          <w:lang w:val="en-US"/>
        </w:rPr>
        <w:t>5</w:t>
      </w:r>
      <w:r>
        <w:rPr>
          <w:rFonts w:hint="eastAsia"/>
          <w:b/>
          <w:bCs/>
          <w:sz w:val="24"/>
          <w:szCs w:val="24"/>
        </w:rPr>
        <w:t>.争议解决</w:t>
      </w:r>
    </w:p>
    <w:p w14:paraId="0004EEBA">
      <w:pPr>
        <w:spacing w:line="440" w:lineRule="exact"/>
        <w:ind w:firstLine="480" w:firstLineChars="200"/>
        <w:rPr>
          <w:sz w:val="24"/>
          <w:szCs w:val="24"/>
        </w:rPr>
      </w:pPr>
      <w:r>
        <w:rPr>
          <w:rFonts w:hint="eastAsia"/>
          <w:sz w:val="24"/>
          <w:szCs w:val="24"/>
        </w:rPr>
        <w:t>1</w:t>
      </w:r>
      <w:r>
        <w:rPr>
          <w:rFonts w:hint="eastAsia"/>
          <w:sz w:val="24"/>
          <w:szCs w:val="24"/>
          <w:lang w:val="en-US"/>
        </w:rPr>
        <w:t>5</w:t>
      </w:r>
      <w:r>
        <w:rPr>
          <w:rFonts w:hint="eastAsia"/>
          <w:sz w:val="24"/>
          <w:szCs w:val="24"/>
        </w:rPr>
        <w:t>.1在执行本合同中所发生的或与本合同有关的一切争端，合同双方应通过友好协商解决，经过协商仍不能解决，双方选择通过下列第</w:t>
      </w:r>
      <w:r>
        <w:rPr>
          <w:rFonts w:hint="eastAsia"/>
          <w:sz w:val="24"/>
          <w:szCs w:val="24"/>
          <w:u w:val="single"/>
        </w:rPr>
        <w:t>（1）</w:t>
      </w:r>
      <w:r>
        <w:rPr>
          <w:rFonts w:hint="eastAsia"/>
          <w:sz w:val="24"/>
          <w:szCs w:val="24"/>
        </w:rPr>
        <w:t>种方式解决：</w:t>
      </w:r>
    </w:p>
    <w:p w14:paraId="3A69BA6B">
      <w:pPr>
        <w:spacing w:line="440" w:lineRule="exact"/>
        <w:ind w:firstLine="480" w:firstLineChars="200"/>
        <w:rPr>
          <w:sz w:val="24"/>
          <w:szCs w:val="24"/>
        </w:rPr>
      </w:pPr>
      <w:r>
        <w:rPr>
          <w:rFonts w:hint="eastAsia"/>
          <w:sz w:val="24"/>
          <w:szCs w:val="24"/>
        </w:rPr>
        <w:t>（1）将争端提交湖州仲裁委员会仲裁</w:t>
      </w:r>
    </w:p>
    <w:p w14:paraId="05D986A7">
      <w:pPr>
        <w:spacing w:line="440" w:lineRule="exact"/>
        <w:ind w:firstLine="480" w:firstLineChars="200"/>
        <w:rPr>
          <w:sz w:val="24"/>
          <w:szCs w:val="24"/>
        </w:rPr>
      </w:pPr>
      <w:r>
        <w:rPr>
          <w:rFonts w:hint="eastAsia"/>
          <w:sz w:val="24"/>
          <w:szCs w:val="24"/>
        </w:rPr>
        <w:t>（2）直接向采购人所在地有管辖权的人民法院起诉。</w:t>
      </w:r>
    </w:p>
    <w:p w14:paraId="22676714">
      <w:pPr>
        <w:spacing w:line="440" w:lineRule="exact"/>
        <w:ind w:firstLine="480" w:firstLineChars="200"/>
        <w:rPr>
          <w:sz w:val="24"/>
          <w:szCs w:val="24"/>
        </w:rPr>
      </w:pPr>
      <w:r>
        <w:rPr>
          <w:rFonts w:hint="eastAsia"/>
          <w:sz w:val="24"/>
          <w:szCs w:val="24"/>
        </w:rPr>
        <w:t>1</w:t>
      </w:r>
      <w:r>
        <w:rPr>
          <w:rFonts w:hint="eastAsia"/>
          <w:sz w:val="24"/>
          <w:szCs w:val="24"/>
          <w:lang w:val="en-US"/>
        </w:rPr>
        <w:t>5</w:t>
      </w:r>
      <w:r>
        <w:rPr>
          <w:rFonts w:hint="eastAsia"/>
          <w:sz w:val="24"/>
          <w:szCs w:val="24"/>
        </w:rPr>
        <w:t>.2仲裁费用或诉讼费用应由败诉方负担。</w:t>
      </w:r>
    </w:p>
    <w:p w14:paraId="25EBD854">
      <w:pPr>
        <w:spacing w:line="440" w:lineRule="exact"/>
        <w:ind w:firstLine="480" w:firstLineChars="200"/>
        <w:rPr>
          <w:sz w:val="24"/>
          <w:szCs w:val="24"/>
        </w:rPr>
      </w:pPr>
      <w:r>
        <w:rPr>
          <w:rFonts w:hint="eastAsia"/>
          <w:sz w:val="24"/>
          <w:szCs w:val="24"/>
        </w:rPr>
        <w:t>1</w:t>
      </w:r>
      <w:r>
        <w:rPr>
          <w:rFonts w:hint="eastAsia"/>
          <w:sz w:val="24"/>
          <w:szCs w:val="24"/>
          <w:lang w:val="en-US"/>
        </w:rPr>
        <w:t>5</w:t>
      </w:r>
      <w:r>
        <w:rPr>
          <w:rFonts w:hint="eastAsia"/>
          <w:sz w:val="24"/>
          <w:szCs w:val="24"/>
        </w:rPr>
        <w:t>.3在仲裁或诉讼期间，除进行仲裁或诉讼的部分外，本合同其它部分应继续执行。</w:t>
      </w:r>
    </w:p>
    <w:p w14:paraId="43C368F3">
      <w:pPr>
        <w:spacing w:line="440" w:lineRule="exact"/>
        <w:rPr>
          <w:b/>
          <w:bCs/>
          <w:sz w:val="24"/>
          <w:szCs w:val="24"/>
        </w:rPr>
      </w:pPr>
      <w:r>
        <w:rPr>
          <w:rFonts w:hint="eastAsia"/>
          <w:b/>
          <w:bCs/>
          <w:sz w:val="24"/>
          <w:szCs w:val="24"/>
        </w:rPr>
        <w:t>1</w:t>
      </w:r>
      <w:r>
        <w:rPr>
          <w:rFonts w:hint="eastAsia"/>
          <w:b/>
          <w:bCs/>
          <w:sz w:val="24"/>
          <w:szCs w:val="24"/>
          <w:lang w:val="en-US"/>
        </w:rPr>
        <w:t>6</w:t>
      </w:r>
      <w:r>
        <w:rPr>
          <w:rFonts w:hint="eastAsia"/>
          <w:b/>
          <w:bCs/>
          <w:sz w:val="24"/>
          <w:szCs w:val="24"/>
        </w:rPr>
        <w:t>.转让或分包</w:t>
      </w:r>
    </w:p>
    <w:p w14:paraId="5802FD39">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.1本合同范围的服务，应由供应商提供，不得转让他人供应；</w:t>
      </w:r>
    </w:p>
    <w:p w14:paraId="41B51619">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29153EAA">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.3本合同全部或部分的分包不能减轻供应商承担的责任，供应商仍须将分包人的任何行动、错误或疏忽当作是自己完成的并负全责；</w:t>
      </w:r>
    </w:p>
    <w:p w14:paraId="75CA7EF9">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.4在任何分包合同中，须注明分包人按分包合同的范围履行，在供应商按本合同的履行终止时（不论任何原因），亦同时一并终止；</w:t>
      </w:r>
    </w:p>
    <w:p w14:paraId="174F6A16">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.5如有转让和未经采购人同意的分包行为，采购人有权给予终止合同。</w:t>
      </w:r>
    </w:p>
    <w:p w14:paraId="7E5FB4BA">
      <w:pPr>
        <w:spacing w:line="440" w:lineRule="exact"/>
        <w:rPr>
          <w:b/>
          <w:bCs/>
          <w:sz w:val="24"/>
          <w:szCs w:val="24"/>
        </w:rPr>
      </w:pPr>
      <w:r>
        <w:rPr>
          <w:rFonts w:hint="eastAsia"/>
          <w:b/>
          <w:bCs/>
          <w:sz w:val="24"/>
          <w:szCs w:val="24"/>
        </w:rPr>
        <w:t>1</w:t>
      </w:r>
      <w:r>
        <w:rPr>
          <w:rFonts w:hint="eastAsia"/>
          <w:b/>
          <w:bCs/>
          <w:sz w:val="24"/>
          <w:szCs w:val="24"/>
          <w:lang w:val="en-US"/>
        </w:rPr>
        <w:t>7</w:t>
      </w:r>
      <w:r>
        <w:rPr>
          <w:rFonts w:hint="eastAsia"/>
          <w:b/>
          <w:bCs/>
          <w:sz w:val="24"/>
          <w:szCs w:val="24"/>
        </w:rPr>
        <w:t>.适用法律</w:t>
      </w:r>
    </w:p>
    <w:p w14:paraId="0FCF9410">
      <w:pPr>
        <w:spacing w:line="440" w:lineRule="exact"/>
        <w:ind w:firstLine="480" w:firstLineChars="200"/>
        <w:rPr>
          <w:bCs/>
          <w:sz w:val="24"/>
          <w:szCs w:val="24"/>
        </w:rPr>
      </w:pPr>
      <w:r>
        <w:rPr>
          <w:rFonts w:hint="eastAsia"/>
          <w:sz w:val="24"/>
          <w:szCs w:val="24"/>
        </w:rPr>
        <w:t>合同适用法律有《中华人民共和国政府采购法》、《中华人民共和国民法典》和浙江省有关条例等。</w:t>
      </w:r>
    </w:p>
    <w:p w14:paraId="635471EB">
      <w:pPr>
        <w:spacing w:line="440" w:lineRule="exact"/>
        <w:rPr>
          <w:b/>
          <w:bCs/>
          <w:sz w:val="24"/>
          <w:szCs w:val="24"/>
        </w:rPr>
      </w:pPr>
      <w:r>
        <w:rPr>
          <w:rFonts w:hint="eastAsia"/>
          <w:b/>
          <w:bCs/>
          <w:sz w:val="24"/>
          <w:szCs w:val="24"/>
        </w:rPr>
        <w:t>1</w:t>
      </w:r>
      <w:r>
        <w:rPr>
          <w:rFonts w:hint="eastAsia"/>
          <w:b/>
          <w:bCs/>
          <w:sz w:val="24"/>
          <w:szCs w:val="24"/>
          <w:lang w:val="en-US"/>
        </w:rPr>
        <w:t>8</w:t>
      </w:r>
      <w:r>
        <w:rPr>
          <w:rFonts w:hint="eastAsia"/>
          <w:b/>
          <w:bCs/>
          <w:sz w:val="24"/>
          <w:szCs w:val="24"/>
        </w:rPr>
        <w:t>.合同生效及其他</w:t>
      </w:r>
    </w:p>
    <w:p w14:paraId="0344857D">
      <w:pPr>
        <w:spacing w:line="440" w:lineRule="exact"/>
        <w:ind w:firstLine="480" w:firstLineChars="200"/>
        <w:rPr>
          <w:bCs/>
          <w:sz w:val="24"/>
          <w:szCs w:val="24"/>
        </w:rPr>
      </w:pPr>
      <w:r>
        <w:rPr>
          <w:rFonts w:hint="eastAsia"/>
          <w:bCs/>
          <w:sz w:val="24"/>
          <w:szCs w:val="24"/>
        </w:rPr>
        <w:t>1</w:t>
      </w:r>
      <w:r>
        <w:rPr>
          <w:rFonts w:hint="eastAsia"/>
          <w:bCs/>
          <w:sz w:val="24"/>
          <w:szCs w:val="24"/>
          <w:lang w:val="en-US"/>
        </w:rPr>
        <w:t>8</w:t>
      </w:r>
      <w:r>
        <w:rPr>
          <w:rFonts w:hint="eastAsia"/>
          <w:bCs/>
          <w:sz w:val="24"/>
          <w:szCs w:val="24"/>
        </w:rPr>
        <w:t>.1本合同经双方法人及法定代表人签字盖章生效；</w:t>
      </w:r>
    </w:p>
    <w:p w14:paraId="549BD85C">
      <w:pPr>
        <w:spacing w:line="440" w:lineRule="exact"/>
        <w:ind w:firstLine="480" w:firstLineChars="200"/>
        <w:rPr>
          <w:bCs/>
          <w:sz w:val="24"/>
          <w:szCs w:val="24"/>
        </w:rPr>
      </w:pPr>
      <w:r>
        <w:rPr>
          <w:rFonts w:hint="eastAsia"/>
          <w:bCs/>
          <w:sz w:val="24"/>
          <w:szCs w:val="24"/>
        </w:rPr>
        <w:t>1</w:t>
      </w:r>
      <w:r>
        <w:rPr>
          <w:rFonts w:hint="eastAsia"/>
          <w:bCs/>
          <w:sz w:val="24"/>
          <w:szCs w:val="24"/>
          <w:lang w:val="en-US"/>
        </w:rPr>
        <w:t>8</w:t>
      </w:r>
      <w:r>
        <w:rPr>
          <w:rFonts w:hint="eastAsia"/>
          <w:bCs/>
          <w:sz w:val="24"/>
          <w:szCs w:val="24"/>
        </w:rPr>
        <w:t>.2本合同一式陆份，供应商、采购人各执贰份；</w:t>
      </w:r>
    </w:p>
    <w:p w14:paraId="546F4667">
      <w:pPr>
        <w:spacing w:line="460" w:lineRule="exact"/>
        <w:ind w:firstLine="480" w:firstLineChars="200"/>
        <w:rPr>
          <w:rFonts w:cs="Times New Roman"/>
          <w:sz w:val="24"/>
          <w:szCs w:val="24"/>
          <w:lang w:val="en-US"/>
        </w:rPr>
      </w:pPr>
    </w:p>
    <w:p w14:paraId="53DFB371">
      <w:pPr>
        <w:pStyle w:val="2"/>
        <w:ind w:firstLine="0" w:firstLineChars="0"/>
        <w:rPr>
          <w:rFonts w:ascii="Tahoma" w:hAnsi="Tahoma" w:cs="Tahoma"/>
          <w:sz w:val="24"/>
          <w:szCs w:val="24"/>
          <w:lang w:val="en-US"/>
        </w:rPr>
      </w:pPr>
    </w:p>
    <w:p w14:paraId="47F5CFF0">
      <w:pPr>
        <w:spacing w:line="480" w:lineRule="auto"/>
        <w:ind w:firstLine="240" w:firstLineChars="100"/>
        <w:rPr>
          <w:rFonts w:cs="Times New Roman"/>
          <w:sz w:val="24"/>
          <w:szCs w:val="24"/>
          <w:lang w:val="en-US"/>
        </w:rPr>
      </w:pPr>
      <w:r>
        <w:rPr>
          <w:rFonts w:hint="eastAsia"/>
          <w:sz w:val="24"/>
          <w:szCs w:val="24"/>
        </w:rPr>
        <w:t>甲方</w:t>
      </w:r>
      <w:r>
        <w:rPr>
          <w:rFonts w:hint="eastAsia"/>
          <w:sz w:val="24"/>
          <w:szCs w:val="24"/>
          <w:lang w:val="en-US"/>
        </w:rPr>
        <w:t xml:space="preserve">：                                        </w:t>
      </w:r>
      <w:r>
        <w:rPr>
          <w:rFonts w:hint="eastAsia"/>
          <w:sz w:val="24"/>
          <w:szCs w:val="24"/>
        </w:rPr>
        <w:t>乙方</w:t>
      </w:r>
      <w:r>
        <w:rPr>
          <w:rFonts w:hint="eastAsia"/>
          <w:sz w:val="24"/>
          <w:szCs w:val="24"/>
          <w:lang w:val="en-US"/>
        </w:rPr>
        <w:t>：</w:t>
      </w:r>
    </w:p>
    <w:p w14:paraId="6406CBF4">
      <w:pPr>
        <w:spacing w:line="480" w:lineRule="auto"/>
        <w:ind w:firstLine="240" w:firstLineChars="100"/>
        <w:textAlignment w:val="bottom"/>
        <w:rPr>
          <w:rFonts w:cs="Times New Roman"/>
          <w:sz w:val="24"/>
          <w:szCs w:val="24"/>
        </w:rPr>
      </w:pPr>
      <w:r>
        <w:rPr>
          <w:rFonts w:hint="eastAsia"/>
          <w:sz w:val="24"/>
          <w:szCs w:val="24"/>
        </w:rPr>
        <w:t>法定代表人或受委托人（签字）：</w:t>
      </w:r>
      <w:r>
        <w:rPr>
          <w:rFonts w:hint="eastAsia"/>
          <w:sz w:val="24"/>
          <w:szCs w:val="24"/>
          <w:lang w:val="en-US" w:eastAsia="zh-CN"/>
        </w:rPr>
        <w:t xml:space="preserve">                </w:t>
      </w:r>
      <w:r>
        <w:rPr>
          <w:rFonts w:hint="eastAsia"/>
          <w:sz w:val="24"/>
          <w:szCs w:val="24"/>
        </w:rPr>
        <w:t>法定代表人或受委托人（签字）：</w:t>
      </w:r>
    </w:p>
    <w:p w14:paraId="48009A52">
      <w:pPr>
        <w:spacing w:line="480" w:lineRule="auto"/>
        <w:ind w:firstLine="240" w:firstLineChars="100"/>
        <w:textAlignment w:val="bottom"/>
        <w:rPr>
          <w:rFonts w:cs="Times New Roman"/>
          <w:sz w:val="24"/>
          <w:szCs w:val="24"/>
        </w:rPr>
      </w:pPr>
      <w:r>
        <w:rPr>
          <w:rFonts w:hint="eastAsia"/>
          <w:sz w:val="24"/>
          <w:szCs w:val="24"/>
        </w:rPr>
        <w:t>地址：</w:t>
      </w:r>
      <w:r>
        <w:rPr>
          <w:rFonts w:hint="eastAsia"/>
          <w:sz w:val="24"/>
          <w:szCs w:val="24"/>
          <w:lang w:val="en-US" w:eastAsia="zh-CN"/>
        </w:rPr>
        <w:t xml:space="preserve">                                        </w:t>
      </w:r>
      <w:r>
        <w:rPr>
          <w:rFonts w:hint="eastAsia"/>
          <w:sz w:val="24"/>
          <w:szCs w:val="24"/>
        </w:rPr>
        <w:t>地址：</w:t>
      </w:r>
    </w:p>
    <w:p w14:paraId="0AAF848E">
      <w:pPr>
        <w:spacing w:line="480" w:lineRule="auto"/>
        <w:ind w:firstLine="240" w:firstLineChars="100"/>
        <w:textAlignment w:val="bottom"/>
        <w:rPr>
          <w:rFonts w:cs="Times New Roman"/>
          <w:sz w:val="24"/>
          <w:szCs w:val="24"/>
        </w:rPr>
      </w:pPr>
      <w:r>
        <w:rPr>
          <w:rFonts w:hint="eastAsia"/>
          <w:sz w:val="24"/>
          <w:szCs w:val="24"/>
        </w:rPr>
        <w:t>邮编：</w:t>
      </w:r>
      <w:r>
        <w:rPr>
          <w:rFonts w:hint="eastAsia"/>
          <w:sz w:val="24"/>
          <w:szCs w:val="24"/>
          <w:lang w:val="en-US" w:eastAsia="zh-CN"/>
        </w:rPr>
        <w:t xml:space="preserve">                                        </w:t>
      </w:r>
      <w:r>
        <w:rPr>
          <w:rFonts w:hint="eastAsia"/>
          <w:sz w:val="24"/>
          <w:szCs w:val="24"/>
        </w:rPr>
        <w:t>邮编：</w:t>
      </w:r>
    </w:p>
    <w:p w14:paraId="45D5C6C1">
      <w:pPr>
        <w:spacing w:line="480" w:lineRule="auto"/>
        <w:ind w:firstLine="240" w:firstLineChars="100"/>
        <w:textAlignment w:val="bottom"/>
        <w:rPr>
          <w:rFonts w:cs="Times New Roman"/>
          <w:sz w:val="24"/>
          <w:szCs w:val="24"/>
        </w:rPr>
      </w:pPr>
      <w:r>
        <w:rPr>
          <w:rFonts w:hint="eastAsia"/>
          <w:sz w:val="24"/>
          <w:szCs w:val="24"/>
        </w:rPr>
        <w:t>电话：</w:t>
      </w:r>
      <w:r>
        <w:rPr>
          <w:rFonts w:hint="eastAsia"/>
          <w:sz w:val="24"/>
          <w:szCs w:val="24"/>
          <w:lang w:val="en-US" w:eastAsia="zh-CN"/>
        </w:rPr>
        <w:t xml:space="preserve">                                        </w:t>
      </w:r>
      <w:r>
        <w:rPr>
          <w:rFonts w:hint="eastAsia"/>
          <w:sz w:val="24"/>
          <w:szCs w:val="24"/>
        </w:rPr>
        <w:t>电话：</w:t>
      </w:r>
    </w:p>
    <w:p w14:paraId="017DFD0F">
      <w:pPr>
        <w:spacing w:line="480" w:lineRule="auto"/>
        <w:ind w:firstLine="240" w:firstLineChars="100"/>
        <w:textAlignment w:val="bottom"/>
        <w:rPr>
          <w:rFonts w:cs="Times New Roman"/>
          <w:sz w:val="24"/>
          <w:szCs w:val="24"/>
        </w:rPr>
      </w:pPr>
      <w:r>
        <w:rPr>
          <w:rFonts w:hint="eastAsia"/>
          <w:sz w:val="24"/>
          <w:szCs w:val="24"/>
        </w:rPr>
        <w:t>传真：</w:t>
      </w:r>
      <w:r>
        <w:rPr>
          <w:rFonts w:hint="eastAsia"/>
          <w:sz w:val="24"/>
          <w:szCs w:val="24"/>
          <w:lang w:val="en-US" w:eastAsia="zh-CN"/>
        </w:rPr>
        <w:t xml:space="preserve">                                        </w:t>
      </w:r>
      <w:r>
        <w:rPr>
          <w:rFonts w:hint="eastAsia"/>
          <w:sz w:val="24"/>
          <w:szCs w:val="24"/>
        </w:rPr>
        <w:t>传真：</w:t>
      </w:r>
    </w:p>
    <w:p w14:paraId="25900C16">
      <w:pPr>
        <w:spacing w:line="480" w:lineRule="auto"/>
        <w:ind w:firstLine="240" w:firstLineChars="100"/>
        <w:textAlignment w:val="bottom"/>
        <w:rPr>
          <w:rFonts w:cs="Times New Roman"/>
          <w:sz w:val="24"/>
          <w:szCs w:val="24"/>
        </w:rPr>
      </w:pPr>
      <w:r>
        <w:rPr>
          <w:rFonts w:hint="eastAsia"/>
          <w:sz w:val="24"/>
          <w:szCs w:val="24"/>
        </w:rPr>
        <w:t>开户银行：</w:t>
      </w:r>
      <w:r>
        <w:rPr>
          <w:rFonts w:hint="eastAsia"/>
          <w:sz w:val="24"/>
          <w:szCs w:val="24"/>
          <w:lang w:val="en-US" w:eastAsia="zh-CN"/>
        </w:rPr>
        <w:t xml:space="preserve">                                    </w:t>
      </w:r>
      <w:r>
        <w:rPr>
          <w:rFonts w:hint="eastAsia"/>
          <w:sz w:val="24"/>
          <w:szCs w:val="24"/>
        </w:rPr>
        <w:t>开户银行：</w:t>
      </w:r>
    </w:p>
    <w:p w14:paraId="7C2A5A3B">
      <w:pPr>
        <w:spacing w:line="480" w:lineRule="auto"/>
        <w:ind w:firstLine="240" w:firstLineChars="100"/>
        <w:textAlignment w:val="bottom"/>
        <w:rPr>
          <w:rFonts w:cs="Times New Roman"/>
          <w:sz w:val="24"/>
          <w:szCs w:val="24"/>
        </w:rPr>
      </w:pPr>
      <w:r>
        <w:rPr>
          <w:rFonts w:hint="eastAsia"/>
          <w:sz w:val="24"/>
          <w:szCs w:val="24"/>
        </w:rPr>
        <w:t>账号：</w:t>
      </w:r>
      <w:r>
        <w:rPr>
          <w:rFonts w:hint="eastAsia"/>
          <w:sz w:val="24"/>
          <w:szCs w:val="24"/>
          <w:lang w:val="en-US" w:eastAsia="zh-CN"/>
        </w:rPr>
        <w:t xml:space="preserve">                                        </w:t>
      </w:r>
      <w:r>
        <w:rPr>
          <w:rFonts w:hint="eastAsia"/>
          <w:sz w:val="24"/>
          <w:szCs w:val="24"/>
        </w:rPr>
        <w:t>账号：</w:t>
      </w:r>
    </w:p>
    <w:p w14:paraId="694FBB1F">
      <w:pPr>
        <w:spacing w:line="480" w:lineRule="auto"/>
        <w:ind w:firstLine="240" w:firstLineChars="100"/>
        <w:textAlignment w:val="bottom"/>
        <w:rPr>
          <w:rFonts w:hint="eastAsia" w:eastAsia="宋体"/>
          <w:sz w:val="24"/>
          <w:szCs w:val="24"/>
          <w:lang w:val="en-US" w:eastAsia="zh-CN"/>
        </w:rPr>
      </w:pPr>
      <w:r>
        <w:rPr>
          <w:rFonts w:hint="eastAsia"/>
          <w:sz w:val="24"/>
          <w:szCs w:val="24"/>
        </w:rPr>
        <w:t>签字</w:t>
      </w:r>
      <w:r>
        <w:rPr>
          <w:rFonts w:hint="eastAsia"/>
          <w:sz w:val="24"/>
          <w:szCs w:val="24"/>
          <w:lang w:val="en-US" w:eastAsia="zh-CN"/>
        </w:rPr>
        <w:t xml:space="preserve">                                          </w:t>
      </w:r>
      <w:r>
        <w:rPr>
          <w:rFonts w:hint="eastAsia"/>
          <w:sz w:val="24"/>
          <w:szCs w:val="24"/>
        </w:rPr>
        <w:t>签字</w:t>
      </w:r>
      <w:r>
        <w:rPr>
          <w:rFonts w:hint="eastAsia"/>
          <w:sz w:val="24"/>
          <w:szCs w:val="24"/>
          <w:lang w:eastAsia="zh-CN"/>
        </w:rPr>
        <w:t>：</w:t>
      </w:r>
    </w:p>
    <w:p w14:paraId="57680FE3">
      <w:pPr>
        <w:spacing w:line="480" w:lineRule="auto"/>
        <w:ind w:firstLine="240" w:firstLineChars="100"/>
        <w:textAlignment w:val="bottom"/>
        <w:rPr>
          <w:rFonts w:cs="Times New Roman"/>
          <w:sz w:val="24"/>
          <w:szCs w:val="24"/>
        </w:rPr>
      </w:pPr>
      <w:r>
        <w:rPr>
          <w:rFonts w:hint="eastAsia"/>
          <w:sz w:val="24"/>
          <w:szCs w:val="24"/>
        </w:rPr>
        <w:t>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r>
        <w:rPr>
          <w:rFonts w:hint="eastAsia"/>
          <w:sz w:val="24"/>
          <w:szCs w:val="24"/>
          <w:lang w:val="en-US" w:eastAsia="zh-CN"/>
        </w:rPr>
        <w:t xml:space="preserve">                            </w:t>
      </w:r>
      <w:r>
        <w:rPr>
          <w:rFonts w:hint="eastAsia"/>
          <w:sz w:val="24"/>
          <w:szCs w:val="24"/>
        </w:rPr>
        <w:t>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14:paraId="175C42C4"/>
    <w:p w14:paraId="16893772">
      <w:pPr>
        <w:rPr>
          <w:rFonts w:hint="eastAsia" w:ascii="宋体" w:hAnsi="宋体" w:cs="仿宋"/>
          <w:b/>
          <w:sz w:val="30"/>
          <w:szCs w:val="30"/>
        </w:rPr>
      </w:pPr>
      <w:r>
        <w:rPr>
          <w:rFonts w:hint="eastAsia" w:ascii="宋体" w:hAnsi="宋体" w:cs="仿宋"/>
          <w:b/>
          <w:sz w:val="30"/>
          <w:szCs w:val="30"/>
        </w:rPr>
        <w:br w:type="page"/>
      </w:r>
    </w:p>
    <w:p w14:paraId="1C73E31A">
      <w:pPr>
        <w:spacing w:line="500" w:lineRule="exact"/>
        <w:jc w:val="center"/>
        <w:outlineLvl w:val="0"/>
        <w:rPr>
          <w:rFonts w:ascii="宋体" w:hAnsi="宋体" w:cs="仿宋"/>
          <w:b/>
          <w:sz w:val="30"/>
          <w:szCs w:val="30"/>
        </w:rPr>
      </w:pPr>
      <w:r>
        <w:rPr>
          <w:rFonts w:hint="eastAsia" w:ascii="宋体" w:hAnsi="宋体" w:cs="仿宋"/>
          <w:b/>
          <w:sz w:val="30"/>
          <w:szCs w:val="30"/>
        </w:rPr>
        <w:t>第六章投标文件格式</w:t>
      </w:r>
      <w:bookmarkEnd w:id="29"/>
    </w:p>
    <w:p w14:paraId="702C0B81">
      <w:pPr>
        <w:snapToGrid w:val="0"/>
        <w:spacing w:beforeLines="50" w:after="50"/>
        <w:rPr>
          <w:rFonts w:ascii="宋体" w:hAnsi="宋体" w:cs="宋体"/>
          <w:b/>
          <w:sz w:val="24"/>
        </w:rPr>
      </w:pPr>
    </w:p>
    <w:p w14:paraId="5C9C16E9">
      <w:pPr>
        <w:snapToGrid w:val="0"/>
        <w:spacing w:beforeLines="50" w:after="50"/>
        <w:rPr>
          <w:rFonts w:ascii="宋体" w:hAnsi="宋体" w:cs="宋体"/>
          <w:b/>
          <w:sz w:val="24"/>
          <w:szCs w:val="20"/>
        </w:rPr>
      </w:pPr>
      <w:r>
        <w:rPr>
          <w:rFonts w:hint="eastAsia" w:ascii="宋体" w:hAnsi="宋体" w:cs="宋体"/>
          <w:b/>
          <w:sz w:val="24"/>
        </w:rPr>
        <w:t>1、资格文件（或</w:t>
      </w:r>
      <w:r>
        <w:rPr>
          <w:rFonts w:hint="eastAsia" w:ascii="宋体" w:hAnsi="宋体" w:cs="宋体"/>
          <w:b/>
          <w:bCs/>
          <w:sz w:val="24"/>
        </w:rPr>
        <w:t>商务技术文件）格式</w:t>
      </w:r>
    </w:p>
    <w:p w14:paraId="54192669">
      <w:pPr>
        <w:snapToGrid w:val="0"/>
        <w:spacing w:beforeLines="50" w:after="50"/>
        <w:jc w:val="right"/>
        <w:rPr>
          <w:rFonts w:ascii="宋体" w:hAnsi="宋体" w:cs="宋体"/>
          <w:b/>
          <w:bCs/>
          <w:sz w:val="32"/>
          <w:szCs w:val="20"/>
        </w:rPr>
      </w:pPr>
      <w:r>
        <w:rPr>
          <w:rFonts w:hint="eastAsia" w:ascii="宋体" w:hAnsi="宋体" w:cs="宋体"/>
          <w:b/>
          <w:bCs/>
        </w:rPr>
        <w:t>正本/或副本</w:t>
      </w:r>
    </w:p>
    <w:p w14:paraId="385464D6">
      <w:pPr>
        <w:snapToGrid w:val="0"/>
        <w:spacing w:beforeLines="50" w:after="50"/>
        <w:rPr>
          <w:rFonts w:ascii="宋体" w:hAnsi="宋体" w:cs="宋体"/>
          <w:sz w:val="24"/>
          <w:szCs w:val="20"/>
        </w:rPr>
      </w:pPr>
    </w:p>
    <w:p w14:paraId="4846F5BA">
      <w:pPr>
        <w:snapToGrid w:val="0"/>
        <w:spacing w:beforeLines="50" w:after="50"/>
        <w:jc w:val="center"/>
        <w:rPr>
          <w:rFonts w:ascii="宋体" w:hAnsi="宋体" w:cs="宋体"/>
          <w:bCs/>
          <w:sz w:val="24"/>
          <w:szCs w:val="20"/>
        </w:rPr>
      </w:pPr>
    </w:p>
    <w:p w14:paraId="60D50338">
      <w:pPr>
        <w:snapToGrid w:val="0"/>
        <w:spacing w:beforeLines="50" w:after="50"/>
        <w:jc w:val="center"/>
        <w:rPr>
          <w:rFonts w:ascii="宋体" w:hAnsi="宋体" w:cs="宋体"/>
          <w:bCs/>
          <w:sz w:val="24"/>
          <w:szCs w:val="20"/>
        </w:rPr>
      </w:pPr>
      <w:r>
        <w:rPr>
          <w:rFonts w:hint="eastAsia" w:ascii="宋体" w:hAnsi="宋体" w:cs="宋体"/>
          <w:bCs/>
          <w:sz w:val="24"/>
        </w:rPr>
        <w:t>资格文件（或商务技术文件）</w:t>
      </w:r>
    </w:p>
    <w:p w14:paraId="08A7998C">
      <w:pPr>
        <w:snapToGrid w:val="0"/>
        <w:spacing w:beforeLines="50" w:after="50"/>
        <w:rPr>
          <w:rFonts w:ascii="宋体" w:hAnsi="宋体" w:cs="宋体"/>
          <w:bCs/>
          <w:sz w:val="24"/>
          <w:szCs w:val="20"/>
        </w:rPr>
      </w:pPr>
    </w:p>
    <w:p w14:paraId="4A757576">
      <w:pPr>
        <w:snapToGrid w:val="0"/>
        <w:spacing w:beforeLines="50" w:after="50"/>
        <w:ind w:firstLine="1068" w:firstLineChars="445"/>
        <w:rPr>
          <w:rFonts w:ascii="宋体" w:hAnsi="宋体" w:cs="宋体"/>
          <w:bCs/>
          <w:sz w:val="24"/>
        </w:rPr>
      </w:pPr>
      <w:r>
        <w:rPr>
          <w:rFonts w:hint="eastAsia" w:ascii="宋体" w:hAnsi="宋体" w:cs="宋体"/>
          <w:bCs/>
          <w:sz w:val="24"/>
        </w:rPr>
        <w:t>项目名称：</w:t>
      </w:r>
    </w:p>
    <w:p w14:paraId="1C024BEF">
      <w:pPr>
        <w:snapToGrid w:val="0"/>
        <w:spacing w:beforeLines="50" w:after="50"/>
        <w:ind w:firstLine="1068" w:firstLineChars="445"/>
        <w:rPr>
          <w:rFonts w:ascii="宋体" w:hAnsi="宋体" w:cs="宋体"/>
          <w:bCs/>
          <w:sz w:val="24"/>
        </w:rPr>
      </w:pPr>
      <w:r>
        <w:rPr>
          <w:rFonts w:hint="eastAsia" w:ascii="宋体" w:hAnsi="宋体" w:cs="宋体"/>
          <w:bCs/>
          <w:sz w:val="24"/>
        </w:rPr>
        <w:t>项目编号：</w:t>
      </w:r>
    </w:p>
    <w:p w14:paraId="2A4D25A1">
      <w:pPr>
        <w:snapToGrid w:val="0"/>
        <w:spacing w:beforeLines="50" w:after="50"/>
        <w:ind w:firstLine="1068" w:firstLineChars="445"/>
        <w:rPr>
          <w:rFonts w:ascii="宋体" w:hAnsi="宋体" w:cs="宋体"/>
          <w:bCs/>
          <w:sz w:val="24"/>
        </w:rPr>
      </w:pPr>
      <w:r>
        <w:rPr>
          <w:rFonts w:hint="eastAsia" w:ascii="宋体" w:hAnsi="宋体" w:cs="宋体"/>
          <w:bCs/>
          <w:sz w:val="24"/>
        </w:rPr>
        <w:t>投标人名称：</w:t>
      </w:r>
    </w:p>
    <w:p w14:paraId="4197B3B1">
      <w:pPr>
        <w:snapToGrid w:val="0"/>
        <w:spacing w:beforeLines="50" w:after="50"/>
        <w:ind w:firstLine="1068" w:firstLineChars="445"/>
        <w:rPr>
          <w:rFonts w:ascii="宋体" w:hAnsi="宋体" w:cs="宋体"/>
          <w:bCs/>
          <w:sz w:val="24"/>
        </w:rPr>
      </w:pPr>
      <w:r>
        <w:rPr>
          <w:rFonts w:hint="eastAsia" w:ascii="宋体" w:hAnsi="宋体" w:cs="宋体"/>
          <w:bCs/>
          <w:sz w:val="24"/>
        </w:rPr>
        <w:t>投标人地址：</w:t>
      </w:r>
    </w:p>
    <w:p w14:paraId="7C0E0350">
      <w:pPr>
        <w:snapToGrid w:val="0"/>
        <w:spacing w:beforeLines="50" w:after="50"/>
        <w:ind w:firstLine="1068" w:firstLineChars="445"/>
        <w:rPr>
          <w:rFonts w:ascii="宋体" w:hAnsi="宋体" w:cs="宋体"/>
          <w:bCs/>
          <w:sz w:val="24"/>
        </w:rPr>
      </w:pPr>
      <w:r>
        <w:rPr>
          <w:rFonts w:hint="eastAsia" w:ascii="宋体" w:hAnsi="宋体" w:cs="宋体"/>
          <w:bCs/>
          <w:sz w:val="24"/>
        </w:rPr>
        <w:t>在   年  月  日  时  分之前不得启封</w:t>
      </w:r>
    </w:p>
    <w:p w14:paraId="3CFE0EF2">
      <w:pPr>
        <w:pStyle w:val="7"/>
        <w:snapToGrid w:val="0"/>
        <w:spacing w:before="50" w:after="50"/>
        <w:ind w:firstLine="960" w:firstLineChars="400"/>
        <w:rPr>
          <w:rFonts w:ascii="宋体" w:hAnsi="宋体" w:cs="宋体"/>
          <w:bCs/>
          <w:sz w:val="24"/>
        </w:rPr>
      </w:pPr>
    </w:p>
    <w:p w14:paraId="6605BA96">
      <w:pPr>
        <w:snapToGrid w:val="0"/>
        <w:spacing w:beforeLines="50" w:after="50"/>
        <w:ind w:firstLine="4080" w:firstLineChars="1700"/>
        <w:rPr>
          <w:rFonts w:ascii="宋体" w:hAnsi="宋体" w:cs="宋体"/>
          <w:sz w:val="24"/>
          <w:szCs w:val="20"/>
        </w:rPr>
      </w:pPr>
    </w:p>
    <w:p w14:paraId="553F659D">
      <w:pPr>
        <w:snapToGrid w:val="0"/>
        <w:spacing w:beforeLines="50" w:after="50"/>
        <w:ind w:firstLine="645"/>
        <w:jc w:val="right"/>
        <w:rPr>
          <w:rFonts w:ascii="宋体" w:hAnsi="宋体" w:cs="宋体"/>
          <w:sz w:val="24"/>
          <w:szCs w:val="20"/>
        </w:rPr>
      </w:pPr>
      <w:r>
        <w:rPr>
          <w:rFonts w:hint="eastAsia" w:ascii="宋体" w:hAnsi="宋体" w:cs="宋体"/>
          <w:sz w:val="24"/>
        </w:rPr>
        <w:t>年  月  日</w:t>
      </w:r>
    </w:p>
    <w:p w14:paraId="5256611A">
      <w:pPr>
        <w:snapToGrid w:val="0"/>
        <w:spacing w:beforeLines="50" w:after="50"/>
        <w:rPr>
          <w:rFonts w:ascii="宋体" w:hAnsi="宋体" w:cs="宋体"/>
          <w:sz w:val="24"/>
          <w:szCs w:val="20"/>
        </w:rPr>
      </w:pPr>
    </w:p>
    <w:p w14:paraId="42B45A58">
      <w:pPr>
        <w:pStyle w:val="64"/>
      </w:pPr>
    </w:p>
    <w:p w14:paraId="42F070FC">
      <w:pPr>
        <w:pStyle w:val="64"/>
      </w:pPr>
    </w:p>
    <w:p w14:paraId="65686D98">
      <w:pPr>
        <w:pStyle w:val="64"/>
      </w:pPr>
    </w:p>
    <w:p w14:paraId="2016292B">
      <w:pPr>
        <w:pStyle w:val="64"/>
      </w:pPr>
    </w:p>
    <w:p w14:paraId="1BD5A26A">
      <w:pPr>
        <w:pStyle w:val="64"/>
      </w:pPr>
    </w:p>
    <w:p w14:paraId="2F513D87">
      <w:pPr>
        <w:pStyle w:val="64"/>
      </w:pPr>
    </w:p>
    <w:p w14:paraId="52C09F6B">
      <w:pPr>
        <w:pStyle w:val="64"/>
      </w:pPr>
    </w:p>
    <w:p w14:paraId="4AD29011">
      <w:pPr>
        <w:pStyle w:val="64"/>
      </w:pPr>
    </w:p>
    <w:p w14:paraId="6093BAF6">
      <w:pPr>
        <w:pStyle w:val="64"/>
      </w:pPr>
    </w:p>
    <w:p w14:paraId="2C463AA7">
      <w:pPr>
        <w:pStyle w:val="64"/>
      </w:pPr>
    </w:p>
    <w:p w14:paraId="5A470E63">
      <w:pPr>
        <w:pStyle w:val="64"/>
      </w:pPr>
    </w:p>
    <w:p w14:paraId="005B94D7">
      <w:pPr>
        <w:pStyle w:val="64"/>
      </w:pPr>
    </w:p>
    <w:p w14:paraId="48E8BD3C">
      <w:pPr>
        <w:pStyle w:val="64"/>
      </w:pPr>
    </w:p>
    <w:p w14:paraId="68062386">
      <w:pPr>
        <w:pStyle w:val="64"/>
      </w:pPr>
    </w:p>
    <w:p w14:paraId="0B6077C7">
      <w:pPr>
        <w:pStyle w:val="64"/>
      </w:pPr>
    </w:p>
    <w:p w14:paraId="394E55B5">
      <w:pPr>
        <w:pStyle w:val="64"/>
      </w:pPr>
    </w:p>
    <w:p w14:paraId="541D3B9A">
      <w:pPr>
        <w:pStyle w:val="64"/>
      </w:pPr>
    </w:p>
    <w:p w14:paraId="2D2D40A8">
      <w:pPr>
        <w:pStyle w:val="64"/>
      </w:pPr>
    </w:p>
    <w:p w14:paraId="451F587B">
      <w:pPr>
        <w:pStyle w:val="64"/>
      </w:pPr>
    </w:p>
    <w:p w14:paraId="6ACA984F">
      <w:pPr>
        <w:pStyle w:val="64"/>
      </w:pPr>
    </w:p>
    <w:p w14:paraId="2C459A2B">
      <w:pPr>
        <w:pStyle w:val="64"/>
      </w:pPr>
    </w:p>
    <w:p w14:paraId="799A2A83">
      <w:pPr>
        <w:pStyle w:val="64"/>
      </w:pPr>
    </w:p>
    <w:p w14:paraId="44D10CB5">
      <w:pPr>
        <w:pStyle w:val="64"/>
      </w:pPr>
    </w:p>
    <w:p w14:paraId="3403E006">
      <w:pPr>
        <w:pStyle w:val="64"/>
      </w:pPr>
    </w:p>
    <w:p w14:paraId="7430C29E">
      <w:pPr>
        <w:pStyle w:val="64"/>
      </w:pPr>
    </w:p>
    <w:p w14:paraId="20D45EC0">
      <w:pPr>
        <w:snapToGrid w:val="0"/>
        <w:spacing w:beforeLines="50" w:after="50"/>
        <w:rPr>
          <w:rFonts w:ascii="宋体" w:hAnsi="宋体"/>
          <w:b/>
          <w:sz w:val="24"/>
        </w:rPr>
      </w:pPr>
    </w:p>
    <w:p w14:paraId="13090EB1">
      <w:pPr>
        <w:snapToGrid w:val="0"/>
        <w:spacing w:beforeLines="50" w:after="50"/>
        <w:rPr>
          <w:rFonts w:ascii="宋体" w:hAnsi="宋体"/>
          <w:b/>
          <w:sz w:val="24"/>
        </w:rPr>
      </w:pPr>
      <w:r>
        <w:rPr>
          <w:rFonts w:hint="eastAsia" w:ascii="宋体" w:hAnsi="宋体"/>
          <w:b/>
          <w:sz w:val="24"/>
        </w:rPr>
        <w:t>资格文件目录</w:t>
      </w:r>
    </w:p>
    <w:p w14:paraId="6A7C5126">
      <w:pPr>
        <w:tabs>
          <w:tab w:val="left" w:pos="668"/>
        </w:tabs>
        <w:spacing w:line="460" w:lineRule="exact"/>
        <w:ind w:firstLine="480" w:firstLineChars="200"/>
        <w:rPr>
          <w:rFonts w:hint="eastAsia" w:eastAsia="宋体"/>
          <w:sz w:val="24"/>
          <w:szCs w:val="24"/>
          <w:lang w:val="en-US"/>
        </w:rPr>
      </w:pPr>
      <w:r>
        <w:rPr>
          <w:rFonts w:hint="eastAsia" w:eastAsia="宋体"/>
          <w:sz w:val="24"/>
          <w:szCs w:val="24"/>
          <w:lang w:val="en-US" w:eastAsia="zh-CN"/>
        </w:rPr>
        <w:t>（1）供应商</w:t>
      </w:r>
      <w:r>
        <w:rPr>
          <w:rFonts w:hint="eastAsia" w:eastAsia="宋体"/>
          <w:sz w:val="24"/>
          <w:szCs w:val="24"/>
          <w:lang w:val="en-US"/>
        </w:rPr>
        <w:t>情况表；</w:t>
      </w:r>
    </w:p>
    <w:p w14:paraId="4008C367">
      <w:pPr>
        <w:spacing w:line="460" w:lineRule="exact"/>
        <w:ind w:firstLine="480" w:firstLineChars="200"/>
        <w:rPr>
          <w:sz w:val="24"/>
          <w:szCs w:val="24"/>
          <w:lang w:val="en-US"/>
        </w:rPr>
      </w:pPr>
      <w:r>
        <w:rPr>
          <w:rFonts w:hint="eastAsia"/>
          <w:sz w:val="24"/>
          <w:szCs w:val="24"/>
          <w:lang w:val="en-US" w:eastAsia="zh-CN"/>
        </w:rPr>
        <w:t>（2）</w:t>
      </w:r>
      <w:r>
        <w:rPr>
          <w:rFonts w:hint="eastAsia"/>
          <w:sz w:val="24"/>
          <w:szCs w:val="24"/>
          <w:lang w:val="en-US"/>
        </w:rPr>
        <w:t>“三证合一”的营业执照或“五证合一”的营业执照（原件扫描件）</w:t>
      </w:r>
    </w:p>
    <w:p w14:paraId="23E92CE3">
      <w:pPr>
        <w:spacing w:line="460" w:lineRule="exact"/>
        <w:ind w:firstLine="480" w:firstLineChars="200"/>
        <w:rPr>
          <w:sz w:val="24"/>
          <w:szCs w:val="24"/>
          <w:lang w:val="en-US"/>
        </w:rPr>
      </w:pPr>
      <w:r>
        <w:rPr>
          <w:rFonts w:hint="eastAsia"/>
          <w:sz w:val="24"/>
          <w:szCs w:val="24"/>
          <w:lang w:val="en-US" w:eastAsia="zh-CN"/>
        </w:rPr>
        <w:t>（3）</w:t>
      </w:r>
      <w:r>
        <w:rPr>
          <w:rFonts w:hint="eastAsia"/>
          <w:sz w:val="24"/>
          <w:szCs w:val="24"/>
          <w:lang w:val="en-US"/>
        </w:rPr>
        <w:t xml:space="preserve"> 法定代表人有效身份证明书及身份证或法定代表人授权书及授权人身份证；（格式见第</w:t>
      </w:r>
      <w:r>
        <w:rPr>
          <w:rFonts w:hint="eastAsia"/>
          <w:sz w:val="24"/>
          <w:szCs w:val="24"/>
          <w:lang w:val="en-US" w:eastAsia="zh-CN"/>
        </w:rPr>
        <w:t>六</w:t>
      </w:r>
      <w:r>
        <w:rPr>
          <w:rFonts w:hint="eastAsia"/>
          <w:sz w:val="24"/>
          <w:szCs w:val="24"/>
          <w:lang w:val="en-US"/>
        </w:rPr>
        <w:t>章）</w:t>
      </w:r>
    </w:p>
    <w:p w14:paraId="0460652B">
      <w:pPr>
        <w:spacing w:line="460" w:lineRule="exact"/>
        <w:ind w:firstLine="480" w:firstLineChars="200"/>
        <w:rPr>
          <w:rFonts w:hint="eastAsia" w:eastAsia="宋体"/>
          <w:sz w:val="24"/>
          <w:szCs w:val="24"/>
          <w:lang w:val="en-US" w:eastAsia="zh-CN"/>
        </w:rPr>
      </w:pPr>
      <w:r>
        <w:rPr>
          <w:rFonts w:hint="eastAsia"/>
          <w:sz w:val="24"/>
          <w:szCs w:val="24"/>
          <w:lang w:val="en-US" w:eastAsia="zh-CN"/>
        </w:rPr>
        <w:t>（4）</w:t>
      </w:r>
      <w:r>
        <w:rPr>
          <w:rFonts w:hint="eastAsia"/>
          <w:sz w:val="24"/>
          <w:szCs w:val="24"/>
          <w:lang w:val="en-US"/>
        </w:rPr>
        <w:t>授权代理人提供最近三个月中任意一个月的社保证明</w:t>
      </w:r>
      <w:r>
        <w:rPr>
          <w:rFonts w:hint="eastAsia"/>
          <w:sz w:val="24"/>
          <w:szCs w:val="24"/>
          <w:lang w:val="en-US" w:eastAsia="zh-CN"/>
        </w:rPr>
        <w:t>；</w:t>
      </w:r>
    </w:p>
    <w:p w14:paraId="003AA47F">
      <w:pPr>
        <w:spacing w:line="460" w:lineRule="exact"/>
        <w:ind w:firstLine="480" w:firstLineChars="200"/>
        <w:rPr>
          <w:sz w:val="24"/>
          <w:szCs w:val="24"/>
          <w:lang w:val="en-US"/>
        </w:rPr>
      </w:pPr>
      <w:r>
        <w:rPr>
          <w:rFonts w:hint="eastAsia"/>
          <w:sz w:val="24"/>
          <w:szCs w:val="24"/>
          <w:lang w:val="en-US" w:eastAsia="zh-CN"/>
        </w:rPr>
        <w:t>（5）</w:t>
      </w:r>
      <w:r>
        <w:rPr>
          <w:rFonts w:hint="eastAsia"/>
          <w:sz w:val="24"/>
          <w:szCs w:val="24"/>
          <w:lang w:val="en-US"/>
        </w:rPr>
        <w:t>最近一个季度中任意一个月的依法缴纳税收和社保费的证明税费凭证复印件加盖公章，或者依法缴纳税费或依法免缴税费的证明；</w:t>
      </w:r>
    </w:p>
    <w:p w14:paraId="2D049AF2">
      <w:pPr>
        <w:spacing w:line="460" w:lineRule="exact"/>
        <w:ind w:firstLine="480" w:firstLineChars="200"/>
        <w:rPr>
          <w:sz w:val="24"/>
          <w:szCs w:val="24"/>
          <w:lang w:val="en-US"/>
        </w:rPr>
      </w:pPr>
      <w:r>
        <w:rPr>
          <w:rFonts w:hint="eastAsia"/>
          <w:sz w:val="24"/>
          <w:szCs w:val="24"/>
          <w:lang w:val="en-US" w:eastAsia="zh-CN"/>
        </w:rPr>
        <w:t>（6）</w:t>
      </w:r>
      <w:r>
        <w:rPr>
          <w:rFonts w:hint="eastAsia"/>
          <w:sz w:val="24"/>
          <w:szCs w:val="24"/>
          <w:lang w:val="en-US"/>
        </w:rPr>
        <w:t>自</w:t>
      </w:r>
      <w:r>
        <w:rPr>
          <w:rFonts w:hint="eastAsia"/>
          <w:sz w:val="24"/>
          <w:szCs w:val="24"/>
          <w:lang w:val="en-US" w:eastAsia="zh-CN"/>
        </w:rPr>
        <w:t>招标</w:t>
      </w:r>
      <w:r>
        <w:rPr>
          <w:rFonts w:hint="eastAsia"/>
          <w:sz w:val="24"/>
          <w:szCs w:val="24"/>
          <w:lang w:val="en-US"/>
        </w:rPr>
        <w:t>公告发布之后任意时间的“信用中国”（www.creditchina.gov.cn）、中国政府采购（www.ccgp.gov.cn）供应商信用查询网页截图；（二者缺一不可，平台网页截图加盖单位公章）</w:t>
      </w:r>
    </w:p>
    <w:p w14:paraId="79D1F97B">
      <w:pPr>
        <w:spacing w:line="460" w:lineRule="exact"/>
        <w:ind w:firstLine="480" w:firstLineChars="200"/>
        <w:rPr>
          <w:sz w:val="24"/>
          <w:szCs w:val="24"/>
          <w:lang w:val="en-US"/>
        </w:rPr>
      </w:pPr>
      <w:r>
        <w:rPr>
          <w:rFonts w:hint="eastAsia"/>
          <w:sz w:val="24"/>
          <w:szCs w:val="24"/>
          <w:lang w:val="en-US" w:eastAsia="zh-CN"/>
        </w:rPr>
        <w:t>（7）</w:t>
      </w:r>
      <w:r>
        <w:rPr>
          <w:rFonts w:hint="eastAsia" w:ascii="宋体" w:hAnsi="宋体" w:eastAsia="宋体" w:cs="宋体"/>
          <w:sz w:val="24"/>
        </w:rPr>
        <w:t>供应商</w:t>
      </w:r>
      <w:r>
        <w:rPr>
          <w:rFonts w:hint="eastAsia" w:ascii="宋体" w:hAnsi="宋体" w:eastAsia="宋体" w:cs="宋体"/>
          <w:sz w:val="24"/>
          <w:lang w:eastAsia="zh-CN"/>
        </w:rPr>
        <w:t>的</w:t>
      </w:r>
      <w:r>
        <w:rPr>
          <w:rFonts w:hint="eastAsia" w:ascii="宋体" w:hAnsi="宋体" w:eastAsia="宋体" w:cs="宋体"/>
          <w:sz w:val="24"/>
        </w:rPr>
        <w:t>《中小企业声明函》，或属残疾人福利性单位、监狱企业的证明</w:t>
      </w:r>
      <w:r>
        <w:rPr>
          <w:rFonts w:hint="eastAsia" w:ascii="宋体" w:hAnsi="宋体" w:eastAsia="宋体" w:cs="宋体"/>
          <w:sz w:val="24"/>
          <w:lang w:eastAsia="zh-CN"/>
        </w:rPr>
        <w:t>；</w:t>
      </w:r>
    </w:p>
    <w:p w14:paraId="333C45F6">
      <w:pPr>
        <w:spacing w:line="460" w:lineRule="exact"/>
        <w:ind w:firstLine="480" w:firstLineChars="200"/>
        <w:rPr>
          <w:rFonts w:hint="eastAsia"/>
          <w:sz w:val="24"/>
          <w:szCs w:val="24"/>
          <w:lang w:val="en-US" w:eastAsia="zh-CN"/>
        </w:rPr>
      </w:pPr>
      <w:r>
        <w:rPr>
          <w:rFonts w:hint="eastAsia"/>
          <w:sz w:val="24"/>
          <w:szCs w:val="24"/>
          <w:lang w:val="en-US" w:eastAsia="zh-CN"/>
        </w:rPr>
        <w:t>（8）信用承诺书；</w:t>
      </w:r>
    </w:p>
    <w:p w14:paraId="1C442C5A">
      <w:pPr>
        <w:spacing w:line="460" w:lineRule="exact"/>
        <w:ind w:firstLine="480" w:firstLineChars="200"/>
        <w:rPr>
          <w:rFonts w:hAnsi="宋体"/>
          <w:sz w:val="24"/>
        </w:rPr>
      </w:pPr>
      <w:r>
        <w:rPr>
          <w:rFonts w:hint="eastAsia"/>
          <w:sz w:val="24"/>
          <w:szCs w:val="24"/>
          <w:lang w:val="en-US" w:eastAsia="zh-CN"/>
        </w:rPr>
        <w:t>（9）</w:t>
      </w:r>
      <w:r>
        <w:rPr>
          <w:rFonts w:hint="eastAsia"/>
          <w:sz w:val="24"/>
          <w:szCs w:val="24"/>
          <w:lang w:val="en-US"/>
        </w:rPr>
        <w:t>供应商认为需要的其他文件资料。</w:t>
      </w:r>
    </w:p>
    <w:p w14:paraId="2AB32675">
      <w:pPr>
        <w:pStyle w:val="29"/>
        <w:spacing w:line="360" w:lineRule="auto"/>
        <w:ind w:firstLine="480" w:firstLineChars="200"/>
        <w:rPr>
          <w:sz w:val="24"/>
        </w:rPr>
      </w:pPr>
    </w:p>
    <w:p w14:paraId="7887CED5">
      <w:pPr>
        <w:snapToGrid w:val="0"/>
        <w:spacing w:beforeLines="50" w:after="50" w:line="276" w:lineRule="auto"/>
        <w:rPr>
          <w:rFonts w:ascii="宋体" w:hAnsi="宋体"/>
          <w:b/>
          <w:sz w:val="30"/>
        </w:rPr>
      </w:pPr>
    </w:p>
    <w:p w14:paraId="208992DB">
      <w:pPr>
        <w:snapToGrid w:val="0"/>
        <w:spacing w:beforeLines="50" w:after="50" w:line="276" w:lineRule="auto"/>
        <w:rPr>
          <w:rFonts w:ascii="宋体" w:hAnsi="宋体"/>
          <w:b/>
          <w:sz w:val="30"/>
        </w:rPr>
      </w:pPr>
    </w:p>
    <w:p w14:paraId="624717C1">
      <w:pPr>
        <w:pStyle w:val="22"/>
        <w:ind w:firstLine="240"/>
        <w:rPr>
          <w:sz w:val="24"/>
        </w:rPr>
      </w:pPr>
    </w:p>
    <w:p w14:paraId="1609522C">
      <w:pPr>
        <w:snapToGrid w:val="0"/>
        <w:spacing w:beforeLines="50" w:after="50" w:line="276" w:lineRule="auto"/>
        <w:rPr>
          <w:rFonts w:ascii="宋体" w:hAnsi="宋体"/>
          <w:b/>
          <w:sz w:val="30"/>
        </w:rPr>
      </w:pPr>
    </w:p>
    <w:p w14:paraId="2F862BF9">
      <w:pPr>
        <w:pStyle w:val="22"/>
        <w:ind w:firstLine="240"/>
        <w:rPr>
          <w:sz w:val="24"/>
        </w:rPr>
      </w:pPr>
    </w:p>
    <w:p w14:paraId="73ECC08C">
      <w:pPr>
        <w:pStyle w:val="22"/>
        <w:ind w:firstLine="240"/>
        <w:rPr>
          <w:sz w:val="24"/>
        </w:rPr>
      </w:pPr>
    </w:p>
    <w:p w14:paraId="0D00781A">
      <w:pPr>
        <w:pStyle w:val="22"/>
        <w:ind w:firstLine="240"/>
        <w:rPr>
          <w:sz w:val="24"/>
        </w:rPr>
      </w:pPr>
    </w:p>
    <w:p w14:paraId="6FBC1712">
      <w:pPr>
        <w:pStyle w:val="22"/>
        <w:ind w:firstLine="240"/>
        <w:rPr>
          <w:sz w:val="24"/>
        </w:rPr>
      </w:pPr>
    </w:p>
    <w:p w14:paraId="03BFB6A1">
      <w:pPr>
        <w:pStyle w:val="22"/>
        <w:ind w:firstLine="240"/>
        <w:rPr>
          <w:sz w:val="24"/>
        </w:rPr>
      </w:pPr>
    </w:p>
    <w:p w14:paraId="40D44399">
      <w:pPr>
        <w:pStyle w:val="22"/>
        <w:ind w:firstLine="240"/>
        <w:rPr>
          <w:sz w:val="24"/>
        </w:rPr>
      </w:pPr>
    </w:p>
    <w:p w14:paraId="10704A92">
      <w:pPr>
        <w:pStyle w:val="22"/>
        <w:ind w:firstLine="240"/>
        <w:rPr>
          <w:sz w:val="24"/>
        </w:rPr>
      </w:pPr>
    </w:p>
    <w:p w14:paraId="6C7713F9">
      <w:pPr>
        <w:pStyle w:val="22"/>
        <w:ind w:firstLine="240"/>
        <w:rPr>
          <w:sz w:val="24"/>
        </w:rPr>
      </w:pPr>
    </w:p>
    <w:p w14:paraId="3F4DA458">
      <w:pPr>
        <w:pStyle w:val="22"/>
        <w:ind w:firstLine="240"/>
        <w:rPr>
          <w:sz w:val="24"/>
        </w:rPr>
      </w:pPr>
    </w:p>
    <w:p w14:paraId="44D0D0BE">
      <w:pPr>
        <w:pStyle w:val="22"/>
        <w:ind w:firstLine="240"/>
        <w:rPr>
          <w:sz w:val="24"/>
        </w:rPr>
      </w:pPr>
    </w:p>
    <w:p w14:paraId="51135DCD">
      <w:pPr>
        <w:pStyle w:val="22"/>
        <w:ind w:firstLine="240"/>
        <w:rPr>
          <w:sz w:val="24"/>
        </w:rPr>
      </w:pPr>
    </w:p>
    <w:p w14:paraId="718694BE"/>
    <w:p w14:paraId="4BCA6BF3">
      <w:pPr>
        <w:pStyle w:val="23"/>
      </w:pPr>
    </w:p>
    <w:p w14:paraId="72AB1FEB">
      <w:pPr>
        <w:pStyle w:val="22"/>
        <w:ind w:firstLine="240"/>
        <w:rPr>
          <w:sz w:val="24"/>
        </w:rPr>
      </w:pPr>
    </w:p>
    <w:p w14:paraId="11D00681">
      <w:pPr>
        <w:numPr>
          <w:ilvl w:val="0"/>
          <w:numId w:val="11"/>
        </w:numPr>
        <w:spacing w:line="480" w:lineRule="exact"/>
        <w:ind w:firstLine="560"/>
        <w:jc w:val="center"/>
        <w:rPr>
          <w:rFonts w:ascii="微软雅黑" w:hAnsi="微软雅黑" w:cs="微软雅黑"/>
          <w:sz w:val="24"/>
        </w:rPr>
      </w:pPr>
      <w:r>
        <w:rPr>
          <w:rFonts w:hint="eastAsia" w:ascii="微软雅黑" w:hAnsi="微软雅黑" w:cs="微软雅黑"/>
          <w:b/>
          <w:bCs/>
          <w:sz w:val="24"/>
          <w:lang w:eastAsia="zh-CN"/>
        </w:rPr>
        <w:t>供应商</w:t>
      </w:r>
      <w:r>
        <w:rPr>
          <w:rFonts w:hint="eastAsia" w:ascii="微软雅黑" w:hAnsi="微软雅黑" w:cs="微软雅黑"/>
          <w:b/>
          <w:bCs/>
          <w:sz w:val="24"/>
        </w:rPr>
        <w:t>情况表</w:t>
      </w:r>
    </w:p>
    <w:tbl>
      <w:tblPr>
        <w:tblStyle w:val="44"/>
        <w:tblW w:w="909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00"/>
        <w:gridCol w:w="1135"/>
        <w:gridCol w:w="918"/>
        <w:gridCol w:w="218"/>
        <w:gridCol w:w="1136"/>
        <w:gridCol w:w="174"/>
        <w:gridCol w:w="961"/>
        <w:gridCol w:w="943"/>
        <w:gridCol w:w="114"/>
        <w:gridCol w:w="799"/>
      </w:tblGrid>
      <w:tr w14:paraId="4D74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098" w:type="dxa"/>
            <w:gridSpan w:val="11"/>
            <w:vAlign w:val="center"/>
          </w:tcPr>
          <w:p w14:paraId="28C5FE81">
            <w:pPr>
              <w:spacing w:line="240" w:lineRule="exact"/>
              <w:jc w:val="center"/>
              <w:rPr>
                <w:rFonts w:ascii="宋体" w:hAnsi="宋体"/>
                <w:sz w:val="24"/>
              </w:rPr>
            </w:pPr>
            <w:r>
              <w:rPr>
                <w:rFonts w:hint="eastAsia" w:ascii="宋体" w:hAnsi="宋体"/>
                <w:sz w:val="24"/>
              </w:rPr>
              <w:t>企业情况</w:t>
            </w:r>
          </w:p>
        </w:tc>
      </w:tr>
      <w:tr w14:paraId="0D07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1C9E730A">
            <w:pPr>
              <w:spacing w:line="240" w:lineRule="exact"/>
              <w:jc w:val="center"/>
              <w:rPr>
                <w:rFonts w:ascii="宋体" w:hAnsi="宋体"/>
                <w:sz w:val="24"/>
              </w:rPr>
            </w:pPr>
            <w:r>
              <w:rPr>
                <w:rFonts w:hint="eastAsia" w:ascii="宋体" w:hAnsi="宋体"/>
                <w:sz w:val="24"/>
              </w:rPr>
              <w:t>单位名称</w:t>
            </w:r>
          </w:p>
        </w:tc>
        <w:tc>
          <w:tcPr>
            <w:tcW w:w="7298" w:type="dxa"/>
            <w:gridSpan w:val="10"/>
            <w:vAlign w:val="center"/>
          </w:tcPr>
          <w:p w14:paraId="635043DF">
            <w:pPr>
              <w:spacing w:line="240" w:lineRule="exact"/>
              <w:jc w:val="center"/>
              <w:rPr>
                <w:rFonts w:ascii="宋体" w:hAnsi="宋体"/>
                <w:sz w:val="24"/>
              </w:rPr>
            </w:pPr>
          </w:p>
        </w:tc>
      </w:tr>
      <w:tr w14:paraId="56FE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02A28E59">
            <w:pPr>
              <w:spacing w:line="240" w:lineRule="exact"/>
              <w:jc w:val="center"/>
              <w:rPr>
                <w:rFonts w:ascii="宋体" w:hAnsi="宋体"/>
                <w:sz w:val="24"/>
              </w:rPr>
            </w:pPr>
            <w:r>
              <w:rPr>
                <w:rFonts w:hint="eastAsia" w:ascii="宋体" w:hAnsi="宋体"/>
                <w:sz w:val="24"/>
              </w:rPr>
              <w:t>地  址</w:t>
            </w:r>
          </w:p>
        </w:tc>
        <w:tc>
          <w:tcPr>
            <w:tcW w:w="4481" w:type="dxa"/>
            <w:gridSpan w:val="6"/>
            <w:vAlign w:val="center"/>
          </w:tcPr>
          <w:p w14:paraId="3CB98400">
            <w:pPr>
              <w:spacing w:line="240" w:lineRule="exact"/>
              <w:jc w:val="center"/>
              <w:rPr>
                <w:rFonts w:ascii="宋体" w:hAnsi="宋体"/>
                <w:sz w:val="24"/>
              </w:rPr>
            </w:pPr>
          </w:p>
        </w:tc>
        <w:tc>
          <w:tcPr>
            <w:tcW w:w="1904" w:type="dxa"/>
            <w:gridSpan w:val="2"/>
            <w:vAlign w:val="center"/>
          </w:tcPr>
          <w:p w14:paraId="0F7E029A">
            <w:pPr>
              <w:spacing w:line="240" w:lineRule="exact"/>
              <w:jc w:val="center"/>
              <w:rPr>
                <w:rFonts w:ascii="宋体" w:hAnsi="宋体"/>
                <w:sz w:val="24"/>
              </w:rPr>
            </w:pPr>
            <w:r>
              <w:rPr>
                <w:rFonts w:hint="eastAsia" w:ascii="宋体" w:hAnsi="宋体"/>
                <w:sz w:val="24"/>
              </w:rPr>
              <w:t>法定代表人</w:t>
            </w:r>
          </w:p>
        </w:tc>
        <w:tc>
          <w:tcPr>
            <w:tcW w:w="913" w:type="dxa"/>
            <w:gridSpan w:val="2"/>
            <w:vAlign w:val="center"/>
          </w:tcPr>
          <w:p w14:paraId="4D463B91">
            <w:pPr>
              <w:spacing w:line="240" w:lineRule="exact"/>
              <w:jc w:val="center"/>
              <w:rPr>
                <w:rFonts w:ascii="宋体" w:hAnsi="宋体"/>
                <w:sz w:val="24"/>
              </w:rPr>
            </w:pPr>
          </w:p>
        </w:tc>
      </w:tr>
      <w:tr w14:paraId="363B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19487427">
            <w:pPr>
              <w:spacing w:line="240" w:lineRule="exact"/>
              <w:jc w:val="center"/>
              <w:rPr>
                <w:rFonts w:ascii="宋体" w:hAnsi="宋体"/>
                <w:sz w:val="24"/>
              </w:rPr>
            </w:pPr>
            <w:r>
              <w:rPr>
                <w:rFonts w:hint="eastAsia" w:ascii="宋体" w:hAnsi="宋体"/>
                <w:sz w:val="24"/>
              </w:rPr>
              <w:t>成立时间</w:t>
            </w:r>
          </w:p>
        </w:tc>
        <w:tc>
          <w:tcPr>
            <w:tcW w:w="4481" w:type="dxa"/>
            <w:gridSpan w:val="6"/>
            <w:vAlign w:val="center"/>
          </w:tcPr>
          <w:p w14:paraId="77DC08D3">
            <w:pPr>
              <w:spacing w:line="240" w:lineRule="exact"/>
              <w:jc w:val="center"/>
              <w:rPr>
                <w:rFonts w:ascii="宋体" w:hAnsi="宋体"/>
                <w:sz w:val="24"/>
              </w:rPr>
            </w:pPr>
          </w:p>
        </w:tc>
        <w:tc>
          <w:tcPr>
            <w:tcW w:w="1904" w:type="dxa"/>
            <w:gridSpan w:val="2"/>
            <w:vAlign w:val="center"/>
          </w:tcPr>
          <w:p w14:paraId="329218B4">
            <w:pPr>
              <w:spacing w:line="240" w:lineRule="exact"/>
              <w:jc w:val="center"/>
              <w:rPr>
                <w:rFonts w:ascii="宋体" w:hAnsi="宋体"/>
                <w:sz w:val="24"/>
              </w:rPr>
            </w:pPr>
            <w:r>
              <w:rPr>
                <w:rFonts w:hint="eastAsia" w:ascii="宋体" w:hAnsi="宋体"/>
                <w:sz w:val="24"/>
              </w:rPr>
              <w:t>注册资本</w:t>
            </w:r>
          </w:p>
        </w:tc>
        <w:tc>
          <w:tcPr>
            <w:tcW w:w="913" w:type="dxa"/>
            <w:gridSpan w:val="2"/>
            <w:vAlign w:val="center"/>
          </w:tcPr>
          <w:p w14:paraId="5008A425">
            <w:pPr>
              <w:spacing w:line="240" w:lineRule="exact"/>
              <w:jc w:val="center"/>
              <w:rPr>
                <w:rFonts w:ascii="宋体" w:hAnsi="宋体"/>
                <w:sz w:val="24"/>
              </w:rPr>
            </w:pPr>
          </w:p>
        </w:tc>
      </w:tr>
      <w:tr w14:paraId="37B2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1A732C5A">
            <w:pPr>
              <w:spacing w:line="240" w:lineRule="exact"/>
              <w:jc w:val="center"/>
              <w:rPr>
                <w:rFonts w:ascii="宋体" w:hAnsi="宋体"/>
                <w:sz w:val="24"/>
              </w:rPr>
            </w:pPr>
            <w:r>
              <w:rPr>
                <w:rFonts w:hint="eastAsia" w:ascii="宋体" w:hAnsi="宋体"/>
                <w:sz w:val="24"/>
              </w:rPr>
              <w:t>开户银行</w:t>
            </w:r>
          </w:p>
        </w:tc>
        <w:tc>
          <w:tcPr>
            <w:tcW w:w="2953" w:type="dxa"/>
            <w:gridSpan w:val="3"/>
            <w:vAlign w:val="center"/>
          </w:tcPr>
          <w:p w14:paraId="1BE19547">
            <w:pPr>
              <w:spacing w:line="240" w:lineRule="exact"/>
              <w:jc w:val="center"/>
              <w:rPr>
                <w:rFonts w:ascii="宋体" w:hAnsi="宋体"/>
                <w:sz w:val="24"/>
              </w:rPr>
            </w:pPr>
          </w:p>
        </w:tc>
        <w:tc>
          <w:tcPr>
            <w:tcW w:w="1528" w:type="dxa"/>
            <w:gridSpan w:val="3"/>
            <w:vAlign w:val="center"/>
          </w:tcPr>
          <w:p w14:paraId="667B90D3">
            <w:pPr>
              <w:spacing w:line="240" w:lineRule="exact"/>
              <w:jc w:val="center"/>
              <w:rPr>
                <w:rFonts w:ascii="宋体" w:hAnsi="宋体"/>
                <w:sz w:val="24"/>
              </w:rPr>
            </w:pPr>
            <w:r>
              <w:rPr>
                <w:rFonts w:hint="eastAsia" w:ascii="宋体" w:hAnsi="宋体"/>
                <w:sz w:val="24"/>
              </w:rPr>
              <w:t>帐  号</w:t>
            </w:r>
          </w:p>
        </w:tc>
        <w:tc>
          <w:tcPr>
            <w:tcW w:w="2817" w:type="dxa"/>
            <w:gridSpan w:val="4"/>
            <w:vAlign w:val="center"/>
          </w:tcPr>
          <w:p w14:paraId="05B8A6C5">
            <w:pPr>
              <w:spacing w:line="240" w:lineRule="exact"/>
              <w:jc w:val="center"/>
              <w:rPr>
                <w:rFonts w:ascii="宋体" w:hAnsi="宋体"/>
                <w:sz w:val="24"/>
              </w:rPr>
            </w:pPr>
          </w:p>
        </w:tc>
      </w:tr>
      <w:tr w14:paraId="2AF7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ECF8275">
            <w:pPr>
              <w:spacing w:line="240" w:lineRule="exact"/>
              <w:jc w:val="center"/>
              <w:rPr>
                <w:rFonts w:ascii="宋体" w:hAnsi="宋体"/>
                <w:sz w:val="24"/>
              </w:rPr>
            </w:pPr>
            <w:r>
              <w:rPr>
                <w:rFonts w:hint="eastAsia" w:ascii="宋体" w:hAnsi="宋体"/>
                <w:sz w:val="24"/>
              </w:rPr>
              <w:t>联系电话</w:t>
            </w:r>
          </w:p>
        </w:tc>
        <w:tc>
          <w:tcPr>
            <w:tcW w:w="7298" w:type="dxa"/>
            <w:gridSpan w:val="10"/>
            <w:vAlign w:val="center"/>
          </w:tcPr>
          <w:p w14:paraId="4204E553">
            <w:pPr>
              <w:spacing w:line="240" w:lineRule="exact"/>
              <w:jc w:val="center"/>
              <w:rPr>
                <w:rFonts w:ascii="宋体" w:hAnsi="宋体"/>
                <w:sz w:val="24"/>
              </w:rPr>
            </w:pPr>
          </w:p>
        </w:tc>
      </w:tr>
      <w:tr w14:paraId="6BC8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12EB3A3">
            <w:pPr>
              <w:spacing w:line="240" w:lineRule="exact"/>
              <w:jc w:val="center"/>
              <w:rPr>
                <w:rFonts w:ascii="宋体" w:hAnsi="宋体"/>
                <w:sz w:val="24"/>
              </w:rPr>
            </w:pPr>
            <w:r>
              <w:rPr>
                <w:rFonts w:hint="eastAsia" w:ascii="宋体" w:hAnsi="宋体"/>
                <w:sz w:val="24"/>
              </w:rPr>
              <w:t>企业总人数</w:t>
            </w:r>
          </w:p>
        </w:tc>
        <w:tc>
          <w:tcPr>
            <w:tcW w:w="900" w:type="dxa"/>
            <w:vAlign w:val="center"/>
          </w:tcPr>
          <w:p w14:paraId="2D9D2CC3">
            <w:pPr>
              <w:spacing w:line="240" w:lineRule="exact"/>
              <w:jc w:val="center"/>
              <w:rPr>
                <w:rFonts w:ascii="宋体" w:hAnsi="宋体"/>
                <w:sz w:val="24"/>
              </w:rPr>
            </w:pPr>
          </w:p>
        </w:tc>
        <w:tc>
          <w:tcPr>
            <w:tcW w:w="1135" w:type="dxa"/>
            <w:vAlign w:val="center"/>
          </w:tcPr>
          <w:p w14:paraId="25FC4E2A">
            <w:pPr>
              <w:spacing w:line="240" w:lineRule="exact"/>
              <w:jc w:val="center"/>
              <w:rPr>
                <w:rFonts w:ascii="宋体" w:hAnsi="宋体"/>
                <w:sz w:val="24"/>
              </w:rPr>
            </w:pPr>
            <w:r>
              <w:rPr>
                <w:rFonts w:hint="eastAsia" w:ascii="宋体" w:hAnsi="宋体"/>
                <w:sz w:val="24"/>
              </w:rPr>
              <w:t>管理</w:t>
            </w:r>
          </w:p>
          <w:p w14:paraId="579745AB">
            <w:pPr>
              <w:spacing w:line="240" w:lineRule="exact"/>
              <w:jc w:val="center"/>
              <w:rPr>
                <w:rFonts w:ascii="宋体" w:hAnsi="宋体"/>
                <w:sz w:val="24"/>
              </w:rPr>
            </w:pPr>
            <w:r>
              <w:rPr>
                <w:rFonts w:hint="eastAsia" w:ascii="宋体" w:hAnsi="宋体"/>
                <w:sz w:val="24"/>
              </w:rPr>
              <w:t>人员</w:t>
            </w:r>
          </w:p>
        </w:tc>
        <w:tc>
          <w:tcPr>
            <w:tcW w:w="1136" w:type="dxa"/>
            <w:gridSpan w:val="2"/>
            <w:vAlign w:val="center"/>
          </w:tcPr>
          <w:p w14:paraId="71FC397D">
            <w:pPr>
              <w:spacing w:line="240" w:lineRule="exact"/>
              <w:jc w:val="center"/>
              <w:rPr>
                <w:rFonts w:ascii="宋体" w:hAnsi="宋体"/>
                <w:sz w:val="24"/>
              </w:rPr>
            </w:pPr>
          </w:p>
        </w:tc>
        <w:tc>
          <w:tcPr>
            <w:tcW w:w="1136" w:type="dxa"/>
            <w:vAlign w:val="center"/>
          </w:tcPr>
          <w:p w14:paraId="17B1A810">
            <w:pPr>
              <w:spacing w:line="240" w:lineRule="exact"/>
              <w:jc w:val="center"/>
              <w:rPr>
                <w:rFonts w:ascii="宋体" w:hAnsi="宋体"/>
                <w:sz w:val="24"/>
              </w:rPr>
            </w:pPr>
            <w:r>
              <w:rPr>
                <w:rFonts w:hint="eastAsia" w:ascii="宋体" w:hAnsi="宋体"/>
                <w:sz w:val="24"/>
              </w:rPr>
              <w:t>技术</w:t>
            </w:r>
          </w:p>
          <w:p w14:paraId="35A4E0DB">
            <w:pPr>
              <w:spacing w:line="240" w:lineRule="exact"/>
              <w:jc w:val="center"/>
              <w:rPr>
                <w:rFonts w:ascii="宋体" w:hAnsi="宋体"/>
                <w:sz w:val="24"/>
              </w:rPr>
            </w:pPr>
            <w:r>
              <w:rPr>
                <w:rFonts w:hint="eastAsia" w:ascii="宋体" w:hAnsi="宋体"/>
                <w:sz w:val="24"/>
              </w:rPr>
              <w:t>人员</w:t>
            </w:r>
          </w:p>
        </w:tc>
        <w:tc>
          <w:tcPr>
            <w:tcW w:w="1135" w:type="dxa"/>
            <w:gridSpan w:val="2"/>
            <w:vAlign w:val="center"/>
          </w:tcPr>
          <w:p w14:paraId="43585CFC">
            <w:pPr>
              <w:spacing w:line="240" w:lineRule="exact"/>
              <w:jc w:val="center"/>
              <w:rPr>
                <w:rFonts w:ascii="宋体" w:hAnsi="宋体"/>
                <w:sz w:val="24"/>
              </w:rPr>
            </w:pPr>
          </w:p>
        </w:tc>
        <w:tc>
          <w:tcPr>
            <w:tcW w:w="1057" w:type="dxa"/>
            <w:gridSpan w:val="2"/>
            <w:vAlign w:val="center"/>
          </w:tcPr>
          <w:p w14:paraId="44FBC600">
            <w:pPr>
              <w:spacing w:line="240" w:lineRule="exact"/>
              <w:jc w:val="center"/>
              <w:rPr>
                <w:rFonts w:ascii="宋体" w:hAnsi="宋体"/>
                <w:sz w:val="24"/>
              </w:rPr>
            </w:pPr>
            <w:r>
              <w:rPr>
                <w:rFonts w:hint="eastAsia" w:ascii="宋体" w:hAnsi="宋体"/>
                <w:sz w:val="24"/>
              </w:rPr>
              <w:t>职工</w:t>
            </w:r>
          </w:p>
          <w:p w14:paraId="7FC25174">
            <w:pPr>
              <w:spacing w:line="240" w:lineRule="exact"/>
              <w:jc w:val="center"/>
              <w:rPr>
                <w:rFonts w:ascii="宋体" w:hAnsi="宋体"/>
                <w:sz w:val="24"/>
              </w:rPr>
            </w:pPr>
            <w:r>
              <w:rPr>
                <w:rFonts w:hint="eastAsia" w:ascii="宋体" w:hAnsi="宋体"/>
                <w:sz w:val="24"/>
              </w:rPr>
              <w:t>人员</w:t>
            </w:r>
          </w:p>
        </w:tc>
        <w:tc>
          <w:tcPr>
            <w:tcW w:w="799" w:type="dxa"/>
            <w:vAlign w:val="center"/>
          </w:tcPr>
          <w:p w14:paraId="61F602FC">
            <w:pPr>
              <w:spacing w:line="240" w:lineRule="exact"/>
              <w:jc w:val="center"/>
              <w:rPr>
                <w:rFonts w:ascii="宋体" w:hAnsi="宋体"/>
                <w:sz w:val="24"/>
              </w:rPr>
            </w:pPr>
          </w:p>
        </w:tc>
      </w:tr>
      <w:tr w14:paraId="45C3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06C2676">
            <w:pPr>
              <w:spacing w:line="240" w:lineRule="exact"/>
              <w:jc w:val="center"/>
              <w:rPr>
                <w:rFonts w:ascii="宋体" w:hAnsi="宋体"/>
                <w:sz w:val="24"/>
              </w:rPr>
            </w:pPr>
            <w:r>
              <w:rPr>
                <w:rFonts w:hint="eastAsia" w:ascii="宋体" w:hAnsi="宋体"/>
                <w:sz w:val="24"/>
              </w:rPr>
              <w:t>经营范围</w:t>
            </w:r>
          </w:p>
        </w:tc>
        <w:tc>
          <w:tcPr>
            <w:tcW w:w="7298" w:type="dxa"/>
            <w:gridSpan w:val="10"/>
            <w:vAlign w:val="center"/>
          </w:tcPr>
          <w:p w14:paraId="02EF713C">
            <w:pPr>
              <w:spacing w:line="240" w:lineRule="exact"/>
              <w:jc w:val="center"/>
              <w:rPr>
                <w:rFonts w:ascii="宋体" w:hAnsi="宋体"/>
                <w:sz w:val="24"/>
              </w:rPr>
            </w:pPr>
          </w:p>
        </w:tc>
      </w:tr>
      <w:tr w14:paraId="0593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800" w:type="dxa"/>
            <w:tcBorders>
              <w:bottom w:val="single" w:color="auto" w:sz="4" w:space="0"/>
            </w:tcBorders>
            <w:vAlign w:val="center"/>
          </w:tcPr>
          <w:p w14:paraId="0D1814E9">
            <w:pPr>
              <w:spacing w:line="240" w:lineRule="exact"/>
              <w:jc w:val="center"/>
              <w:rPr>
                <w:rFonts w:ascii="宋体" w:hAnsi="宋体"/>
                <w:sz w:val="24"/>
              </w:rPr>
            </w:pPr>
            <w:r>
              <w:rPr>
                <w:rFonts w:hint="eastAsia" w:ascii="宋体" w:hAnsi="宋体"/>
                <w:sz w:val="24"/>
              </w:rPr>
              <w:t>企业现有的资质证书</w:t>
            </w:r>
          </w:p>
        </w:tc>
        <w:tc>
          <w:tcPr>
            <w:tcW w:w="7298" w:type="dxa"/>
            <w:gridSpan w:val="10"/>
            <w:tcBorders>
              <w:bottom w:val="single" w:color="auto" w:sz="4" w:space="0"/>
            </w:tcBorders>
            <w:vAlign w:val="center"/>
          </w:tcPr>
          <w:p w14:paraId="5EF4DD11">
            <w:pPr>
              <w:spacing w:line="240" w:lineRule="exact"/>
              <w:jc w:val="center"/>
              <w:rPr>
                <w:rFonts w:ascii="宋体" w:hAnsi="宋体"/>
                <w:sz w:val="24"/>
              </w:rPr>
            </w:pPr>
          </w:p>
        </w:tc>
      </w:tr>
    </w:tbl>
    <w:p w14:paraId="4AEF4D7A">
      <w:pPr>
        <w:spacing w:line="480" w:lineRule="exact"/>
        <w:ind w:firstLine="480"/>
        <w:rPr>
          <w:rFonts w:ascii="宋体" w:hAnsi="宋体"/>
          <w:sz w:val="24"/>
        </w:rPr>
      </w:pPr>
      <w:r>
        <w:rPr>
          <w:rFonts w:hint="eastAsia" w:ascii="宋体" w:hAnsi="宋体"/>
          <w:sz w:val="24"/>
        </w:rPr>
        <w:t>注：表格不能满足时可自行增加。</w:t>
      </w:r>
    </w:p>
    <w:p w14:paraId="550DB9B3">
      <w:pPr>
        <w:snapToGrid w:val="0"/>
        <w:spacing w:beforeLines="50"/>
        <w:ind w:firstLine="640"/>
        <w:rPr>
          <w:rFonts w:ascii="宋体" w:hAnsi="宋体"/>
          <w:b/>
          <w:bCs/>
          <w:sz w:val="24"/>
        </w:rPr>
      </w:pPr>
    </w:p>
    <w:p w14:paraId="33EF2339">
      <w:pPr>
        <w:snapToGrid w:val="0"/>
        <w:spacing w:beforeLines="50"/>
        <w:ind w:firstLine="640"/>
        <w:rPr>
          <w:rFonts w:ascii="宋体" w:hAnsi="宋体"/>
          <w:b/>
          <w:bCs/>
          <w:sz w:val="24"/>
        </w:rPr>
      </w:pPr>
    </w:p>
    <w:p w14:paraId="299B8267">
      <w:pPr>
        <w:snapToGrid w:val="0"/>
        <w:spacing w:beforeLines="50"/>
        <w:ind w:firstLine="480"/>
        <w:rPr>
          <w:rFonts w:ascii="宋体" w:hAnsi="宋体"/>
          <w:sz w:val="24"/>
          <w:u w:val="single"/>
        </w:rPr>
      </w:pPr>
      <w:r>
        <w:rPr>
          <w:rFonts w:hint="eastAsia" w:ascii="微软雅黑" w:hAnsi="微软雅黑"/>
          <w:sz w:val="24"/>
        </w:rPr>
        <w:t>法定代表人或其授权代理人签名或盖章</w:t>
      </w:r>
      <w:r>
        <w:rPr>
          <w:rFonts w:hint="eastAsia" w:ascii="宋体" w:hAnsi="宋体"/>
          <w:sz w:val="24"/>
        </w:rPr>
        <w:t>：</w:t>
      </w:r>
    </w:p>
    <w:p w14:paraId="3267CBDD">
      <w:pPr>
        <w:snapToGrid w:val="0"/>
        <w:spacing w:beforeLines="50" w:after="50"/>
        <w:ind w:firstLine="480"/>
        <w:rPr>
          <w:rFonts w:ascii="宋体" w:hAnsi="宋体"/>
          <w:sz w:val="24"/>
        </w:rPr>
      </w:pPr>
      <w:r>
        <w:rPr>
          <w:rFonts w:hint="eastAsia" w:ascii="宋体" w:hAnsi="宋体"/>
          <w:sz w:val="24"/>
        </w:rPr>
        <w:t>供应商公章：</w:t>
      </w:r>
    </w:p>
    <w:p w14:paraId="0FB82568">
      <w:pPr>
        <w:snapToGrid w:val="0"/>
        <w:spacing w:beforeLines="50" w:after="50"/>
        <w:ind w:firstLine="6240" w:firstLineChars="2600"/>
        <w:rPr>
          <w:rFonts w:ascii="宋体" w:hAnsi="宋体"/>
          <w:sz w:val="24"/>
        </w:rPr>
      </w:pPr>
    </w:p>
    <w:p w14:paraId="1D33DC19">
      <w:pPr>
        <w:snapToGrid w:val="0"/>
        <w:spacing w:before="50" w:afterLines="50"/>
        <w:ind w:firstLine="480"/>
        <w:jc w:val="right"/>
        <w:rPr>
          <w:rFonts w:ascii="宋体" w:hAnsi="宋体" w:cs="宋体"/>
          <w:sz w:val="24"/>
        </w:rPr>
      </w:pPr>
      <w:r>
        <w:rPr>
          <w:rFonts w:ascii="宋体" w:hAnsi="宋体"/>
          <w:sz w:val="24"/>
        </w:rPr>
        <w:t>年    月    日</w:t>
      </w:r>
    </w:p>
    <w:p w14:paraId="1533D963">
      <w:pPr>
        <w:snapToGrid w:val="0"/>
        <w:spacing w:before="50" w:afterLines="50"/>
        <w:jc w:val="left"/>
        <w:rPr>
          <w:rFonts w:ascii="宋体" w:hAnsi="宋体" w:cs="宋体"/>
          <w:b/>
          <w:sz w:val="24"/>
        </w:rPr>
      </w:pPr>
    </w:p>
    <w:p w14:paraId="01D8320D">
      <w:pPr>
        <w:snapToGrid w:val="0"/>
        <w:spacing w:before="50" w:afterLines="50"/>
        <w:jc w:val="left"/>
        <w:rPr>
          <w:rFonts w:ascii="宋体" w:hAnsi="宋体" w:cs="宋体"/>
          <w:b/>
          <w:sz w:val="24"/>
        </w:rPr>
      </w:pPr>
    </w:p>
    <w:p w14:paraId="70FECE34">
      <w:pPr>
        <w:pStyle w:val="23"/>
        <w:rPr>
          <w:rFonts w:hAnsi="宋体" w:cs="宋体"/>
          <w:b/>
          <w:sz w:val="24"/>
          <w:szCs w:val="24"/>
        </w:rPr>
      </w:pPr>
    </w:p>
    <w:p w14:paraId="294989FC">
      <w:pPr>
        <w:pStyle w:val="23"/>
        <w:rPr>
          <w:rFonts w:hAnsi="宋体" w:cs="宋体"/>
          <w:b/>
          <w:sz w:val="24"/>
          <w:szCs w:val="24"/>
        </w:rPr>
      </w:pPr>
    </w:p>
    <w:p w14:paraId="57C0B61F">
      <w:pPr>
        <w:pStyle w:val="7"/>
        <w:ind w:firstLine="0"/>
        <w:rPr>
          <w:rFonts w:ascii="宋体" w:hAnsi="宋体"/>
          <w:b/>
          <w:sz w:val="24"/>
        </w:rPr>
      </w:pPr>
    </w:p>
    <w:p w14:paraId="259A4848">
      <w:pPr>
        <w:snapToGrid w:val="0"/>
        <w:spacing w:line="360" w:lineRule="auto"/>
        <w:jc w:val="center"/>
        <w:rPr>
          <w:rFonts w:ascii="宋体" w:hAnsi="宋体"/>
          <w:b/>
          <w:sz w:val="24"/>
        </w:rPr>
      </w:pPr>
    </w:p>
    <w:p w14:paraId="2E340803">
      <w:pPr>
        <w:snapToGrid w:val="0"/>
        <w:spacing w:line="360" w:lineRule="auto"/>
        <w:ind w:firstLine="482" w:firstLineChars="200"/>
        <w:jc w:val="center"/>
        <w:rPr>
          <w:b/>
          <w:sz w:val="24"/>
        </w:rPr>
      </w:pPr>
      <w:r>
        <w:rPr>
          <w:rFonts w:hint="eastAsia" w:ascii="宋体" w:hAnsi="宋体"/>
          <w:b/>
          <w:sz w:val="24"/>
        </w:rPr>
        <w:t>二、</w:t>
      </w:r>
      <w:r>
        <w:rPr>
          <w:rFonts w:hint="eastAsia" w:ascii="宋体" w:hAnsi="宋体"/>
          <w:b/>
          <w:sz w:val="24"/>
          <w:lang w:val="en-US"/>
        </w:rPr>
        <w:t>“三证合一”的营业执照或“五证合一”的营业执照（原件扫描件）</w:t>
      </w:r>
    </w:p>
    <w:p w14:paraId="73407C87">
      <w:pPr>
        <w:snapToGrid w:val="0"/>
        <w:spacing w:line="360" w:lineRule="auto"/>
        <w:rPr>
          <w:sz w:val="24"/>
        </w:rPr>
      </w:pPr>
    </w:p>
    <w:p w14:paraId="13A03D5B">
      <w:pPr>
        <w:pStyle w:val="22"/>
        <w:ind w:left="560" w:firstLine="0" w:firstLineChars="0"/>
      </w:pPr>
    </w:p>
    <w:p w14:paraId="0B876BA3">
      <w:pPr>
        <w:snapToGrid w:val="0"/>
        <w:spacing w:line="360" w:lineRule="auto"/>
        <w:ind w:firstLine="964" w:firstLineChars="400"/>
        <w:rPr>
          <w:rFonts w:ascii="宋体" w:hAnsi="宋体" w:cs="Arial"/>
          <w:b/>
          <w:sz w:val="24"/>
        </w:rPr>
      </w:pPr>
      <w:r>
        <w:rPr>
          <w:rFonts w:hint="eastAsia" w:ascii="宋体" w:hAnsi="宋体"/>
          <w:b/>
          <w:sz w:val="24"/>
        </w:rPr>
        <w:t>三、 法定代表人有效身份证明书及身份证或法定代表人授权书及授权人身份证</w:t>
      </w:r>
    </w:p>
    <w:p w14:paraId="77C6B3D7">
      <w:pPr>
        <w:snapToGrid w:val="0"/>
        <w:spacing w:line="360" w:lineRule="auto"/>
        <w:ind w:firstLine="482" w:firstLineChars="200"/>
        <w:jc w:val="center"/>
        <w:rPr>
          <w:rFonts w:ascii="宋体" w:hAnsi="宋体" w:cs="Arial"/>
          <w:b/>
          <w:sz w:val="24"/>
        </w:rPr>
      </w:pPr>
    </w:p>
    <w:p w14:paraId="40F5337E">
      <w:pPr>
        <w:snapToGrid w:val="0"/>
        <w:spacing w:line="360" w:lineRule="auto"/>
        <w:ind w:firstLine="482" w:firstLineChars="200"/>
        <w:jc w:val="center"/>
        <w:rPr>
          <w:rFonts w:ascii="宋体" w:hAnsi="宋体"/>
          <w:b/>
          <w:sz w:val="24"/>
        </w:rPr>
      </w:pPr>
      <w:r>
        <w:rPr>
          <w:rFonts w:hint="eastAsia" w:ascii="宋体" w:hAnsi="宋体"/>
          <w:b/>
          <w:sz w:val="24"/>
        </w:rPr>
        <w:t>法定代表人有效身份证明书</w:t>
      </w:r>
    </w:p>
    <w:p w14:paraId="0B5AE1A5">
      <w:pPr>
        <w:pStyle w:val="7"/>
        <w:spacing w:line="400" w:lineRule="exact"/>
        <w:ind w:firstLine="511" w:firstLineChars="156"/>
        <w:jc w:val="center"/>
        <w:rPr>
          <w:rFonts w:hAnsi="宋体"/>
          <w:bCs/>
          <w:spacing w:val="24"/>
          <w:sz w:val="28"/>
          <w:szCs w:val="28"/>
        </w:rPr>
      </w:pPr>
    </w:p>
    <w:p w14:paraId="082CE546">
      <w:pPr>
        <w:pStyle w:val="7"/>
        <w:spacing w:line="400" w:lineRule="exact"/>
        <w:ind w:firstLine="449" w:firstLineChars="156"/>
        <w:jc w:val="center"/>
        <w:rPr>
          <w:rFonts w:hAnsi="宋体"/>
          <w:bCs/>
          <w:spacing w:val="24"/>
          <w:sz w:val="24"/>
          <w:szCs w:val="24"/>
        </w:rPr>
      </w:pPr>
    </w:p>
    <w:p w14:paraId="5EF41ECC">
      <w:pPr>
        <w:pStyle w:val="7"/>
        <w:spacing w:line="360" w:lineRule="auto"/>
        <w:ind w:firstLine="480" w:firstLineChars="200"/>
        <w:rPr>
          <w:rFonts w:hAnsi="宋体"/>
          <w:sz w:val="24"/>
          <w:szCs w:val="24"/>
        </w:rPr>
      </w:pPr>
      <w:r>
        <w:rPr>
          <w:rFonts w:hAnsi="宋体"/>
          <w:sz w:val="24"/>
          <w:szCs w:val="24"/>
        </w:rPr>
        <w:t>（姓名）是（单位全称）的法定代表人，身份证号码为。</w:t>
      </w:r>
    </w:p>
    <w:p w14:paraId="6C06B186">
      <w:pPr>
        <w:pStyle w:val="7"/>
        <w:spacing w:line="400" w:lineRule="exact"/>
        <w:ind w:firstLine="374" w:firstLineChars="156"/>
        <w:rPr>
          <w:rFonts w:hAnsi="宋体"/>
          <w:sz w:val="24"/>
          <w:szCs w:val="24"/>
        </w:rPr>
      </w:pPr>
    </w:p>
    <w:p w14:paraId="2C41A9DE">
      <w:pPr>
        <w:pStyle w:val="7"/>
        <w:spacing w:line="400" w:lineRule="exact"/>
        <w:ind w:firstLine="374" w:firstLineChars="156"/>
        <w:rPr>
          <w:rFonts w:hAnsi="宋体"/>
          <w:sz w:val="24"/>
          <w:szCs w:val="24"/>
        </w:rPr>
      </w:pPr>
    </w:p>
    <w:p w14:paraId="4301B667">
      <w:pPr>
        <w:pStyle w:val="7"/>
        <w:spacing w:line="400" w:lineRule="exact"/>
        <w:ind w:firstLine="374" w:firstLineChars="156"/>
        <w:rPr>
          <w:rFonts w:hAnsi="宋体"/>
          <w:sz w:val="24"/>
          <w:szCs w:val="24"/>
        </w:rPr>
      </w:pPr>
      <w:r>
        <w:rPr>
          <w:rFonts w:hAnsi="宋体"/>
          <w:sz w:val="24"/>
          <w:szCs w:val="24"/>
        </w:rPr>
        <w:t xml:space="preserve">    特此证明</w:t>
      </w:r>
    </w:p>
    <w:p w14:paraId="14C3EEBA">
      <w:pPr>
        <w:pStyle w:val="7"/>
        <w:spacing w:line="400" w:lineRule="exact"/>
        <w:ind w:firstLine="374" w:firstLineChars="156"/>
        <w:rPr>
          <w:rFonts w:hAnsi="宋体"/>
          <w:sz w:val="24"/>
          <w:szCs w:val="24"/>
        </w:rPr>
      </w:pPr>
    </w:p>
    <w:p w14:paraId="0C021653">
      <w:pPr>
        <w:pStyle w:val="7"/>
        <w:spacing w:line="400" w:lineRule="exact"/>
        <w:ind w:firstLine="374" w:firstLineChars="156"/>
        <w:rPr>
          <w:rFonts w:hAnsi="宋体"/>
          <w:sz w:val="24"/>
          <w:szCs w:val="24"/>
        </w:rPr>
      </w:pPr>
    </w:p>
    <w:p w14:paraId="39CC6B86">
      <w:pPr>
        <w:pStyle w:val="7"/>
        <w:spacing w:line="400" w:lineRule="exact"/>
        <w:ind w:firstLine="374" w:firstLineChars="156"/>
        <w:rPr>
          <w:rFonts w:hAnsi="宋体"/>
          <w:sz w:val="24"/>
          <w:szCs w:val="24"/>
        </w:rPr>
      </w:pPr>
    </w:p>
    <w:p w14:paraId="3496803E">
      <w:pPr>
        <w:pStyle w:val="7"/>
        <w:spacing w:line="400" w:lineRule="exact"/>
        <w:ind w:firstLine="374" w:firstLineChars="156"/>
        <w:rPr>
          <w:rFonts w:hAnsi="宋体"/>
          <w:sz w:val="24"/>
          <w:szCs w:val="24"/>
        </w:rPr>
      </w:pPr>
    </w:p>
    <w:p w14:paraId="4661EC30">
      <w:pPr>
        <w:pStyle w:val="7"/>
        <w:spacing w:line="400" w:lineRule="exact"/>
        <w:ind w:firstLine="374" w:firstLineChars="156"/>
        <w:rPr>
          <w:rFonts w:hAnsi="宋体"/>
          <w:sz w:val="24"/>
          <w:szCs w:val="24"/>
        </w:rPr>
      </w:pPr>
      <w:r>
        <w:rPr>
          <w:rFonts w:hAnsi="宋体"/>
          <w:sz w:val="24"/>
          <w:szCs w:val="24"/>
        </w:rPr>
        <w:t xml:space="preserve">                      投标供应商：（盖章）</w:t>
      </w:r>
    </w:p>
    <w:p w14:paraId="74F96ACC">
      <w:pPr>
        <w:pStyle w:val="7"/>
        <w:spacing w:line="400" w:lineRule="exact"/>
        <w:ind w:firstLine="374" w:firstLineChars="156"/>
        <w:rPr>
          <w:rFonts w:hAnsi="宋体"/>
          <w:sz w:val="24"/>
          <w:szCs w:val="24"/>
        </w:rPr>
      </w:pPr>
    </w:p>
    <w:p w14:paraId="7A890DC9">
      <w:pPr>
        <w:pStyle w:val="7"/>
        <w:spacing w:line="400" w:lineRule="exact"/>
        <w:ind w:firstLine="3012" w:firstLineChars="1255"/>
        <w:rPr>
          <w:rFonts w:hAnsi="宋体"/>
          <w:sz w:val="24"/>
          <w:szCs w:val="24"/>
        </w:rPr>
      </w:pPr>
      <w:r>
        <w:rPr>
          <w:rFonts w:hAnsi="宋体"/>
          <w:sz w:val="24"/>
          <w:szCs w:val="24"/>
        </w:rPr>
        <w:t>法定代表人或其授权代理人（盖章）</w:t>
      </w:r>
    </w:p>
    <w:p w14:paraId="339D51D8">
      <w:pPr>
        <w:pStyle w:val="7"/>
        <w:spacing w:line="400" w:lineRule="exact"/>
        <w:ind w:firstLine="374" w:firstLineChars="156"/>
        <w:jc w:val="center"/>
        <w:rPr>
          <w:rFonts w:hAnsi="宋体"/>
          <w:sz w:val="24"/>
          <w:szCs w:val="24"/>
        </w:rPr>
      </w:pPr>
    </w:p>
    <w:p w14:paraId="2E9134D4">
      <w:pPr>
        <w:pStyle w:val="7"/>
        <w:spacing w:line="400" w:lineRule="exact"/>
        <w:ind w:firstLine="374" w:firstLineChars="156"/>
        <w:rPr>
          <w:rFonts w:hAnsi="宋体"/>
          <w:sz w:val="24"/>
          <w:szCs w:val="24"/>
        </w:rPr>
      </w:pPr>
      <w:r>
        <w:rPr>
          <w:rFonts w:hAnsi="宋体"/>
          <w:sz w:val="24"/>
          <w:szCs w:val="24"/>
        </w:rPr>
        <w:t xml:space="preserve">        日期：    年   月   日</w:t>
      </w:r>
    </w:p>
    <w:p w14:paraId="32318619">
      <w:pPr>
        <w:pStyle w:val="7"/>
        <w:spacing w:line="400" w:lineRule="exact"/>
        <w:ind w:firstLine="374" w:firstLineChars="156"/>
        <w:jc w:val="center"/>
        <w:rPr>
          <w:rFonts w:hAnsi="宋体"/>
          <w:sz w:val="24"/>
          <w:szCs w:val="24"/>
        </w:rPr>
      </w:pPr>
    </w:p>
    <w:p w14:paraId="14724691">
      <w:pPr>
        <w:pStyle w:val="7"/>
        <w:spacing w:line="400" w:lineRule="exact"/>
        <w:ind w:firstLine="0"/>
        <w:rPr>
          <w:rFonts w:hAnsi="宋体"/>
          <w:sz w:val="24"/>
          <w:szCs w:val="24"/>
        </w:rPr>
      </w:pPr>
    </w:p>
    <w:p w14:paraId="0686C188">
      <w:pPr>
        <w:pStyle w:val="7"/>
        <w:spacing w:line="400" w:lineRule="exact"/>
        <w:ind w:firstLine="374" w:firstLineChars="156"/>
        <w:rPr>
          <w:rFonts w:hAnsi="宋体"/>
          <w:sz w:val="24"/>
          <w:szCs w:val="24"/>
        </w:rPr>
      </w:pPr>
      <w:r>
        <w:rPr>
          <w:rFonts w:hAnsi="宋体"/>
          <w:sz w:val="24"/>
          <w:szCs w:val="24"/>
        </w:rPr>
        <w:t>—————————————————————————————————</w:t>
      </w:r>
    </w:p>
    <w:p w14:paraId="316B2FD7">
      <w:pPr>
        <w:pStyle w:val="7"/>
        <w:spacing w:line="400" w:lineRule="exact"/>
        <w:ind w:firstLine="0"/>
        <w:rPr>
          <w:rFonts w:hAnsi="宋体"/>
          <w:sz w:val="24"/>
          <w:szCs w:val="24"/>
        </w:rPr>
      </w:pPr>
    </w:p>
    <w:p w14:paraId="6CBAACE3">
      <w:pPr>
        <w:pStyle w:val="7"/>
        <w:spacing w:line="400" w:lineRule="exact"/>
        <w:ind w:firstLine="374" w:firstLineChars="156"/>
        <w:jc w:val="center"/>
        <w:rPr>
          <w:rFonts w:hAnsi="宋体"/>
          <w:sz w:val="24"/>
          <w:szCs w:val="24"/>
        </w:rPr>
      </w:pPr>
      <w:r>
        <w:rPr>
          <w:rFonts w:hAnsi="宋体"/>
          <w:sz w:val="24"/>
          <w:szCs w:val="24"/>
        </w:rPr>
        <w:t>有效身份证明</w:t>
      </w:r>
    </w:p>
    <w:p w14:paraId="787B61EA">
      <w:pPr>
        <w:widowControl/>
        <w:tabs>
          <w:tab w:val="left" w:pos="801"/>
        </w:tabs>
        <w:spacing w:line="460" w:lineRule="exact"/>
        <w:rPr>
          <w:b/>
          <w:sz w:val="24"/>
        </w:rPr>
      </w:pPr>
    </w:p>
    <w:p w14:paraId="0D4D1B35">
      <w:pPr>
        <w:pStyle w:val="7"/>
        <w:ind w:firstLine="0"/>
        <w:rPr>
          <w:b/>
          <w:sz w:val="24"/>
        </w:rPr>
      </w:pPr>
    </w:p>
    <w:p w14:paraId="523AF2DC">
      <w:pPr>
        <w:pStyle w:val="7"/>
        <w:rPr>
          <w:b/>
          <w:sz w:val="24"/>
        </w:rPr>
      </w:pPr>
    </w:p>
    <w:p w14:paraId="08CA6D07">
      <w:pPr>
        <w:pStyle w:val="7"/>
        <w:ind w:firstLine="0"/>
        <w:rPr>
          <w:b/>
          <w:sz w:val="24"/>
        </w:rPr>
      </w:pPr>
    </w:p>
    <w:p w14:paraId="5E0CF4BA">
      <w:pPr>
        <w:widowControl/>
        <w:tabs>
          <w:tab w:val="left" w:pos="801"/>
        </w:tabs>
        <w:spacing w:line="460" w:lineRule="exact"/>
        <w:ind w:firstLine="482" w:firstLineChars="200"/>
        <w:jc w:val="center"/>
        <w:rPr>
          <w:b/>
          <w:sz w:val="24"/>
        </w:rPr>
      </w:pPr>
    </w:p>
    <w:p w14:paraId="680D60BC">
      <w:pPr>
        <w:pStyle w:val="23"/>
        <w:rPr>
          <w:b/>
          <w:sz w:val="24"/>
        </w:rPr>
      </w:pPr>
    </w:p>
    <w:p w14:paraId="1D51DF32">
      <w:pPr>
        <w:pStyle w:val="23"/>
        <w:rPr>
          <w:b/>
          <w:sz w:val="24"/>
        </w:rPr>
      </w:pPr>
    </w:p>
    <w:p w14:paraId="0ADCCDD7">
      <w:pPr>
        <w:widowControl/>
        <w:tabs>
          <w:tab w:val="left" w:pos="801"/>
        </w:tabs>
        <w:spacing w:line="460" w:lineRule="exact"/>
        <w:ind w:firstLine="482" w:firstLineChars="200"/>
        <w:jc w:val="center"/>
        <w:rPr>
          <w:rFonts w:ascii="宋体" w:hAnsi="宋体" w:cs="Arial"/>
          <w:b/>
          <w:color w:val="000000"/>
          <w:sz w:val="24"/>
        </w:rPr>
      </w:pPr>
      <w:r>
        <w:rPr>
          <w:rFonts w:hint="eastAsia"/>
          <w:b/>
          <w:sz w:val="24"/>
        </w:rPr>
        <w:t>法定代表人授权书及授权人身份证</w:t>
      </w:r>
    </w:p>
    <w:p w14:paraId="5A1CC15D">
      <w:pPr>
        <w:snapToGrid w:val="0"/>
        <w:spacing w:beforeLines="50" w:after="50"/>
        <w:rPr>
          <w:rFonts w:ascii="宋体" w:hAnsi="宋体"/>
          <w:bCs/>
          <w:sz w:val="24"/>
        </w:rPr>
      </w:pPr>
    </w:p>
    <w:p w14:paraId="5400B9F3">
      <w:pPr>
        <w:snapToGrid w:val="0"/>
        <w:spacing w:beforeLines="50" w:after="50" w:line="360" w:lineRule="auto"/>
        <w:rPr>
          <w:rFonts w:ascii="宋体" w:hAnsi="宋体"/>
          <w:b/>
          <w:bCs/>
          <w:sz w:val="24"/>
          <w:szCs w:val="20"/>
        </w:rPr>
      </w:pPr>
      <w:r>
        <w:rPr>
          <w:rFonts w:hint="eastAsia" w:ascii="宋体" w:hAnsi="宋体"/>
          <w:bCs/>
          <w:sz w:val="24"/>
        </w:rPr>
        <w:t>致：</w:t>
      </w:r>
      <w:r>
        <w:rPr>
          <w:rFonts w:hint="eastAsia" w:ascii="宋体" w:hAnsi="宋体"/>
          <w:sz w:val="24"/>
        </w:rPr>
        <w:t>（采购人名称）：</w:t>
      </w:r>
    </w:p>
    <w:p w14:paraId="4E6C406B">
      <w:pPr>
        <w:snapToGrid w:val="0"/>
        <w:spacing w:beforeLines="50" w:after="50" w:line="360" w:lineRule="auto"/>
        <w:ind w:firstLine="720" w:firstLineChars="300"/>
        <w:rPr>
          <w:rFonts w:ascii="宋体" w:hAnsi="宋体"/>
          <w:sz w:val="24"/>
          <w:szCs w:val="20"/>
        </w:rPr>
      </w:pPr>
      <w:r>
        <w:rPr>
          <w:rFonts w:hint="eastAsia" w:ascii="宋体" w:hAnsi="宋体"/>
          <w:sz w:val="24"/>
        </w:rPr>
        <w:t>我（姓名）系</w:t>
      </w:r>
      <w:r>
        <w:rPr>
          <w:rFonts w:hint="eastAsia" w:ascii="宋体" w:hAnsi="宋体"/>
          <w:bCs/>
          <w:sz w:val="24"/>
        </w:rPr>
        <w:t>：</w:t>
      </w:r>
      <w:r>
        <w:rPr>
          <w:rFonts w:hint="eastAsia" w:ascii="宋体" w:hAnsi="宋体"/>
          <w:sz w:val="24"/>
        </w:rPr>
        <w:t>（投标供应商名称）的法定代表人，现授权委托本单位在职职工（姓名）以我方的名义参加</w:t>
      </w:r>
      <w:r>
        <w:rPr>
          <w:rFonts w:hint="eastAsia" w:ascii="宋体" w:hAnsi="宋体"/>
          <w:sz w:val="24"/>
          <w:u w:val="single"/>
          <w:lang w:eastAsia="zh-CN"/>
        </w:rPr>
        <w:t>吴兴区2024年度千万亩森林质量精准提升工程</w:t>
      </w:r>
      <w:r>
        <w:rPr>
          <w:rFonts w:hint="eastAsia" w:ascii="宋体" w:hAnsi="宋体"/>
          <w:sz w:val="24"/>
        </w:rPr>
        <w:t>的投标活动，并代表我方全权办理针对上述项目的投标、开标、评标、签约等具体事务和签署相关文件。</w:t>
      </w:r>
    </w:p>
    <w:p w14:paraId="0B795CDD">
      <w:pPr>
        <w:snapToGrid w:val="0"/>
        <w:spacing w:beforeLines="50" w:after="50" w:line="360" w:lineRule="auto"/>
        <w:rPr>
          <w:rFonts w:ascii="宋体" w:hAnsi="宋体"/>
          <w:sz w:val="24"/>
          <w:szCs w:val="20"/>
        </w:rPr>
      </w:pPr>
      <w:r>
        <w:rPr>
          <w:rFonts w:hint="eastAsia" w:ascii="宋体" w:hAnsi="宋体"/>
          <w:sz w:val="24"/>
        </w:rPr>
        <w:t>我方对被授权人的签名事项负全部责任。</w:t>
      </w:r>
    </w:p>
    <w:p w14:paraId="4C127F42">
      <w:pPr>
        <w:snapToGrid w:val="0"/>
        <w:spacing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4CEE4873">
      <w:pPr>
        <w:snapToGrid w:val="0"/>
        <w:spacing w:beforeLines="50" w:after="50" w:line="360" w:lineRule="auto"/>
        <w:ind w:firstLine="480"/>
        <w:rPr>
          <w:rFonts w:ascii="宋体" w:hAnsi="宋体"/>
          <w:sz w:val="24"/>
          <w:szCs w:val="20"/>
        </w:rPr>
      </w:pPr>
      <w:r>
        <w:rPr>
          <w:rFonts w:hint="eastAsia" w:ascii="宋体" w:hAnsi="宋体"/>
          <w:sz w:val="24"/>
        </w:rPr>
        <w:t>被授权人无转委托权，特此委托。</w:t>
      </w:r>
    </w:p>
    <w:p w14:paraId="1EE4D156">
      <w:pPr>
        <w:snapToGrid w:val="0"/>
        <w:spacing w:beforeLines="50" w:after="50" w:line="360" w:lineRule="auto"/>
        <w:rPr>
          <w:rFonts w:ascii="宋体" w:hAnsi="宋体"/>
          <w:sz w:val="24"/>
          <w:szCs w:val="20"/>
        </w:rPr>
      </w:pPr>
    </w:p>
    <w:p w14:paraId="4318D77A">
      <w:pPr>
        <w:snapToGrid w:val="0"/>
        <w:spacing w:beforeLines="50" w:after="50" w:line="360" w:lineRule="auto"/>
        <w:rPr>
          <w:rFonts w:ascii="宋体" w:hAnsi="宋体"/>
          <w:sz w:val="24"/>
          <w:szCs w:val="20"/>
          <w:u w:val="single"/>
        </w:rPr>
      </w:pPr>
      <w:r>
        <w:rPr>
          <w:rFonts w:hint="eastAsia" w:ascii="宋体" w:hAnsi="宋体"/>
          <w:sz w:val="24"/>
        </w:rPr>
        <w:t>被授权人签名：法定代表人盖章：</w:t>
      </w:r>
    </w:p>
    <w:p w14:paraId="71783A92">
      <w:pPr>
        <w:snapToGrid w:val="0"/>
        <w:spacing w:beforeLines="50" w:after="50" w:line="360" w:lineRule="auto"/>
        <w:ind w:firstLine="960" w:firstLineChars="400"/>
        <w:rPr>
          <w:rFonts w:ascii="宋体" w:hAnsi="宋体"/>
          <w:sz w:val="24"/>
          <w:szCs w:val="20"/>
        </w:rPr>
      </w:pPr>
      <w:r>
        <w:rPr>
          <w:rFonts w:hint="eastAsia" w:ascii="宋体" w:hAnsi="宋体"/>
          <w:sz w:val="24"/>
        </w:rPr>
        <w:t>职务：职务：</w:t>
      </w:r>
    </w:p>
    <w:p w14:paraId="2D4E57DF">
      <w:pPr>
        <w:snapToGrid w:val="0"/>
        <w:spacing w:beforeLines="50" w:after="50" w:line="360" w:lineRule="auto"/>
        <w:rPr>
          <w:rFonts w:ascii="宋体" w:hAnsi="宋体"/>
          <w:sz w:val="24"/>
          <w:szCs w:val="20"/>
        </w:rPr>
      </w:pPr>
      <w:r>
        <w:rPr>
          <w:rFonts w:hint="eastAsia" w:ascii="宋体" w:hAnsi="宋体"/>
          <w:sz w:val="24"/>
        </w:rPr>
        <w:t>被授权人身份证号码：</w:t>
      </w:r>
    </w:p>
    <w:p w14:paraId="4F6470DC">
      <w:pPr>
        <w:snapToGrid w:val="0"/>
        <w:spacing w:beforeLines="50" w:after="50" w:line="360" w:lineRule="auto"/>
        <w:rPr>
          <w:rFonts w:ascii="宋体" w:hAnsi="宋体"/>
          <w:sz w:val="24"/>
        </w:rPr>
      </w:pPr>
      <w:r>
        <w:rPr>
          <w:rFonts w:hint="eastAsia" w:ascii="宋体" w:hAnsi="宋体"/>
          <w:sz w:val="24"/>
        </w:rPr>
        <w:t>投标供应商公章：</w:t>
      </w:r>
    </w:p>
    <w:p w14:paraId="51815AD9">
      <w:pPr>
        <w:pStyle w:val="7"/>
        <w:spacing w:line="360" w:lineRule="auto"/>
        <w:ind w:firstLine="374" w:firstLineChars="156"/>
        <w:jc w:val="center"/>
        <w:rPr>
          <w:rFonts w:hAnsi="宋体"/>
          <w:sz w:val="24"/>
          <w:szCs w:val="24"/>
        </w:rPr>
      </w:pPr>
      <w:r>
        <w:rPr>
          <w:rFonts w:hAnsi="宋体"/>
          <w:sz w:val="24"/>
          <w:szCs w:val="24"/>
        </w:rPr>
        <w:t>————————————————————</w:t>
      </w:r>
    </w:p>
    <w:p w14:paraId="5540DD1A">
      <w:pPr>
        <w:pStyle w:val="7"/>
        <w:spacing w:line="360" w:lineRule="auto"/>
        <w:ind w:firstLine="374" w:firstLineChars="156"/>
        <w:jc w:val="center"/>
        <w:rPr>
          <w:rFonts w:hAnsi="宋体"/>
          <w:sz w:val="24"/>
          <w:szCs w:val="24"/>
        </w:rPr>
      </w:pPr>
    </w:p>
    <w:p w14:paraId="772FE060">
      <w:pPr>
        <w:pStyle w:val="7"/>
        <w:spacing w:line="360" w:lineRule="auto"/>
        <w:ind w:firstLine="374" w:firstLineChars="156"/>
        <w:jc w:val="center"/>
        <w:rPr>
          <w:rFonts w:hAnsi="宋体"/>
          <w:sz w:val="24"/>
          <w:szCs w:val="24"/>
        </w:rPr>
      </w:pPr>
      <w:r>
        <w:rPr>
          <w:rFonts w:hAnsi="宋体"/>
          <w:sz w:val="24"/>
          <w:szCs w:val="24"/>
        </w:rPr>
        <w:t>授权代理人有效身份证明</w:t>
      </w:r>
    </w:p>
    <w:p w14:paraId="0339ABCE">
      <w:pPr>
        <w:snapToGrid w:val="0"/>
        <w:spacing w:beforeLines="50" w:after="50"/>
        <w:rPr>
          <w:rFonts w:ascii="宋体" w:hAnsi="宋体"/>
          <w:sz w:val="24"/>
        </w:rPr>
      </w:pPr>
    </w:p>
    <w:p w14:paraId="58398A88">
      <w:pPr>
        <w:snapToGrid w:val="0"/>
        <w:spacing w:beforeLines="50" w:after="50"/>
        <w:rPr>
          <w:rFonts w:ascii="宋体" w:hAnsi="宋体"/>
          <w:sz w:val="24"/>
        </w:rPr>
      </w:pPr>
    </w:p>
    <w:p w14:paraId="0A77C0DB">
      <w:pPr>
        <w:snapToGrid w:val="0"/>
        <w:spacing w:line="360" w:lineRule="auto"/>
        <w:ind w:firstLine="482" w:firstLineChars="200"/>
        <w:jc w:val="center"/>
        <w:rPr>
          <w:rFonts w:ascii="宋体" w:hAnsi="宋体"/>
          <w:b/>
          <w:sz w:val="24"/>
        </w:rPr>
      </w:pPr>
    </w:p>
    <w:p w14:paraId="68B39F26">
      <w:pPr>
        <w:snapToGrid w:val="0"/>
        <w:spacing w:line="360" w:lineRule="auto"/>
        <w:ind w:firstLine="482" w:firstLineChars="200"/>
        <w:jc w:val="center"/>
        <w:rPr>
          <w:rFonts w:ascii="宋体" w:hAnsi="宋体"/>
          <w:b/>
          <w:sz w:val="24"/>
        </w:rPr>
      </w:pPr>
    </w:p>
    <w:p w14:paraId="19A95E38">
      <w:pPr>
        <w:snapToGrid w:val="0"/>
        <w:spacing w:line="360" w:lineRule="auto"/>
        <w:ind w:firstLine="482" w:firstLineChars="200"/>
        <w:rPr>
          <w:rFonts w:ascii="宋体" w:hAnsi="宋体" w:cs="宋体"/>
          <w:b/>
          <w:sz w:val="24"/>
        </w:rPr>
      </w:pPr>
    </w:p>
    <w:p w14:paraId="18963DFD">
      <w:pPr>
        <w:pStyle w:val="7"/>
        <w:rPr>
          <w:rFonts w:ascii="宋体" w:hAnsi="宋体" w:cs="宋体"/>
          <w:b/>
          <w:sz w:val="24"/>
        </w:rPr>
      </w:pPr>
    </w:p>
    <w:p w14:paraId="754EE637">
      <w:pPr>
        <w:pStyle w:val="7"/>
        <w:rPr>
          <w:rFonts w:ascii="宋体" w:hAnsi="宋体" w:cs="宋体"/>
          <w:b/>
          <w:sz w:val="24"/>
        </w:rPr>
      </w:pPr>
    </w:p>
    <w:p w14:paraId="31F4A024">
      <w:pPr>
        <w:pStyle w:val="7"/>
        <w:rPr>
          <w:rFonts w:ascii="宋体" w:hAnsi="宋体" w:cs="宋体"/>
          <w:b/>
          <w:sz w:val="24"/>
        </w:rPr>
      </w:pPr>
    </w:p>
    <w:p w14:paraId="7EFC7495">
      <w:pPr>
        <w:pStyle w:val="7"/>
        <w:ind w:firstLine="0"/>
        <w:rPr>
          <w:rFonts w:ascii="宋体" w:hAnsi="宋体" w:cs="宋体"/>
          <w:b/>
          <w:sz w:val="24"/>
        </w:rPr>
      </w:pPr>
    </w:p>
    <w:p w14:paraId="0666E2F0">
      <w:pPr>
        <w:pStyle w:val="7"/>
        <w:rPr>
          <w:rFonts w:ascii="宋体" w:hAnsi="宋体" w:cs="宋体"/>
          <w:b/>
          <w:sz w:val="24"/>
        </w:rPr>
      </w:pPr>
    </w:p>
    <w:p w14:paraId="6A1C2A97">
      <w:pPr>
        <w:snapToGrid w:val="0"/>
        <w:spacing w:line="360" w:lineRule="auto"/>
        <w:jc w:val="center"/>
        <w:rPr>
          <w:rFonts w:hAnsi="宋体" w:cs="Arial"/>
          <w:b/>
          <w:bCs/>
          <w:sz w:val="24"/>
        </w:rPr>
      </w:pPr>
    </w:p>
    <w:p w14:paraId="18628C57">
      <w:pPr>
        <w:snapToGrid w:val="0"/>
        <w:spacing w:line="360" w:lineRule="auto"/>
        <w:jc w:val="center"/>
        <w:rPr>
          <w:rFonts w:hint="eastAsia" w:hAnsi="宋体" w:cs="Arial"/>
          <w:b/>
          <w:bCs/>
          <w:sz w:val="24"/>
        </w:rPr>
      </w:pPr>
    </w:p>
    <w:p w14:paraId="2012F29A">
      <w:pPr>
        <w:snapToGrid w:val="0"/>
        <w:spacing w:line="360" w:lineRule="auto"/>
        <w:jc w:val="center"/>
        <w:rPr>
          <w:rFonts w:hAnsi="宋体"/>
          <w:sz w:val="24"/>
        </w:rPr>
      </w:pPr>
      <w:r>
        <w:rPr>
          <w:rFonts w:hint="eastAsia" w:hAnsi="宋体" w:cs="Arial"/>
          <w:b/>
          <w:bCs/>
          <w:sz w:val="24"/>
        </w:rPr>
        <w:t>四、</w:t>
      </w:r>
      <w:r>
        <w:rPr>
          <w:rFonts w:hint="eastAsia" w:hAnsi="宋体" w:cs="Arial"/>
          <w:b/>
          <w:bCs/>
          <w:sz w:val="24"/>
          <w:lang w:val="en-US"/>
        </w:rPr>
        <w:t>授权代理人提供最近三个月中任意一个月的社保证明</w:t>
      </w:r>
      <w:r>
        <w:rPr>
          <w:rFonts w:hint="eastAsia" w:ascii="宋体" w:hAnsi="宋体" w:cs="宋体"/>
          <w:b/>
          <w:bCs/>
          <w:sz w:val="24"/>
        </w:rPr>
        <w:t>；</w:t>
      </w:r>
    </w:p>
    <w:p w14:paraId="13A05CEF">
      <w:pPr>
        <w:pStyle w:val="29"/>
        <w:spacing w:line="360" w:lineRule="auto"/>
        <w:rPr>
          <w:rFonts w:hAnsi="宋体"/>
          <w:sz w:val="24"/>
        </w:rPr>
      </w:pPr>
    </w:p>
    <w:p w14:paraId="22E9C03B">
      <w:pPr>
        <w:pStyle w:val="7"/>
        <w:rPr>
          <w:rFonts w:hAnsi="宋体"/>
          <w:sz w:val="24"/>
        </w:rPr>
      </w:pPr>
      <w:r>
        <w:rPr>
          <w:rFonts w:hint="eastAsia" w:hAnsi="宋体"/>
          <w:b/>
          <w:bCs/>
          <w:sz w:val="24"/>
        </w:rPr>
        <w:t>五、</w:t>
      </w:r>
      <w:r>
        <w:rPr>
          <w:rFonts w:hint="eastAsia" w:hAnsi="宋体"/>
          <w:b/>
          <w:bCs/>
          <w:sz w:val="24"/>
          <w:lang w:val="en-US"/>
        </w:rPr>
        <w:t>最近一个季度中任意一个月的依法缴纳税收和社保费的证明税费凭证复印件加盖公章，或者依法缴纳税费或依法免缴税费的证明</w:t>
      </w:r>
    </w:p>
    <w:p w14:paraId="5FF980EB">
      <w:pPr>
        <w:pStyle w:val="7"/>
        <w:rPr>
          <w:rFonts w:hAnsi="宋体"/>
          <w:sz w:val="24"/>
        </w:rPr>
      </w:pPr>
    </w:p>
    <w:p w14:paraId="68F039AD">
      <w:pPr>
        <w:pStyle w:val="7"/>
        <w:rPr>
          <w:rFonts w:hAnsi="宋体"/>
          <w:sz w:val="24"/>
        </w:rPr>
      </w:pPr>
    </w:p>
    <w:p w14:paraId="613207A3">
      <w:pPr>
        <w:pStyle w:val="7"/>
        <w:rPr>
          <w:rFonts w:hAnsi="宋体"/>
          <w:sz w:val="24"/>
        </w:rPr>
      </w:pPr>
    </w:p>
    <w:p w14:paraId="15D22A6B">
      <w:pPr>
        <w:pStyle w:val="7"/>
        <w:rPr>
          <w:rFonts w:hAnsi="宋体"/>
          <w:sz w:val="24"/>
        </w:rPr>
      </w:pPr>
    </w:p>
    <w:p w14:paraId="7D871B15">
      <w:pPr>
        <w:snapToGrid w:val="0"/>
        <w:spacing w:line="360" w:lineRule="auto"/>
        <w:rPr>
          <w:rFonts w:ascii="宋体" w:hAnsi="宋体" w:cs="宋体"/>
          <w:b/>
          <w:bCs/>
          <w:kern w:val="0"/>
          <w:sz w:val="24"/>
        </w:rPr>
      </w:pPr>
      <w:r>
        <w:rPr>
          <w:rFonts w:hint="eastAsia" w:hAnsi="宋体"/>
          <w:b/>
          <w:bCs/>
          <w:sz w:val="24"/>
        </w:rPr>
        <w:t>六、</w:t>
      </w:r>
      <w:r>
        <w:rPr>
          <w:rFonts w:hint="eastAsia" w:hAnsi="宋体"/>
          <w:b/>
          <w:bCs/>
          <w:sz w:val="24"/>
          <w:lang w:val="en-US"/>
        </w:rPr>
        <w:t>自</w:t>
      </w:r>
      <w:r>
        <w:rPr>
          <w:rFonts w:hint="eastAsia" w:hAnsi="宋体"/>
          <w:b/>
          <w:bCs/>
          <w:sz w:val="24"/>
          <w:lang w:val="en-US" w:eastAsia="zh-CN"/>
        </w:rPr>
        <w:t>招标</w:t>
      </w:r>
      <w:r>
        <w:rPr>
          <w:rFonts w:hint="eastAsia" w:hAnsi="宋体"/>
          <w:b/>
          <w:bCs/>
          <w:sz w:val="24"/>
          <w:lang w:val="en-US"/>
        </w:rPr>
        <w:t>公告发布之后任意时间的“信用中国”（www.creditchina.gov.cn）、中国政府采购（www.ccgp.gov.cn）供应商信用查询网页截图；（二者缺一不可，平台网页截图加盖单位公章）</w:t>
      </w:r>
      <w:r>
        <w:rPr>
          <w:rFonts w:hint="eastAsia"/>
          <w:b/>
          <w:bCs/>
          <w:sz w:val="24"/>
        </w:rPr>
        <w:t>；</w:t>
      </w:r>
    </w:p>
    <w:p w14:paraId="633FB914">
      <w:pPr>
        <w:snapToGrid w:val="0"/>
        <w:spacing w:line="360" w:lineRule="auto"/>
        <w:ind w:firstLine="482" w:firstLineChars="200"/>
        <w:jc w:val="center"/>
        <w:rPr>
          <w:rFonts w:ascii="宋体" w:hAnsi="宋体"/>
          <w:b/>
          <w:sz w:val="24"/>
        </w:rPr>
      </w:pPr>
    </w:p>
    <w:p w14:paraId="70859C6B">
      <w:pPr>
        <w:snapToGrid w:val="0"/>
        <w:spacing w:line="360" w:lineRule="auto"/>
        <w:ind w:firstLine="482" w:firstLineChars="200"/>
        <w:jc w:val="center"/>
        <w:rPr>
          <w:rFonts w:ascii="宋体" w:hAnsi="宋体"/>
          <w:b/>
          <w:sz w:val="24"/>
        </w:rPr>
      </w:pPr>
    </w:p>
    <w:p w14:paraId="77CA8D26">
      <w:pPr>
        <w:widowControl/>
        <w:rPr>
          <w:rFonts w:ascii="宋体" w:hAnsi="宋体" w:cs="宋体"/>
          <w:b/>
          <w:bCs/>
          <w:kern w:val="0"/>
          <w:sz w:val="24"/>
        </w:rPr>
      </w:pPr>
    </w:p>
    <w:p w14:paraId="659F9893">
      <w:pPr>
        <w:rPr>
          <w:rFonts w:ascii="宋体" w:hAnsi="宋体" w:cs="宋体"/>
          <w:b/>
          <w:bCs/>
          <w:kern w:val="0"/>
          <w:sz w:val="24"/>
        </w:rPr>
      </w:pPr>
      <w:r>
        <w:rPr>
          <w:rFonts w:ascii="宋体" w:hAnsi="宋体" w:cs="宋体"/>
          <w:b/>
          <w:bCs/>
          <w:kern w:val="0"/>
          <w:sz w:val="24"/>
        </w:rPr>
        <w:br w:type="page"/>
      </w:r>
    </w:p>
    <w:p w14:paraId="56C0B301">
      <w:pPr>
        <w:snapToGrid w:val="0"/>
        <w:spacing w:line="360" w:lineRule="auto"/>
        <w:jc w:val="center"/>
        <w:rPr>
          <w:rFonts w:hint="eastAsia"/>
          <w:b/>
          <w:sz w:val="24"/>
          <w:szCs w:val="24"/>
          <w:lang w:eastAsia="zh-CN"/>
        </w:rPr>
      </w:pPr>
    </w:p>
    <w:p w14:paraId="0903C516">
      <w:pPr>
        <w:snapToGrid w:val="0"/>
        <w:spacing w:line="360" w:lineRule="auto"/>
        <w:jc w:val="center"/>
        <w:rPr>
          <w:sz w:val="24"/>
          <w:szCs w:val="24"/>
        </w:rPr>
      </w:pPr>
      <w:r>
        <w:rPr>
          <w:rFonts w:hint="eastAsia"/>
          <w:b/>
          <w:sz w:val="24"/>
          <w:szCs w:val="24"/>
          <w:lang w:eastAsia="zh-CN"/>
        </w:rPr>
        <w:t>七、</w:t>
      </w:r>
      <w:r>
        <w:rPr>
          <w:rFonts w:hint="eastAsia"/>
          <w:b/>
          <w:sz w:val="24"/>
          <w:szCs w:val="24"/>
        </w:rPr>
        <w:t>中小企业声明函（工程、服务）</w:t>
      </w:r>
    </w:p>
    <w:p w14:paraId="75A18984">
      <w:pPr>
        <w:spacing w:line="360" w:lineRule="auto"/>
        <w:rPr>
          <w:b/>
          <w:sz w:val="28"/>
          <w:szCs w:val="28"/>
        </w:rPr>
      </w:pPr>
    </w:p>
    <w:p w14:paraId="284CCBFA">
      <w:pPr>
        <w:spacing w:line="360" w:lineRule="auto"/>
        <w:ind w:firstLine="480" w:firstLineChars="200"/>
        <w:rPr>
          <w:rFonts w:cs="仿宋"/>
          <w:sz w:val="24"/>
        </w:rPr>
      </w:pPr>
      <w:r>
        <w:rPr>
          <w:rFonts w:hint="eastAsia" w:cs="仿宋"/>
          <w:sz w:val="24"/>
        </w:rPr>
        <w:t>本公司（联合体）郑重声明，根据《政府采购促进中小企业发展管理办法》（财库﹝2020﹞46 号）的规定，本公司</w:t>
      </w:r>
    </w:p>
    <w:p w14:paraId="72676022">
      <w:pPr>
        <w:spacing w:line="360" w:lineRule="auto"/>
        <w:ind w:firstLine="480" w:firstLineChars="200"/>
        <w:rPr>
          <w:rFonts w:cs="仿宋"/>
          <w:sz w:val="24"/>
        </w:rPr>
      </w:pPr>
      <w:r>
        <w:rPr>
          <w:rFonts w:hint="eastAsia" w:cs="仿宋"/>
          <w:sz w:val="24"/>
        </w:rPr>
        <w:t>（联合体）参加</w:t>
      </w:r>
      <w:r>
        <w:rPr>
          <w:rFonts w:hint="eastAsia" w:cs="仿宋"/>
          <w:sz w:val="24"/>
          <w:u w:val="single"/>
        </w:rPr>
        <w:t>（单位名称）</w:t>
      </w:r>
      <w:r>
        <w:rPr>
          <w:rFonts w:hint="eastAsia" w:cs="仿宋"/>
          <w:sz w:val="24"/>
        </w:rPr>
        <w:t>的</w:t>
      </w:r>
      <w:r>
        <w:rPr>
          <w:rFonts w:hint="eastAsia" w:cs="仿宋"/>
          <w:sz w:val="24"/>
          <w:u w:val="single"/>
        </w:rPr>
        <w:t>（项目名称）</w:t>
      </w:r>
      <w:r>
        <w:rPr>
          <w:rFonts w:hint="eastAsia" w:cs="仿宋"/>
          <w:sz w:val="24"/>
          <w:u w:val="single"/>
          <w:lang w:val="en-US"/>
        </w:rPr>
        <w:t xml:space="preserve"> </w:t>
      </w:r>
      <w:r>
        <w:rPr>
          <w:rFonts w:hint="eastAsia" w:cs="仿宋"/>
          <w:sz w:val="24"/>
        </w:rPr>
        <w:t>采购活动，工 程的施工单位全部为符合政策要求的中小企业（或者：服务全部由符合政策要求的中小企业承接）。相关企业（含联合 体中的中小企业、签订分包意向协议的中小企业）的具体情况如下：</w:t>
      </w:r>
    </w:p>
    <w:p w14:paraId="1DA6555D">
      <w:pPr>
        <w:numPr>
          <w:ilvl w:val="0"/>
          <w:numId w:val="12"/>
        </w:numPr>
        <w:spacing w:line="360" w:lineRule="auto"/>
        <w:ind w:firstLine="480" w:firstLineChars="200"/>
        <w:rPr>
          <w:rFonts w:cs="仿宋"/>
          <w:sz w:val="24"/>
        </w:rPr>
      </w:pPr>
      <w:r>
        <w:rPr>
          <w:rFonts w:hint="eastAsia" w:cs="仿宋"/>
          <w:sz w:val="24"/>
          <w:u w:val="single"/>
        </w:rPr>
        <w:t>（标的名称）</w:t>
      </w:r>
      <w:r>
        <w:rPr>
          <w:rFonts w:hint="eastAsia" w:cs="仿宋"/>
          <w:sz w:val="24"/>
          <w:u w:val="single"/>
          <w:lang w:val="en-US"/>
        </w:rPr>
        <w:t xml:space="preserve">   </w:t>
      </w:r>
      <w:r>
        <w:rPr>
          <w:rFonts w:hint="eastAsia" w:cs="仿宋"/>
          <w:sz w:val="24"/>
        </w:rPr>
        <w:t>，属于</w:t>
      </w:r>
      <w:r>
        <w:rPr>
          <w:rFonts w:hint="eastAsia" w:cs="仿宋"/>
          <w:sz w:val="24"/>
          <w:u w:val="single"/>
        </w:rPr>
        <w:t>（采购文件中明确的所属行业）</w:t>
      </w:r>
      <w:r>
        <w:rPr>
          <w:rFonts w:hint="eastAsia" w:cs="仿宋"/>
          <w:sz w:val="24"/>
          <w:u w:val="single"/>
          <w:lang w:val="en-US"/>
        </w:rPr>
        <w:t xml:space="preserve">    </w:t>
      </w:r>
      <w:r>
        <w:rPr>
          <w:rFonts w:hint="eastAsia" w:cs="仿宋"/>
          <w:sz w:val="24"/>
        </w:rPr>
        <w:t>；</w:t>
      </w:r>
    </w:p>
    <w:p w14:paraId="384696E2">
      <w:pPr>
        <w:spacing w:line="360" w:lineRule="auto"/>
        <w:ind w:firstLine="480" w:firstLineChars="200"/>
        <w:rPr>
          <w:rFonts w:cs="仿宋"/>
          <w:sz w:val="24"/>
        </w:rPr>
      </w:pPr>
      <w:r>
        <w:rPr>
          <w:rFonts w:hint="eastAsia" w:cs="仿宋"/>
          <w:sz w:val="24"/>
        </w:rPr>
        <w:t>承建（承接）企业为</w:t>
      </w:r>
      <w:r>
        <w:rPr>
          <w:rFonts w:hint="eastAsia" w:cs="仿宋"/>
          <w:sz w:val="24"/>
          <w:u w:val="single"/>
        </w:rPr>
        <w:t>（企业名称）</w:t>
      </w:r>
      <w:r>
        <w:rPr>
          <w:rFonts w:hint="eastAsia" w:cs="仿宋"/>
          <w:sz w:val="24"/>
        </w:rPr>
        <w:t>，从业人员</w:t>
      </w:r>
      <w:r>
        <w:rPr>
          <w:rFonts w:hint="eastAsia" w:cs="仿宋"/>
          <w:sz w:val="24"/>
          <w:u w:val="single"/>
        </w:rPr>
        <w:t xml:space="preserve"> </w:t>
      </w:r>
      <w:r>
        <w:rPr>
          <w:rFonts w:hint="eastAsia" w:cs="仿宋"/>
          <w:sz w:val="24"/>
          <w:u w:val="single"/>
        </w:rPr>
        <w:tab/>
      </w:r>
      <w:r>
        <w:rPr>
          <w:rFonts w:hint="eastAsia" w:cs="仿宋"/>
          <w:sz w:val="24"/>
          <w:u w:val="single"/>
          <w:lang w:val="en-US"/>
        </w:rPr>
        <w:t xml:space="preserve">   </w:t>
      </w:r>
      <w:r>
        <w:rPr>
          <w:rFonts w:hint="eastAsia" w:cs="仿宋"/>
          <w:sz w:val="24"/>
        </w:rPr>
        <w:t>人，营业收入为</w:t>
      </w:r>
      <w:r>
        <w:rPr>
          <w:rFonts w:hint="eastAsia" w:cs="仿宋"/>
          <w:sz w:val="24"/>
          <w:u w:val="single"/>
        </w:rPr>
        <w:t xml:space="preserve"> </w:t>
      </w:r>
      <w:r>
        <w:rPr>
          <w:rFonts w:hint="eastAsia" w:cs="仿宋"/>
          <w:sz w:val="24"/>
          <w:u w:val="single"/>
        </w:rPr>
        <w:tab/>
      </w:r>
      <w:r>
        <w:rPr>
          <w:rFonts w:hint="eastAsia" w:cs="仿宋"/>
          <w:sz w:val="24"/>
          <w:u w:val="single"/>
          <w:lang w:val="en-US"/>
        </w:rPr>
        <w:t xml:space="preserve"> </w:t>
      </w:r>
      <w:r>
        <w:rPr>
          <w:rFonts w:hint="eastAsia" w:cs="仿宋"/>
          <w:sz w:val="24"/>
        </w:rPr>
        <w:t xml:space="preserve">万元，资产总额为 </w:t>
      </w:r>
      <w:r>
        <w:rPr>
          <w:rFonts w:hint="eastAsia" w:cs="仿宋"/>
          <w:sz w:val="24"/>
          <w:u w:val="single"/>
        </w:rPr>
        <w:tab/>
      </w:r>
      <w:r>
        <w:rPr>
          <w:rFonts w:hint="eastAsia" w:cs="仿宋"/>
          <w:sz w:val="24"/>
          <w:u w:val="single"/>
          <w:lang w:val="en-US"/>
        </w:rPr>
        <w:t xml:space="preserve">  </w:t>
      </w:r>
      <w:r>
        <w:rPr>
          <w:rFonts w:hint="eastAsia" w:cs="仿宋"/>
          <w:sz w:val="24"/>
        </w:rPr>
        <w:t>万元，属于</w:t>
      </w:r>
      <w:r>
        <w:rPr>
          <w:rFonts w:hint="eastAsia" w:cs="仿宋"/>
          <w:sz w:val="24"/>
          <w:u w:val="single"/>
        </w:rPr>
        <w:t>（中型企业、小型企业、微型企业）</w:t>
      </w:r>
      <w:r>
        <w:rPr>
          <w:rFonts w:hint="eastAsia" w:cs="仿宋"/>
          <w:sz w:val="24"/>
        </w:rPr>
        <w:t>；</w:t>
      </w:r>
    </w:p>
    <w:p w14:paraId="255BF28B">
      <w:pPr>
        <w:spacing w:line="360" w:lineRule="auto"/>
        <w:ind w:firstLine="480" w:firstLineChars="200"/>
        <w:rPr>
          <w:rFonts w:cs="仿宋"/>
          <w:sz w:val="24"/>
        </w:rPr>
      </w:pPr>
      <w:r>
        <w:rPr>
          <w:rFonts w:hint="eastAsia" w:cs="仿宋"/>
          <w:sz w:val="24"/>
        </w:rPr>
        <w:t>……</w:t>
      </w:r>
    </w:p>
    <w:p w14:paraId="28C861B8">
      <w:pPr>
        <w:spacing w:line="360" w:lineRule="auto"/>
        <w:ind w:firstLine="480" w:firstLineChars="200"/>
        <w:rPr>
          <w:rFonts w:cs="仿宋"/>
          <w:sz w:val="24"/>
        </w:rPr>
      </w:pPr>
      <w:r>
        <w:rPr>
          <w:rFonts w:hint="eastAsia" w:cs="仿宋"/>
          <w:sz w:val="24"/>
        </w:rPr>
        <w:t>以上企业，不属于大企业的分支机构，不存在控股股东为大企业的情形，也不存在与大企业的负责人为同一人的情形。</w:t>
      </w:r>
    </w:p>
    <w:p w14:paraId="27931D9E">
      <w:pPr>
        <w:spacing w:line="360" w:lineRule="auto"/>
        <w:ind w:firstLine="480" w:firstLineChars="200"/>
        <w:rPr>
          <w:rFonts w:cs="仿宋"/>
          <w:sz w:val="24"/>
        </w:rPr>
      </w:pPr>
      <w:r>
        <w:rPr>
          <w:rFonts w:hint="eastAsia" w:cs="仿宋"/>
          <w:sz w:val="24"/>
        </w:rPr>
        <w:t>本企业对上述声明内容的真实性负责。如有虚假，将依法承担相应责任。</w:t>
      </w:r>
    </w:p>
    <w:p w14:paraId="14C247BE">
      <w:pPr>
        <w:spacing w:line="360" w:lineRule="auto"/>
        <w:ind w:firstLine="5640" w:firstLineChars="2350"/>
        <w:rPr>
          <w:rFonts w:cs="仿宋"/>
          <w:sz w:val="24"/>
        </w:rPr>
      </w:pPr>
    </w:p>
    <w:p w14:paraId="08EE31DB">
      <w:pPr>
        <w:spacing w:line="360" w:lineRule="auto"/>
        <w:ind w:firstLine="5640" w:firstLineChars="2350"/>
        <w:rPr>
          <w:rFonts w:cs="仿宋"/>
          <w:sz w:val="24"/>
        </w:rPr>
      </w:pPr>
      <w:r>
        <w:rPr>
          <w:rFonts w:hint="eastAsia" w:cs="仿宋"/>
          <w:sz w:val="24"/>
        </w:rPr>
        <w:t>企业名称（盖章）：</w:t>
      </w:r>
    </w:p>
    <w:p w14:paraId="114DD5C0">
      <w:pPr>
        <w:spacing w:line="360" w:lineRule="auto"/>
        <w:ind w:firstLine="5640" w:firstLineChars="2350"/>
        <w:rPr>
          <w:bCs/>
          <w:sz w:val="24"/>
        </w:rPr>
      </w:pPr>
      <w:r>
        <w:rPr>
          <w:rFonts w:hint="eastAsia" w:cs="仿宋"/>
          <w:sz w:val="24"/>
        </w:rPr>
        <w:t>日期：</w:t>
      </w:r>
    </w:p>
    <w:p w14:paraId="7D166C49">
      <w:pPr>
        <w:snapToGrid w:val="0"/>
        <w:spacing w:line="360" w:lineRule="auto"/>
        <w:rPr>
          <w:rFonts w:cs="仿宋"/>
          <w:sz w:val="24"/>
        </w:rPr>
      </w:pPr>
    </w:p>
    <w:p w14:paraId="2DCD5D95">
      <w:pPr>
        <w:pStyle w:val="7"/>
        <w:spacing w:line="240" w:lineRule="exact"/>
        <w:ind w:firstLine="0"/>
      </w:pPr>
    </w:p>
    <w:p w14:paraId="4BA44EF2">
      <w:pPr>
        <w:pStyle w:val="7"/>
        <w:spacing w:line="240" w:lineRule="exact"/>
        <w:ind w:firstLine="0"/>
      </w:pPr>
    </w:p>
    <w:p w14:paraId="4A08142F">
      <w:pPr>
        <w:pStyle w:val="7"/>
        <w:spacing w:line="240" w:lineRule="exact"/>
        <w:ind w:firstLine="0"/>
        <w:rPr>
          <w:rFonts w:ascii="宋体"/>
          <w:sz w:val="22"/>
        </w:rPr>
      </w:pPr>
      <w:r>
        <w:rPr>
          <w:rFonts w:hint="eastAsia"/>
        </w:rPr>
        <w:t>注：</w:t>
      </w:r>
      <w:r>
        <w:rPr>
          <w:rFonts w:hint="eastAsia" w:ascii="宋体"/>
          <w:sz w:val="22"/>
        </w:rPr>
        <w:t>1.中小企业应当按照《政府采购促进中小企业发展管理办法》规定和《中小企业划型标准规定》（工信部联企业〔2011〕300号），如实填写并提交《中小企业声明函》。未按要求出具声明函的，投标报价不予扣减；</w:t>
      </w:r>
    </w:p>
    <w:p w14:paraId="20BCDCA8">
      <w:pPr>
        <w:pStyle w:val="7"/>
        <w:rPr>
          <w:rFonts w:ascii="宋体"/>
          <w:sz w:val="22"/>
        </w:rPr>
      </w:pPr>
      <w:r>
        <w:rPr>
          <w:rFonts w:hint="eastAsia" w:ascii="宋体"/>
          <w:sz w:val="22"/>
        </w:rPr>
        <w:t>2.如中标，将在中标公告中将此中小企业声明函予以公示，接受社会监督；</w:t>
      </w:r>
    </w:p>
    <w:p w14:paraId="7C9517CF">
      <w:pPr>
        <w:pStyle w:val="7"/>
        <w:rPr>
          <w:rFonts w:ascii="宋体"/>
          <w:sz w:val="22"/>
        </w:rPr>
      </w:pPr>
      <w:r>
        <w:rPr>
          <w:rFonts w:hint="eastAsia" w:ascii="宋体"/>
          <w:sz w:val="22"/>
        </w:rPr>
        <w:t>3.中小企业对其声明内容的真实性负责，声明函内容不实的，属于提供虚假材料谋取中标、成交，依照《中华人民共和国政府采购法》等国家有关规定追究相应责任。</w:t>
      </w:r>
    </w:p>
    <w:p w14:paraId="24F479BD">
      <w:pPr>
        <w:pStyle w:val="21"/>
      </w:pPr>
    </w:p>
    <w:p w14:paraId="5EC1DBF5">
      <w:pPr>
        <w:pStyle w:val="101"/>
      </w:pPr>
    </w:p>
    <w:p w14:paraId="348C1480">
      <w:pPr>
        <w:pStyle w:val="7"/>
        <w:ind w:firstLine="0"/>
        <w:rPr>
          <w:rFonts w:ascii="宋体"/>
          <w:sz w:val="22"/>
        </w:rPr>
      </w:pPr>
    </w:p>
    <w:p w14:paraId="35185103">
      <w:pPr>
        <w:pStyle w:val="7"/>
        <w:rPr>
          <w:rFonts w:ascii="宋体"/>
          <w:sz w:val="22"/>
        </w:rPr>
      </w:pPr>
    </w:p>
    <w:p w14:paraId="60B8CC82">
      <w:pPr>
        <w:snapToGrid w:val="0"/>
        <w:spacing w:line="360" w:lineRule="auto"/>
        <w:jc w:val="center"/>
        <w:rPr>
          <w:b/>
          <w:sz w:val="24"/>
        </w:rPr>
      </w:pPr>
    </w:p>
    <w:p w14:paraId="17610278">
      <w:pPr>
        <w:snapToGrid w:val="0"/>
        <w:spacing w:line="360" w:lineRule="auto"/>
        <w:jc w:val="center"/>
        <w:rPr>
          <w:b/>
          <w:sz w:val="24"/>
        </w:rPr>
      </w:pPr>
    </w:p>
    <w:p w14:paraId="61F31300">
      <w:pPr>
        <w:pStyle w:val="168"/>
        <w:rPr>
          <w:b/>
          <w:sz w:val="24"/>
        </w:rPr>
      </w:pPr>
    </w:p>
    <w:p w14:paraId="004C68DF">
      <w:pPr>
        <w:snapToGrid w:val="0"/>
        <w:spacing w:line="360" w:lineRule="auto"/>
        <w:jc w:val="both"/>
        <w:rPr>
          <w:b/>
          <w:sz w:val="24"/>
        </w:rPr>
      </w:pPr>
    </w:p>
    <w:p w14:paraId="6369F3FD">
      <w:pPr>
        <w:rPr>
          <w:rFonts w:hint="eastAsia"/>
          <w:b/>
          <w:sz w:val="24"/>
        </w:rPr>
      </w:pPr>
      <w:r>
        <w:rPr>
          <w:rFonts w:hint="eastAsia"/>
          <w:b/>
          <w:sz w:val="24"/>
        </w:rPr>
        <w:br w:type="page"/>
      </w:r>
    </w:p>
    <w:p w14:paraId="28022C61">
      <w:pPr>
        <w:snapToGrid w:val="0"/>
        <w:spacing w:line="360" w:lineRule="auto"/>
        <w:jc w:val="center"/>
        <w:rPr>
          <w:rFonts w:hint="eastAsia"/>
          <w:b/>
          <w:sz w:val="24"/>
        </w:rPr>
      </w:pPr>
    </w:p>
    <w:p w14:paraId="0A3F0828">
      <w:pPr>
        <w:snapToGrid w:val="0"/>
        <w:spacing w:line="360" w:lineRule="auto"/>
        <w:jc w:val="center"/>
        <w:rPr>
          <w:rFonts w:hint="eastAsia"/>
          <w:b/>
          <w:sz w:val="24"/>
        </w:rPr>
      </w:pPr>
    </w:p>
    <w:p w14:paraId="294B5302">
      <w:pPr>
        <w:snapToGrid w:val="0"/>
        <w:spacing w:line="360" w:lineRule="auto"/>
        <w:jc w:val="center"/>
        <w:rPr>
          <w:b/>
          <w:sz w:val="24"/>
        </w:rPr>
      </w:pPr>
      <w:r>
        <w:rPr>
          <w:rFonts w:hint="eastAsia"/>
          <w:b/>
          <w:sz w:val="24"/>
        </w:rPr>
        <w:t>残疾人福利企业声明函</w:t>
      </w:r>
    </w:p>
    <w:p w14:paraId="29E296BC">
      <w:pPr>
        <w:widowControl/>
        <w:spacing w:line="360" w:lineRule="auto"/>
        <w:jc w:val="center"/>
      </w:pPr>
      <w:r>
        <w:rPr>
          <w:rFonts w:hint="eastAsia"/>
          <w:color w:val="000000"/>
          <w:sz w:val="24"/>
        </w:rPr>
        <w:t>【非残疾人福利性单位不用提供】</w:t>
      </w:r>
    </w:p>
    <w:p w14:paraId="3CAF57BB">
      <w:pPr>
        <w:snapToGrid w:val="0"/>
        <w:spacing w:line="360" w:lineRule="auto"/>
        <w:ind w:firstLine="602" w:firstLineChars="250"/>
        <w:jc w:val="center"/>
        <w:rPr>
          <w:b/>
          <w:sz w:val="24"/>
        </w:rPr>
      </w:pPr>
    </w:p>
    <w:p w14:paraId="502D4C21">
      <w:pPr>
        <w:snapToGrid w:val="0"/>
        <w:spacing w:line="360" w:lineRule="auto"/>
        <w:ind w:firstLine="480" w:firstLineChars="20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 xml:space="preserve"> 141</w:t>
      </w:r>
      <w:r>
        <w:rPr>
          <w:rFonts w:hint="eastAsia"/>
          <w:sz w:val="24"/>
        </w:rPr>
        <w:t>号）的规定，本单位为符合条件的残疾人福利性单位，且本单位参加</w:t>
      </w:r>
      <w:r>
        <w:rPr>
          <w:sz w:val="24"/>
        </w:rPr>
        <w:t>______</w:t>
      </w:r>
      <w:r>
        <w:rPr>
          <w:rFonts w:hint="eastAsia"/>
          <w:sz w:val="24"/>
        </w:rPr>
        <w:t>单位的</w:t>
      </w:r>
      <w:r>
        <w:rPr>
          <w:sz w:val="24"/>
        </w:rPr>
        <w:t>______</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14:paraId="07ADBC87">
      <w:pPr>
        <w:snapToGrid w:val="0"/>
        <w:spacing w:line="360" w:lineRule="auto"/>
        <w:ind w:firstLine="480" w:firstLineChars="200"/>
        <w:rPr>
          <w:sz w:val="24"/>
        </w:rPr>
      </w:pPr>
      <w:r>
        <w:rPr>
          <w:rFonts w:hint="eastAsia"/>
          <w:sz w:val="24"/>
        </w:rPr>
        <w:t>本单位对上述声明的真实性负责。如有虚假，将依法承担相应责任。</w:t>
      </w:r>
    </w:p>
    <w:p w14:paraId="69778F26">
      <w:pPr>
        <w:snapToGrid w:val="0"/>
        <w:spacing w:line="360" w:lineRule="auto"/>
        <w:ind w:firstLine="480" w:firstLineChars="200"/>
        <w:rPr>
          <w:sz w:val="24"/>
        </w:rPr>
      </w:pPr>
    </w:p>
    <w:p w14:paraId="50ECA8A6">
      <w:pPr>
        <w:spacing w:line="588" w:lineRule="exact"/>
        <w:ind w:firstLine="480" w:firstLineChars="200"/>
        <w:rPr>
          <w:sz w:val="24"/>
        </w:rPr>
      </w:pPr>
    </w:p>
    <w:p w14:paraId="249FC07B">
      <w:pPr>
        <w:snapToGrid w:val="0"/>
        <w:spacing w:line="360" w:lineRule="auto"/>
        <w:ind w:firstLine="480" w:firstLineChars="200"/>
        <w:jc w:val="right"/>
        <w:rPr>
          <w:sz w:val="24"/>
        </w:rPr>
      </w:pPr>
      <w:r>
        <w:rPr>
          <w:rFonts w:hint="eastAsia"/>
          <w:sz w:val="24"/>
        </w:rPr>
        <w:t>单位名称（盖章）：</w:t>
      </w:r>
    </w:p>
    <w:p w14:paraId="3EDB1E55">
      <w:pPr>
        <w:snapToGrid w:val="0"/>
        <w:spacing w:line="360" w:lineRule="auto"/>
        <w:ind w:firstLine="480" w:firstLineChars="200"/>
        <w:jc w:val="right"/>
        <w:rPr>
          <w:sz w:val="24"/>
        </w:rPr>
      </w:pPr>
      <w:r>
        <w:rPr>
          <w:rFonts w:hint="eastAsia"/>
          <w:sz w:val="24"/>
        </w:rPr>
        <w:t>日期：</w:t>
      </w:r>
    </w:p>
    <w:p w14:paraId="5F0ACB8F">
      <w:pPr>
        <w:tabs>
          <w:tab w:val="left" w:pos="465"/>
        </w:tabs>
        <w:ind w:firstLine="2783" w:firstLineChars="990"/>
        <w:rPr>
          <w:rFonts w:ascii="仿宋" w:hAnsi="仿宋" w:eastAsia="仿宋"/>
          <w:b/>
          <w:bCs/>
          <w:szCs w:val="28"/>
        </w:rPr>
      </w:pPr>
    </w:p>
    <w:p w14:paraId="4A620A63">
      <w:pPr>
        <w:snapToGrid w:val="0"/>
        <w:spacing w:line="360" w:lineRule="auto"/>
        <w:rPr>
          <w:b/>
          <w:sz w:val="24"/>
        </w:rPr>
      </w:pPr>
    </w:p>
    <w:p w14:paraId="5E69E084">
      <w:pPr>
        <w:tabs>
          <w:tab w:val="left" w:pos="4860"/>
        </w:tabs>
        <w:spacing w:line="588" w:lineRule="exact"/>
        <w:ind w:right="1560"/>
        <w:rPr>
          <w:sz w:val="24"/>
          <w:szCs w:val="24"/>
        </w:rPr>
      </w:pPr>
      <w:r>
        <w:rPr>
          <w:rFonts w:hint="eastAsia"/>
          <w:sz w:val="24"/>
          <w:szCs w:val="24"/>
        </w:rPr>
        <w:t>备注说明：</w:t>
      </w:r>
    </w:p>
    <w:p w14:paraId="251E1CC3">
      <w:pPr>
        <w:spacing w:line="588" w:lineRule="exact"/>
        <w:ind w:firstLine="504" w:firstLineChars="200"/>
        <w:rPr>
          <w:spacing w:val="6"/>
          <w:sz w:val="24"/>
          <w:szCs w:val="24"/>
        </w:rPr>
      </w:pPr>
      <w:r>
        <w:rPr>
          <w:rFonts w:hint="eastAsia"/>
          <w:spacing w:val="6"/>
          <w:sz w:val="24"/>
          <w:szCs w:val="24"/>
        </w:rPr>
        <w:t>1、如中标，将在中标公告中将此残疾人福利性单位声明函予以公示，接受社会监督；</w:t>
      </w:r>
    </w:p>
    <w:p w14:paraId="2C929B46">
      <w:pPr>
        <w:spacing w:line="588" w:lineRule="exact"/>
        <w:ind w:firstLine="504" w:firstLineChars="200"/>
        <w:rPr>
          <w:spacing w:val="6"/>
          <w:sz w:val="24"/>
          <w:szCs w:val="24"/>
        </w:rPr>
      </w:pPr>
      <w:r>
        <w:rPr>
          <w:spacing w:val="6"/>
          <w:sz w:val="24"/>
          <w:szCs w:val="24"/>
        </w:rPr>
        <w:t>2</w:t>
      </w:r>
      <w:r>
        <w:rPr>
          <w:rFonts w:hint="eastAsia"/>
          <w:spacing w:val="6"/>
          <w:sz w:val="24"/>
          <w:szCs w:val="24"/>
        </w:rPr>
        <w:t>、 供应商提供的《残疾人福利性单位声明函》与事实不符的，依照《政府采购法》第七十七条第一款的规定追究法律责任。</w:t>
      </w:r>
    </w:p>
    <w:p w14:paraId="00EBF14E">
      <w:pPr>
        <w:pStyle w:val="7"/>
        <w:rPr>
          <w:rFonts w:ascii="宋体"/>
          <w:sz w:val="22"/>
        </w:rPr>
      </w:pPr>
    </w:p>
    <w:p w14:paraId="7DFC8D2C">
      <w:pPr>
        <w:pStyle w:val="7"/>
        <w:rPr>
          <w:rFonts w:ascii="宋体"/>
          <w:sz w:val="22"/>
        </w:rPr>
      </w:pPr>
    </w:p>
    <w:p w14:paraId="2BDF9477">
      <w:pPr>
        <w:pStyle w:val="7"/>
        <w:rPr>
          <w:rFonts w:ascii="宋体"/>
          <w:sz w:val="22"/>
        </w:rPr>
      </w:pPr>
    </w:p>
    <w:p w14:paraId="50FFBED7">
      <w:pPr>
        <w:pStyle w:val="7"/>
        <w:rPr>
          <w:rFonts w:ascii="宋体"/>
          <w:sz w:val="22"/>
        </w:rPr>
      </w:pPr>
    </w:p>
    <w:p w14:paraId="72277D6A">
      <w:pPr>
        <w:pStyle w:val="7"/>
        <w:rPr>
          <w:rFonts w:ascii="宋体"/>
          <w:sz w:val="22"/>
        </w:rPr>
      </w:pPr>
    </w:p>
    <w:p w14:paraId="49EE9C42">
      <w:pPr>
        <w:pStyle w:val="7"/>
        <w:rPr>
          <w:rFonts w:ascii="宋体"/>
          <w:sz w:val="22"/>
        </w:rPr>
      </w:pPr>
    </w:p>
    <w:p w14:paraId="68882DE4">
      <w:pPr>
        <w:pStyle w:val="7"/>
        <w:rPr>
          <w:rFonts w:ascii="宋体"/>
          <w:sz w:val="22"/>
        </w:rPr>
      </w:pPr>
    </w:p>
    <w:p w14:paraId="3CACA6B0">
      <w:pPr>
        <w:pStyle w:val="7"/>
        <w:rPr>
          <w:rFonts w:ascii="宋体"/>
          <w:sz w:val="22"/>
        </w:rPr>
      </w:pPr>
    </w:p>
    <w:p w14:paraId="3B03D8B1">
      <w:pPr>
        <w:pStyle w:val="7"/>
        <w:rPr>
          <w:rFonts w:ascii="宋体"/>
          <w:sz w:val="22"/>
        </w:rPr>
      </w:pPr>
    </w:p>
    <w:p w14:paraId="342CDF03">
      <w:pPr>
        <w:pStyle w:val="7"/>
        <w:rPr>
          <w:rFonts w:ascii="宋体"/>
          <w:sz w:val="22"/>
        </w:rPr>
      </w:pPr>
    </w:p>
    <w:p w14:paraId="49B6A8B4">
      <w:pPr>
        <w:pStyle w:val="7"/>
        <w:rPr>
          <w:rFonts w:ascii="宋体"/>
          <w:sz w:val="22"/>
        </w:rPr>
      </w:pPr>
    </w:p>
    <w:p w14:paraId="34EC7638">
      <w:pPr>
        <w:pStyle w:val="7"/>
        <w:rPr>
          <w:rFonts w:ascii="宋体"/>
          <w:sz w:val="22"/>
        </w:rPr>
      </w:pPr>
    </w:p>
    <w:p w14:paraId="1CED15F4">
      <w:pPr>
        <w:pStyle w:val="8"/>
        <w:tabs>
          <w:tab w:val="right" w:leader="dot" w:pos="8302"/>
        </w:tabs>
        <w:ind w:left="440"/>
      </w:pPr>
    </w:p>
    <w:p w14:paraId="7AF9F08F">
      <w:pPr>
        <w:pStyle w:val="7"/>
        <w:rPr>
          <w:rFonts w:ascii="宋体"/>
          <w:sz w:val="22"/>
        </w:rPr>
      </w:pPr>
    </w:p>
    <w:p w14:paraId="70837175">
      <w:pPr>
        <w:snapToGrid w:val="0"/>
        <w:spacing w:line="360" w:lineRule="auto"/>
        <w:jc w:val="both"/>
        <w:rPr>
          <w:b/>
          <w:sz w:val="24"/>
        </w:rPr>
      </w:pPr>
    </w:p>
    <w:p w14:paraId="73288F62">
      <w:pPr>
        <w:snapToGrid w:val="0"/>
        <w:spacing w:line="360" w:lineRule="auto"/>
        <w:jc w:val="center"/>
        <w:rPr>
          <w:b/>
          <w:sz w:val="24"/>
        </w:rPr>
      </w:pPr>
      <w:r>
        <w:rPr>
          <w:rFonts w:hint="eastAsia"/>
          <w:b/>
          <w:sz w:val="24"/>
        </w:rPr>
        <w:t>监狱企业声明函</w:t>
      </w:r>
    </w:p>
    <w:p w14:paraId="28577A93">
      <w:pPr>
        <w:widowControl/>
        <w:jc w:val="center"/>
      </w:pPr>
      <w:r>
        <w:rPr>
          <w:rFonts w:hint="eastAsia"/>
          <w:color w:val="000000"/>
          <w:sz w:val="24"/>
        </w:rPr>
        <w:t>【非监狱企业的不用提供】</w:t>
      </w:r>
    </w:p>
    <w:p w14:paraId="00D2E918">
      <w:pPr>
        <w:widowControl/>
        <w:spacing w:line="360" w:lineRule="auto"/>
        <w:ind w:firstLine="480" w:firstLineChars="200"/>
        <w:rPr>
          <w:color w:val="000000"/>
          <w:sz w:val="24"/>
        </w:rPr>
      </w:pPr>
    </w:p>
    <w:p w14:paraId="4460F839">
      <w:pPr>
        <w:widowControl/>
        <w:spacing w:line="360" w:lineRule="auto"/>
        <w:ind w:firstLine="480" w:firstLineChars="200"/>
        <w:rPr>
          <w:sz w:val="24"/>
        </w:rPr>
      </w:pPr>
      <w:r>
        <w:rPr>
          <w:rFonts w:hint="eastAsia"/>
          <w:color w:val="000000"/>
          <w:sz w:val="24"/>
        </w:rPr>
        <w:t xml:space="preserve">本企业郑重声明，根据《关于政府采购支持监狱企业发展有关间想的通知》(财库[2014]68 号）的规定，本企业为监狱企业。 </w:t>
      </w:r>
    </w:p>
    <w:p w14:paraId="4614F93E">
      <w:pPr>
        <w:widowControl/>
        <w:spacing w:line="360" w:lineRule="auto"/>
        <w:ind w:firstLine="480" w:firstLineChars="200"/>
        <w:rPr>
          <w:sz w:val="24"/>
        </w:rPr>
      </w:pPr>
      <w:r>
        <w:rPr>
          <w:rFonts w:hint="eastAsia"/>
          <w:color w:val="000000"/>
          <w:sz w:val="24"/>
        </w:rPr>
        <w:t xml:space="preserve">根据上述标准，我企业属于监狱企业的理由为: </w:t>
      </w:r>
    </w:p>
    <w:p w14:paraId="08BE76D3">
      <w:pPr>
        <w:widowControl/>
        <w:spacing w:line="360" w:lineRule="auto"/>
        <w:ind w:firstLine="480" w:firstLineChars="200"/>
        <w:rPr>
          <w:sz w:val="24"/>
        </w:rPr>
      </w:pPr>
      <w:r>
        <w:rPr>
          <w:rFonts w:hint="eastAsia"/>
          <w:color w:val="000000"/>
          <w:sz w:val="24"/>
        </w:rPr>
        <w:t xml:space="preserve">本企业为参加 (项目名称)(项目编号: )采购活动提供本企业的产品。 </w:t>
      </w:r>
    </w:p>
    <w:p w14:paraId="6FBB0CCD">
      <w:pPr>
        <w:widowControl/>
        <w:spacing w:line="360" w:lineRule="auto"/>
        <w:ind w:firstLine="480" w:firstLineChars="200"/>
        <w:rPr>
          <w:sz w:val="24"/>
        </w:rPr>
      </w:pPr>
      <w:r>
        <w:rPr>
          <w:rFonts w:hint="eastAsia"/>
          <w:color w:val="000000"/>
          <w:sz w:val="24"/>
        </w:rPr>
        <w:t xml:space="preserve">本企业对上述声明的真实性负责。如有虚假，将依法承担相应责任。 </w:t>
      </w:r>
    </w:p>
    <w:p w14:paraId="03E81611">
      <w:pPr>
        <w:widowControl/>
        <w:spacing w:line="360" w:lineRule="auto"/>
        <w:rPr>
          <w:color w:val="000000"/>
          <w:sz w:val="24"/>
        </w:rPr>
      </w:pPr>
    </w:p>
    <w:p w14:paraId="78D28A17">
      <w:pPr>
        <w:widowControl/>
        <w:spacing w:line="360" w:lineRule="auto"/>
        <w:rPr>
          <w:color w:val="000000"/>
          <w:sz w:val="24"/>
        </w:rPr>
      </w:pPr>
    </w:p>
    <w:p w14:paraId="203B8502">
      <w:pPr>
        <w:widowControl/>
        <w:spacing w:line="360" w:lineRule="auto"/>
        <w:rPr>
          <w:sz w:val="24"/>
        </w:rPr>
      </w:pPr>
      <w:r>
        <w:rPr>
          <w:rFonts w:hint="eastAsia"/>
          <w:color w:val="000000"/>
          <w:sz w:val="24"/>
        </w:rPr>
        <w:t xml:space="preserve">供应商名称(盖章) : </w:t>
      </w:r>
    </w:p>
    <w:p w14:paraId="6B7D63DD">
      <w:pPr>
        <w:widowControl/>
        <w:spacing w:line="360" w:lineRule="auto"/>
        <w:rPr>
          <w:sz w:val="24"/>
        </w:rPr>
      </w:pPr>
      <w:r>
        <w:rPr>
          <w:rFonts w:hint="eastAsia"/>
          <w:color w:val="000000"/>
          <w:sz w:val="24"/>
        </w:rPr>
        <w:t xml:space="preserve">日期: 年 月 日 </w:t>
      </w:r>
    </w:p>
    <w:p w14:paraId="16B7DDDB">
      <w:pPr>
        <w:widowControl/>
        <w:spacing w:line="360" w:lineRule="auto"/>
        <w:rPr>
          <w:color w:val="000000"/>
          <w:sz w:val="24"/>
        </w:rPr>
      </w:pPr>
    </w:p>
    <w:p w14:paraId="7529E4AB">
      <w:pPr>
        <w:widowControl/>
        <w:spacing w:line="360" w:lineRule="auto"/>
        <w:rPr>
          <w:color w:val="000000"/>
          <w:sz w:val="24"/>
        </w:rPr>
      </w:pPr>
    </w:p>
    <w:p w14:paraId="4214A97B">
      <w:pPr>
        <w:widowControl/>
        <w:spacing w:line="360" w:lineRule="auto"/>
        <w:ind w:firstLine="480" w:firstLineChars="200"/>
        <w:rPr>
          <w:color w:val="000000"/>
          <w:sz w:val="24"/>
        </w:rPr>
      </w:pPr>
      <w:r>
        <w:rPr>
          <w:rFonts w:hint="eastAsia"/>
          <w:color w:val="000000"/>
          <w:sz w:val="24"/>
        </w:rPr>
        <w:t>监狱企业参加政府采购活动时，应当提供由省级以上监狱管理局、戒毒管理局(新 疆生产建设兵团)出具的属于监狱企业的证明文件。</w:t>
      </w:r>
    </w:p>
    <w:p w14:paraId="73C753B9">
      <w:pPr>
        <w:widowControl/>
        <w:spacing w:line="360" w:lineRule="auto"/>
        <w:ind w:firstLine="480" w:firstLineChars="200"/>
        <w:rPr>
          <w:sz w:val="24"/>
        </w:rPr>
      </w:pPr>
      <w:r>
        <w:rPr>
          <w:rFonts w:hint="eastAsia"/>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3A06D66">
      <w:pPr>
        <w:pStyle w:val="24"/>
      </w:pPr>
    </w:p>
    <w:p w14:paraId="25D995BE">
      <w:pPr>
        <w:rPr>
          <w:rFonts w:hint="eastAsia" w:ascii="宋体" w:hAnsi="宋体" w:cs="宋体"/>
          <w:b/>
          <w:bCs/>
          <w:kern w:val="0"/>
          <w:sz w:val="24"/>
        </w:rPr>
      </w:pPr>
      <w:r>
        <w:rPr>
          <w:rFonts w:hint="eastAsia" w:ascii="宋体" w:hAnsi="宋体" w:cs="宋体"/>
          <w:b/>
          <w:bCs/>
          <w:kern w:val="0"/>
          <w:sz w:val="24"/>
        </w:rPr>
        <w:br w:type="page"/>
      </w:r>
    </w:p>
    <w:p w14:paraId="6C2D15A6">
      <w:pPr>
        <w:jc w:val="center"/>
        <w:rPr>
          <w:rFonts w:hint="eastAsia" w:ascii="宋体" w:hAnsi="宋体" w:cs="宋体"/>
          <w:b/>
          <w:bCs/>
          <w:kern w:val="0"/>
          <w:sz w:val="24"/>
          <w:lang w:eastAsia="zh-CN"/>
        </w:rPr>
      </w:pPr>
    </w:p>
    <w:p w14:paraId="089F9248">
      <w:pPr>
        <w:jc w:val="center"/>
        <w:rPr>
          <w:rFonts w:ascii="宋体" w:hAnsi="宋体" w:cs="宋体"/>
        </w:rPr>
      </w:pPr>
      <w:r>
        <w:rPr>
          <w:rFonts w:hint="eastAsia" w:ascii="宋体" w:hAnsi="宋体" w:cs="宋体"/>
          <w:b/>
          <w:bCs/>
          <w:kern w:val="0"/>
          <w:sz w:val="24"/>
          <w:lang w:eastAsia="zh-CN"/>
        </w:rPr>
        <w:t>八</w:t>
      </w:r>
      <w:r>
        <w:rPr>
          <w:rFonts w:hint="eastAsia" w:ascii="宋体" w:hAnsi="宋体" w:cs="宋体"/>
          <w:b/>
          <w:bCs/>
          <w:kern w:val="0"/>
          <w:sz w:val="24"/>
        </w:rPr>
        <w:t>、</w:t>
      </w:r>
      <w:r>
        <w:rPr>
          <w:rFonts w:hint="eastAsia" w:ascii="宋体" w:hAnsi="宋体" w:cs="宋体"/>
          <w:b/>
          <w:kern w:val="0"/>
          <w:sz w:val="24"/>
        </w:rPr>
        <w:t>信用承诺书</w:t>
      </w:r>
    </w:p>
    <w:p w14:paraId="6D067155">
      <w:pPr>
        <w:tabs>
          <w:tab w:val="left" w:pos="1650"/>
        </w:tabs>
        <w:spacing w:line="360" w:lineRule="auto"/>
        <w:ind w:firstLine="1200" w:firstLineChars="500"/>
        <w:jc w:val="left"/>
        <w:rPr>
          <w:rFonts w:hint="eastAsia" w:ascii="宋体" w:hAnsi="宋体" w:cs="宋体"/>
          <w:sz w:val="24"/>
        </w:rPr>
      </w:pPr>
    </w:p>
    <w:p w14:paraId="314374C3">
      <w:pPr>
        <w:tabs>
          <w:tab w:val="left" w:pos="1650"/>
        </w:tabs>
        <w:spacing w:line="360" w:lineRule="auto"/>
        <w:ind w:firstLine="1200" w:firstLineChars="500"/>
        <w:jc w:val="left"/>
        <w:rPr>
          <w:rFonts w:ascii="宋体" w:hAnsi="宋体" w:cs="宋体"/>
          <w:sz w:val="24"/>
        </w:rPr>
      </w:pPr>
      <w:r>
        <w:rPr>
          <w:rFonts w:hint="eastAsia" w:ascii="宋体" w:hAnsi="宋体" w:cs="宋体"/>
          <w:sz w:val="24"/>
        </w:rPr>
        <w:t>（投标单位）现参加（采购项目）政府采购活动，郑重承诺如下：</w:t>
      </w:r>
    </w:p>
    <w:p w14:paraId="402E3A70">
      <w:pPr>
        <w:tabs>
          <w:tab w:val="left" w:pos="1650"/>
        </w:tabs>
        <w:spacing w:line="560" w:lineRule="exact"/>
        <w:ind w:firstLine="480"/>
        <w:rPr>
          <w:rFonts w:ascii="宋体" w:hAnsi="宋体" w:cs="宋体"/>
          <w:sz w:val="24"/>
        </w:rPr>
      </w:pPr>
      <w:r>
        <w:rPr>
          <w:rFonts w:hint="eastAsia" w:ascii="宋体" w:hAnsi="宋体" w:cs="宋体"/>
          <w:sz w:val="24"/>
        </w:rPr>
        <w:t>对所提供的资料合法性、真实性、准确性和有效性负责；</w:t>
      </w:r>
    </w:p>
    <w:p w14:paraId="176BC6CB">
      <w:pPr>
        <w:tabs>
          <w:tab w:val="left" w:pos="1650"/>
        </w:tabs>
        <w:spacing w:line="560" w:lineRule="exact"/>
        <w:ind w:firstLine="480"/>
        <w:rPr>
          <w:rFonts w:ascii="宋体" w:hAnsi="宋体" w:cs="宋体"/>
          <w:sz w:val="24"/>
        </w:rPr>
      </w:pPr>
      <w:r>
        <w:rPr>
          <w:rFonts w:hint="eastAsia" w:ascii="宋体" w:hAnsi="宋体" w:cs="宋体"/>
          <w:sz w:val="24"/>
        </w:rPr>
        <w:t>严格按照国家法律、法规和规章，依法开展相关经济活动，全面履行应尽的责任和义务；</w:t>
      </w:r>
    </w:p>
    <w:p w14:paraId="63598F27">
      <w:pPr>
        <w:tabs>
          <w:tab w:val="left" w:pos="1650"/>
        </w:tabs>
        <w:spacing w:line="560" w:lineRule="exact"/>
        <w:ind w:firstLine="480"/>
        <w:rPr>
          <w:rFonts w:ascii="宋体" w:hAnsi="宋体" w:cs="宋体"/>
          <w:sz w:val="24"/>
        </w:rPr>
      </w:pPr>
      <w:r>
        <w:rPr>
          <w:rFonts w:hint="eastAsia" w:ascii="宋体" w:hAnsi="宋体" w:cs="宋体"/>
          <w:sz w:val="24"/>
        </w:rPr>
        <w:t>加强自我约束、自我规范、自我管理，不制假售假、不虚假宣传、不违约毁约、不恶意逃债、不偷税漏税，诚信依法经营；</w:t>
      </w:r>
    </w:p>
    <w:p w14:paraId="494A9BF1">
      <w:pPr>
        <w:tabs>
          <w:tab w:val="left" w:pos="1650"/>
        </w:tabs>
        <w:spacing w:line="560" w:lineRule="exact"/>
        <w:ind w:firstLine="480"/>
        <w:rPr>
          <w:rFonts w:ascii="宋体" w:hAnsi="宋体" w:cs="宋体"/>
          <w:sz w:val="24"/>
        </w:rPr>
      </w:pPr>
      <w:r>
        <w:rPr>
          <w:rFonts w:hint="eastAsia" w:ascii="宋体" w:hAnsi="宋体" w:cs="宋体"/>
          <w:sz w:val="24"/>
        </w:rPr>
        <w:t>自愿接受行政主管部门的依法检查、违背承诺约定将自愿承担违约责任，并接受法律法规和相关部门规章制度的惩戒和约束；</w:t>
      </w:r>
    </w:p>
    <w:p w14:paraId="040FBB58">
      <w:pPr>
        <w:tabs>
          <w:tab w:val="left" w:pos="1650"/>
        </w:tabs>
        <w:spacing w:line="560" w:lineRule="exact"/>
        <w:ind w:firstLine="480"/>
        <w:rPr>
          <w:rFonts w:ascii="宋体" w:hAnsi="宋体" w:cs="宋体"/>
          <w:sz w:val="24"/>
        </w:rPr>
      </w:pPr>
      <w:r>
        <w:rPr>
          <w:rFonts w:hint="eastAsia" w:ascii="宋体" w:hAnsi="宋体" w:cs="宋体"/>
          <w:color w:val="333333"/>
          <w:kern w:val="0"/>
          <w:sz w:val="24"/>
        </w:rPr>
        <w:t>按照信用信息管理有关要求，本单位（个人）同意将以上承诺在信用湖州网站公示，若违背以上承诺，依据相关规定记入企业（个人）信用</w:t>
      </w:r>
      <w:r>
        <w:rPr>
          <w:rFonts w:hint="eastAsia" w:ascii="宋体" w:hAnsi="宋体" w:cs="宋体"/>
          <w:color w:val="000000"/>
          <w:kern w:val="0"/>
          <w:sz w:val="24"/>
        </w:rPr>
        <w:t>档案；性质严重的，承担相应法律后果和责任，并依法依规列入严重失信名单。</w:t>
      </w:r>
    </w:p>
    <w:p w14:paraId="08496DE0">
      <w:pPr>
        <w:tabs>
          <w:tab w:val="left" w:pos="1650"/>
        </w:tabs>
        <w:spacing w:line="560" w:lineRule="exact"/>
        <w:ind w:firstLine="480"/>
        <w:rPr>
          <w:rFonts w:ascii="宋体" w:hAnsi="宋体" w:cs="宋体"/>
          <w:sz w:val="24"/>
          <w:u w:val="single"/>
        </w:rPr>
      </w:pPr>
    </w:p>
    <w:p w14:paraId="1EB5913D">
      <w:pPr>
        <w:tabs>
          <w:tab w:val="left" w:pos="1650"/>
        </w:tabs>
        <w:spacing w:line="560" w:lineRule="exact"/>
        <w:ind w:firstLine="480"/>
        <w:rPr>
          <w:rFonts w:ascii="宋体" w:hAnsi="宋体" w:cs="宋体"/>
          <w:sz w:val="24"/>
          <w:u w:val="single"/>
        </w:rPr>
      </w:pPr>
    </w:p>
    <w:p w14:paraId="6FA1105E">
      <w:pPr>
        <w:pStyle w:val="132"/>
        <w:spacing w:before="0" w:beforeAutospacing="0" w:after="0" w:afterAutospacing="0" w:line="560" w:lineRule="exact"/>
        <w:ind w:firstLine="600" w:firstLineChars="250"/>
        <w:rPr>
          <w:color w:val="000000"/>
          <w:spacing w:val="-7"/>
        </w:rPr>
      </w:pPr>
      <w:r>
        <w:rPr>
          <w:rFonts w:hint="eastAsia"/>
          <w:kern w:val="2"/>
        </w:rPr>
        <w:t>统一社会信用代码：</w:t>
      </w:r>
    </w:p>
    <w:p w14:paraId="37B65204">
      <w:pPr>
        <w:pStyle w:val="132"/>
        <w:spacing w:before="0" w:beforeAutospacing="0" w:after="0" w:afterAutospacing="0" w:line="560" w:lineRule="exact"/>
        <w:ind w:firstLine="480"/>
        <w:jc w:val="right"/>
        <w:rPr>
          <w:color w:val="000000"/>
        </w:rPr>
      </w:pPr>
    </w:p>
    <w:p w14:paraId="5198611E">
      <w:pPr>
        <w:pStyle w:val="132"/>
        <w:spacing w:before="0" w:beforeAutospacing="0" w:after="0" w:afterAutospacing="0" w:line="560" w:lineRule="exact"/>
        <w:ind w:firstLine="3240" w:firstLineChars="1350"/>
        <w:jc w:val="right"/>
        <w:rPr>
          <w:kern w:val="2"/>
        </w:rPr>
      </w:pPr>
      <w:r>
        <w:rPr>
          <w:rFonts w:hint="eastAsia"/>
          <w:kern w:val="2"/>
        </w:rPr>
        <w:t>承诺单位/个人（盖章/签名）</w:t>
      </w:r>
    </w:p>
    <w:p w14:paraId="1652BAF5">
      <w:pPr>
        <w:spacing w:line="560" w:lineRule="exact"/>
        <w:ind w:firstLine="480"/>
        <w:jc w:val="right"/>
        <w:rPr>
          <w:rFonts w:ascii="宋体" w:hAnsi="宋体" w:cs="宋体"/>
          <w:sz w:val="24"/>
        </w:rPr>
      </w:pPr>
      <w:r>
        <w:rPr>
          <w:rFonts w:hint="eastAsia" w:ascii="宋体" w:hAnsi="宋体" w:cs="宋体"/>
          <w:sz w:val="24"/>
        </w:rPr>
        <w:t xml:space="preserve">                         时间：年月日</w:t>
      </w:r>
    </w:p>
    <w:p w14:paraId="359031E3">
      <w:pPr>
        <w:pStyle w:val="22"/>
        <w:ind w:firstLine="240"/>
        <w:rPr>
          <w:sz w:val="24"/>
        </w:rPr>
      </w:pPr>
    </w:p>
    <w:p w14:paraId="30710531">
      <w:pPr>
        <w:pStyle w:val="22"/>
        <w:ind w:firstLine="0" w:firstLineChars="0"/>
        <w:rPr>
          <w:sz w:val="24"/>
        </w:rPr>
      </w:pPr>
    </w:p>
    <w:p w14:paraId="0D24EDA5">
      <w:pPr>
        <w:pStyle w:val="22"/>
        <w:ind w:firstLine="0" w:firstLineChars="0"/>
        <w:rPr>
          <w:b/>
          <w:bCs/>
          <w:sz w:val="24"/>
        </w:rPr>
      </w:pPr>
    </w:p>
    <w:p w14:paraId="21EFEE88">
      <w:pPr>
        <w:snapToGrid w:val="0"/>
        <w:spacing w:line="360" w:lineRule="auto"/>
        <w:jc w:val="center"/>
        <w:rPr>
          <w:rFonts w:ascii="宋体" w:hAnsi="宋体"/>
          <w:b/>
          <w:bCs/>
          <w:sz w:val="24"/>
        </w:rPr>
      </w:pPr>
    </w:p>
    <w:p w14:paraId="74A15B94">
      <w:pPr>
        <w:rPr>
          <w:rFonts w:hint="eastAsia" w:eastAsia="宋体"/>
          <w:b/>
          <w:bCs/>
          <w:sz w:val="24"/>
          <w:lang w:eastAsia="zh-CN"/>
        </w:rPr>
      </w:pPr>
      <w:r>
        <w:rPr>
          <w:rFonts w:hint="eastAsia"/>
          <w:b/>
          <w:bCs/>
          <w:sz w:val="24"/>
          <w:lang w:eastAsia="zh-CN"/>
        </w:rPr>
        <w:t>九、</w:t>
      </w:r>
      <w:r>
        <w:rPr>
          <w:rFonts w:hint="eastAsia"/>
          <w:b/>
          <w:bCs/>
          <w:sz w:val="24"/>
          <w:lang w:val="en-US" w:eastAsia="zh-CN"/>
        </w:rPr>
        <w:t>供应商认为需要的其他文件资料。</w:t>
      </w:r>
    </w:p>
    <w:p w14:paraId="4E54A6AB">
      <w:pPr>
        <w:rPr>
          <w:rFonts w:ascii="宋体" w:hAnsi="宋体"/>
          <w:b/>
          <w:bCs/>
          <w:sz w:val="24"/>
        </w:rPr>
      </w:pPr>
    </w:p>
    <w:p w14:paraId="4B5E9C36">
      <w:pPr>
        <w:rPr>
          <w:rFonts w:ascii="宋体" w:hAnsi="宋体"/>
          <w:b/>
          <w:bCs/>
          <w:sz w:val="24"/>
        </w:rPr>
      </w:pPr>
      <w:r>
        <w:rPr>
          <w:rFonts w:ascii="宋体" w:hAnsi="宋体"/>
          <w:b/>
          <w:bCs/>
          <w:sz w:val="24"/>
        </w:rPr>
        <w:br w:type="page"/>
      </w:r>
    </w:p>
    <w:p w14:paraId="6E8E6D2C">
      <w:pPr>
        <w:rPr>
          <w:rFonts w:ascii="宋体" w:hAnsi="宋体"/>
          <w:b/>
          <w:bCs/>
          <w:sz w:val="24"/>
        </w:rPr>
      </w:pPr>
    </w:p>
    <w:p w14:paraId="5588259A">
      <w:pPr>
        <w:rPr>
          <w:rFonts w:ascii="宋体"/>
          <w:sz w:val="30"/>
          <w:szCs w:val="30"/>
        </w:rPr>
      </w:pPr>
      <w:r>
        <w:rPr>
          <w:rFonts w:ascii="宋体" w:hAnsi="宋体"/>
          <w:b/>
          <w:bCs/>
          <w:sz w:val="24"/>
        </w:rPr>
        <w:t>技术</w:t>
      </w:r>
      <w:r>
        <w:rPr>
          <w:rFonts w:hint="eastAsia" w:ascii="宋体" w:hAnsi="宋体"/>
          <w:b/>
          <w:bCs/>
          <w:sz w:val="24"/>
          <w:lang w:eastAsia="zh-CN"/>
        </w:rPr>
        <w:t>、商务</w:t>
      </w:r>
      <w:r>
        <w:rPr>
          <w:rFonts w:ascii="宋体" w:hAnsi="宋体"/>
          <w:b/>
          <w:bCs/>
          <w:sz w:val="24"/>
        </w:rPr>
        <w:t>文件</w:t>
      </w:r>
      <w:r>
        <w:rPr>
          <w:rFonts w:hint="eastAsia" w:ascii="宋体" w:hAnsi="宋体"/>
          <w:b/>
          <w:bCs/>
          <w:sz w:val="24"/>
        </w:rPr>
        <w:t>目录</w:t>
      </w:r>
    </w:p>
    <w:p w14:paraId="5D743B4B">
      <w:pPr>
        <w:spacing w:line="360" w:lineRule="auto"/>
        <w:ind w:firstLine="480" w:firstLineChars="200"/>
        <w:rPr>
          <w:rFonts w:ascii="宋体" w:hAnsi="宋体" w:cs="宋体"/>
          <w:sz w:val="24"/>
        </w:rPr>
      </w:pPr>
    </w:p>
    <w:p w14:paraId="66FAF44A">
      <w:pPr>
        <w:numPr>
          <w:ilvl w:val="0"/>
          <w:numId w:val="0"/>
        </w:numPr>
        <w:spacing w:line="460" w:lineRule="exact"/>
        <w:ind w:firstLine="480" w:firstLineChars="200"/>
        <w:rPr>
          <w:rFonts w:hint="eastAsia"/>
          <w:sz w:val="24"/>
          <w:szCs w:val="24"/>
          <w:lang w:val="en-US"/>
        </w:rPr>
      </w:pPr>
      <w:r>
        <w:rPr>
          <w:rFonts w:hint="eastAsia"/>
          <w:sz w:val="24"/>
          <w:szCs w:val="24"/>
          <w:lang w:val="en-US" w:eastAsia="zh-CN"/>
        </w:rPr>
        <w:t>（1）</w:t>
      </w:r>
      <w:r>
        <w:rPr>
          <w:rFonts w:hint="eastAsia"/>
          <w:sz w:val="24"/>
          <w:szCs w:val="24"/>
          <w:lang w:val="en-US"/>
        </w:rPr>
        <w:t>供应商自评分索引表；</w:t>
      </w:r>
    </w:p>
    <w:p w14:paraId="4CEEE041">
      <w:pPr>
        <w:numPr>
          <w:ilvl w:val="0"/>
          <w:numId w:val="0"/>
        </w:numPr>
        <w:spacing w:line="460" w:lineRule="exact"/>
        <w:ind w:firstLine="480" w:firstLineChars="200"/>
        <w:rPr>
          <w:rFonts w:hint="eastAsia"/>
          <w:sz w:val="24"/>
          <w:szCs w:val="24"/>
          <w:lang w:val="en-US"/>
        </w:rPr>
      </w:pPr>
      <w:r>
        <w:rPr>
          <w:rFonts w:hint="eastAsia"/>
          <w:sz w:val="24"/>
          <w:szCs w:val="24"/>
          <w:lang w:val="en-US" w:eastAsia="zh-CN"/>
        </w:rPr>
        <w:t>（2）投标声明书</w:t>
      </w:r>
      <w:r>
        <w:rPr>
          <w:rFonts w:hint="eastAsia"/>
          <w:sz w:val="24"/>
          <w:szCs w:val="24"/>
          <w:lang w:val="en-US"/>
        </w:rPr>
        <w:t>；</w:t>
      </w:r>
    </w:p>
    <w:p w14:paraId="0FECF2D1">
      <w:pPr>
        <w:numPr>
          <w:ilvl w:val="0"/>
          <w:numId w:val="0"/>
        </w:numPr>
        <w:spacing w:line="460" w:lineRule="exact"/>
        <w:ind w:firstLine="480" w:firstLineChars="200"/>
        <w:rPr>
          <w:rFonts w:hint="eastAsia" w:eastAsia="宋体"/>
          <w:sz w:val="24"/>
          <w:szCs w:val="24"/>
          <w:lang w:val="en-US" w:eastAsia="zh-CN"/>
        </w:rPr>
      </w:pPr>
      <w:r>
        <w:rPr>
          <w:rFonts w:hint="eastAsia"/>
          <w:sz w:val="24"/>
          <w:szCs w:val="24"/>
          <w:lang w:val="en-US" w:eastAsia="zh-CN"/>
        </w:rPr>
        <w:t>（3）对本项目的理解；</w:t>
      </w:r>
    </w:p>
    <w:p w14:paraId="2B295D6E">
      <w:pPr>
        <w:spacing w:line="460" w:lineRule="exact"/>
        <w:ind w:firstLine="480" w:firstLineChars="200"/>
        <w:rPr>
          <w:sz w:val="24"/>
          <w:szCs w:val="24"/>
          <w:lang w:val="en-US"/>
        </w:rPr>
      </w:pPr>
      <w:r>
        <w:rPr>
          <w:rFonts w:hint="eastAsia"/>
          <w:sz w:val="24"/>
          <w:szCs w:val="24"/>
          <w:lang w:val="en-US" w:eastAsia="zh-CN"/>
        </w:rPr>
        <w:t>（4）项目实施方案</w:t>
      </w:r>
      <w:r>
        <w:rPr>
          <w:rFonts w:hint="eastAsia"/>
          <w:sz w:val="24"/>
          <w:szCs w:val="24"/>
          <w:lang w:val="en-US"/>
        </w:rPr>
        <w:t>；</w:t>
      </w:r>
    </w:p>
    <w:p w14:paraId="17C26851">
      <w:pPr>
        <w:spacing w:line="460" w:lineRule="exact"/>
        <w:ind w:firstLine="480" w:firstLineChars="200"/>
        <w:rPr>
          <w:sz w:val="24"/>
          <w:szCs w:val="24"/>
          <w:lang w:val="en-US"/>
        </w:rPr>
      </w:pPr>
      <w:r>
        <w:rPr>
          <w:rFonts w:hint="eastAsia"/>
          <w:sz w:val="24"/>
          <w:szCs w:val="24"/>
          <w:lang w:val="en-US" w:eastAsia="zh-CN"/>
        </w:rPr>
        <w:t>（5）保证工期和施工进度的方案和措施</w:t>
      </w:r>
      <w:r>
        <w:rPr>
          <w:rFonts w:hint="eastAsia"/>
          <w:sz w:val="24"/>
          <w:szCs w:val="24"/>
          <w:lang w:val="en-US"/>
        </w:rPr>
        <w:t>；</w:t>
      </w:r>
    </w:p>
    <w:p w14:paraId="3B942697">
      <w:pPr>
        <w:spacing w:line="460" w:lineRule="exact"/>
        <w:ind w:firstLine="480" w:firstLineChars="200"/>
        <w:rPr>
          <w:sz w:val="24"/>
          <w:szCs w:val="24"/>
          <w:lang w:val="en-US"/>
        </w:rPr>
      </w:pPr>
      <w:r>
        <w:rPr>
          <w:rFonts w:hint="eastAsia"/>
          <w:sz w:val="24"/>
          <w:szCs w:val="24"/>
          <w:lang w:val="en-US" w:eastAsia="zh-CN"/>
        </w:rPr>
        <w:t>（6）关键点、难点解决方案</w:t>
      </w:r>
      <w:r>
        <w:rPr>
          <w:rFonts w:hint="eastAsia"/>
          <w:sz w:val="24"/>
          <w:szCs w:val="24"/>
          <w:lang w:val="en-US"/>
        </w:rPr>
        <w:t>；</w:t>
      </w:r>
    </w:p>
    <w:p w14:paraId="77F76A64">
      <w:pPr>
        <w:spacing w:line="460" w:lineRule="exact"/>
        <w:ind w:firstLine="480" w:firstLineChars="200"/>
        <w:rPr>
          <w:sz w:val="24"/>
          <w:szCs w:val="24"/>
          <w:lang w:val="en-US"/>
        </w:rPr>
      </w:pPr>
      <w:r>
        <w:rPr>
          <w:rFonts w:hint="eastAsia"/>
          <w:sz w:val="24"/>
          <w:szCs w:val="24"/>
          <w:lang w:val="en-US" w:eastAsia="zh-CN"/>
        </w:rPr>
        <w:t>（7）保证安全和文明施工的方案和措施</w:t>
      </w:r>
      <w:r>
        <w:rPr>
          <w:rFonts w:hint="eastAsia"/>
          <w:sz w:val="24"/>
          <w:szCs w:val="24"/>
          <w:lang w:val="en-US"/>
        </w:rPr>
        <w:t>；</w:t>
      </w:r>
    </w:p>
    <w:p w14:paraId="78CF9770">
      <w:pPr>
        <w:spacing w:line="460" w:lineRule="exact"/>
        <w:ind w:firstLine="480" w:firstLineChars="200"/>
        <w:rPr>
          <w:sz w:val="24"/>
          <w:szCs w:val="24"/>
          <w:lang w:val="en-US"/>
        </w:rPr>
      </w:pPr>
      <w:r>
        <w:rPr>
          <w:rFonts w:hint="eastAsia"/>
          <w:sz w:val="24"/>
          <w:szCs w:val="24"/>
          <w:lang w:val="en-US" w:eastAsia="zh-CN"/>
        </w:rPr>
        <w:t>（8）保证施工质量的技术方案和措施</w:t>
      </w:r>
      <w:r>
        <w:rPr>
          <w:rFonts w:hint="eastAsia"/>
          <w:sz w:val="24"/>
          <w:szCs w:val="24"/>
          <w:lang w:val="en-US"/>
        </w:rPr>
        <w:t>；</w:t>
      </w:r>
    </w:p>
    <w:p w14:paraId="4415DDCB">
      <w:pPr>
        <w:spacing w:line="460" w:lineRule="exact"/>
        <w:ind w:firstLine="480" w:firstLineChars="200"/>
        <w:rPr>
          <w:sz w:val="24"/>
          <w:szCs w:val="24"/>
          <w:lang w:val="en-US"/>
        </w:rPr>
      </w:pPr>
      <w:r>
        <w:rPr>
          <w:rFonts w:hint="eastAsia"/>
          <w:sz w:val="24"/>
          <w:szCs w:val="24"/>
          <w:lang w:val="en-US" w:eastAsia="zh-CN"/>
        </w:rPr>
        <w:t>（9）突发事件的应急预案</w:t>
      </w:r>
      <w:r>
        <w:rPr>
          <w:rFonts w:hint="eastAsia"/>
          <w:sz w:val="24"/>
          <w:szCs w:val="24"/>
          <w:lang w:val="en-US"/>
        </w:rPr>
        <w:t>；</w:t>
      </w:r>
    </w:p>
    <w:p w14:paraId="57A30970">
      <w:pPr>
        <w:spacing w:line="460" w:lineRule="exact"/>
        <w:ind w:firstLine="480" w:firstLineChars="200"/>
        <w:rPr>
          <w:sz w:val="24"/>
          <w:szCs w:val="24"/>
          <w:lang w:val="en-US"/>
        </w:rPr>
      </w:pPr>
      <w:r>
        <w:rPr>
          <w:rFonts w:hint="eastAsia"/>
          <w:sz w:val="24"/>
          <w:szCs w:val="24"/>
          <w:lang w:val="en-US" w:eastAsia="zh-CN"/>
        </w:rPr>
        <w:t>（10）项目人员配备</w:t>
      </w:r>
      <w:r>
        <w:rPr>
          <w:rFonts w:hint="eastAsia"/>
          <w:sz w:val="24"/>
          <w:szCs w:val="24"/>
          <w:lang w:val="en-US"/>
        </w:rPr>
        <w:t>；</w:t>
      </w:r>
    </w:p>
    <w:p w14:paraId="74EDA268">
      <w:pPr>
        <w:spacing w:line="460" w:lineRule="exact"/>
        <w:ind w:firstLine="480" w:firstLineChars="200"/>
        <w:rPr>
          <w:rFonts w:hint="eastAsia"/>
          <w:sz w:val="24"/>
          <w:szCs w:val="24"/>
          <w:lang w:val="en-US"/>
        </w:rPr>
      </w:pPr>
      <w:r>
        <w:rPr>
          <w:rFonts w:hint="eastAsia"/>
          <w:sz w:val="24"/>
          <w:szCs w:val="24"/>
          <w:lang w:val="en-US" w:eastAsia="zh-CN"/>
        </w:rPr>
        <w:t>（11）拟投入本项目的设备情况</w:t>
      </w:r>
      <w:r>
        <w:rPr>
          <w:rFonts w:hint="eastAsia"/>
          <w:sz w:val="24"/>
          <w:szCs w:val="24"/>
          <w:lang w:val="en-US"/>
        </w:rPr>
        <w:t>；</w:t>
      </w:r>
    </w:p>
    <w:p w14:paraId="038D8602">
      <w:pPr>
        <w:spacing w:line="460" w:lineRule="exact"/>
        <w:ind w:firstLine="480" w:firstLineChars="200"/>
        <w:rPr>
          <w:rFonts w:hint="eastAsia"/>
          <w:sz w:val="24"/>
          <w:szCs w:val="24"/>
          <w:lang w:val="en-US" w:eastAsia="zh-CN"/>
        </w:rPr>
      </w:pPr>
      <w:r>
        <w:rPr>
          <w:rFonts w:hint="eastAsia"/>
          <w:sz w:val="24"/>
          <w:szCs w:val="24"/>
          <w:lang w:val="en-US" w:eastAsia="zh-CN"/>
        </w:rPr>
        <w:t>（12）售后服务承诺；</w:t>
      </w:r>
    </w:p>
    <w:p w14:paraId="53208FDE">
      <w:pPr>
        <w:spacing w:line="460" w:lineRule="exact"/>
        <w:ind w:firstLine="480" w:firstLineChars="200"/>
        <w:rPr>
          <w:rFonts w:hint="eastAsia" w:eastAsia="宋体"/>
          <w:sz w:val="24"/>
          <w:szCs w:val="24"/>
          <w:lang w:val="en-US" w:eastAsia="zh-CN"/>
        </w:rPr>
      </w:pPr>
      <w:r>
        <w:rPr>
          <w:rFonts w:hint="eastAsia"/>
          <w:sz w:val="24"/>
          <w:szCs w:val="24"/>
          <w:lang w:val="en-US" w:eastAsia="zh-CN"/>
        </w:rPr>
        <w:t>（13）合理化建议；</w:t>
      </w:r>
    </w:p>
    <w:p w14:paraId="4D3951DA">
      <w:pPr>
        <w:spacing w:line="460" w:lineRule="exact"/>
        <w:ind w:firstLine="480" w:firstLineChars="200"/>
        <w:rPr>
          <w:sz w:val="24"/>
          <w:szCs w:val="24"/>
          <w:lang w:val="en-US"/>
        </w:rPr>
      </w:pPr>
      <w:r>
        <w:rPr>
          <w:rFonts w:hint="eastAsia"/>
          <w:sz w:val="24"/>
          <w:szCs w:val="24"/>
          <w:lang w:val="en-US" w:eastAsia="zh-CN"/>
        </w:rPr>
        <w:t>（14）</w:t>
      </w:r>
      <w:r>
        <w:rPr>
          <w:rFonts w:hint="eastAsia"/>
          <w:sz w:val="24"/>
          <w:szCs w:val="24"/>
          <w:lang w:val="en-US"/>
        </w:rPr>
        <w:t>企业业绩；</w:t>
      </w:r>
    </w:p>
    <w:p w14:paraId="533BF2C4">
      <w:pPr>
        <w:spacing w:line="460" w:lineRule="exact"/>
        <w:ind w:firstLine="480" w:firstLineChars="200"/>
        <w:rPr>
          <w:rFonts w:hint="eastAsia"/>
          <w:sz w:val="24"/>
          <w:szCs w:val="24"/>
          <w:lang w:val="en-US"/>
        </w:rPr>
      </w:pPr>
      <w:r>
        <w:rPr>
          <w:rFonts w:hint="eastAsia"/>
          <w:sz w:val="24"/>
          <w:szCs w:val="24"/>
          <w:lang w:val="en-US" w:eastAsia="zh-CN"/>
        </w:rPr>
        <w:t>（15）商务响应表；</w:t>
      </w:r>
    </w:p>
    <w:p w14:paraId="177F3492">
      <w:pPr>
        <w:spacing w:line="460" w:lineRule="exact"/>
        <w:ind w:firstLine="480" w:firstLineChars="200"/>
        <w:rPr>
          <w:sz w:val="24"/>
          <w:szCs w:val="24"/>
          <w:lang w:val="en-US"/>
        </w:rPr>
      </w:pPr>
      <w:r>
        <w:rPr>
          <w:rFonts w:hint="eastAsia"/>
          <w:sz w:val="24"/>
          <w:szCs w:val="24"/>
          <w:lang w:val="en-US" w:eastAsia="zh-CN"/>
        </w:rPr>
        <w:t>（16）</w:t>
      </w:r>
      <w:r>
        <w:rPr>
          <w:rFonts w:hint="eastAsia"/>
          <w:sz w:val="24"/>
          <w:szCs w:val="24"/>
          <w:lang w:val="en-US"/>
        </w:rPr>
        <w:t>供应商认为需要的其他文件资料。</w:t>
      </w:r>
    </w:p>
    <w:p w14:paraId="6120684B">
      <w:pPr>
        <w:pStyle w:val="24"/>
      </w:pPr>
    </w:p>
    <w:p w14:paraId="6D56B59F"/>
    <w:p w14:paraId="3ACAD193">
      <w:pPr>
        <w:pStyle w:val="16"/>
        <w:snapToGrid w:val="0"/>
        <w:jc w:val="center"/>
        <w:rPr>
          <w:rFonts w:ascii="宋体" w:hAnsi="宋体" w:eastAsia="宋体"/>
          <w:b/>
          <w:sz w:val="24"/>
        </w:rPr>
      </w:pPr>
    </w:p>
    <w:p w14:paraId="32A0E405">
      <w:pPr>
        <w:pStyle w:val="16"/>
        <w:snapToGrid w:val="0"/>
        <w:jc w:val="center"/>
        <w:rPr>
          <w:rFonts w:ascii="宋体" w:hAnsi="宋体" w:eastAsia="宋体"/>
          <w:b/>
          <w:sz w:val="24"/>
        </w:rPr>
      </w:pPr>
    </w:p>
    <w:p w14:paraId="36385332">
      <w:pPr>
        <w:rPr>
          <w:rFonts w:ascii="宋体" w:hAnsi="宋体"/>
          <w:b/>
          <w:sz w:val="24"/>
        </w:rPr>
      </w:pPr>
    </w:p>
    <w:p w14:paraId="6D93067E">
      <w:pPr>
        <w:pStyle w:val="7"/>
        <w:rPr>
          <w:rFonts w:ascii="宋体" w:hAnsi="宋体"/>
          <w:b/>
          <w:sz w:val="24"/>
        </w:rPr>
      </w:pPr>
    </w:p>
    <w:p w14:paraId="04A8D494">
      <w:pPr>
        <w:pStyle w:val="7"/>
        <w:rPr>
          <w:rFonts w:ascii="宋体" w:hAnsi="宋体"/>
          <w:b/>
          <w:sz w:val="24"/>
        </w:rPr>
      </w:pPr>
    </w:p>
    <w:p w14:paraId="7DE021C4">
      <w:pPr>
        <w:pStyle w:val="7"/>
        <w:rPr>
          <w:rFonts w:ascii="宋体" w:hAnsi="宋体"/>
          <w:b/>
          <w:sz w:val="24"/>
        </w:rPr>
      </w:pPr>
    </w:p>
    <w:p w14:paraId="6D785FF9">
      <w:pPr>
        <w:pStyle w:val="7"/>
        <w:rPr>
          <w:rFonts w:ascii="宋体" w:hAnsi="宋体"/>
          <w:b/>
          <w:sz w:val="24"/>
        </w:rPr>
      </w:pPr>
    </w:p>
    <w:p w14:paraId="0362D4BC">
      <w:pPr>
        <w:pStyle w:val="7"/>
        <w:rPr>
          <w:rFonts w:ascii="宋体" w:hAnsi="宋体"/>
          <w:b/>
          <w:sz w:val="24"/>
        </w:rPr>
      </w:pPr>
    </w:p>
    <w:p w14:paraId="602F468C">
      <w:pPr>
        <w:pStyle w:val="7"/>
        <w:rPr>
          <w:rFonts w:ascii="宋体" w:hAnsi="宋体"/>
          <w:b/>
          <w:sz w:val="24"/>
        </w:rPr>
      </w:pPr>
    </w:p>
    <w:p w14:paraId="20C21166">
      <w:pPr>
        <w:pStyle w:val="7"/>
        <w:rPr>
          <w:rFonts w:ascii="宋体" w:hAnsi="宋体"/>
          <w:b/>
          <w:sz w:val="24"/>
        </w:rPr>
      </w:pPr>
    </w:p>
    <w:p w14:paraId="1ADF4625">
      <w:pPr>
        <w:pStyle w:val="7"/>
        <w:rPr>
          <w:rFonts w:ascii="宋体" w:hAnsi="宋体"/>
          <w:b/>
          <w:sz w:val="24"/>
        </w:rPr>
      </w:pPr>
    </w:p>
    <w:p w14:paraId="17B290B2">
      <w:pPr>
        <w:pStyle w:val="7"/>
        <w:rPr>
          <w:rFonts w:ascii="宋体" w:hAnsi="宋体"/>
          <w:b/>
          <w:sz w:val="24"/>
        </w:rPr>
      </w:pPr>
    </w:p>
    <w:p w14:paraId="7FD8A2E7">
      <w:pPr>
        <w:pStyle w:val="7"/>
        <w:rPr>
          <w:rFonts w:ascii="宋体" w:hAnsi="宋体"/>
          <w:b/>
          <w:sz w:val="24"/>
        </w:rPr>
      </w:pPr>
    </w:p>
    <w:p w14:paraId="6AF78F5E">
      <w:pPr>
        <w:pStyle w:val="7"/>
        <w:rPr>
          <w:rFonts w:ascii="宋体" w:hAnsi="宋体"/>
          <w:b/>
          <w:sz w:val="24"/>
        </w:rPr>
      </w:pPr>
    </w:p>
    <w:p w14:paraId="131855FE">
      <w:pPr>
        <w:pStyle w:val="7"/>
        <w:rPr>
          <w:rFonts w:ascii="宋体" w:hAnsi="宋体"/>
          <w:b/>
          <w:sz w:val="24"/>
        </w:rPr>
      </w:pPr>
    </w:p>
    <w:p w14:paraId="09F1C307">
      <w:pPr>
        <w:pStyle w:val="7"/>
        <w:ind w:firstLine="0"/>
        <w:rPr>
          <w:rFonts w:ascii="宋体" w:hAnsi="宋体"/>
          <w:b/>
          <w:sz w:val="24"/>
        </w:rPr>
      </w:pPr>
    </w:p>
    <w:p w14:paraId="7B5E6F72">
      <w:pPr>
        <w:pStyle w:val="7"/>
        <w:rPr>
          <w:rFonts w:ascii="宋体" w:hAnsi="宋体"/>
          <w:b/>
          <w:sz w:val="24"/>
        </w:rPr>
      </w:pPr>
    </w:p>
    <w:p w14:paraId="7F61E541">
      <w:pPr>
        <w:pStyle w:val="24"/>
        <w:ind w:left="0" w:leftChars="0" w:firstLine="0" w:firstLineChars="0"/>
        <w:rPr>
          <w:rFonts w:ascii="宋体" w:hAnsi="宋体"/>
          <w:b/>
          <w:sz w:val="24"/>
        </w:rPr>
      </w:pPr>
    </w:p>
    <w:p w14:paraId="5BADFAE5">
      <w:pPr>
        <w:jc w:val="center"/>
        <w:rPr>
          <w:b/>
          <w:sz w:val="24"/>
        </w:rPr>
      </w:pPr>
      <w:r>
        <w:rPr>
          <w:rFonts w:hint="eastAsia"/>
          <w:b/>
          <w:sz w:val="24"/>
        </w:rPr>
        <w:t>(1)评分索引表</w:t>
      </w:r>
    </w:p>
    <w:p w14:paraId="1A1262CC">
      <w:pPr>
        <w:pStyle w:val="16"/>
        <w:snapToGrid w:val="0"/>
        <w:rPr>
          <w:rFonts w:ascii="宋体" w:hAnsi="宋体" w:eastAsia="宋体"/>
          <w:sz w:val="24"/>
          <w:szCs w:val="24"/>
        </w:rPr>
      </w:pPr>
      <w:r>
        <w:rPr>
          <w:rFonts w:hint="eastAsia" w:ascii="宋体" w:hAnsi="宋体" w:eastAsia="宋体"/>
          <w:sz w:val="24"/>
          <w:szCs w:val="24"/>
        </w:rPr>
        <w:t xml:space="preserve">供应商全称（公章）：             </w:t>
      </w:r>
    </w:p>
    <w:tbl>
      <w:tblPr>
        <w:tblStyle w:val="44"/>
        <w:tblpPr w:leftFromText="180" w:rightFromText="180" w:vertAnchor="text" w:horzAnchor="page" w:tblpX="1297" w:tblpY="48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07"/>
        <w:gridCol w:w="3236"/>
        <w:gridCol w:w="1385"/>
        <w:gridCol w:w="1386"/>
      </w:tblGrid>
      <w:tr w14:paraId="25D98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507" w:type="dxa"/>
            <w:tcBorders>
              <w:top w:val="single" w:color="auto" w:sz="4" w:space="0"/>
              <w:left w:val="single" w:color="auto" w:sz="4" w:space="0"/>
              <w:bottom w:val="single" w:color="auto" w:sz="4" w:space="0"/>
              <w:right w:val="single" w:color="auto" w:sz="4" w:space="0"/>
            </w:tcBorders>
            <w:vAlign w:val="center"/>
          </w:tcPr>
          <w:p w14:paraId="6B96C13B">
            <w:pPr>
              <w:snapToGrid w:val="0"/>
              <w:spacing w:before="120" w:beforeLines="50"/>
              <w:jc w:val="center"/>
              <w:rPr>
                <w:sz w:val="24"/>
              </w:rPr>
            </w:pPr>
            <w:r>
              <w:rPr>
                <w:rFonts w:hint="eastAsia"/>
                <w:sz w:val="24"/>
              </w:rPr>
              <w:t>评分项目</w:t>
            </w:r>
          </w:p>
        </w:tc>
        <w:tc>
          <w:tcPr>
            <w:tcW w:w="3236" w:type="dxa"/>
            <w:tcBorders>
              <w:top w:val="single" w:color="auto" w:sz="4" w:space="0"/>
              <w:left w:val="single" w:color="auto" w:sz="4" w:space="0"/>
              <w:bottom w:val="single" w:color="auto" w:sz="4" w:space="0"/>
              <w:right w:val="single" w:color="auto" w:sz="4" w:space="0"/>
            </w:tcBorders>
            <w:vAlign w:val="center"/>
          </w:tcPr>
          <w:p w14:paraId="0FFD4A59">
            <w:pPr>
              <w:snapToGrid w:val="0"/>
              <w:spacing w:before="120" w:beforeLines="50"/>
              <w:jc w:val="center"/>
              <w:rPr>
                <w:sz w:val="24"/>
              </w:rPr>
            </w:pPr>
            <w:r>
              <w:rPr>
                <w:rFonts w:hint="eastAsia"/>
                <w:sz w:val="24"/>
              </w:rPr>
              <w:t>投标文件对应资料</w:t>
            </w:r>
          </w:p>
        </w:tc>
        <w:tc>
          <w:tcPr>
            <w:tcW w:w="1385" w:type="dxa"/>
            <w:tcBorders>
              <w:top w:val="single" w:color="auto" w:sz="4" w:space="0"/>
              <w:left w:val="single" w:color="auto" w:sz="4" w:space="0"/>
              <w:bottom w:val="single" w:color="auto" w:sz="4" w:space="0"/>
              <w:right w:val="single" w:color="auto" w:sz="4" w:space="0"/>
            </w:tcBorders>
          </w:tcPr>
          <w:p w14:paraId="401BBB3A">
            <w:pPr>
              <w:snapToGrid w:val="0"/>
              <w:spacing w:before="120" w:beforeLines="50"/>
              <w:jc w:val="center"/>
              <w:rPr>
                <w:sz w:val="24"/>
              </w:rPr>
            </w:pPr>
            <w:r>
              <w:rPr>
                <w:rFonts w:hint="eastAsia"/>
                <w:sz w:val="24"/>
              </w:rPr>
              <w:t>自评分</w:t>
            </w:r>
          </w:p>
        </w:tc>
        <w:tc>
          <w:tcPr>
            <w:tcW w:w="1386" w:type="dxa"/>
            <w:tcBorders>
              <w:top w:val="single" w:color="auto" w:sz="4" w:space="0"/>
              <w:left w:val="single" w:color="auto" w:sz="4" w:space="0"/>
              <w:bottom w:val="single" w:color="auto" w:sz="4" w:space="0"/>
              <w:right w:val="single" w:color="auto" w:sz="4" w:space="0"/>
            </w:tcBorders>
            <w:vAlign w:val="center"/>
          </w:tcPr>
          <w:p w14:paraId="4BE0A948">
            <w:pPr>
              <w:snapToGrid w:val="0"/>
              <w:spacing w:before="120" w:beforeLines="50"/>
              <w:jc w:val="center"/>
              <w:rPr>
                <w:sz w:val="24"/>
              </w:rPr>
            </w:pPr>
            <w:r>
              <w:rPr>
                <w:rFonts w:hint="eastAsia"/>
                <w:sz w:val="24"/>
              </w:rPr>
              <w:t>投标文件页码</w:t>
            </w:r>
          </w:p>
        </w:tc>
      </w:tr>
      <w:tr w14:paraId="4E95B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507" w:type="dxa"/>
            <w:tcBorders>
              <w:top w:val="single" w:color="auto" w:sz="4" w:space="0"/>
              <w:left w:val="single" w:color="auto" w:sz="4" w:space="0"/>
              <w:bottom w:val="single" w:color="auto" w:sz="4" w:space="0"/>
              <w:right w:val="single" w:color="auto" w:sz="4" w:space="0"/>
            </w:tcBorders>
          </w:tcPr>
          <w:p w14:paraId="75599A72">
            <w:pPr>
              <w:snapToGrid w:val="0"/>
              <w:rPr>
                <w:sz w:val="24"/>
              </w:rPr>
            </w:pPr>
            <w:r>
              <w:rPr>
                <w:rFonts w:hint="eastAsia"/>
                <w:sz w:val="24"/>
              </w:rPr>
              <w:t>对应第四章评分办法及评分标准（报价除外）</w:t>
            </w:r>
          </w:p>
        </w:tc>
        <w:tc>
          <w:tcPr>
            <w:tcW w:w="3236" w:type="dxa"/>
            <w:tcBorders>
              <w:top w:val="single" w:color="auto" w:sz="4" w:space="0"/>
              <w:left w:val="single" w:color="auto" w:sz="4" w:space="0"/>
              <w:bottom w:val="single" w:color="auto" w:sz="4" w:space="0"/>
              <w:right w:val="single" w:color="auto" w:sz="4" w:space="0"/>
            </w:tcBorders>
          </w:tcPr>
          <w:p w14:paraId="588D787F">
            <w:pPr>
              <w:snapToGrid w:val="0"/>
              <w:spacing w:before="120" w:beforeLines="50"/>
              <w:rPr>
                <w:sz w:val="24"/>
              </w:rPr>
            </w:pPr>
          </w:p>
        </w:tc>
        <w:tc>
          <w:tcPr>
            <w:tcW w:w="1385" w:type="dxa"/>
            <w:tcBorders>
              <w:top w:val="single" w:color="auto" w:sz="4" w:space="0"/>
              <w:left w:val="single" w:color="auto" w:sz="4" w:space="0"/>
              <w:bottom w:val="single" w:color="auto" w:sz="4" w:space="0"/>
              <w:right w:val="single" w:color="auto" w:sz="4" w:space="0"/>
            </w:tcBorders>
          </w:tcPr>
          <w:p w14:paraId="32A9B064">
            <w:pPr>
              <w:snapToGrid w:val="0"/>
              <w:spacing w:before="120" w:beforeLines="50"/>
              <w:rPr>
                <w:sz w:val="24"/>
              </w:rPr>
            </w:pPr>
          </w:p>
        </w:tc>
        <w:tc>
          <w:tcPr>
            <w:tcW w:w="1386" w:type="dxa"/>
            <w:tcBorders>
              <w:top w:val="single" w:color="auto" w:sz="4" w:space="0"/>
              <w:left w:val="single" w:color="auto" w:sz="4" w:space="0"/>
              <w:bottom w:val="single" w:color="auto" w:sz="4" w:space="0"/>
              <w:right w:val="single" w:color="auto" w:sz="4" w:space="0"/>
            </w:tcBorders>
          </w:tcPr>
          <w:p w14:paraId="29B82DF1">
            <w:pPr>
              <w:snapToGrid w:val="0"/>
              <w:spacing w:before="120" w:beforeLines="50"/>
              <w:rPr>
                <w:sz w:val="24"/>
              </w:rPr>
            </w:pPr>
          </w:p>
        </w:tc>
      </w:tr>
      <w:tr w14:paraId="58FE4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507" w:type="dxa"/>
            <w:tcBorders>
              <w:top w:val="single" w:color="auto" w:sz="4" w:space="0"/>
              <w:left w:val="single" w:color="auto" w:sz="4" w:space="0"/>
              <w:bottom w:val="single" w:color="auto" w:sz="4" w:space="0"/>
              <w:right w:val="single" w:color="auto" w:sz="4" w:space="0"/>
            </w:tcBorders>
          </w:tcPr>
          <w:p w14:paraId="4E3BF3AE">
            <w:pPr>
              <w:snapToGrid w:val="0"/>
              <w:rPr>
                <w:sz w:val="24"/>
              </w:rPr>
            </w:pPr>
            <w:r>
              <w:rPr>
                <w:sz w:val="24"/>
              </w:rPr>
              <w:t>……</w:t>
            </w:r>
          </w:p>
        </w:tc>
        <w:tc>
          <w:tcPr>
            <w:tcW w:w="3236" w:type="dxa"/>
            <w:tcBorders>
              <w:top w:val="single" w:color="auto" w:sz="4" w:space="0"/>
              <w:left w:val="single" w:color="auto" w:sz="4" w:space="0"/>
              <w:bottom w:val="single" w:color="auto" w:sz="4" w:space="0"/>
              <w:right w:val="single" w:color="auto" w:sz="4" w:space="0"/>
            </w:tcBorders>
          </w:tcPr>
          <w:p w14:paraId="3C81A870">
            <w:pPr>
              <w:snapToGrid w:val="0"/>
              <w:spacing w:before="120" w:beforeLines="50"/>
              <w:rPr>
                <w:sz w:val="24"/>
              </w:rPr>
            </w:pPr>
          </w:p>
        </w:tc>
        <w:tc>
          <w:tcPr>
            <w:tcW w:w="1385" w:type="dxa"/>
            <w:tcBorders>
              <w:top w:val="single" w:color="auto" w:sz="4" w:space="0"/>
              <w:left w:val="single" w:color="auto" w:sz="4" w:space="0"/>
              <w:bottom w:val="single" w:color="auto" w:sz="4" w:space="0"/>
              <w:right w:val="single" w:color="auto" w:sz="4" w:space="0"/>
            </w:tcBorders>
          </w:tcPr>
          <w:p w14:paraId="20819279">
            <w:pPr>
              <w:snapToGrid w:val="0"/>
              <w:spacing w:before="120" w:beforeLines="50"/>
              <w:ind w:left="43"/>
              <w:rPr>
                <w:sz w:val="24"/>
              </w:rPr>
            </w:pPr>
          </w:p>
        </w:tc>
        <w:tc>
          <w:tcPr>
            <w:tcW w:w="1386" w:type="dxa"/>
            <w:tcBorders>
              <w:top w:val="single" w:color="auto" w:sz="4" w:space="0"/>
              <w:left w:val="single" w:color="auto" w:sz="4" w:space="0"/>
              <w:bottom w:val="single" w:color="auto" w:sz="4" w:space="0"/>
              <w:right w:val="single" w:color="auto" w:sz="4" w:space="0"/>
            </w:tcBorders>
          </w:tcPr>
          <w:p w14:paraId="069602CA">
            <w:pPr>
              <w:snapToGrid w:val="0"/>
              <w:spacing w:before="120" w:beforeLines="50"/>
              <w:ind w:left="43"/>
              <w:rPr>
                <w:sz w:val="24"/>
              </w:rPr>
            </w:pPr>
          </w:p>
        </w:tc>
      </w:tr>
      <w:tr w14:paraId="5588F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507" w:type="dxa"/>
            <w:tcBorders>
              <w:top w:val="single" w:color="auto" w:sz="4" w:space="0"/>
              <w:left w:val="single" w:color="auto" w:sz="4" w:space="0"/>
              <w:bottom w:val="single" w:color="auto" w:sz="4" w:space="0"/>
              <w:right w:val="single" w:color="auto" w:sz="4" w:space="0"/>
            </w:tcBorders>
          </w:tcPr>
          <w:p w14:paraId="41903EA0">
            <w:pPr>
              <w:snapToGrid w:val="0"/>
              <w:rPr>
                <w:sz w:val="24"/>
              </w:rPr>
            </w:pPr>
          </w:p>
        </w:tc>
        <w:tc>
          <w:tcPr>
            <w:tcW w:w="3236" w:type="dxa"/>
            <w:tcBorders>
              <w:top w:val="single" w:color="auto" w:sz="4" w:space="0"/>
              <w:left w:val="single" w:color="auto" w:sz="4" w:space="0"/>
              <w:bottom w:val="single" w:color="auto" w:sz="4" w:space="0"/>
              <w:right w:val="single" w:color="auto" w:sz="4" w:space="0"/>
            </w:tcBorders>
          </w:tcPr>
          <w:p w14:paraId="7C535AD9">
            <w:pPr>
              <w:snapToGrid w:val="0"/>
              <w:spacing w:before="120" w:beforeLines="50"/>
              <w:rPr>
                <w:sz w:val="24"/>
              </w:rPr>
            </w:pPr>
          </w:p>
        </w:tc>
        <w:tc>
          <w:tcPr>
            <w:tcW w:w="1385" w:type="dxa"/>
            <w:tcBorders>
              <w:top w:val="single" w:color="auto" w:sz="4" w:space="0"/>
              <w:left w:val="single" w:color="auto" w:sz="4" w:space="0"/>
              <w:bottom w:val="single" w:color="auto" w:sz="4" w:space="0"/>
              <w:right w:val="single" w:color="auto" w:sz="4" w:space="0"/>
            </w:tcBorders>
          </w:tcPr>
          <w:p w14:paraId="5E719B25">
            <w:pPr>
              <w:snapToGrid w:val="0"/>
              <w:spacing w:before="120" w:beforeLines="50"/>
              <w:ind w:left="43"/>
              <w:rPr>
                <w:sz w:val="24"/>
              </w:rPr>
            </w:pPr>
          </w:p>
        </w:tc>
        <w:tc>
          <w:tcPr>
            <w:tcW w:w="1386" w:type="dxa"/>
            <w:tcBorders>
              <w:top w:val="single" w:color="auto" w:sz="4" w:space="0"/>
              <w:left w:val="single" w:color="auto" w:sz="4" w:space="0"/>
              <w:bottom w:val="single" w:color="auto" w:sz="4" w:space="0"/>
              <w:right w:val="single" w:color="auto" w:sz="4" w:space="0"/>
            </w:tcBorders>
          </w:tcPr>
          <w:p w14:paraId="1C8CCCF2">
            <w:pPr>
              <w:snapToGrid w:val="0"/>
              <w:spacing w:before="120" w:beforeLines="50"/>
              <w:ind w:left="43"/>
              <w:rPr>
                <w:sz w:val="24"/>
              </w:rPr>
            </w:pPr>
          </w:p>
        </w:tc>
      </w:tr>
      <w:tr w14:paraId="080B3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507" w:type="dxa"/>
            <w:tcBorders>
              <w:top w:val="single" w:color="auto" w:sz="4" w:space="0"/>
              <w:left w:val="single" w:color="auto" w:sz="4" w:space="0"/>
              <w:bottom w:val="single" w:color="auto" w:sz="4" w:space="0"/>
              <w:right w:val="single" w:color="auto" w:sz="4" w:space="0"/>
            </w:tcBorders>
          </w:tcPr>
          <w:p w14:paraId="3A1017F9">
            <w:pPr>
              <w:snapToGrid w:val="0"/>
              <w:rPr>
                <w:sz w:val="24"/>
              </w:rPr>
            </w:pPr>
          </w:p>
        </w:tc>
        <w:tc>
          <w:tcPr>
            <w:tcW w:w="3236" w:type="dxa"/>
            <w:tcBorders>
              <w:top w:val="single" w:color="auto" w:sz="4" w:space="0"/>
              <w:left w:val="single" w:color="auto" w:sz="4" w:space="0"/>
              <w:bottom w:val="single" w:color="auto" w:sz="4" w:space="0"/>
              <w:right w:val="single" w:color="auto" w:sz="4" w:space="0"/>
            </w:tcBorders>
          </w:tcPr>
          <w:p w14:paraId="4310CFF1">
            <w:pPr>
              <w:snapToGrid w:val="0"/>
              <w:spacing w:before="120" w:beforeLines="50"/>
              <w:rPr>
                <w:sz w:val="24"/>
              </w:rPr>
            </w:pPr>
          </w:p>
        </w:tc>
        <w:tc>
          <w:tcPr>
            <w:tcW w:w="1385" w:type="dxa"/>
            <w:tcBorders>
              <w:top w:val="single" w:color="auto" w:sz="4" w:space="0"/>
              <w:left w:val="single" w:color="auto" w:sz="4" w:space="0"/>
              <w:bottom w:val="single" w:color="auto" w:sz="4" w:space="0"/>
              <w:right w:val="single" w:color="auto" w:sz="4" w:space="0"/>
            </w:tcBorders>
          </w:tcPr>
          <w:p w14:paraId="325A53BB">
            <w:pPr>
              <w:snapToGrid w:val="0"/>
              <w:spacing w:before="120" w:beforeLines="50"/>
              <w:ind w:left="43"/>
              <w:rPr>
                <w:sz w:val="24"/>
              </w:rPr>
            </w:pPr>
          </w:p>
        </w:tc>
        <w:tc>
          <w:tcPr>
            <w:tcW w:w="1386" w:type="dxa"/>
            <w:tcBorders>
              <w:top w:val="single" w:color="auto" w:sz="4" w:space="0"/>
              <w:left w:val="single" w:color="auto" w:sz="4" w:space="0"/>
              <w:bottom w:val="single" w:color="auto" w:sz="4" w:space="0"/>
              <w:right w:val="single" w:color="auto" w:sz="4" w:space="0"/>
            </w:tcBorders>
          </w:tcPr>
          <w:p w14:paraId="1D28ABA7">
            <w:pPr>
              <w:snapToGrid w:val="0"/>
              <w:spacing w:before="120" w:beforeLines="50"/>
              <w:ind w:left="43"/>
              <w:rPr>
                <w:sz w:val="24"/>
              </w:rPr>
            </w:pPr>
          </w:p>
        </w:tc>
      </w:tr>
      <w:tr w14:paraId="6F911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507" w:type="dxa"/>
            <w:tcBorders>
              <w:top w:val="single" w:color="auto" w:sz="4" w:space="0"/>
              <w:left w:val="single" w:color="auto" w:sz="4" w:space="0"/>
              <w:bottom w:val="single" w:color="auto" w:sz="4" w:space="0"/>
              <w:right w:val="single" w:color="auto" w:sz="4" w:space="0"/>
            </w:tcBorders>
          </w:tcPr>
          <w:p w14:paraId="71FB612C">
            <w:pPr>
              <w:snapToGrid w:val="0"/>
              <w:rPr>
                <w:sz w:val="24"/>
              </w:rPr>
            </w:pPr>
          </w:p>
        </w:tc>
        <w:tc>
          <w:tcPr>
            <w:tcW w:w="3236" w:type="dxa"/>
            <w:tcBorders>
              <w:top w:val="single" w:color="auto" w:sz="4" w:space="0"/>
              <w:left w:val="single" w:color="auto" w:sz="4" w:space="0"/>
              <w:bottom w:val="single" w:color="auto" w:sz="4" w:space="0"/>
              <w:right w:val="single" w:color="auto" w:sz="4" w:space="0"/>
            </w:tcBorders>
          </w:tcPr>
          <w:p w14:paraId="18E40417">
            <w:pPr>
              <w:snapToGrid w:val="0"/>
              <w:spacing w:before="120" w:beforeLines="50"/>
              <w:rPr>
                <w:sz w:val="24"/>
              </w:rPr>
            </w:pPr>
          </w:p>
        </w:tc>
        <w:tc>
          <w:tcPr>
            <w:tcW w:w="1385" w:type="dxa"/>
            <w:tcBorders>
              <w:top w:val="single" w:color="auto" w:sz="4" w:space="0"/>
              <w:left w:val="single" w:color="auto" w:sz="4" w:space="0"/>
              <w:bottom w:val="single" w:color="auto" w:sz="4" w:space="0"/>
              <w:right w:val="single" w:color="auto" w:sz="4" w:space="0"/>
            </w:tcBorders>
          </w:tcPr>
          <w:p w14:paraId="6BF5706D">
            <w:pPr>
              <w:snapToGrid w:val="0"/>
              <w:spacing w:before="120" w:beforeLines="50"/>
              <w:rPr>
                <w:sz w:val="24"/>
              </w:rPr>
            </w:pPr>
          </w:p>
        </w:tc>
        <w:tc>
          <w:tcPr>
            <w:tcW w:w="1386" w:type="dxa"/>
            <w:tcBorders>
              <w:top w:val="single" w:color="auto" w:sz="4" w:space="0"/>
              <w:left w:val="single" w:color="auto" w:sz="4" w:space="0"/>
              <w:bottom w:val="single" w:color="auto" w:sz="4" w:space="0"/>
              <w:right w:val="single" w:color="auto" w:sz="4" w:space="0"/>
            </w:tcBorders>
          </w:tcPr>
          <w:p w14:paraId="496D4EA4">
            <w:pPr>
              <w:snapToGrid w:val="0"/>
              <w:spacing w:before="120" w:beforeLines="50"/>
              <w:rPr>
                <w:sz w:val="24"/>
              </w:rPr>
            </w:pPr>
          </w:p>
        </w:tc>
      </w:tr>
      <w:tr w14:paraId="37302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507" w:type="dxa"/>
            <w:tcBorders>
              <w:top w:val="single" w:color="auto" w:sz="4" w:space="0"/>
              <w:left w:val="single" w:color="auto" w:sz="4" w:space="0"/>
              <w:bottom w:val="single" w:color="auto" w:sz="4" w:space="0"/>
              <w:right w:val="single" w:color="auto" w:sz="4" w:space="0"/>
            </w:tcBorders>
          </w:tcPr>
          <w:p w14:paraId="4EE80C59">
            <w:pPr>
              <w:snapToGrid w:val="0"/>
              <w:rPr>
                <w:sz w:val="24"/>
              </w:rPr>
            </w:pPr>
          </w:p>
        </w:tc>
        <w:tc>
          <w:tcPr>
            <w:tcW w:w="3236" w:type="dxa"/>
            <w:tcBorders>
              <w:top w:val="single" w:color="auto" w:sz="4" w:space="0"/>
              <w:left w:val="single" w:color="auto" w:sz="4" w:space="0"/>
              <w:bottom w:val="single" w:color="auto" w:sz="4" w:space="0"/>
              <w:right w:val="single" w:color="auto" w:sz="4" w:space="0"/>
            </w:tcBorders>
          </w:tcPr>
          <w:p w14:paraId="7A6BBE57">
            <w:pPr>
              <w:snapToGrid w:val="0"/>
              <w:spacing w:before="120" w:beforeLines="50"/>
              <w:rPr>
                <w:sz w:val="24"/>
              </w:rPr>
            </w:pPr>
          </w:p>
        </w:tc>
        <w:tc>
          <w:tcPr>
            <w:tcW w:w="1385" w:type="dxa"/>
            <w:tcBorders>
              <w:top w:val="single" w:color="auto" w:sz="4" w:space="0"/>
              <w:left w:val="single" w:color="auto" w:sz="4" w:space="0"/>
              <w:bottom w:val="single" w:color="auto" w:sz="4" w:space="0"/>
              <w:right w:val="single" w:color="auto" w:sz="4" w:space="0"/>
            </w:tcBorders>
          </w:tcPr>
          <w:p w14:paraId="74709080">
            <w:pPr>
              <w:snapToGrid w:val="0"/>
              <w:spacing w:before="120" w:beforeLines="50"/>
              <w:rPr>
                <w:sz w:val="24"/>
              </w:rPr>
            </w:pPr>
          </w:p>
        </w:tc>
        <w:tc>
          <w:tcPr>
            <w:tcW w:w="1386" w:type="dxa"/>
            <w:tcBorders>
              <w:top w:val="single" w:color="auto" w:sz="4" w:space="0"/>
              <w:left w:val="single" w:color="auto" w:sz="4" w:space="0"/>
              <w:bottom w:val="single" w:color="auto" w:sz="4" w:space="0"/>
              <w:right w:val="single" w:color="auto" w:sz="4" w:space="0"/>
            </w:tcBorders>
          </w:tcPr>
          <w:p w14:paraId="2D076300">
            <w:pPr>
              <w:snapToGrid w:val="0"/>
              <w:spacing w:before="120" w:beforeLines="50"/>
              <w:rPr>
                <w:sz w:val="24"/>
              </w:rPr>
            </w:pPr>
          </w:p>
        </w:tc>
      </w:tr>
      <w:tr w14:paraId="661F7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507" w:type="dxa"/>
            <w:tcBorders>
              <w:top w:val="single" w:color="auto" w:sz="4" w:space="0"/>
              <w:left w:val="single" w:color="auto" w:sz="4" w:space="0"/>
              <w:bottom w:val="single" w:color="auto" w:sz="4" w:space="0"/>
              <w:right w:val="single" w:color="auto" w:sz="4" w:space="0"/>
            </w:tcBorders>
          </w:tcPr>
          <w:p w14:paraId="46D1C975">
            <w:pPr>
              <w:snapToGrid w:val="0"/>
              <w:rPr>
                <w:sz w:val="24"/>
              </w:rPr>
            </w:pPr>
          </w:p>
        </w:tc>
        <w:tc>
          <w:tcPr>
            <w:tcW w:w="3236" w:type="dxa"/>
            <w:tcBorders>
              <w:top w:val="single" w:color="auto" w:sz="4" w:space="0"/>
              <w:left w:val="single" w:color="auto" w:sz="4" w:space="0"/>
              <w:bottom w:val="single" w:color="auto" w:sz="4" w:space="0"/>
              <w:right w:val="single" w:color="auto" w:sz="4" w:space="0"/>
            </w:tcBorders>
          </w:tcPr>
          <w:p w14:paraId="1E04DE5F">
            <w:pPr>
              <w:snapToGrid w:val="0"/>
              <w:spacing w:before="120" w:beforeLines="50"/>
              <w:rPr>
                <w:sz w:val="24"/>
              </w:rPr>
            </w:pPr>
          </w:p>
        </w:tc>
        <w:tc>
          <w:tcPr>
            <w:tcW w:w="1385" w:type="dxa"/>
            <w:tcBorders>
              <w:top w:val="single" w:color="auto" w:sz="4" w:space="0"/>
              <w:left w:val="single" w:color="auto" w:sz="4" w:space="0"/>
              <w:bottom w:val="single" w:color="auto" w:sz="4" w:space="0"/>
              <w:right w:val="single" w:color="auto" w:sz="4" w:space="0"/>
            </w:tcBorders>
          </w:tcPr>
          <w:p w14:paraId="59C472C9">
            <w:pPr>
              <w:snapToGrid w:val="0"/>
              <w:spacing w:before="120" w:beforeLines="50"/>
              <w:rPr>
                <w:sz w:val="24"/>
              </w:rPr>
            </w:pPr>
          </w:p>
        </w:tc>
        <w:tc>
          <w:tcPr>
            <w:tcW w:w="1386" w:type="dxa"/>
            <w:tcBorders>
              <w:top w:val="single" w:color="auto" w:sz="4" w:space="0"/>
              <w:left w:val="single" w:color="auto" w:sz="4" w:space="0"/>
              <w:bottom w:val="single" w:color="auto" w:sz="4" w:space="0"/>
              <w:right w:val="single" w:color="auto" w:sz="4" w:space="0"/>
            </w:tcBorders>
          </w:tcPr>
          <w:p w14:paraId="7ABFC0B6">
            <w:pPr>
              <w:snapToGrid w:val="0"/>
              <w:spacing w:before="120" w:beforeLines="50"/>
              <w:rPr>
                <w:sz w:val="24"/>
              </w:rPr>
            </w:pPr>
          </w:p>
        </w:tc>
      </w:tr>
      <w:tr w14:paraId="568D3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507" w:type="dxa"/>
            <w:tcBorders>
              <w:top w:val="single" w:color="auto" w:sz="4" w:space="0"/>
              <w:left w:val="single" w:color="auto" w:sz="4" w:space="0"/>
              <w:bottom w:val="single" w:color="auto" w:sz="4" w:space="0"/>
              <w:right w:val="single" w:color="auto" w:sz="4" w:space="0"/>
            </w:tcBorders>
          </w:tcPr>
          <w:p w14:paraId="7BE950C7">
            <w:pPr>
              <w:snapToGrid w:val="0"/>
              <w:rPr>
                <w:sz w:val="24"/>
              </w:rPr>
            </w:pPr>
          </w:p>
        </w:tc>
        <w:tc>
          <w:tcPr>
            <w:tcW w:w="3236" w:type="dxa"/>
            <w:tcBorders>
              <w:top w:val="single" w:color="auto" w:sz="4" w:space="0"/>
              <w:left w:val="single" w:color="auto" w:sz="4" w:space="0"/>
              <w:bottom w:val="single" w:color="auto" w:sz="4" w:space="0"/>
              <w:right w:val="single" w:color="auto" w:sz="4" w:space="0"/>
            </w:tcBorders>
          </w:tcPr>
          <w:p w14:paraId="6BB725EF">
            <w:pPr>
              <w:snapToGrid w:val="0"/>
              <w:spacing w:before="120" w:beforeLines="50"/>
              <w:rPr>
                <w:sz w:val="24"/>
              </w:rPr>
            </w:pPr>
          </w:p>
        </w:tc>
        <w:tc>
          <w:tcPr>
            <w:tcW w:w="1385" w:type="dxa"/>
            <w:tcBorders>
              <w:top w:val="single" w:color="auto" w:sz="4" w:space="0"/>
              <w:left w:val="single" w:color="auto" w:sz="4" w:space="0"/>
              <w:bottom w:val="single" w:color="auto" w:sz="4" w:space="0"/>
              <w:right w:val="single" w:color="auto" w:sz="4" w:space="0"/>
            </w:tcBorders>
          </w:tcPr>
          <w:p w14:paraId="4245C722">
            <w:pPr>
              <w:snapToGrid w:val="0"/>
              <w:spacing w:before="120" w:beforeLines="50"/>
              <w:rPr>
                <w:sz w:val="24"/>
              </w:rPr>
            </w:pPr>
          </w:p>
        </w:tc>
        <w:tc>
          <w:tcPr>
            <w:tcW w:w="1386" w:type="dxa"/>
            <w:tcBorders>
              <w:top w:val="single" w:color="auto" w:sz="4" w:space="0"/>
              <w:left w:val="single" w:color="auto" w:sz="4" w:space="0"/>
              <w:bottom w:val="single" w:color="auto" w:sz="4" w:space="0"/>
              <w:right w:val="single" w:color="auto" w:sz="4" w:space="0"/>
            </w:tcBorders>
          </w:tcPr>
          <w:p w14:paraId="53024FC0">
            <w:pPr>
              <w:snapToGrid w:val="0"/>
              <w:spacing w:before="120" w:beforeLines="50"/>
              <w:rPr>
                <w:sz w:val="24"/>
              </w:rPr>
            </w:pPr>
          </w:p>
        </w:tc>
      </w:tr>
      <w:tr w14:paraId="2FD16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507" w:type="dxa"/>
            <w:tcBorders>
              <w:top w:val="single" w:color="auto" w:sz="4" w:space="0"/>
              <w:left w:val="single" w:color="auto" w:sz="4" w:space="0"/>
              <w:bottom w:val="single" w:color="auto" w:sz="4" w:space="0"/>
              <w:right w:val="single" w:color="auto" w:sz="4" w:space="0"/>
            </w:tcBorders>
          </w:tcPr>
          <w:p w14:paraId="0654438A">
            <w:pPr>
              <w:snapToGrid w:val="0"/>
              <w:rPr>
                <w:sz w:val="24"/>
              </w:rPr>
            </w:pPr>
          </w:p>
        </w:tc>
        <w:tc>
          <w:tcPr>
            <w:tcW w:w="3236" w:type="dxa"/>
            <w:tcBorders>
              <w:top w:val="single" w:color="auto" w:sz="4" w:space="0"/>
              <w:left w:val="single" w:color="auto" w:sz="4" w:space="0"/>
              <w:bottom w:val="single" w:color="auto" w:sz="4" w:space="0"/>
              <w:right w:val="single" w:color="auto" w:sz="4" w:space="0"/>
            </w:tcBorders>
          </w:tcPr>
          <w:p w14:paraId="10E99ED2">
            <w:pPr>
              <w:snapToGrid w:val="0"/>
              <w:spacing w:before="120" w:beforeLines="50"/>
              <w:rPr>
                <w:sz w:val="24"/>
              </w:rPr>
            </w:pPr>
          </w:p>
        </w:tc>
        <w:tc>
          <w:tcPr>
            <w:tcW w:w="1385" w:type="dxa"/>
            <w:tcBorders>
              <w:top w:val="single" w:color="auto" w:sz="4" w:space="0"/>
              <w:left w:val="single" w:color="auto" w:sz="4" w:space="0"/>
              <w:bottom w:val="single" w:color="auto" w:sz="4" w:space="0"/>
              <w:right w:val="single" w:color="auto" w:sz="4" w:space="0"/>
            </w:tcBorders>
          </w:tcPr>
          <w:p w14:paraId="30205198">
            <w:pPr>
              <w:snapToGrid w:val="0"/>
              <w:spacing w:before="120" w:beforeLines="50"/>
              <w:rPr>
                <w:sz w:val="24"/>
              </w:rPr>
            </w:pPr>
          </w:p>
        </w:tc>
        <w:tc>
          <w:tcPr>
            <w:tcW w:w="1386" w:type="dxa"/>
            <w:tcBorders>
              <w:top w:val="single" w:color="auto" w:sz="4" w:space="0"/>
              <w:left w:val="single" w:color="auto" w:sz="4" w:space="0"/>
              <w:bottom w:val="single" w:color="auto" w:sz="4" w:space="0"/>
              <w:right w:val="single" w:color="auto" w:sz="4" w:space="0"/>
            </w:tcBorders>
          </w:tcPr>
          <w:p w14:paraId="0221B9DE">
            <w:pPr>
              <w:snapToGrid w:val="0"/>
              <w:spacing w:before="120" w:beforeLines="50"/>
              <w:rPr>
                <w:sz w:val="24"/>
              </w:rPr>
            </w:pPr>
          </w:p>
        </w:tc>
      </w:tr>
    </w:tbl>
    <w:p w14:paraId="257CF1AE">
      <w:pPr>
        <w:snapToGrid w:val="0"/>
        <w:spacing w:before="120" w:beforeLines="50"/>
        <w:rPr>
          <w:sz w:val="24"/>
        </w:rPr>
      </w:pPr>
      <w:r>
        <w:rPr>
          <w:rFonts w:hint="eastAsia"/>
          <w:sz w:val="24"/>
        </w:rPr>
        <w:t>授权代表签名：               日期：</w:t>
      </w:r>
    </w:p>
    <w:p w14:paraId="69A6CE4F">
      <w:pPr>
        <w:snapToGrid w:val="0"/>
        <w:spacing w:before="50" w:after="120" w:afterLines="50"/>
        <w:rPr>
          <w:rFonts w:ascii="仿宋" w:hAnsi="仿宋" w:eastAsia="仿宋"/>
          <w:sz w:val="30"/>
          <w:szCs w:val="30"/>
        </w:rPr>
      </w:pPr>
    </w:p>
    <w:p w14:paraId="1855C356">
      <w:pPr>
        <w:snapToGrid w:val="0"/>
        <w:spacing w:before="50" w:after="120" w:afterLines="50"/>
        <w:rPr>
          <w:rFonts w:ascii="仿宋" w:hAnsi="仿宋" w:eastAsia="仿宋"/>
          <w:sz w:val="30"/>
          <w:szCs w:val="30"/>
        </w:rPr>
      </w:pPr>
    </w:p>
    <w:p w14:paraId="3048BD4B">
      <w:pPr>
        <w:snapToGrid w:val="0"/>
        <w:spacing w:before="50" w:after="120" w:afterLines="50"/>
        <w:rPr>
          <w:rFonts w:ascii="仿宋" w:hAnsi="仿宋" w:eastAsia="仿宋"/>
          <w:sz w:val="30"/>
          <w:szCs w:val="30"/>
        </w:rPr>
      </w:pPr>
    </w:p>
    <w:p w14:paraId="1A0611FE">
      <w:pPr>
        <w:snapToGrid w:val="0"/>
        <w:spacing w:before="50" w:after="120" w:afterLines="50"/>
        <w:rPr>
          <w:rFonts w:ascii="仿宋" w:hAnsi="仿宋" w:eastAsia="仿宋"/>
          <w:sz w:val="30"/>
          <w:szCs w:val="30"/>
        </w:rPr>
      </w:pPr>
    </w:p>
    <w:p w14:paraId="19A66E8E">
      <w:pPr>
        <w:snapToGrid w:val="0"/>
        <w:spacing w:before="50" w:after="120" w:afterLines="50"/>
        <w:rPr>
          <w:rFonts w:ascii="仿宋" w:hAnsi="仿宋" w:eastAsia="仿宋"/>
          <w:sz w:val="30"/>
          <w:szCs w:val="30"/>
        </w:rPr>
      </w:pPr>
    </w:p>
    <w:p w14:paraId="19731DBA">
      <w:pPr>
        <w:snapToGrid w:val="0"/>
        <w:spacing w:before="50" w:after="120" w:afterLines="50"/>
        <w:rPr>
          <w:rFonts w:ascii="仿宋" w:hAnsi="仿宋" w:eastAsia="仿宋"/>
          <w:sz w:val="30"/>
          <w:szCs w:val="30"/>
        </w:rPr>
      </w:pPr>
    </w:p>
    <w:p w14:paraId="2424AC70">
      <w:pPr>
        <w:snapToGrid w:val="0"/>
        <w:spacing w:before="50" w:after="120" w:afterLines="50"/>
        <w:rPr>
          <w:rFonts w:ascii="仿宋" w:hAnsi="仿宋" w:eastAsia="仿宋"/>
          <w:sz w:val="30"/>
          <w:szCs w:val="30"/>
        </w:rPr>
      </w:pPr>
    </w:p>
    <w:p w14:paraId="4E556F0E">
      <w:pPr>
        <w:spacing w:line="360" w:lineRule="auto"/>
        <w:rPr>
          <w:b/>
          <w:bCs/>
          <w:sz w:val="24"/>
        </w:rPr>
      </w:pPr>
    </w:p>
    <w:p w14:paraId="2C90FF29">
      <w:pPr>
        <w:pStyle w:val="24"/>
        <w:ind w:left="440"/>
      </w:pPr>
    </w:p>
    <w:p w14:paraId="01561A57">
      <w:pPr>
        <w:spacing w:line="360" w:lineRule="auto"/>
        <w:ind w:firstLine="482" w:firstLineChars="200"/>
        <w:jc w:val="center"/>
        <w:rPr>
          <w:b/>
          <w:bCs/>
          <w:sz w:val="24"/>
        </w:rPr>
      </w:pPr>
    </w:p>
    <w:p w14:paraId="680F0840">
      <w:pPr>
        <w:spacing w:line="360" w:lineRule="auto"/>
        <w:ind w:firstLine="482" w:firstLineChars="200"/>
        <w:jc w:val="center"/>
        <w:rPr>
          <w:b/>
          <w:bCs/>
          <w:sz w:val="24"/>
        </w:rPr>
      </w:pPr>
    </w:p>
    <w:p w14:paraId="52453609">
      <w:pPr>
        <w:snapToGrid w:val="0"/>
        <w:spacing w:beforeLines="50" w:after="50"/>
        <w:jc w:val="center"/>
        <w:rPr>
          <w:rFonts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2</w:t>
      </w:r>
      <w:r>
        <w:rPr>
          <w:rFonts w:hint="eastAsia" w:ascii="宋体" w:hAnsi="宋体" w:cs="宋体"/>
          <w:b/>
          <w:sz w:val="24"/>
          <w:lang w:eastAsia="zh-CN"/>
        </w:rPr>
        <w:t>）</w:t>
      </w:r>
      <w:r>
        <w:rPr>
          <w:rFonts w:hint="eastAsia" w:ascii="宋体" w:hAnsi="宋体" w:cs="宋体"/>
          <w:b/>
          <w:sz w:val="24"/>
        </w:rPr>
        <w:t>投标声明书</w:t>
      </w:r>
    </w:p>
    <w:p w14:paraId="254E7C74">
      <w:pPr>
        <w:snapToGrid w:val="0"/>
        <w:spacing w:line="360" w:lineRule="auto"/>
        <w:rPr>
          <w:rFonts w:ascii="宋体" w:hAnsi="宋体" w:cs="宋体"/>
          <w:sz w:val="24"/>
        </w:rPr>
      </w:pPr>
    </w:p>
    <w:p w14:paraId="7C98CE13">
      <w:pPr>
        <w:snapToGrid w:val="0"/>
        <w:spacing w:line="360" w:lineRule="auto"/>
        <w:rPr>
          <w:rFonts w:ascii="宋体" w:hAnsi="宋体" w:cs="宋体"/>
          <w:sz w:val="24"/>
        </w:rPr>
      </w:pPr>
      <w:r>
        <w:rPr>
          <w:rFonts w:hint="eastAsia" w:ascii="宋体" w:hAnsi="宋体" w:cs="宋体"/>
          <w:sz w:val="24"/>
        </w:rPr>
        <w:t>致：（招标采购单位名称）：</w:t>
      </w:r>
    </w:p>
    <w:p w14:paraId="64BFB134">
      <w:pPr>
        <w:snapToGrid w:val="0"/>
        <w:spacing w:line="360" w:lineRule="auto"/>
        <w:ind w:firstLine="480" w:firstLineChars="200"/>
        <w:jc w:val="left"/>
        <w:rPr>
          <w:rFonts w:ascii="宋体" w:hAnsi="宋体" w:cs="宋体"/>
          <w:sz w:val="24"/>
        </w:rPr>
      </w:pPr>
      <w:r>
        <w:rPr>
          <w:rFonts w:hint="eastAsia" w:ascii="宋体" w:hAnsi="宋体" w:cs="宋体"/>
          <w:sz w:val="24"/>
        </w:rPr>
        <w:t>（投标人名称）系中华人民共和国合法企业，经营地址。</w:t>
      </w:r>
    </w:p>
    <w:p w14:paraId="104E0110">
      <w:pPr>
        <w:snapToGrid w:val="0"/>
        <w:spacing w:line="360" w:lineRule="auto"/>
        <w:ind w:firstLine="480" w:firstLineChars="200"/>
        <w:jc w:val="left"/>
        <w:rPr>
          <w:rFonts w:ascii="宋体" w:hAnsi="宋体" w:cs="宋体"/>
          <w:sz w:val="24"/>
        </w:rPr>
      </w:pPr>
      <w:r>
        <w:rPr>
          <w:rFonts w:hint="eastAsia" w:ascii="宋体" w:hAnsi="宋体" w:cs="宋体"/>
          <w:sz w:val="24"/>
        </w:rPr>
        <w:t>我（姓名）系（投标人名称）的法定代表人，我方愿意参加贵方组织的项目的投标，为便于贵方公正、择优地确定中标人及其服务，我方就本次投标有关事项郑重声明如下：</w:t>
      </w:r>
    </w:p>
    <w:p w14:paraId="0B7E37D5">
      <w:pPr>
        <w:snapToGrid w:val="0"/>
        <w:spacing w:line="360" w:lineRule="auto"/>
        <w:ind w:firstLine="480" w:firstLineChars="200"/>
        <w:jc w:val="left"/>
        <w:rPr>
          <w:rFonts w:ascii="宋体" w:hAnsi="宋体" w:cs="宋体"/>
          <w:sz w:val="24"/>
        </w:rPr>
      </w:pPr>
      <w:r>
        <w:rPr>
          <w:rFonts w:hint="eastAsia" w:ascii="宋体" w:hAnsi="宋体" w:cs="宋体"/>
          <w:sz w:val="24"/>
        </w:rPr>
        <w:t>1.我方向贵方提交的所有投标文件、资料都是准确的和真实的。</w:t>
      </w:r>
    </w:p>
    <w:p w14:paraId="185291CE">
      <w:pPr>
        <w:snapToGrid w:val="0"/>
        <w:spacing w:line="360" w:lineRule="auto"/>
        <w:ind w:firstLine="480" w:firstLineChars="200"/>
        <w:jc w:val="left"/>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7A467878">
      <w:pPr>
        <w:snapToGrid w:val="0"/>
        <w:spacing w:line="360" w:lineRule="auto"/>
        <w:ind w:firstLine="480" w:firstLineChars="200"/>
        <w:jc w:val="left"/>
        <w:rPr>
          <w:rFonts w:ascii="宋体" w:hAnsi="宋体" w:cs="宋体"/>
          <w:sz w:val="24"/>
        </w:rPr>
      </w:pPr>
      <w:r>
        <w:rPr>
          <w:rFonts w:hint="eastAsia" w:ascii="宋体" w:hAnsi="宋体" w:cs="宋体"/>
          <w:sz w:val="24"/>
        </w:rPr>
        <w:t>3. 我们已详细审核招标文件全部内容，包括修改文件、参考资料及有关附件，我们完全知道必须放弃提出含糊不清或误解的权利。</w:t>
      </w:r>
    </w:p>
    <w:p w14:paraId="6CC3BAF0">
      <w:pPr>
        <w:snapToGrid w:val="0"/>
        <w:spacing w:line="360" w:lineRule="auto"/>
        <w:ind w:firstLine="480" w:firstLineChars="200"/>
        <w:jc w:val="left"/>
        <w:rPr>
          <w:rFonts w:ascii="宋体" w:hAnsi="宋体" w:cs="宋体"/>
          <w:sz w:val="24"/>
        </w:rPr>
      </w:pPr>
      <w:r>
        <w:rPr>
          <w:rFonts w:hint="eastAsia" w:ascii="宋体" w:hAnsi="宋体" w:cs="宋体"/>
          <w:sz w:val="24"/>
        </w:rPr>
        <w:t>4.我方及由本人担任法定代表人的其他机构最近三年内被通报或者被处罚的违法行为有：</w:t>
      </w:r>
    </w:p>
    <w:p w14:paraId="4FBF49FB">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14:paraId="090C4D60">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14:paraId="55D8DE67">
      <w:pPr>
        <w:snapToGrid w:val="0"/>
        <w:spacing w:line="360" w:lineRule="auto"/>
        <w:ind w:firstLine="480" w:firstLineChars="200"/>
        <w:jc w:val="left"/>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314726C6">
      <w:pPr>
        <w:pStyle w:val="26"/>
        <w:tabs>
          <w:tab w:val="left" w:pos="939"/>
        </w:tabs>
        <w:snapToGrid w:val="0"/>
        <w:spacing w:line="360" w:lineRule="auto"/>
        <w:ind w:leftChars="0" w:firstLine="0" w:firstLineChars="0"/>
        <w:rPr>
          <w:rFonts w:ascii="宋体" w:hAnsi="宋体" w:cs="宋体"/>
          <w:sz w:val="24"/>
        </w:rPr>
      </w:pPr>
    </w:p>
    <w:p w14:paraId="1A0BA024">
      <w:pPr>
        <w:pStyle w:val="130"/>
        <w:snapToGrid w:val="0"/>
        <w:spacing w:line="360" w:lineRule="auto"/>
        <w:rPr>
          <w:rFonts w:ascii="宋体" w:hAnsi="宋体" w:cs="宋体"/>
          <w:szCs w:val="24"/>
        </w:rPr>
      </w:pPr>
    </w:p>
    <w:p w14:paraId="491183B2">
      <w:pPr>
        <w:snapToGrid w:val="0"/>
        <w:spacing w:line="360" w:lineRule="auto"/>
        <w:rPr>
          <w:rFonts w:ascii="宋体" w:hAnsi="宋体" w:cs="宋体"/>
          <w:sz w:val="24"/>
          <w:u w:val="single"/>
        </w:rPr>
      </w:pPr>
      <w:r>
        <w:rPr>
          <w:rFonts w:hint="eastAsia" w:ascii="宋体" w:hAnsi="宋体" w:cs="宋体"/>
          <w:sz w:val="24"/>
        </w:rPr>
        <w:t>法定代表人签字：</w:t>
      </w:r>
    </w:p>
    <w:p w14:paraId="14B0B1FB">
      <w:pPr>
        <w:snapToGrid w:val="0"/>
        <w:spacing w:beforeLines="50" w:after="50"/>
        <w:jc w:val="left"/>
        <w:rPr>
          <w:rFonts w:ascii="宋体" w:hAnsi="宋体" w:cs="宋体"/>
          <w:sz w:val="24"/>
          <w:szCs w:val="20"/>
        </w:rPr>
      </w:pPr>
      <w:r>
        <w:rPr>
          <w:rFonts w:hint="eastAsia" w:ascii="宋体" w:hAnsi="宋体" w:cs="宋体"/>
          <w:sz w:val="24"/>
        </w:rPr>
        <w:t>供应商公章：                      年    月    日</w:t>
      </w:r>
    </w:p>
    <w:p w14:paraId="60639F9F">
      <w:pPr>
        <w:spacing w:line="360" w:lineRule="auto"/>
        <w:ind w:firstLine="482" w:firstLineChars="200"/>
        <w:jc w:val="center"/>
        <w:rPr>
          <w:b/>
          <w:bCs/>
          <w:sz w:val="24"/>
        </w:rPr>
      </w:pPr>
    </w:p>
    <w:p w14:paraId="36984951">
      <w:pPr>
        <w:spacing w:line="360" w:lineRule="auto"/>
        <w:ind w:firstLine="482" w:firstLineChars="200"/>
        <w:jc w:val="center"/>
        <w:rPr>
          <w:b/>
          <w:bCs/>
          <w:sz w:val="24"/>
        </w:rPr>
      </w:pPr>
    </w:p>
    <w:p w14:paraId="6CA91B0A">
      <w:pPr>
        <w:rPr>
          <w:rFonts w:hint="eastAsia"/>
          <w:b/>
          <w:bCs/>
          <w:sz w:val="24"/>
          <w:lang w:eastAsia="zh-CN"/>
        </w:rPr>
      </w:pPr>
      <w:r>
        <w:rPr>
          <w:rFonts w:hint="eastAsia"/>
          <w:b/>
          <w:bCs/>
          <w:sz w:val="24"/>
          <w:lang w:eastAsia="zh-CN"/>
        </w:rPr>
        <w:br w:type="page"/>
      </w:r>
    </w:p>
    <w:p w14:paraId="4690E1CC">
      <w:pPr>
        <w:pStyle w:val="3"/>
        <w:rPr>
          <w:rFonts w:hint="eastAsia"/>
          <w:b/>
          <w:bCs/>
          <w:sz w:val="24"/>
          <w:lang w:eastAsia="zh-CN"/>
        </w:rPr>
      </w:pPr>
    </w:p>
    <w:p w14:paraId="4EF93600">
      <w:pPr>
        <w:pStyle w:val="3"/>
        <w:rPr>
          <w:rFonts w:hint="eastAsia"/>
          <w:b/>
          <w:bCs/>
          <w:sz w:val="24"/>
          <w:lang w:eastAsia="zh-CN"/>
        </w:rPr>
      </w:pPr>
      <w:r>
        <w:rPr>
          <w:rFonts w:hint="eastAsia"/>
          <w:b/>
          <w:bCs/>
          <w:sz w:val="24"/>
          <w:lang w:eastAsia="zh-CN"/>
        </w:rPr>
        <w:t>（</w:t>
      </w:r>
      <w:r>
        <w:rPr>
          <w:rFonts w:hint="eastAsia"/>
          <w:b/>
          <w:bCs/>
          <w:sz w:val="24"/>
          <w:lang w:val="en-US" w:eastAsia="zh-CN"/>
        </w:rPr>
        <w:t>3</w:t>
      </w:r>
      <w:r>
        <w:rPr>
          <w:rFonts w:hint="eastAsia"/>
          <w:b/>
          <w:bCs/>
          <w:sz w:val="24"/>
          <w:lang w:eastAsia="zh-CN"/>
        </w:rPr>
        <w:t>）对本项目的理解；</w:t>
      </w:r>
    </w:p>
    <w:p w14:paraId="40477C15">
      <w:pPr>
        <w:pStyle w:val="3"/>
        <w:rPr>
          <w:rFonts w:hint="eastAsia"/>
          <w:b/>
          <w:bCs/>
          <w:sz w:val="24"/>
          <w:lang w:eastAsia="zh-CN"/>
        </w:rPr>
      </w:pPr>
    </w:p>
    <w:p w14:paraId="77EA9A12">
      <w:pPr>
        <w:pStyle w:val="3"/>
        <w:rPr>
          <w:rFonts w:hint="eastAsia"/>
          <w:b/>
          <w:bCs/>
          <w:sz w:val="24"/>
          <w:lang w:eastAsia="zh-CN"/>
        </w:rPr>
      </w:pPr>
    </w:p>
    <w:p w14:paraId="57566177">
      <w:pPr>
        <w:pStyle w:val="3"/>
        <w:rPr>
          <w:rFonts w:hint="eastAsia"/>
          <w:b/>
          <w:bCs/>
          <w:sz w:val="24"/>
          <w:lang w:eastAsia="zh-CN"/>
        </w:rPr>
      </w:pPr>
      <w:r>
        <w:rPr>
          <w:rFonts w:hint="eastAsia"/>
          <w:b/>
          <w:bCs/>
          <w:sz w:val="24"/>
          <w:lang w:eastAsia="zh-CN"/>
        </w:rPr>
        <w:t>（</w:t>
      </w:r>
      <w:r>
        <w:rPr>
          <w:rFonts w:hint="eastAsia"/>
          <w:b/>
          <w:bCs/>
          <w:sz w:val="24"/>
          <w:lang w:val="en-US" w:eastAsia="zh-CN"/>
        </w:rPr>
        <w:t>4</w:t>
      </w:r>
      <w:r>
        <w:rPr>
          <w:rFonts w:hint="eastAsia"/>
          <w:b/>
          <w:bCs/>
          <w:sz w:val="24"/>
          <w:lang w:eastAsia="zh-CN"/>
        </w:rPr>
        <w:t>）</w:t>
      </w:r>
      <w:r>
        <w:rPr>
          <w:rFonts w:hint="eastAsia"/>
          <w:b/>
          <w:bCs/>
          <w:sz w:val="24"/>
          <w:lang w:val="en-US" w:eastAsia="zh-CN"/>
        </w:rPr>
        <w:t>项目实施方案；</w:t>
      </w:r>
    </w:p>
    <w:p w14:paraId="04B851AC">
      <w:pPr>
        <w:pStyle w:val="3"/>
        <w:rPr>
          <w:rFonts w:hint="eastAsia" w:eastAsia="宋体"/>
          <w:lang w:eastAsia="zh-CN"/>
        </w:rPr>
      </w:pPr>
    </w:p>
    <w:p w14:paraId="3F4F10BA">
      <w:pPr>
        <w:pStyle w:val="3"/>
        <w:rPr>
          <w:rFonts w:hint="eastAsia" w:eastAsia="宋体"/>
          <w:lang w:eastAsia="zh-CN"/>
        </w:rPr>
      </w:pPr>
      <w:r>
        <w:rPr>
          <w:rFonts w:hint="eastAsia"/>
          <w:b/>
          <w:bCs/>
          <w:sz w:val="24"/>
          <w:lang w:eastAsia="zh-CN"/>
        </w:rPr>
        <w:t>（</w:t>
      </w:r>
      <w:r>
        <w:rPr>
          <w:rFonts w:hint="eastAsia"/>
          <w:b/>
          <w:bCs/>
          <w:sz w:val="24"/>
          <w:lang w:val="en-US" w:eastAsia="zh-CN"/>
        </w:rPr>
        <w:t>4</w:t>
      </w:r>
      <w:r>
        <w:rPr>
          <w:rFonts w:hint="eastAsia"/>
          <w:b/>
          <w:bCs/>
          <w:sz w:val="24"/>
          <w:lang w:eastAsia="zh-CN"/>
        </w:rPr>
        <w:t>）</w:t>
      </w:r>
      <w:r>
        <w:rPr>
          <w:rFonts w:hint="eastAsia"/>
          <w:b/>
          <w:bCs/>
          <w:sz w:val="24"/>
          <w:lang w:val="en-US" w:eastAsia="zh-CN"/>
        </w:rPr>
        <w:t>保证施工质量的技术方案和措施</w:t>
      </w:r>
      <w:r>
        <w:rPr>
          <w:rFonts w:hint="eastAsia"/>
          <w:b/>
          <w:bCs/>
          <w:sz w:val="24"/>
          <w:lang w:eastAsia="zh-CN"/>
        </w:rPr>
        <w:t>；</w:t>
      </w:r>
    </w:p>
    <w:p w14:paraId="21FC54E5">
      <w:pPr>
        <w:spacing w:line="360" w:lineRule="auto"/>
        <w:jc w:val="both"/>
        <w:rPr>
          <w:b/>
          <w:bCs/>
          <w:sz w:val="24"/>
        </w:rPr>
      </w:pPr>
    </w:p>
    <w:p w14:paraId="0DA253C1">
      <w:pPr>
        <w:spacing w:line="360" w:lineRule="auto"/>
        <w:ind w:firstLine="482" w:firstLineChars="200"/>
        <w:jc w:val="center"/>
        <w:rPr>
          <w:rFonts w:hint="eastAsia"/>
          <w:b/>
          <w:bCs/>
          <w:sz w:val="24"/>
          <w:lang w:eastAsia="zh-CN"/>
        </w:rPr>
      </w:pPr>
    </w:p>
    <w:p w14:paraId="10A16C27">
      <w:pPr>
        <w:spacing w:line="360" w:lineRule="auto"/>
        <w:ind w:firstLine="482" w:firstLineChars="200"/>
        <w:jc w:val="center"/>
        <w:rPr>
          <w:rFonts w:hint="eastAsia" w:eastAsia="宋体"/>
          <w:b/>
          <w:bCs/>
          <w:sz w:val="24"/>
          <w:lang w:eastAsia="zh-CN"/>
        </w:rPr>
      </w:pPr>
      <w:r>
        <w:rPr>
          <w:rFonts w:hint="eastAsia"/>
          <w:b/>
          <w:bCs/>
          <w:sz w:val="24"/>
          <w:lang w:eastAsia="zh-CN"/>
        </w:rPr>
        <w:t>（</w:t>
      </w:r>
      <w:r>
        <w:rPr>
          <w:rFonts w:hint="eastAsia"/>
          <w:b/>
          <w:bCs/>
          <w:sz w:val="24"/>
          <w:lang w:val="en-US" w:eastAsia="zh-CN"/>
        </w:rPr>
        <w:t>5</w:t>
      </w:r>
      <w:r>
        <w:rPr>
          <w:rFonts w:hint="eastAsia"/>
          <w:b/>
          <w:bCs/>
          <w:sz w:val="24"/>
          <w:lang w:eastAsia="zh-CN"/>
        </w:rPr>
        <w:t>）</w:t>
      </w:r>
      <w:r>
        <w:rPr>
          <w:rFonts w:hint="eastAsia"/>
          <w:b/>
          <w:bCs/>
          <w:sz w:val="24"/>
          <w:lang w:val="en-US" w:eastAsia="zh-CN"/>
        </w:rPr>
        <w:t>保证工期和施工进度的方案和措施；</w:t>
      </w:r>
    </w:p>
    <w:p w14:paraId="6293C73F">
      <w:pPr>
        <w:pStyle w:val="3"/>
        <w:jc w:val="both"/>
      </w:pPr>
    </w:p>
    <w:p w14:paraId="7DFF8A48">
      <w:pPr>
        <w:spacing w:line="360" w:lineRule="auto"/>
        <w:ind w:firstLine="482" w:firstLineChars="200"/>
        <w:jc w:val="center"/>
        <w:rPr>
          <w:b/>
          <w:bCs/>
          <w:sz w:val="24"/>
          <w:lang w:val="en-US"/>
        </w:rPr>
      </w:pPr>
      <w:r>
        <w:rPr>
          <w:rFonts w:hint="eastAsia"/>
          <w:b/>
          <w:bCs/>
          <w:sz w:val="24"/>
          <w:lang w:val="en-US" w:eastAsia="zh-CN"/>
        </w:rPr>
        <w:t>（6）关键点、难点解决方案</w:t>
      </w:r>
      <w:r>
        <w:rPr>
          <w:rFonts w:hint="eastAsia"/>
          <w:b/>
          <w:bCs/>
          <w:sz w:val="24"/>
          <w:lang w:val="en-US"/>
        </w:rPr>
        <w:t>；</w:t>
      </w:r>
    </w:p>
    <w:p w14:paraId="3144D2AB">
      <w:pPr>
        <w:spacing w:line="360" w:lineRule="auto"/>
        <w:ind w:firstLine="482" w:firstLineChars="200"/>
        <w:jc w:val="center"/>
        <w:rPr>
          <w:rFonts w:hint="eastAsia"/>
          <w:b/>
          <w:bCs/>
          <w:sz w:val="24"/>
          <w:lang w:val="en-US" w:eastAsia="zh-CN"/>
        </w:rPr>
      </w:pPr>
    </w:p>
    <w:p w14:paraId="45B97D43">
      <w:pPr>
        <w:spacing w:line="360" w:lineRule="auto"/>
        <w:ind w:firstLine="482" w:firstLineChars="200"/>
        <w:jc w:val="center"/>
        <w:rPr>
          <w:b/>
          <w:bCs/>
          <w:sz w:val="24"/>
          <w:lang w:val="en-US"/>
        </w:rPr>
      </w:pPr>
      <w:r>
        <w:rPr>
          <w:rFonts w:hint="eastAsia"/>
          <w:b/>
          <w:bCs/>
          <w:sz w:val="24"/>
          <w:lang w:val="en-US" w:eastAsia="zh-CN"/>
        </w:rPr>
        <w:t>（7）保证安全和文明施工的方案和措施</w:t>
      </w:r>
      <w:r>
        <w:rPr>
          <w:rFonts w:hint="eastAsia"/>
          <w:b/>
          <w:bCs/>
          <w:sz w:val="24"/>
          <w:lang w:val="en-US"/>
        </w:rPr>
        <w:t>；</w:t>
      </w:r>
    </w:p>
    <w:p w14:paraId="321B8288">
      <w:pPr>
        <w:spacing w:line="360" w:lineRule="auto"/>
        <w:ind w:firstLine="482" w:firstLineChars="200"/>
        <w:jc w:val="center"/>
        <w:rPr>
          <w:rFonts w:hint="eastAsia"/>
          <w:b/>
          <w:bCs/>
          <w:sz w:val="24"/>
          <w:lang w:val="en-US" w:eastAsia="zh-CN"/>
        </w:rPr>
      </w:pPr>
    </w:p>
    <w:p w14:paraId="5E821823">
      <w:pPr>
        <w:spacing w:line="360" w:lineRule="auto"/>
        <w:ind w:firstLine="482" w:firstLineChars="200"/>
        <w:jc w:val="center"/>
        <w:rPr>
          <w:b/>
          <w:bCs/>
          <w:sz w:val="24"/>
          <w:lang w:val="en-US"/>
        </w:rPr>
      </w:pPr>
      <w:r>
        <w:rPr>
          <w:rFonts w:hint="eastAsia"/>
          <w:b/>
          <w:bCs/>
          <w:sz w:val="24"/>
          <w:lang w:val="en-US" w:eastAsia="zh-CN"/>
        </w:rPr>
        <w:t>（8）保证施工质量的技术方案和措施</w:t>
      </w:r>
      <w:r>
        <w:rPr>
          <w:rFonts w:hint="eastAsia"/>
          <w:b/>
          <w:bCs/>
          <w:sz w:val="24"/>
          <w:lang w:val="en-US"/>
        </w:rPr>
        <w:t>；</w:t>
      </w:r>
    </w:p>
    <w:p w14:paraId="73088450">
      <w:pPr>
        <w:spacing w:line="360" w:lineRule="auto"/>
        <w:ind w:firstLine="3373" w:firstLineChars="1400"/>
        <w:jc w:val="both"/>
        <w:rPr>
          <w:rFonts w:hint="eastAsia"/>
          <w:b/>
          <w:bCs/>
          <w:sz w:val="24"/>
          <w:szCs w:val="24"/>
          <w:lang w:val="en-US" w:eastAsia="zh-CN"/>
        </w:rPr>
      </w:pPr>
    </w:p>
    <w:p w14:paraId="2C8ED842">
      <w:pPr>
        <w:spacing w:line="360" w:lineRule="auto"/>
        <w:ind w:firstLine="3855" w:firstLineChars="1600"/>
        <w:jc w:val="both"/>
        <w:rPr>
          <w:b/>
          <w:bCs/>
          <w:sz w:val="24"/>
          <w:szCs w:val="24"/>
          <w:lang w:val="en-US"/>
        </w:rPr>
      </w:pPr>
      <w:r>
        <w:rPr>
          <w:rFonts w:hint="eastAsia"/>
          <w:b/>
          <w:bCs/>
          <w:sz w:val="24"/>
          <w:szCs w:val="24"/>
          <w:lang w:val="en-US" w:eastAsia="zh-CN"/>
        </w:rPr>
        <w:t>（</w:t>
      </w:r>
      <w:r>
        <w:rPr>
          <w:rFonts w:hint="eastAsia"/>
          <w:b/>
          <w:bCs/>
          <w:sz w:val="24"/>
          <w:lang w:val="en-US" w:eastAsia="zh-CN"/>
        </w:rPr>
        <w:t>9）突发事件的应急预案；</w:t>
      </w:r>
    </w:p>
    <w:p w14:paraId="25ADE662">
      <w:pPr>
        <w:spacing w:line="460" w:lineRule="exact"/>
        <w:ind w:firstLine="482" w:firstLineChars="200"/>
        <w:jc w:val="center"/>
        <w:rPr>
          <w:rFonts w:hint="eastAsia"/>
          <w:b/>
          <w:bCs/>
          <w:sz w:val="24"/>
          <w:szCs w:val="24"/>
          <w:lang w:val="en-US" w:eastAsia="zh-CN"/>
        </w:rPr>
      </w:pPr>
    </w:p>
    <w:p w14:paraId="43C02DE4">
      <w:pPr>
        <w:rPr>
          <w:rFonts w:hint="eastAsia"/>
          <w:b/>
          <w:bCs/>
          <w:sz w:val="24"/>
          <w:szCs w:val="24"/>
          <w:lang w:val="en-US" w:eastAsia="zh-CN"/>
        </w:rPr>
      </w:pPr>
      <w:r>
        <w:rPr>
          <w:rFonts w:hint="eastAsia"/>
          <w:b/>
          <w:bCs/>
          <w:sz w:val="24"/>
          <w:szCs w:val="24"/>
          <w:lang w:val="en-US" w:eastAsia="zh-CN"/>
        </w:rPr>
        <w:br w:type="page"/>
      </w:r>
    </w:p>
    <w:p w14:paraId="390B8868">
      <w:pPr>
        <w:spacing w:line="460" w:lineRule="exact"/>
        <w:ind w:firstLine="482" w:firstLineChars="200"/>
        <w:jc w:val="center"/>
        <w:rPr>
          <w:b/>
          <w:bCs/>
          <w:sz w:val="24"/>
          <w:szCs w:val="24"/>
          <w:lang w:val="en-US"/>
        </w:rPr>
      </w:pPr>
      <w:r>
        <w:rPr>
          <w:rFonts w:hint="eastAsia"/>
          <w:b/>
          <w:bCs/>
          <w:sz w:val="24"/>
          <w:szCs w:val="24"/>
          <w:lang w:val="en-US" w:eastAsia="zh-CN"/>
        </w:rPr>
        <w:t>（10）项目人员配备</w:t>
      </w:r>
      <w:r>
        <w:rPr>
          <w:rFonts w:hint="eastAsia"/>
          <w:b/>
          <w:bCs/>
          <w:sz w:val="24"/>
          <w:szCs w:val="24"/>
          <w:lang w:val="en-US"/>
        </w:rPr>
        <w:t>；</w:t>
      </w:r>
    </w:p>
    <w:p w14:paraId="45CC7121">
      <w:pPr>
        <w:spacing w:line="360" w:lineRule="auto"/>
        <w:ind w:firstLine="482" w:firstLineChars="200"/>
        <w:jc w:val="center"/>
        <w:rPr>
          <w:rFonts w:hint="eastAsia"/>
          <w:b/>
          <w:bCs/>
          <w:color w:val="000000"/>
          <w:sz w:val="24"/>
        </w:rPr>
      </w:pPr>
    </w:p>
    <w:p w14:paraId="2282167B">
      <w:pPr>
        <w:spacing w:line="360" w:lineRule="auto"/>
        <w:ind w:firstLine="482" w:firstLineChars="200"/>
        <w:jc w:val="center"/>
        <w:rPr>
          <w:b/>
          <w:bCs/>
          <w:sz w:val="24"/>
        </w:rPr>
      </w:pPr>
      <w:r>
        <w:rPr>
          <w:rFonts w:hint="eastAsia"/>
          <w:b/>
          <w:bCs/>
          <w:color w:val="000000"/>
          <w:sz w:val="24"/>
        </w:rPr>
        <w:t>项目实施人员一览表</w:t>
      </w:r>
    </w:p>
    <w:p w14:paraId="74157B5C">
      <w:pPr>
        <w:spacing w:line="360" w:lineRule="auto"/>
        <w:ind w:firstLine="482" w:firstLineChars="200"/>
        <w:jc w:val="center"/>
        <w:rPr>
          <w:b/>
          <w:bCs/>
          <w:sz w:val="24"/>
        </w:rPr>
      </w:pPr>
    </w:p>
    <w:p w14:paraId="7EE9E6C0">
      <w:pPr>
        <w:spacing w:line="360" w:lineRule="auto"/>
        <w:rPr>
          <w:sz w:val="24"/>
        </w:rPr>
      </w:pPr>
      <w:r>
        <w:rPr>
          <w:rFonts w:hint="eastAsia"/>
          <w:sz w:val="24"/>
        </w:rPr>
        <w:t>项目名称：</w:t>
      </w:r>
    </w:p>
    <w:tbl>
      <w:tblPr>
        <w:tblStyle w:val="44"/>
        <w:tblW w:w="95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0"/>
        <w:gridCol w:w="1121"/>
        <w:gridCol w:w="1855"/>
        <w:gridCol w:w="1405"/>
        <w:gridCol w:w="2093"/>
        <w:gridCol w:w="1920"/>
      </w:tblGrid>
      <w:tr w14:paraId="5847F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0" w:type="dxa"/>
            <w:tcBorders>
              <w:top w:val="single" w:color="auto" w:sz="4" w:space="0"/>
              <w:left w:val="single" w:color="auto" w:sz="4" w:space="0"/>
              <w:bottom w:val="single" w:color="auto" w:sz="4" w:space="0"/>
              <w:right w:val="single" w:color="auto" w:sz="4" w:space="0"/>
            </w:tcBorders>
            <w:vAlign w:val="center"/>
          </w:tcPr>
          <w:p w14:paraId="0B0E3E7C">
            <w:pPr>
              <w:snapToGrid w:val="0"/>
              <w:spacing w:before="120" w:beforeLines="50" w:after="50" w:line="400" w:lineRule="exact"/>
              <w:jc w:val="center"/>
              <w:rPr>
                <w:sz w:val="24"/>
              </w:rPr>
            </w:pPr>
            <w:r>
              <w:rPr>
                <w:rFonts w:hint="eastAsia"/>
                <w:sz w:val="24"/>
              </w:rPr>
              <w:t>姓名</w:t>
            </w:r>
          </w:p>
        </w:tc>
        <w:tc>
          <w:tcPr>
            <w:tcW w:w="1121" w:type="dxa"/>
            <w:tcBorders>
              <w:top w:val="single" w:color="auto" w:sz="4" w:space="0"/>
              <w:left w:val="single" w:color="auto" w:sz="4" w:space="0"/>
              <w:bottom w:val="single" w:color="auto" w:sz="4" w:space="0"/>
              <w:right w:val="single" w:color="auto" w:sz="4" w:space="0"/>
            </w:tcBorders>
            <w:vAlign w:val="center"/>
          </w:tcPr>
          <w:p w14:paraId="368AE541">
            <w:pPr>
              <w:snapToGrid w:val="0"/>
              <w:spacing w:before="120" w:beforeLines="50" w:after="50" w:line="400" w:lineRule="exact"/>
              <w:jc w:val="center"/>
              <w:rPr>
                <w:sz w:val="24"/>
              </w:rPr>
            </w:pPr>
            <w:r>
              <w:rPr>
                <w:rFonts w:hint="eastAsia"/>
                <w:sz w:val="24"/>
              </w:rPr>
              <w:t>职务</w:t>
            </w:r>
          </w:p>
        </w:tc>
        <w:tc>
          <w:tcPr>
            <w:tcW w:w="1855" w:type="dxa"/>
            <w:tcBorders>
              <w:top w:val="single" w:color="auto" w:sz="4" w:space="0"/>
              <w:left w:val="single" w:color="auto" w:sz="4" w:space="0"/>
              <w:bottom w:val="single" w:color="auto" w:sz="4" w:space="0"/>
              <w:right w:val="single" w:color="auto" w:sz="4" w:space="0"/>
            </w:tcBorders>
            <w:vAlign w:val="center"/>
          </w:tcPr>
          <w:p w14:paraId="00A8BE85">
            <w:pPr>
              <w:spacing w:line="360" w:lineRule="auto"/>
              <w:jc w:val="center"/>
              <w:rPr>
                <w:sz w:val="24"/>
              </w:rPr>
            </w:pPr>
            <w:r>
              <w:rPr>
                <w:rFonts w:hint="eastAsia"/>
                <w:sz w:val="24"/>
              </w:rPr>
              <w:t>持何种资格</w:t>
            </w:r>
          </w:p>
          <w:p w14:paraId="0E6E0C9F">
            <w:pPr>
              <w:spacing w:line="360" w:lineRule="auto"/>
              <w:jc w:val="center"/>
              <w:rPr>
                <w:sz w:val="24"/>
              </w:rPr>
            </w:pPr>
            <w:r>
              <w:rPr>
                <w:rFonts w:hint="eastAsia"/>
                <w:sz w:val="24"/>
              </w:rPr>
              <w:t>证件</w:t>
            </w:r>
          </w:p>
        </w:tc>
        <w:tc>
          <w:tcPr>
            <w:tcW w:w="1405" w:type="dxa"/>
            <w:tcBorders>
              <w:top w:val="single" w:color="auto" w:sz="4" w:space="0"/>
              <w:left w:val="single" w:color="auto" w:sz="4" w:space="0"/>
              <w:bottom w:val="single" w:color="auto" w:sz="4" w:space="0"/>
              <w:right w:val="single" w:color="auto" w:sz="4" w:space="0"/>
            </w:tcBorders>
            <w:vAlign w:val="center"/>
          </w:tcPr>
          <w:p w14:paraId="04013DC7">
            <w:pPr>
              <w:spacing w:line="360" w:lineRule="auto"/>
              <w:jc w:val="center"/>
              <w:rPr>
                <w:sz w:val="24"/>
              </w:rPr>
            </w:pPr>
            <w:r>
              <w:rPr>
                <w:rFonts w:hint="eastAsia"/>
                <w:sz w:val="24"/>
              </w:rPr>
              <w:t>发证时间</w:t>
            </w:r>
          </w:p>
        </w:tc>
        <w:tc>
          <w:tcPr>
            <w:tcW w:w="2093" w:type="dxa"/>
            <w:tcBorders>
              <w:top w:val="single" w:color="auto" w:sz="4" w:space="0"/>
              <w:left w:val="single" w:color="auto" w:sz="4" w:space="0"/>
              <w:bottom w:val="single" w:color="auto" w:sz="4" w:space="0"/>
              <w:right w:val="single" w:color="auto" w:sz="4" w:space="0"/>
            </w:tcBorders>
            <w:vAlign w:val="center"/>
          </w:tcPr>
          <w:p w14:paraId="1648182D">
            <w:pPr>
              <w:spacing w:line="360" w:lineRule="auto"/>
              <w:jc w:val="center"/>
              <w:rPr>
                <w:bCs/>
                <w:sz w:val="24"/>
              </w:rPr>
            </w:pPr>
            <w:r>
              <w:rPr>
                <w:rFonts w:hint="eastAsia"/>
                <w:sz w:val="24"/>
              </w:rPr>
              <w:t>从事本工作时间</w:t>
            </w:r>
          </w:p>
        </w:tc>
        <w:tc>
          <w:tcPr>
            <w:tcW w:w="1920" w:type="dxa"/>
            <w:tcBorders>
              <w:top w:val="single" w:color="auto" w:sz="4" w:space="0"/>
              <w:left w:val="single" w:color="auto" w:sz="4" w:space="0"/>
              <w:bottom w:val="single" w:color="auto" w:sz="4" w:space="0"/>
              <w:right w:val="single" w:color="auto" w:sz="4" w:space="0"/>
            </w:tcBorders>
            <w:vAlign w:val="center"/>
          </w:tcPr>
          <w:p w14:paraId="7E11166E">
            <w:pPr>
              <w:snapToGrid w:val="0"/>
              <w:spacing w:before="120" w:beforeLines="50" w:after="50" w:line="400" w:lineRule="exact"/>
              <w:jc w:val="center"/>
              <w:rPr>
                <w:bCs/>
                <w:sz w:val="24"/>
              </w:rPr>
            </w:pPr>
            <w:r>
              <w:rPr>
                <w:rFonts w:hint="eastAsia"/>
                <w:bCs/>
                <w:sz w:val="24"/>
              </w:rPr>
              <w:t>联系电话</w:t>
            </w:r>
          </w:p>
        </w:tc>
      </w:tr>
      <w:tr w14:paraId="75338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0" w:type="dxa"/>
            <w:tcBorders>
              <w:top w:val="single" w:color="auto" w:sz="4" w:space="0"/>
              <w:left w:val="single" w:color="auto" w:sz="4" w:space="0"/>
              <w:bottom w:val="single" w:color="auto" w:sz="4" w:space="0"/>
              <w:right w:val="single" w:color="auto" w:sz="4" w:space="0"/>
            </w:tcBorders>
          </w:tcPr>
          <w:p w14:paraId="564C009D">
            <w:pPr>
              <w:snapToGrid w:val="0"/>
              <w:spacing w:before="120" w:beforeLines="50" w:after="50" w:line="400" w:lineRule="exact"/>
              <w:rPr>
                <w:sz w:val="24"/>
              </w:rPr>
            </w:pPr>
          </w:p>
        </w:tc>
        <w:tc>
          <w:tcPr>
            <w:tcW w:w="1121" w:type="dxa"/>
            <w:tcBorders>
              <w:top w:val="single" w:color="auto" w:sz="4" w:space="0"/>
              <w:left w:val="single" w:color="auto" w:sz="4" w:space="0"/>
              <w:bottom w:val="single" w:color="auto" w:sz="4" w:space="0"/>
              <w:right w:val="single" w:color="auto" w:sz="4" w:space="0"/>
            </w:tcBorders>
          </w:tcPr>
          <w:p w14:paraId="2F2AC3BB">
            <w:pPr>
              <w:snapToGrid w:val="0"/>
              <w:spacing w:before="120" w:beforeLines="50" w:after="50" w:line="400" w:lineRule="exact"/>
              <w:rPr>
                <w:sz w:val="24"/>
              </w:rPr>
            </w:pPr>
          </w:p>
        </w:tc>
        <w:tc>
          <w:tcPr>
            <w:tcW w:w="1855" w:type="dxa"/>
            <w:tcBorders>
              <w:top w:val="single" w:color="auto" w:sz="4" w:space="0"/>
              <w:left w:val="single" w:color="auto" w:sz="4" w:space="0"/>
              <w:bottom w:val="single" w:color="auto" w:sz="4" w:space="0"/>
              <w:right w:val="single" w:color="auto" w:sz="4" w:space="0"/>
            </w:tcBorders>
          </w:tcPr>
          <w:p w14:paraId="663C4735">
            <w:pPr>
              <w:snapToGrid w:val="0"/>
              <w:spacing w:before="120" w:beforeLines="50" w:after="50" w:line="400" w:lineRule="exact"/>
              <w:rPr>
                <w:sz w:val="24"/>
              </w:rPr>
            </w:pPr>
          </w:p>
        </w:tc>
        <w:tc>
          <w:tcPr>
            <w:tcW w:w="1405" w:type="dxa"/>
            <w:tcBorders>
              <w:top w:val="single" w:color="auto" w:sz="4" w:space="0"/>
              <w:left w:val="single" w:color="auto" w:sz="4" w:space="0"/>
              <w:bottom w:val="single" w:color="auto" w:sz="4" w:space="0"/>
              <w:right w:val="single" w:color="auto" w:sz="4" w:space="0"/>
            </w:tcBorders>
          </w:tcPr>
          <w:p w14:paraId="36400694">
            <w:pPr>
              <w:snapToGrid w:val="0"/>
              <w:spacing w:before="120" w:beforeLines="50" w:after="50" w:line="400" w:lineRule="exact"/>
              <w:rPr>
                <w:sz w:val="24"/>
              </w:rPr>
            </w:pPr>
          </w:p>
        </w:tc>
        <w:tc>
          <w:tcPr>
            <w:tcW w:w="2093" w:type="dxa"/>
            <w:tcBorders>
              <w:top w:val="single" w:color="auto" w:sz="4" w:space="0"/>
              <w:left w:val="single" w:color="auto" w:sz="4" w:space="0"/>
              <w:bottom w:val="single" w:color="auto" w:sz="4" w:space="0"/>
              <w:right w:val="single" w:color="auto" w:sz="4" w:space="0"/>
            </w:tcBorders>
          </w:tcPr>
          <w:p w14:paraId="7EF6621E">
            <w:pPr>
              <w:snapToGrid w:val="0"/>
              <w:spacing w:before="120" w:beforeLines="50" w:after="50" w:line="400" w:lineRule="exact"/>
              <w:rPr>
                <w:sz w:val="24"/>
              </w:rPr>
            </w:pPr>
          </w:p>
        </w:tc>
        <w:tc>
          <w:tcPr>
            <w:tcW w:w="1920" w:type="dxa"/>
            <w:tcBorders>
              <w:top w:val="single" w:color="auto" w:sz="4" w:space="0"/>
              <w:left w:val="single" w:color="auto" w:sz="4" w:space="0"/>
              <w:bottom w:val="single" w:color="auto" w:sz="4" w:space="0"/>
              <w:right w:val="single" w:color="auto" w:sz="4" w:space="0"/>
            </w:tcBorders>
          </w:tcPr>
          <w:p w14:paraId="591C6A3A">
            <w:pPr>
              <w:snapToGrid w:val="0"/>
              <w:spacing w:before="120" w:beforeLines="50" w:after="50" w:line="400" w:lineRule="exact"/>
              <w:rPr>
                <w:sz w:val="24"/>
              </w:rPr>
            </w:pPr>
          </w:p>
        </w:tc>
      </w:tr>
      <w:tr w14:paraId="69A35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0" w:type="dxa"/>
            <w:tcBorders>
              <w:top w:val="single" w:color="auto" w:sz="4" w:space="0"/>
              <w:left w:val="single" w:color="auto" w:sz="4" w:space="0"/>
              <w:bottom w:val="single" w:color="auto" w:sz="4" w:space="0"/>
              <w:right w:val="single" w:color="auto" w:sz="4" w:space="0"/>
            </w:tcBorders>
          </w:tcPr>
          <w:p w14:paraId="1D8C4479">
            <w:pPr>
              <w:snapToGrid w:val="0"/>
              <w:spacing w:before="120" w:beforeLines="50" w:after="50" w:line="400" w:lineRule="exact"/>
              <w:rPr>
                <w:sz w:val="24"/>
              </w:rPr>
            </w:pPr>
          </w:p>
        </w:tc>
        <w:tc>
          <w:tcPr>
            <w:tcW w:w="1121" w:type="dxa"/>
            <w:tcBorders>
              <w:top w:val="single" w:color="auto" w:sz="4" w:space="0"/>
              <w:left w:val="single" w:color="auto" w:sz="4" w:space="0"/>
              <w:bottom w:val="single" w:color="auto" w:sz="4" w:space="0"/>
              <w:right w:val="single" w:color="auto" w:sz="4" w:space="0"/>
            </w:tcBorders>
          </w:tcPr>
          <w:p w14:paraId="24F672C6">
            <w:pPr>
              <w:snapToGrid w:val="0"/>
              <w:spacing w:before="120" w:beforeLines="50" w:after="50" w:line="400" w:lineRule="exact"/>
              <w:rPr>
                <w:sz w:val="24"/>
              </w:rPr>
            </w:pPr>
          </w:p>
        </w:tc>
        <w:tc>
          <w:tcPr>
            <w:tcW w:w="1855" w:type="dxa"/>
            <w:tcBorders>
              <w:top w:val="single" w:color="auto" w:sz="4" w:space="0"/>
              <w:left w:val="single" w:color="auto" w:sz="4" w:space="0"/>
              <w:bottom w:val="single" w:color="auto" w:sz="4" w:space="0"/>
              <w:right w:val="single" w:color="auto" w:sz="4" w:space="0"/>
            </w:tcBorders>
          </w:tcPr>
          <w:p w14:paraId="00311E8B">
            <w:pPr>
              <w:snapToGrid w:val="0"/>
              <w:spacing w:before="120" w:beforeLines="50" w:after="50" w:line="400" w:lineRule="exact"/>
              <w:rPr>
                <w:sz w:val="24"/>
              </w:rPr>
            </w:pPr>
          </w:p>
        </w:tc>
        <w:tc>
          <w:tcPr>
            <w:tcW w:w="1405" w:type="dxa"/>
            <w:tcBorders>
              <w:top w:val="single" w:color="auto" w:sz="4" w:space="0"/>
              <w:left w:val="single" w:color="auto" w:sz="4" w:space="0"/>
              <w:bottom w:val="single" w:color="auto" w:sz="4" w:space="0"/>
              <w:right w:val="single" w:color="auto" w:sz="4" w:space="0"/>
            </w:tcBorders>
          </w:tcPr>
          <w:p w14:paraId="25813A49">
            <w:pPr>
              <w:snapToGrid w:val="0"/>
              <w:spacing w:before="120" w:beforeLines="50" w:after="50" w:line="400" w:lineRule="exact"/>
              <w:rPr>
                <w:sz w:val="24"/>
              </w:rPr>
            </w:pPr>
          </w:p>
        </w:tc>
        <w:tc>
          <w:tcPr>
            <w:tcW w:w="2093" w:type="dxa"/>
            <w:tcBorders>
              <w:top w:val="single" w:color="auto" w:sz="4" w:space="0"/>
              <w:left w:val="single" w:color="auto" w:sz="4" w:space="0"/>
              <w:bottom w:val="single" w:color="auto" w:sz="4" w:space="0"/>
              <w:right w:val="single" w:color="auto" w:sz="4" w:space="0"/>
            </w:tcBorders>
          </w:tcPr>
          <w:p w14:paraId="5A63C618">
            <w:pPr>
              <w:snapToGrid w:val="0"/>
              <w:spacing w:before="120" w:beforeLines="50" w:after="50" w:line="400" w:lineRule="exact"/>
              <w:rPr>
                <w:sz w:val="24"/>
              </w:rPr>
            </w:pPr>
          </w:p>
        </w:tc>
        <w:tc>
          <w:tcPr>
            <w:tcW w:w="1920" w:type="dxa"/>
            <w:tcBorders>
              <w:top w:val="single" w:color="auto" w:sz="4" w:space="0"/>
              <w:left w:val="single" w:color="auto" w:sz="4" w:space="0"/>
              <w:bottom w:val="single" w:color="auto" w:sz="4" w:space="0"/>
              <w:right w:val="single" w:color="auto" w:sz="4" w:space="0"/>
            </w:tcBorders>
          </w:tcPr>
          <w:p w14:paraId="68386F14">
            <w:pPr>
              <w:snapToGrid w:val="0"/>
              <w:spacing w:before="120" w:beforeLines="50" w:after="50" w:line="400" w:lineRule="exact"/>
              <w:rPr>
                <w:sz w:val="24"/>
              </w:rPr>
            </w:pPr>
          </w:p>
        </w:tc>
      </w:tr>
      <w:tr w14:paraId="1B9FA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0" w:type="dxa"/>
            <w:tcBorders>
              <w:top w:val="single" w:color="auto" w:sz="4" w:space="0"/>
              <w:left w:val="single" w:color="auto" w:sz="4" w:space="0"/>
              <w:bottom w:val="single" w:color="auto" w:sz="4" w:space="0"/>
              <w:right w:val="single" w:color="auto" w:sz="4" w:space="0"/>
            </w:tcBorders>
          </w:tcPr>
          <w:p w14:paraId="70492E36">
            <w:pPr>
              <w:snapToGrid w:val="0"/>
              <w:spacing w:before="120" w:beforeLines="50" w:after="50" w:line="400" w:lineRule="exact"/>
              <w:rPr>
                <w:sz w:val="24"/>
              </w:rPr>
            </w:pPr>
          </w:p>
        </w:tc>
        <w:tc>
          <w:tcPr>
            <w:tcW w:w="1121" w:type="dxa"/>
            <w:tcBorders>
              <w:top w:val="single" w:color="auto" w:sz="4" w:space="0"/>
              <w:left w:val="single" w:color="auto" w:sz="4" w:space="0"/>
              <w:bottom w:val="single" w:color="auto" w:sz="4" w:space="0"/>
              <w:right w:val="single" w:color="auto" w:sz="4" w:space="0"/>
            </w:tcBorders>
          </w:tcPr>
          <w:p w14:paraId="34A82CC7">
            <w:pPr>
              <w:snapToGrid w:val="0"/>
              <w:spacing w:before="120" w:beforeLines="50" w:after="50" w:line="400" w:lineRule="exact"/>
              <w:rPr>
                <w:sz w:val="24"/>
              </w:rPr>
            </w:pPr>
          </w:p>
        </w:tc>
        <w:tc>
          <w:tcPr>
            <w:tcW w:w="1855" w:type="dxa"/>
            <w:tcBorders>
              <w:top w:val="single" w:color="auto" w:sz="4" w:space="0"/>
              <w:left w:val="single" w:color="auto" w:sz="4" w:space="0"/>
              <w:bottom w:val="single" w:color="auto" w:sz="4" w:space="0"/>
              <w:right w:val="single" w:color="auto" w:sz="4" w:space="0"/>
            </w:tcBorders>
          </w:tcPr>
          <w:p w14:paraId="0A51CEC6">
            <w:pPr>
              <w:pStyle w:val="30"/>
              <w:snapToGrid w:val="0"/>
              <w:spacing w:before="120" w:beforeLines="50" w:after="50" w:line="400" w:lineRule="exact"/>
              <w:ind w:left="5250"/>
              <w:rPr>
                <w:rFonts w:ascii="宋体" w:hAnsi="宋体" w:cs="宋体"/>
                <w:szCs w:val="24"/>
                <w:lang w:val="en-US"/>
              </w:rPr>
            </w:pPr>
          </w:p>
        </w:tc>
        <w:tc>
          <w:tcPr>
            <w:tcW w:w="1405" w:type="dxa"/>
            <w:tcBorders>
              <w:top w:val="single" w:color="auto" w:sz="4" w:space="0"/>
              <w:left w:val="single" w:color="auto" w:sz="4" w:space="0"/>
              <w:bottom w:val="single" w:color="auto" w:sz="4" w:space="0"/>
              <w:right w:val="single" w:color="auto" w:sz="4" w:space="0"/>
            </w:tcBorders>
          </w:tcPr>
          <w:p w14:paraId="40F1AACA">
            <w:pPr>
              <w:snapToGrid w:val="0"/>
              <w:spacing w:before="120" w:beforeLines="50" w:after="50" w:line="400" w:lineRule="exact"/>
              <w:rPr>
                <w:sz w:val="24"/>
              </w:rPr>
            </w:pPr>
          </w:p>
        </w:tc>
        <w:tc>
          <w:tcPr>
            <w:tcW w:w="2093" w:type="dxa"/>
            <w:tcBorders>
              <w:top w:val="single" w:color="auto" w:sz="4" w:space="0"/>
              <w:left w:val="single" w:color="auto" w:sz="4" w:space="0"/>
              <w:bottom w:val="single" w:color="auto" w:sz="4" w:space="0"/>
              <w:right w:val="single" w:color="auto" w:sz="4" w:space="0"/>
            </w:tcBorders>
          </w:tcPr>
          <w:p w14:paraId="3B21C7C2">
            <w:pPr>
              <w:snapToGrid w:val="0"/>
              <w:spacing w:before="120" w:beforeLines="50" w:after="50" w:line="400" w:lineRule="exact"/>
              <w:rPr>
                <w:sz w:val="24"/>
              </w:rPr>
            </w:pPr>
          </w:p>
        </w:tc>
        <w:tc>
          <w:tcPr>
            <w:tcW w:w="1920" w:type="dxa"/>
            <w:tcBorders>
              <w:top w:val="single" w:color="auto" w:sz="4" w:space="0"/>
              <w:left w:val="single" w:color="auto" w:sz="4" w:space="0"/>
              <w:bottom w:val="single" w:color="auto" w:sz="4" w:space="0"/>
              <w:right w:val="single" w:color="auto" w:sz="4" w:space="0"/>
            </w:tcBorders>
          </w:tcPr>
          <w:p w14:paraId="2F3D0CF1">
            <w:pPr>
              <w:snapToGrid w:val="0"/>
              <w:spacing w:before="120" w:beforeLines="50" w:after="50" w:line="400" w:lineRule="exact"/>
              <w:rPr>
                <w:sz w:val="24"/>
              </w:rPr>
            </w:pPr>
          </w:p>
        </w:tc>
      </w:tr>
      <w:tr w14:paraId="62402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0" w:type="dxa"/>
            <w:tcBorders>
              <w:top w:val="single" w:color="auto" w:sz="4" w:space="0"/>
              <w:left w:val="single" w:color="auto" w:sz="4" w:space="0"/>
              <w:bottom w:val="single" w:color="auto" w:sz="4" w:space="0"/>
              <w:right w:val="single" w:color="auto" w:sz="4" w:space="0"/>
            </w:tcBorders>
          </w:tcPr>
          <w:p w14:paraId="5D17DCAC">
            <w:pPr>
              <w:snapToGrid w:val="0"/>
              <w:spacing w:before="120" w:beforeLines="50" w:after="50" w:line="400" w:lineRule="exact"/>
              <w:rPr>
                <w:sz w:val="24"/>
              </w:rPr>
            </w:pPr>
          </w:p>
        </w:tc>
        <w:tc>
          <w:tcPr>
            <w:tcW w:w="1121" w:type="dxa"/>
            <w:tcBorders>
              <w:top w:val="single" w:color="auto" w:sz="4" w:space="0"/>
              <w:left w:val="single" w:color="auto" w:sz="4" w:space="0"/>
              <w:bottom w:val="single" w:color="auto" w:sz="4" w:space="0"/>
              <w:right w:val="single" w:color="auto" w:sz="4" w:space="0"/>
            </w:tcBorders>
          </w:tcPr>
          <w:p w14:paraId="14570DC3">
            <w:pPr>
              <w:snapToGrid w:val="0"/>
              <w:spacing w:before="120" w:beforeLines="50" w:after="50" w:line="400" w:lineRule="exact"/>
              <w:rPr>
                <w:sz w:val="24"/>
              </w:rPr>
            </w:pPr>
          </w:p>
        </w:tc>
        <w:tc>
          <w:tcPr>
            <w:tcW w:w="1855" w:type="dxa"/>
            <w:tcBorders>
              <w:top w:val="single" w:color="auto" w:sz="4" w:space="0"/>
              <w:left w:val="single" w:color="auto" w:sz="4" w:space="0"/>
              <w:bottom w:val="single" w:color="auto" w:sz="4" w:space="0"/>
              <w:right w:val="single" w:color="auto" w:sz="4" w:space="0"/>
            </w:tcBorders>
          </w:tcPr>
          <w:p w14:paraId="4F57D020">
            <w:pPr>
              <w:snapToGrid w:val="0"/>
              <w:spacing w:before="120" w:beforeLines="50" w:after="50" w:line="400" w:lineRule="exact"/>
              <w:rPr>
                <w:sz w:val="24"/>
              </w:rPr>
            </w:pPr>
          </w:p>
        </w:tc>
        <w:tc>
          <w:tcPr>
            <w:tcW w:w="1405" w:type="dxa"/>
            <w:tcBorders>
              <w:top w:val="single" w:color="auto" w:sz="4" w:space="0"/>
              <w:left w:val="single" w:color="auto" w:sz="4" w:space="0"/>
              <w:bottom w:val="single" w:color="auto" w:sz="4" w:space="0"/>
              <w:right w:val="single" w:color="auto" w:sz="4" w:space="0"/>
            </w:tcBorders>
          </w:tcPr>
          <w:p w14:paraId="69EEB838">
            <w:pPr>
              <w:snapToGrid w:val="0"/>
              <w:spacing w:before="120" w:beforeLines="50" w:after="50" w:line="400" w:lineRule="exact"/>
              <w:rPr>
                <w:sz w:val="24"/>
              </w:rPr>
            </w:pPr>
          </w:p>
        </w:tc>
        <w:tc>
          <w:tcPr>
            <w:tcW w:w="2093" w:type="dxa"/>
            <w:tcBorders>
              <w:top w:val="single" w:color="auto" w:sz="4" w:space="0"/>
              <w:left w:val="single" w:color="auto" w:sz="4" w:space="0"/>
              <w:bottom w:val="single" w:color="auto" w:sz="4" w:space="0"/>
              <w:right w:val="single" w:color="auto" w:sz="4" w:space="0"/>
            </w:tcBorders>
          </w:tcPr>
          <w:p w14:paraId="1401ABE2">
            <w:pPr>
              <w:snapToGrid w:val="0"/>
              <w:spacing w:before="120" w:beforeLines="50" w:after="50" w:line="400" w:lineRule="exact"/>
              <w:rPr>
                <w:sz w:val="24"/>
              </w:rPr>
            </w:pPr>
          </w:p>
        </w:tc>
        <w:tc>
          <w:tcPr>
            <w:tcW w:w="1920" w:type="dxa"/>
            <w:tcBorders>
              <w:top w:val="single" w:color="auto" w:sz="4" w:space="0"/>
              <w:left w:val="single" w:color="auto" w:sz="4" w:space="0"/>
              <w:bottom w:val="single" w:color="auto" w:sz="4" w:space="0"/>
              <w:right w:val="single" w:color="auto" w:sz="4" w:space="0"/>
            </w:tcBorders>
          </w:tcPr>
          <w:p w14:paraId="762DFF10">
            <w:pPr>
              <w:snapToGrid w:val="0"/>
              <w:spacing w:before="120" w:beforeLines="50" w:after="50" w:line="400" w:lineRule="exact"/>
              <w:rPr>
                <w:sz w:val="24"/>
              </w:rPr>
            </w:pPr>
          </w:p>
        </w:tc>
      </w:tr>
      <w:tr w14:paraId="605CD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0" w:type="dxa"/>
            <w:tcBorders>
              <w:top w:val="single" w:color="auto" w:sz="4" w:space="0"/>
              <w:left w:val="single" w:color="auto" w:sz="4" w:space="0"/>
              <w:bottom w:val="single" w:color="auto" w:sz="4" w:space="0"/>
              <w:right w:val="single" w:color="auto" w:sz="4" w:space="0"/>
            </w:tcBorders>
          </w:tcPr>
          <w:p w14:paraId="34ED2C38">
            <w:pPr>
              <w:snapToGrid w:val="0"/>
              <w:spacing w:before="120" w:beforeLines="50" w:after="50" w:line="400" w:lineRule="exact"/>
              <w:rPr>
                <w:sz w:val="24"/>
              </w:rPr>
            </w:pPr>
          </w:p>
        </w:tc>
        <w:tc>
          <w:tcPr>
            <w:tcW w:w="1121" w:type="dxa"/>
            <w:tcBorders>
              <w:top w:val="single" w:color="auto" w:sz="4" w:space="0"/>
              <w:left w:val="single" w:color="auto" w:sz="4" w:space="0"/>
              <w:bottom w:val="single" w:color="auto" w:sz="4" w:space="0"/>
              <w:right w:val="single" w:color="auto" w:sz="4" w:space="0"/>
            </w:tcBorders>
          </w:tcPr>
          <w:p w14:paraId="16DC9639">
            <w:pPr>
              <w:snapToGrid w:val="0"/>
              <w:spacing w:before="120" w:beforeLines="50" w:after="50" w:line="400" w:lineRule="exact"/>
              <w:rPr>
                <w:sz w:val="24"/>
              </w:rPr>
            </w:pPr>
          </w:p>
        </w:tc>
        <w:tc>
          <w:tcPr>
            <w:tcW w:w="1855" w:type="dxa"/>
            <w:tcBorders>
              <w:top w:val="single" w:color="auto" w:sz="4" w:space="0"/>
              <w:left w:val="single" w:color="auto" w:sz="4" w:space="0"/>
              <w:bottom w:val="single" w:color="auto" w:sz="4" w:space="0"/>
              <w:right w:val="single" w:color="auto" w:sz="4" w:space="0"/>
            </w:tcBorders>
          </w:tcPr>
          <w:p w14:paraId="114EAF20">
            <w:pPr>
              <w:snapToGrid w:val="0"/>
              <w:spacing w:before="120" w:beforeLines="50" w:after="50" w:line="400" w:lineRule="exact"/>
              <w:rPr>
                <w:sz w:val="24"/>
              </w:rPr>
            </w:pPr>
          </w:p>
        </w:tc>
        <w:tc>
          <w:tcPr>
            <w:tcW w:w="1405" w:type="dxa"/>
            <w:tcBorders>
              <w:top w:val="single" w:color="auto" w:sz="4" w:space="0"/>
              <w:left w:val="single" w:color="auto" w:sz="4" w:space="0"/>
              <w:bottom w:val="single" w:color="auto" w:sz="4" w:space="0"/>
              <w:right w:val="single" w:color="auto" w:sz="4" w:space="0"/>
            </w:tcBorders>
          </w:tcPr>
          <w:p w14:paraId="1F61A0C6">
            <w:pPr>
              <w:snapToGrid w:val="0"/>
              <w:spacing w:before="120" w:beforeLines="50" w:after="50" w:line="400" w:lineRule="exact"/>
              <w:rPr>
                <w:sz w:val="24"/>
              </w:rPr>
            </w:pPr>
          </w:p>
        </w:tc>
        <w:tc>
          <w:tcPr>
            <w:tcW w:w="2093" w:type="dxa"/>
            <w:tcBorders>
              <w:top w:val="single" w:color="auto" w:sz="4" w:space="0"/>
              <w:left w:val="single" w:color="auto" w:sz="4" w:space="0"/>
              <w:bottom w:val="single" w:color="auto" w:sz="4" w:space="0"/>
              <w:right w:val="single" w:color="auto" w:sz="4" w:space="0"/>
            </w:tcBorders>
          </w:tcPr>
          <w:p w14:paraId="17450642">
            <w:pPr>
              <w:snapToGrid w:val="0"/>
              <w:spacing w:before="120" w:beforeLines="50" w:after="50" w:line="400" w:lineRule="exact"/>
              <w:rPr>
                <w:sz w:val="24"/>
              </w:rPr>
            </w:pPr>
          </w:p>
        </w:tc>
        <w:tc>
          <w:tcPr>
            <w:tcW w:w="1920" w:type="dxa"/>
            <w:tcBorders>
              <w:top w:val="single" w:color="auto" w:sz="4" w:space="0"/>
              <w:left w:val="single" w:color="auto" w:sz="4" w:space="0"/>
              <w:bottom w:val="single" w:color="auto" w:sz="4" w:space="0"/>
              <w:right w:val="single" w:color="auto" w:sz="4" w:space="0"/>
            </w:tcBorders>
          </w:tcPr>
          <w:p w14:paraId="428DF861">
            <w:pPr>
              <w:snapToGrid w:val="0"/>
              <w:spacing w:before="120" w:beforeLines="50" w:after="50" w:line="400" w:lineRule="exact"/>
              <w:rPr>
                <w:sz w:val="24"/>
              </w:rPr>
            </w:pPr>
          </w:p>
        </w:tc>
      </w:tr>
    </w:tbl>
    <w:p w14:paraId="6A8F4EF0">
      <w:pPr>
        <w:pStyle w:val="7"/>
        <w:spacing w:line="360" w:lineRule="auto"/>
        <w:ind w:firstLine="0"/>
        <w:rPr>
          <w:rFonts w:hAnsi="宋体" w:cs="宋体"/>
          <w:spacing w:val="20"/>
          <w:sz w:val="24"/>
        </w:rPr>
      </w:pPr>
    </w:p>
    <w:p w14:paraId="021271A5">
      <w:pPr>
        <w:pStyle w:val="7"/>
        <w:spacing w:line="360" w:lineRule="auto"/>
        <w:ind w:firstLine="0"/>
        <w:rPr>
          <w:rFonts w:hAnsi="宋体" w:cs="宋体"/>
          <w:spacing w:val="20"/>
          <w:sz w:val="24"/>
        </w:rPr>
      </w:pPr>
      <w:r>
        <w:rPr>
          <w:rFonts w:hint="eastAsia" w:hAnsi="宋体" w:cs="宋体"/>
          <w:spacing w:val="20"/>
          <w:sz w:val="24"/>
        </w:rPr>
        <w:t>投标供应商（盖章）：</w:t>
      </w:r>
    </w:p>
    <w:p w14:paraId="5512CC17">
      <w:pPr>
        <w:pStyle w:val="7"/>
        <w:spacing w:line="360" w:lineRule="auto"/>
        <w:ind w:firstLine="0"/>
        <w:rPr>
          <w:rFonts w:hAnsi="宋体" w:cs="宋体"/>
          <w:spacing w:val="20"/>
          <w:sz w:val="24"/>
          <w:u w:val="single"/>
        </w:rPr>
      </w:pPr>
      <w:r>
        <w:rPr>
          <w:rFonts w:hAnsi="宋体"/>
          <w:sz w:val="24"/>
          <w:szCs w:val="24"/>
        </w:rPr>
        <w:t>法定代表人或其授权代表（签</w:t>
      </w:r>
      <w:r>
        <w:rPr>
          <w:rFonts w:hint="eastAsia" w:hAnsi="宋体"/>
          <w:sz w:val="24"/>
          <w:szCs w:val="24"/>
        </w:rPr>
        <w:t>字</w:t>
      </w:r>
      <w:r>
        <w:rPr>
          <w:rFonts w:hAnsi="宋体"/>
          <w:sz w:val="24"/>
          <w:szCs w:val="24"/>
        </w:rPr>
        <w:t>或盖章）</w:t>
      </w:r>
      <w:r>
        <w:rPr>
          <w:rFonts w:hAnsi="宋体" w:cs="宋体"/>
          <w:spacing w:val="20"/>
          <w:sz w:val="24"/>
        </w:rPr>
        <w:t>：</w:t>
      </w:r>
    </w:p>
    <w:p w14:paraId="5E4AACA0">
      <w:pPr>
        <w:snapToGrid w:val="0"/>
        <w:spacing w:before="120" w:beforeLines="50" w:after="50"/>
        <w:ind w:firstLine="240" w:firstLineChars="100"/>
        <w:rPr>
          <w:sz w:val="24"/>
          <w:szCs w:val="20"/>
        </w:rPr>
      </w:pPr>
      <w:r>
        <w:rPr>
          <w:sz w:val="24"/>
        </w:rPr>
        <w:t>年    月    日</w:t>
      </w:r>
    </w:p>
    <w:p w14:paraId="0EFB9C94">
      <w:pPr>
        <w:spacing w:line="460" w:lineRule="exact"/>
        <w:rPr>
          <w:bCs/>
          <w:sz w:val="24"/>
        </w:rPr>
      </w:pPr>
      <w:r>
        <w:rPr>
          <w:rFonts w:hint="eastAsia"/>
          <w:bCs/>
          <w:sz w:val="24"/>
        </w:rPr>
        <w:t>注：1、</w:t>
      </w:r>
      <w:r>
        <w:rPr>
          <w:rFonts w:hint="eastAsia"/>
          <w:sz w:val="24"/>
        </w:rPr>
        <w:t>此表仅提供了表格形式，供应商应根据需要准备足够数量的表格来填写；</w:t>
      </w:r>
    </w:p>
    <w:p w14:paraId="0321D6AB">
      <w:pPr>
        <w:spacing w:line="460" w:lineRule="exact"/>
        <w:ind w:firstLine="480" w:firstLineChars="200"/>
        <w:rPr>
          <w:bCs/>
          <w:sz w:val="24"/>
        </w:rPr>
      </w:pPr>
      <w:r>
        <w:rPr>
          <w:rFonts w:hint="eastAsia"/>
          <w:bCs/>
          <w:sz w:val="24"/>
        </w:rPr>
        <w:t>2、提供人员近3个月中任意一个月社保复印件并加盖公章。如有证书，请附证书复印件并加盖公章。</w:t>
      </w:r>
    </w:p>
    <w:p w14:paraId="027C5E21">
      <w:pPr>
        <w:spacing w:line="360" w:lineRule="auto"/>
        <w:rPr>
          <w:sz w:val="24"/>
        </w:rPr>
      </w:pPr>
    </w:p>
    <w:p w14:paraId="42497A9D">
      <w:pPr>
        <w:spacing w:line="460" w:lineRule="exact"/>
        <w:ind w:firstLine="482" w:firstLineChars="200"/>
        <w:jc w:val="center"/>
        <w:rPr>
          <w:rFonts w:hint="eastAsia"/>
          <w:b/>
          <w:bCs/>
          <w:sz w:val="24"/>
          <w:szCs w:val="24"/>
          <w:lang w:val="en-US" w:eastAsia="zh-CN"/>
        </w:rPr>
      </w:pPr>
    </w:p>
    <w:p w14:paraId="147E9AA7">
      <w:pPr>
        <w:spacing w:line="460" w:lineRule="exact"/>
        <w:ind w:firstLine="482" w:firstLineChars="200"/>
        <w:jc w:val="center"/>
        <w:rPr>
          <w:b/>
          <w:bCs/>
          <w:sz w:val="24"/>
          <w:szCs w:val="24"/>
          <w:lang w:val="en-US"/>
        </w:rPr>
      </w:pPr>
      <w:r>
        <w:rPr>
          <w:rFonts w:hint="eastAsia"/>
          <w:b/>
          <w:bCs/>
          <w:sz w:val="24"/>
          <w:szCs w:val="24"/>
          <w:lang w:val="en-US" w:eastAsia="zh-CN"/>
        </w:rPr>
        <w:t>（11）拟投入本项目的设备情况</w:t>
      </w:r>
      <w:r>
        <w:rPr>
          <w:rFonts w:hint="eastAsia"/>
          <w:b/>
          <w:bCs/>
          <w:sz w:val="24"/>
          <w:szCs w:val="24"/>
          <w:lang w:val="en-US"/>
        </w:rPr>
        <w:t>；</w:t>
      </w:r>
    </w:p>
    <w:p w14:paraId="2D44828A">
      <w:pPr>
        <w:snapToGrid w:val="0"/>
        <w:spacing w:line="360" w:lineRule="auto"/>
        <w:ind w:firstLine="4337" w:firstLineChars="1800"/>
        <w:jc w:val="both"/>
        <w:rPr>
          <w:rFonts w:hint="eastAsia"/>
          <w:b/>
          <w:bCs/>
          <w:sz w:val="24"/>
          <w:lang w:val="en-US" w:eastAsia="zh-CN"/>
        </w:rPr>
      </w:pPr>
    </w:p>
    <w:p w14:paraId="78B4AF87">
      <w:pPr>
        <w:snapToGrid w:val="0"/>
        <w:spacing w:line="360" w:lineRule="auto"/>
        <w:ind w:firstLine="4337" w:firstLineChars="1800"/>
        <w:jc w:val="both"/>
        <w:rPr>
          <w:rFonts w:hint="eastAsia"/>
          <w:b/>
          <w:bCs/>
          <w:sz w:val="24"/>
          <w:lang w:val="en-US" w:eastAsia="zh-CN"/>
        </w:rPr>
      </w:pPr>
      <w:r>
        <w:rPr>
          <w:rFonts w:hint="eastAsia"/>
          <w:b/>
          <w:bCs/>
          <w:sz w:val="24"/>
          <w:lang w:val="en-US" w:eastAsia="zh-CN"/>
        </w:rPr>
        <w:t>（12）售后服务承诺；</w:t>
      </w:r>
    </w:p>
    <w:p w14:paraId="07E48F5D">
      <w:pPr>
        <w:pStyle w:val="3"/>
      </w:pPr>
    </w:p>
    <w:p w14:paraId="341A308A">
      <w:pPr>
        <w:ind w:firstLine="4337" w:firstLineChars="1800"/>
        <w:rPr>
          <w:rFonts w:hint="eastAsia"/>
          <w:b/>
          <w:bCs/>
          <w:sz w:val="24"/>
        </w:rPr>
      </w:pPr>
      <w:r>
        <w:rPr>
          <w:rFonts w:hint="eastAsia"/>
          <w:b/>
          <w:bCs/>
          <w:sz w:val="24"/>
          <w:lang w:eastAsia="zh-CN"/>
        </w:rPr>
        <w:t>（</w:t>
      </w:r>
      <w:r>
        <w:rPr>
          <w:rFonts w:hint="eastAsia"/>
          <w:b/>
          <w:bCs/>
          <w:sz w:val="24"/>
          <w:lang w:val="en-US" w:eastAsia="zh-CN"/>
        </w:rPr>
        <w:t>13</w:t>
      </w:r>
      <w:r>
        <w:rPr>
          <w:rFonts w:hint="eastAsia"/>
          <w:b/>
          <w:bCs/>
          <w:sz w:val="24"/>
          <w:lang w:eastAsia="zh-CN"/>
        </w:rPr>
        <w:t>）</w:t>
      </w:r>
      <w:r>
        <w:rPr>
          <w:rFonts w:hint="eastAsia"/>
          <w:b/>
          <w:bCs/>
          <w:sz w:val="24"/>
          <w:lang w:val="en-US" w:eastAsia="zh-CN"/>
        </w:rPr>
        <w:t>合理化建议；</w:t>
      </w:r>
    </w:p>
    <w:p w14:paraId="7D1EBA58">
      <w:pPr>
        <w:snapToGrid w:val="0"/>
        <w:spacing w:line="360" w:lineRule="auto"/>
        <w:jc w:val="center"/>
        <w:rPr>
          <w:rFonts w:hint="eastAsia"/>
          <w:b/>
          <w:bCs/>
          <w:sz w:val="24"/>
        </w:rPr>
      </w:pPr>
    </w:p>
    <w:p w14:paraId="341BDB4C">
      <w:pPr>
        <w:rPr>
          <w:rFonts w:hint="eastAsia"/>
          <w:b/>
          <w:bCs/>
          <w:sz w:val="24"/>
        </w:rPr>
      </w:pPr>
      <w:r>
        <w:rPr>
          <w:rFonts w:hint="eastAsia"/>
          <w:b/>
          <w:bCs/>
          <w:sz w:val="24"/>
        </w:rPr>
        <w:br w:type="page"/>
      </w:r>
    </w:p>
    <w:p w14:paraId="03D1F573">
      <w:pPr>
        <w:pStyle w:val="24"/>
        <w:rPr>
          <w:rFonts w:hint="eastAsia"/>
        </w:rPr>
      </w:pPr>
    </w:p>
    <w:p w14:paraId="6BF14B1E">
      <w:pPr>
        <w:snapToGrid w:val="0"/>
        <w:spacing w:line="360" w:lineRule="auto"/>
        <w:jc w:val="center"/>
        <w:rPr>
          <w:b/>
          <w:bCs/>
          <w:sz w:val="24"/>
        </w:rPr>
      </w:pPr>
      <w:r>
        <w:rPr>
          <w:rFonts w:hint="eastAsia"/>
          <w:b/>
          <w:bCs/>
          <w:sz w:val="24"/>
        </w:rPr>
        <w:t>（</w:t>
      </w:r>
      <w:r>
        <w:rPr>
          <w:rFonts w:hint="eastAsia"/>
          <w:b/>
          <w:bCs/>
          <w:sz w:val="24"/>
          <w:lang w:val="en-US" w:eastAsia="zh-CN"/>
        </w:rPr>
        <w:t>14</w:t>
      </w:r>
      <w:r>
        <w:rPr>
          <w:rFonts w:hint="eastAsia"/>
          <w:b/>
          <w:bCs/>
          <w:sz w:val="24"/>
        </w:rPr>
        <w:t>）企业业绩；</w:t>
      </w:r>
    </w:p>
    <w:p w14:paraId="623A014A">
      <w:pPr>
        <w:spacing w:line="360" w:lineRule="auto"/>
        <w:rPr>
          <w:sz w:val="24"/>
        </w:rPr>
      </w:pPr>
      <w:r>
        <w:rPr>
          <w:rFonts w:hint="eastAsia"/>
          <w:sz w:val="24"/>
        </w:rPr>
        <w:t>项目名称：                           项目编号：</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932"/>
        <w:gridCol w:w="1487"/>
        <w:gridCol w:w="1487"/>
        <w:gridCol w:w="1832"/>
        <w:gridCol w:w="1586"/>
      </w:tblGrid>
      <w:tr w14:paraId="1562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14:paraId="028E64EE">
            <w:pPr>
              <w:spacing w:line="400" w:lineRule="exact"/>
              <w:jc w:val="center"/>
              <w:rPr>
                <w:bCs/>
                <w:sz w:val="24"/>
              </w:rPr>
            </w:pPr>
            <w:r>
              <w:rPr>
                <w:rFonts w:hint="eastAsia"/>
                <w:bCs/>
                <w:sz w:val="24"/>
              </w:rPr>
              <w:t>序号</w:t>
            </w:r>
          </w:p>
        </w:tc>
        <w:tc>
          <w:tcPr>
            <w:tcW w:w="1932" w:type="dxa"/>
          </w:tcPr>
          <w:p w14:paraId="424F2AF2">
            <w:pPr>
              <w:spacing w:line="400" w:lineRule="exact"/>
              <w:jc w:val="center"/>
              <w:rPr>
                <w:bCs/>
                <w:sz w:val="24"/>
              </w:rPr>
            </w:pPr>
            <w:r>
              <w:rPr>
                <w:rFonts w:hint="eastAsia"/>
                <w:bCs/>
                <w:sz w:val="24"/>
              </w:rPr>
              <w:t>使用方</w:t>
            </w:r>
          </w:p>
        </w:tc>
        <w:tc>
          <w:tcPr>
            <w:tcW w:w="1487" w:type="dxa"/>
          </w:tcPr>
          <w:p w14:paraId="72BA2026">
            <w:pPr>
              <w:spacing w:line="400" w:lineRule="exact"/>
              <w:jc w:val="center"/>
              <w:rPr>
                <w:bCs/>
                <w:sz w:val="24"/>
              </w:rPr>
            </w:pPr>
            <w:r>
              <w:rPr>
                <w:rFonts w:hint="eastAsia"/>
                <w:bCs/>
                <w:sz w:val="24"/>
              </w:rPr>
              <w:t>合同金额</w:t>
            </w:r>
          </w:p>
        </w:tc>
        <w:tc>
          <w:tcPr>
            <w:tcW w:w="1487" w:type="dxa"/>
          </w:tcPr>
          <w:p w14:paraId="7A3DBDBD">
            <w:pPr>
              <w:spacing w:line="400" w:lineRule="exact"/>
              <w:jc w:val="center"/>
              <w:rPr>
                <w:bCs/>
                <w:sz w:val="24"/>
              </w:rPr>
            </w:pPr>
            <w:r>
              <w:rPr>
                <w:rFonts w:hint="eastAsia"/>
                <w:bCs/>
                <w:sz w:val="24"/>
              </w:rPr>
              <w:t>签订时间</w:t>
            </w:r>
          </w:p>
        </w:tc>
        <w:tc>
          <w:tcPr>
            <w:tcW w:w="1832" w:type="dxa"/>
          </w:tcPr>
          <w:p w14:paraId="2431C319">
            <w:pPr>
              <w:spacing w:line="400" w:lineRule="exact"/>
              <w:jc w:val="center"/>
              <w:rPr>
                <w:bCs/>
                <w:sz w:val="24"/>
              </w:rPr>
            </w:pPr>
            <w:r>
              <w:rPr>
                <w:rFonts w:hint="eastAsia"/>
                <w:bCs/>
                <w:sz w:val="24"/>
              </w:rPr>
              <w:t>使用方联系人</w:t>
            </w:r>
          </w:p>
        </w:tc>
        <w:tc>
          <w:tcPr>
            <w:tcW w:w="1586" w:type="dxa"/>
          </w:tcPr>
          <w:p w14:paraId="36945909">
            <w:pPr>
              <w:spacing w:line="400" w:lineRule="exact"/>
              <w:jc w:val="center"/>
              <w:rPr>
                <w:bCs/>
                <w:sz w:val="24"/>
              </w:rPr>
            </w:pPr>
            <w:r>
              <w:rPr>
                <w:rFonts w:hint="eastAsia"/>
                <w:bCs/>
                <w:sz w:val="24"/>
              </w:rPr>
              <w:t>联系方式</w:t>
            </w:r>
          </w:p>
        </w:tc>
      </w:tr>
      <w:tr w14:paraId="6B18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0" w:type="dxa"/>
          </w:tcPr>
          <w:p w14:paraId="29953E7C">
            <w:pPr>
              <w:spacing w:line="400" w:lineRule="exact"/>
              <w:rPr>
                <w:bCs/>
                <w:sz w:val="24"/>
              </w:rPr>
            </w:pPr>
          </w:p>
        </w:tc>
        <w:tc>
          <w:tcPr>
            <w:tcW w:w="1932" w:type="dxa"/>
          </w:tcPr>
          <w:p w14:paraId="4EA836A0">
            <w:pPr>
              <w:spacing w:line="400" w:lineRule="exact"/>
              <w:rPr>
                <w:bCs/>
                <w:sz w:val="24"/>
              </w:rPr>
            </w:pPr>
          </w:p>
        </w:tc>
        <w:tc>
          <w:tcPr>
            <w:tcW w:w="1487" w:type="dxa"/>
          </w:tcPr>
          <w:p w14:paraId="427CD029">
            <w:pPr>
              <w:spacing w:line="400" w:lineRule="exact"/>
              <w:rPr>
                <w:bCs/>
                <w:sz w:val="24"/>
              </w:rPr>
            </w:pPr>
          </w:p>
        </w:tc>
        <w:tc>
          <w:tcPr>
            <w:tcW w:w="1487" w:type="dxa"/>
          </w:tcPr>
          <w:p w14:paraId="287D987A">
            <w:pPr>
              <w:spacing w:line="400" w:lineRule="exact"/>
              <w:rPr>
                <w:bCs/>
                <w:sz w:val="24"/>
              </w:rPr>
            </w:pPr>
          </w:p>
        </w:tc>
        <w:tc>
          <w:tcPr>
            <w:tcW w:w="1832" w:type="dxa"/>
          </w:tcPr>
          <w:p w14:paraId="0EA20A21">
            <w:pPr>
              <w:spacing w:line="400" w:lineRule="exact"/>
              <w:rPr>
                <w:bCs/>
                <w:sz w:val="24"/>
              </w:rPr>
            </w:pPr>
          </w:p>
        </w:tc>
        <w:tc>
          <w:tcPr>
            <w:tcW w:w="1586" w:type="dxa"/>
          </w:tcPr>
          <w:p w14:paraId="53B7D960">
            <w:pPr>
              <w:spacing w:line="400" w:lineRule="exact"/>
              <w:rPr>
                <w:bCs/>
                <w:sz w:val="24"/>
              </w:rPr>
            </w:pPr>
          </w:p>
        </w:tc>
      </w:tr>
      <w:tr w14:paraId="121E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0" w:type="dxa"/>
          </w:tcPr>
          <w:p w14:paraId="491919B9">
            <w:pPr>
              <w:spacing w:line="400" w:lineRule="exact"/>
              <w:rPr>
                <w:bCs/>
                <w:sz w:val="24"/>
              </w:rPr>
            </w:pPr>
          </w:p>
        </w:tc>
        <w:tc>
          <w:tcPr>
            <w:tcW w:w="1932" w:type="dxa"/>
          </w:tcPr>
          <w:p w14:paraId="5E6AFBBB">
            <w:pPr>
              <w:spacing w:line="400" w:lineRule="exact"/>
              <w:rPr>
                <w:bCs/>
                <w:sz w:val="24"/>
              </w:rPr>
            </w:pPr>
          </w:p>
        </w:tc>
        <w:tc>
          <w:tcPr>
            <w:tcW w:w="1487" w:type="dxa"/>
          </w:tcPr>
          <w:p w14:paraId="56C2C0DF">
            <w:pPr>
              <w:spacing w:line="400" w:lineRule="exact"/>
              <w:rPr>
                <w:bCs/>
                <w:sz w:val="24"/>
              </w:rPr>
            </w:pPr>
          </w:p>
        </w:tc>
        <w:tc>
          <w:tcPr>
            <w:tcW w:w="1487" w:type="dxa"/>
          </w:tcPr>
          <w:p w14:paraId="2300EA2E">
            <w:pPr>
              <w:spacing w:line="400" w:lineRule="exact"/>
              <w:rPr>
                <w:bCs/>
                <w:sz w:val="24"/>
              </w:rPr>
            </w:pPr>
          </w:p>
        </w:tc>
        <w:tc>
          <w:tcPr>
            <w:tcW w:w="1832" w:type="dxa"/>
          </w:tcPr>
          <w:p w14:paraId="0B822C19">
            <w:pPr>
              <w:spacing w:line="400" w:lineRule="exact"/>
              <w:rPr>
                <w:bCs/>
                <w:sz w:val="24"/>
              </w:rPr>
            </w:pPr>
          </w:p>
        </w:tc>
        <w:tc>
          <w:tcPr>
            <w:tcW w:w="1586" w:type="dxa"/>
          </w:tcPr>
          <w:p w14:paraId="1BC94E09">
            <w:pPr>
              <w:spacing w:line="400" w:lineRule="exact"/>
              <w:rPr>
                <w:bCs/>
                <w:sz w:val="24"/>
              </w:rPr>
            </w:pPr>
          </w:p>
        </w:tc>
      </w:tr>
      <w:tr w14:paraId="6BB1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0" w:type="dxa"/>
          </w:tcPr>
          <w:p w14:paraId="76A15B43">
            <w:pPr>
              <w:spacing w:line="400" w:lineRule="exact"/>
              <w:rPr>
                <w:bCs/>
                <w:sz w:val="24"/>
              </w:rPr>
            </w:pPr>
          </w:p>
        </w:tc>
        <w:tc>
          <w:tcPr>
            <w:tcW w:w="1932" w:type="dxa"/>
          </w:tcPr>
          <w:p w14:paraId="27871D12">
            <w:pPr>
              <w:spacing w:line="400" w:lineRule="exact"/>
              <w:rPr>
                <w:bCs/>
                <w:sz w:val="24"/>
              </w:rPr>
            </w:pPr>
          </w:p>
        </w:tc>
        <w:tc>
          <w:tcPr>
            <w:tcW w:w="1487" w:type="dxa"/>
          </w:tcPr>
          <w:p w14:paraId="67F588E1">
            <w:pPr>
              <w:spacing w:line="400" w:lineRule="exact"/>
              <w:rPr>
                <w:bCs/>
                <w:sz w:val="24"/>
              </w:rPr>
            </w:pPr>
          </w:p>
        </w:tc>
        <w:tc>
          <w:tcPr>
            <w:tcW w:w="1487" w:type="dxa"/>
          </w:tcPr>
          <w:p w14:paraId="6DB29058">
            <w:pPr>
              <w:spacing w:line="400" w:lineRule="exact"/>
              <w:rPr>
                <w:bCs/>
                <w:sz w:val="24"/>
              </w:rPr>
            </w:pPr>
          </w:p>
        </w:tc>
        <w:tc>
          <w:tcPr>
            <w:tcW w:w="1832" w:type="dxa"/>
          </w:tcPr>
          <w:p w14:paraId="3C7CDEA3">
            <w:pPr>
              <w:spacing w:line="400" w:lineRule="exact"/>
              <w:rPr>
                <w:bCs/>
                <w:sz w:val="24"/>
              </w:rPr>
            </w:pPr>
          </w:p>
        </w:tc>
        <w:tc>
          <w:tcPr>
            <w:tcW w:w="1586" w:type="dxa"/>
          </w:tcPr>
          <w:p w14:paraId="5DA85252">
            <w:pPr>
              <w:spacing w:line="400" w:lineRule="exact"/>
              <w:rPr>
                <w:bCs/>
                <w:sz w:val="24"/>
              </w:rPr>
            </w:pPr>
          </w:p>
        </w:tc>
      </w:tr>
      <w:tr w14:paraId="1E14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0" w:type="dxa"/>
          </w:tcPr>
          <w:p w14:paraId="726D650A">
            <w:pPr>
              <w:spacing w:line="400" w:lineRule="exact"/>
              <w:rPr>
                <w:bCs/>
                <w:sz w:val="24"/>
              </w:rPr>
            </w:pPr>
          </w:p>
        </w:tc>
        <w:tc>
          <w:tcPr>
            <w:tcW w:w="1932" w:type="dxa"/>
          </w:tcPr>
          <w:p w14:paraId="7E64A8CC">
            <w:pPr>
              <w:spacing w:line="400" w:lineRule="exact"/>
              <w:rPr>
                <w:bCs/>
                <w:sz w:val="24"/>
              </w:rPr>
            </w:pPr>
          </w:p>
        </w:tc>
        <w:tc>
          <w:tcPr>
            <w:tcW w:w="1487" w:type="dxa"/>
          </w:tcPr>
          <w:p w14:paraId="7D7FC3E2">
            <w:pPr>
              <w:spacing w:line="400" w:lineRule="exact"/>
              <w:rPr>
                <w:bCs/>
                <w:sz w:val="24"/>
              </w:rPr>
            </w:pPr>
          </w:p>
        </w:tc>
        <w:tc>
          <w:tcPr>
            <w:tcW w:w="1487" w:type="dxa"/>
          </w:tcPr>
          <w:p w14:paraId="16141CC1">
            <w:pPr>
              <w:spacing w:line="400" w:lineRule="exact"/>
              <w:rPr>
                <w:bCs/>
                <w:sz w:val="24"/>
              </w:rPr>
            </w:pPr>
          </w:p>
        </w:tc>
        <w:tc>
          <w:tcPr>
            <w:tcW w:w="1832" w:type="dxa"/>
          </w:tcPr>
          <w:p w14:paraId="6C1F4C42">
            <w:pPr>
              <w:spacing w:line="400" w:lineRule="exact"/>
              <w:rPr>
                <w:bCs/>
                <w:sz w:val="24"/>
              </w:rPr>
            </w:pPr>
          </w:p>
        </w:tc>
        <w:tc>
          <w:tcPr>
            <w:tcW w:w="1586" w:type="dxa"/>
          </w:tcPr>
          <w:p w14:paraId="21C71972">
            <w:pPr>
              <w:spacing w:line="400" w:lineRule="exact"/>
              <w:rPr>
                <w:bCs/>
                <w:sz w:val="24"/>
              </w:rPr>
            </w:pPr>
          </w:p>
        </w:tc>
      </w:tr>
      <w:tr w14:paraId="2A26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90" w:type="dxa"/>
          </w:tcPr>
          <w:p w14:paraId="738349B0">
            <w:pPr>
              <w:spacing w:line="400" w:lineRule="exact"/>
              <w:rPr>
                <w:bCs/>
                <w:sz w:val="24"/>
              </w:rPr>
            </w:pPr>
          </w:p>
        </w:tc>
        <w:tc>
          <w:tcPr>
            <w:tcW w:w="1932" w:type="dxa"/>
          </w:tcPr>
          <w:p w14:paraId="139098C8">
            <w:pPr>
              <w:spacing w:line="400" w:lineRule="exact"/>
              <w:rPr>
                <w:bCs/>
                <w:sz w:val="24"/>
              </w:rPr>
            </w:pPr>
          </w:p>
        </w:tc>
        <w:tc>
          <w:tcPr>
            <w:tcW w:w="1487" w:type="dxa"/>
          </w:tcPr>
          <w:p w14:paraId="38A4F5AF">
            <w:pPr>
              <w:spacing w:line="400" w:lineRule="exact"/>
              <w:rPr>
                <w:bCs/>
                <w:sz w:val="24"/>
              </w:rPr>
            </w:pPr>
          </w:p>
        </w:tc>
        <w:tc>
          <w:tcPr>
            <w:tcW w:w="1487" w:type="dxa"/>
          </w:tcPr>
          <w:p w14:paraId="320E34F7">
            <w:pPr>
              <w:spacing w:line="400" w:lineRule="exact"/>
              <w:rPr>
                <w:bCs/>
                <w:sz w:val="24"/>
              </w:rPr>
            </w:pPr>
          </w:p>
        </w:tc>
        <w:tc>
          <w:tcPr>
            <w:tcW w:w="1832" w:type="dxa"/>
          </w:tcPr>
          <w:p w14:paraId="741932F4">
            <w:pPr>
              <w:spacing w:line="400" w:lineRule="exact"/>
              <w:rPr>
                <w:bCs/>
                <w:sz w:val="24"/>
              </w:rPr>
            </w:pPr>
          </w:p>
        </w:tc>
        <w:tc>
          <w:tcPr>
            <w:tcW w:w="1586" w:type="dxa"/>
          </w:tcPr>
          <w:p w14:paraId="6C405C7F">
            <w:pPr>
              <w:spacing w:line="400" w:lineRule="exact"/>
              <w:rPr>
                <w:bCs/>
                <w:sz w:val="24"/>
              </w:rPr>
            </w:pPr>
          </w:p>
        </w:tc>
      </w:tr>
      <w:tr w14:paraId="477C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0" w:type="dxa"/>
          </w:tcPr>
          <w:p w14:paraId="505B8179">
            <w:pPr>
              <w:spacing w:line="400" w:lineRule="exact"/>
              <w:rPr>
                <w:bCs/>
                <w:sz w:val="24"/>
              </w:rPr>
            </w:pPr>
          </w:p>
        </w:tc>
        <w:tc>
          <w:tcPr>
            <w:tcW w:w="1932" w:type="dxa"/>
          </w:tcPr>
          <w:p w14:paraId="13BE73E7">
            <w:pPr>
              <w:spacing w:line="400" w:lineRule="exact"/>
              <w:rPr>
                <w:bCs/>
                <w:sz w:val="24"/>
              </w:rPr>
            </w:pPr>
          </w:p>
        </w:tc>
        <w:tc>
          <w:tcPr>
            <w:tcW w:w="1487" w:type="dxa"/>
          </w:tcPr>
          <w:p w14:paraId="571679BC">
            <w:pPr>
              <w:spacing w:line="400" w:lineRule="exact"/>
              <w:rPr>
                <w:bCs/>
                <w:sz w:val="24"/>
              </w:rPr>
            </w:pPr>
          </w:p>
        </w:tc>
        <w:tc>
          <w:tcPr>
            <w:tcW w:w="1487" w:type="dxa"/>
          </w:tcPr>
          <w:p w14:paraId="4A4CBF61">
            <w:pPr>
              <w:spacing w:line="400" w:lineRule="exact"/>
              <w:rPr>
                <w:bCs/>
                <w:sz w:val="24"/>
              </w:rPr>
            </w:pPr>
          </w:p>
        </w:tc>
        <w:tc>
          <w:tcPr>
            <w:tcW w:w="1832" w:type="dxa"/>
          </w:tcPr>
          <w:p w14:paraId="33330677">
            <w:pPr>
              <w:spacing w:line="400" w:lineRule="exact"/>
              <w:rPr>
                <w:bCs/>
                <w:sz w:val="24"/>
              </w:rPr>
            </w:pPr>
          </w:p>
        </w:tc>
        <w:tc>
          <w:tcPr>
            <w:tcW w:w="1586" w:type="dxa"/>
          </w:tcPr>
          <w:p w14:paraId="3E10946C">
            <w:pPr>
              <w:spacing w:line="400" w:lineRule="exact"/>
              <w:rPr>
                <w:bCs/>
                <w:sz w:val="24"/>
              </w:rPr>
            </w:pPr>
          </w:p>
        </w:tc>
      </w:tr>
    </w:tbl>
    <w:p w14:paraId="5DCE3002">
      <w:pPr>
        <w:spacing w:line="360" w:lineRule="auto"/>
        <w:rPr>
          <w:sz w:val="24"/>
        </w:rPr>
      </w:pPr>
      <w:r>
        <w:rPr>
          <w:rFonts w:hint="eastAsia"/>
          <w:sz w:val="24"/>
        </w:rPr>
        <w:t>注：1、此表仅提供了表格形式，供应商应根据需要准备足够数量的表格来填写。</w:t>
      </w:r>
    </w:p>
    <w:p w14:paraId="640C14AA">
      <w:pPr>
        <w:snapToGrid w:val="0"/>
        <w:spacing w:before="50" w:after="120" w:afterLines="50" w:line="360" w:lineRule="auto"/>
        <w:ind w:firstLine="482" w:firstLineChars="200"/>
        <w:jc w:val="center"/>
        <w:rPr>
          <w:b/>
          <w:sz w:val="24"/>
        </w:rPr>
      </w:pPr>
    </w:p>
    <w:p w14:paraId="0BE7D5BA">
      <w:pPr>
        <w:pStyle w:val="7"/>
        <w:spacing w:line="360" w:lineRule="auto"/>
        <w:ind w:firstLine="0"/>
        <w:rPr>
          <w:rFonts w:hAnsi="宋体" w:cs="宋体"/>
          <w:spacing w:val="20"/>
          <w:sz w:val="24"/>
        </w:rPr>
      </w:pPr>
      <w:r>
        <w:rPr>
          <w:rFonts w:hint="eastAsia" w:hAnsi="宋体" w:cs="宋体"/>
          <w:spacing w:val="20"/>
          <w:sz w:val="24"/>
        </w:rPr>
        <w:t>投标供应商（盖章）：</w:t>
      </w:r>
    </w:p>
    <w:p w14:paraId="0FDE9938">
      <w:pPr>
        <w:pStyle w:val="7"/>
        <w:spacing w:line="360" w:lineRule="auto"/>
        <w:ind w:firstLine="0"/>
        <w:rPr>
          <w:rFonts w:hAnsi="宋体" w:cs="宋体"/>
          <w:spacing w:val="20"/>
          <w:sz w:val="24"/>
          <w:u w:val="single"/>
        </w:rPr>
      </w:pPr>
      <w:r>
        <w:rPr>
          <w:rFonts w:hAnsi="宋体"/>
          <w:sz w:val="24"/>
          <w:szCs w:val="24"/>
        </w:rPr>
        <w:t>法定代表人或其授权代表（签</w:t>
      </w:r>
      <w:r>
        <w:rPr>
          <w:rFonts w:hint="eastAsia" w:hAnsi="宋体"/>
          <w:sz w:val="24"/>
          <w:szCs w:val="24"/>
        </w:rPr>
        <w:t>字</w:t>
      </w:r>
      <w:r>
        <w:rPr>
          <w:rFonts w:hAnsi="宋体"/>
          <w:sz w:val="24"/>
          <w:szCs w:val="24"/>
        </w:rPr>
        <w:t>或盖章）</w:t>
      </w:r>
      <w:r>
        <w:rPr>
          <w:rFonts w:hAnsi="宋体" w:cs="宋体"/>
          <w:spacing w:val="20"/>
          <w:sz w:val="24"/>
        </w:rPr>
        <w:t>：</w:t>
      </w:r>
    </w:p>
    <w:p w14:paraId="0E1D4E90">
      <w:pPr>
        <w:spacing w:line="360" w:lineRule="auto"/>
        <w:rPr>
          <w:spacing w:val="20"/>
          <w:sz w:val="24"/>
        </w:rPr>
      </w:pPr>
    </w:p>
    <w:p w14:paraId="693F3F95">
      <w:pPr>
        <w:spacing w:line="360" w:lineRule="auto"/>
        <w:ind w:firstLine="5740" w:firstLineChars="2050"/>
        <w:rPr>
          <w:spacing w:val="20"/>
          <w:sz w:val="24"/>
        </w:rPr>
      </w:pPr>
      <w:r>
        <w:rPr>
          <w:rFonts w:hint="eastAsia"/>
          <w:spacing w:val="20"/>
          <w:sz w:val="24"/>
        </w:rPr>
        <w:t xml:space="preserve">  年  月  日</w:t>
      </w:r>
    </w:p>
    <w:p w14:paraId="69379DD9">
      <w:pPr>
        <w:snapToGrid w:val="0"/>
        <w:spacing w:line="360" w:lineRule="auto"/>
        <w:rPr>
          <w:b/>
          <w:sz w:val="24"/>
        </w:rPr>
      </w:pPr>
    </w:p>
    <w:p w14:paraId="094F114F">
      <w:pPr>
        <w:rPr>
          <w:rFonts w:hint="eastAsia"/>
          <w:b/>
          <w:bCs/>
          <w:sz w:val="24"/>
        </w:rPr>
      </w:pPr>
      <w:r>
        <w:rPr>
          <w:rFonts w:hint="eastAsia"/>
          <w:b/>
          <w:bCs/>
          <w:sz w:val="24"/>
        </w:rPr>
        <w:br w:type="page"/>
      </w:r>
    </w:p>
    <w:p w14:paraId="47EF6459">
      <w:pPr>
        <w:snapToGrid w:val="0"/>
        <w:spacing w:line="360" w:lineRule="auto"/>
        <w:ind w:firstLine="482" w:firstLineChars="200"/>
        <w:jc w:val="center"/>
        <w:rPr>
          <w:rFonts w:hint="eastAsia"/>
          <w:b/>
          <w:bCs/>
          <w:sz w:val="24"/>
        </w:rPr>
      </w:pPr>
    </w:p>
    <w:p w14:paraId="17FD9527">
      <w:pPr>
        <w:snapToGrid w:val="0"/>
        <w:spacing w:line="360" w:lineRule="auto"/>
        <w:ind w:firstLine="482" w:firstLineChars="200"/>
        <w:jc w:val="center"/>
        <w:rPr>
          <w:b/>
          <w:bCs/>
          <w:sz w:val="24"/>
        </w:rPr>
      </w:pPr>
      <w:r>
        <w:rPr>
          <w:rFonts w:hint="eastAsia"/>
          <w:b/>
          <w:bCs/>
          <w:sz w:val="24"/>
        </w:rPr>
        <w:t>（</w:t>
      </w:r>
      <w:r>
        <w:rPr>
          <w:rFonts w:hint="eastAsia"/>
          <w:b/>
          <w:bCs/>
          <w:sz w:val="24"/>
          <w:lang w:val="en-US" w:eastAsia="zh-CN"/>
        </w:rPr>
        <w:t>15</w:t>
      </w:r>
      <w:r>
        <w:rPr>
          <w:rFonts w:hint="eastAsia"/>
          <w:b/>
          <w:bCs/>
          <w:sz w:val="24"/>
        </w:rPr>
        <w:t>）商务响应表</w:t>
      </w:r>
    </w:p>
    <w:p w14:paraId="1E9B4B95">
      <w:pPr>
        <w:snapToGrid w:val="0"/>
        <w:spacing w:before="50"/>
        <w:rPr>
          <w:sz w:val="24"/>
          <w:szCs w:val="20"/>
          <w:u w:val="single"/>
        </w:rPr>
      </w:pPr>
      <w:r>
        <w:rPr>
          <w:rFonts w:hint="eastAsia"/>
          <w:sz w:val="24"/>
        </w:rPr>
        <w:t>项目名称：项目编号：</w:t>
      </w:r>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70"/>
        <w:gridCol w:w="3552"/>
        <w:gridCol w:w="1579"/>
        <w:gridCol w:w="2847"/>
      </w:tblGrid>
      <w:tr w14:paraId="1947F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08" w:type="pct"/>
            <w:tcBorders>
              <w:top w:val="single" w:color="auto" w:sz="4" w:space="0"/>
              <w:left w:val="single" w:color="auto" w:sz="4" w:space="0"/>
              <w:bottom w:val="single" w:color="auto" w:sz="4" w:space="0"/>
              <w:right w:val="single" w:color="auto" w:sz="4" w:space="0"/>
            </w:tcBorders>
          </w:tcPr>
          <w:p w14:paraId="084C7A30">
            <w:pPr>
              <w:snapToGrid w:val="0"/>
              <w:spacing w:before="120" w:beforeLines="50" w:line="276" w:lineRule="auto"/>
              <w:jc w:val="center"/>
              <w:rPr>
                <w:sz w:val="24"/>
                <w:szCs w:val="20"/>
              </w:rPr>
            </w:pPr>
            <w:r>
              <w:rPr>
                <w:rFonts w:hint="eastAsia"/>
                <w:sz w:val="24"/>
              </w:rPr>
              <w:t>项目</w:t>
            </w:r>
          </w:p>
        </w:tc>
        <w:tc>
          <w:tcPr>
            <w:tcW w:w="1822" w:type="pct"/>
            <w:tcBorders>
              <w:top w:val="single" w:color="auto" w:sz="4" w:space="0"/>
              <w:left w:val="single" w:color="auto" w:sz="4" w:space="0"/>
              <w:bottom w:val="single" w:color="auto" w:sz="4" w:space="0"/>
              <w:right w:val="single" w:color="auto" w:sz="4" w:space="0"/>
            </w:tcBorders>
          </w:tcPr>
          <w:p w14:paraId="551F9720">
            <w:pPr>
              <w:snapToGrid w:val="0"/>
              <w:spacing w:before="120" w:beforeLines="50" w:line="276" w:lineRule="auto"/>
              <w:jc w:val="center"/>
              <w:rPr>
                <w:sz w:val="24"/>
                <w:szCs w:val="20"/>
              </w:rPr>
            </w:pPr>
            <w:r>
              <w:rPr>
                <w:rFonts w:hint="eastAsia"/>
                <w:sz w:val="24"/>
              </w:rPr>
              <w:t>采购文件要求</w:t>
            </w:r>
          </w:p>
        </w:tc>
        <w:tc>
          <w:tcPr>
            <w:tcW w:w="810" w:type="pct"/>
            <w:tcBorders>
              <w:top w:val="single" w:color="auto" w:sz="4" w:space="0"/>
              <w:left w:val="single" w:color="auto" w:sz="4" w:space="0"/>
              <w:bottom w:val="single" w:color="auto" w:sz="4" w:space="0"/>
              <w:right w:val="single" w:color="auto" w:sz="4" w:space="0"/>
            </w:tcBorders>
          </w:tcPr>
          <w:p w14:paraId="213693F2">
            <w:pPr>
              <w:snapToGrid w:val="0"/>
              <w:spacing w:before="120" w:beforeLines="50" w:line="276" w:lineRule="auto"/>
              <w:jc w:val="center"/>
              <w:rPr>
                <w:sz w:val="24"/>
                <w:szCs w:val="20"/>
              </w:rPr>
            </w:pPr>
            <w:r>
              <w:rPr>
                <w:rFonts w:hint="eastAsia"/>
                <w:sz w:val="24"/>
              </w:rPr>
              <w:t>是否响应</w:t>
            </w:r>
          </w:p>
        </w:tc>
        <w:tc>
          <w:tcPr>
            <w:tcW w:w="1461" w:type="pct"/>
            <w:tcBorders>
              <w:top w:val="single" w:color="auto" w:sz="4" w:space="0"/>
              <w:left w:val="single" w:color="auto" w:sz="4" w:space="0"/>
              <w:bottom w:val="single" w:color="auto" w:sz="4" w:space="0"/>
              <w:right w:val="single" w:color="auto" w:sz="4" w:space="0"/>
            </w:tcBorders>
          </w:tcPr>
          <w:p w14:paraId="3ED09CAB">
            <w:pPr>
              <w:snapToGrid w:val="0"/>
              <w:spacing w:before="120" w:beforeLines="50" w:line="276" w:lineRule="auto"/>
              <w:jc w:val="center"/>
              <w:rPr>
                <w:sz w:val="24"/>
                <w:szCs w:val="20"/>
              </w:rPr>
            </w:pPr>
            <w:r>
              <w:rPr>
                <w:rFonts w:hint="eastAsia"/>
                <w:sz w:val="24"/>
              </w:rPr>
              <w:t>投标供应商的承诺或说明</w:t>
            </w:r>
          </w:p>
        </w:tc>
      </w:tr>
      <w:tr w14:paraId="768FD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08" w:type="pct"/>
            <w:tcBorders>
              <w:top w:val="single" w:color="auto" w:sz="4" w:space="0"/>
              <w:left w:val="single" w:color="auto" w:sz="4" w:space="0"/>
              <w:bottom w:val="single" w:color="auto" w:sz="4" w:space="0"/>
              <w:right w:val="single" w:color="auto" w:sz="4" w:space="0"/>
            </w:tcBorders>
          </w:tcPr>
          <w:p w14:paraId="3D43C0AA">
            <w:pPr>
              <w:snapToGrid w:val="0"/>
              <w:spacing w:before="120" w:beforeLines="50" w:line="276" w:lineRule="auto"/>
              <w:jc w:val="center"/>
              <w:rPr>
                <w:rFonts w:hint="eastAsia" w:eastAsia="宋体"/>
                <w:sz w:val="24"/>
                <w:szCs w:val="20"/>
                <w:lang w:eastAsia="zh-CN"/>
              </w:rPr>
            </w:pPr>
            <w:r>
              <w:rPr>
                <w:rFonts w:hint="eastAsia"/>
                <w:sz w:val="24"/>
                <w:szCs w:val="20"/>
                <w:lang w:eastAsia="zh-CN"/>
              </w:rPr>
              <w:t>工期</w:t>
            </w:r>
          </w:p>
        </w:tc>
        <w:tc>
          <w:tcPr>
            <w:tcW w:w="1822" w:type="pct"/>
            <w:tcBorders>
              <w:top w:val="single" w:color="auto" w:sz="4" w:space="0"/>
              <w:left w:val="single" w:color="auto" w:sz="4" w:space="0"/>
              <w:bottom w:val="single" w:color="auto" w:sz="4" w:space="0"/>
              <w:right w:val="single" w:color="auto" w:sz="4" w:space="0"/>
            </w:tcBorders>
          </w:tcPr>
          <w:p w14:paraId="73529E91">
            <w:pPr>
              <w:pStyle w:val="127"/>
              <w:spacing w:line="276" w:lineRule="auto"/>
              <w:ind w:firstLineChars="0"/>
              <w:jc w:val="both"/>
              <w:rPr>
                <w:rFonts w:ascii="宋体" w:hAnsi="宋体"/>
                <w:bCs/>
              </w:rPr>
            </w:pPr>
          </w:p>
        </w:tc>
        <w:tc>
          <w:tcPr>
            <w:tcW w:w="810" w:type="pct"/>
            <w:tcBorders>
              <w:top w:val="single" w:color="auto" w:sz="4" w:space="0"/>
              <w:left w:val="single" w:color="auto" w:sz="4" w:space="0"/>
              <w:bottom w:val="single" w:color="auto" w:sz="4" w:space="0"/>
              <w:right w:val="single" w:color="auto" w:sz="4" w:space="0"/>
            </w:tcBorders>
          </w:tcPr>
          <w:p w14:paraId="28F58669">
            <w:pPr>
              <w:snapToGrid w:val="0"/>
              <w:spacing w:before="120" w:beforeLines="50" w:line="276" w:lineRule="auto"/>
              <w:rPr>
                <w:sz w:val="24"/>
                <w:szCs w:val="20"/>
              </w:rPr>
            </w:pPr>
          </w:p>
        </w:tc>
        <w:tc>
          <w:tcPr>
            <w:tcW w:w="1461" w:type="pct"/>
            <w:tcBorders>
              <w:top w:val="single" w:color="auto" w:sz="4" w:space="0"/>
              <w:left w:val="single" w:color="auto" w:sz="4" w:space="0"/>
              <w:bottom w:val="single" w:color="auto" w:sz="4" w:space="0"/>
              <w:right w:val="single" w:color="auto" w:sz="4" w:space="0"/>
            </w:tcBorders>
          </w:tcPr>
          <w:p w14:paraId="217DC361">
            <w:pPr>
              <w:snapToGrid w:val="0"/>
              <w:spacing w:before="120" w:beforeLines="50" w:line="276" w:lineRule="auto"/>
              <w:rPr>
                <w:sz w:val="24"/>
                <w:szCs w:val="20"/>
              </w:rPr>
            </w:pPr>
          </w:p>
        </w:tc>
      </w:tr>
      <w:tr w14:paraId="6687B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08" w:type="pct"/>
            <w:tcBorders>
              <w:top w:val="single" w:color="auto" w:sz="4" w:space="0"/>
              <w:left w:val="single" w:color="auto" w:sz="4" w:space="0"/>
              <w:bottom w:val="single" w:color="auto" w:sz="4" w:space="0"/>
              <w:right w:val="single" w:color="auto" w:sz="4" w:space="0"/>
            </w:tcBorders>
          </w:tcPr>
          <w:p w14:paraId="22F7E812">
            <w:pPr>
              <w:snapToGrid w:val="0"/>
              <w:spacing w:before="120" w:beforeLines="50" w:line="276" w:lineRule="auto"/>
              <w:jc w:val="center"/>
              <w:rPr>
                <w:rFonts w:hint="eastAsia"/>
                <w:sz w:val="24"/>
                <w:szCs w:val="20"/>
                <w:lang w:eastAsia="zh-CN"/>
              </w:rPr>
            </w:pPr>
            <w:r>
              <w:rPr>
                <w:rFonts w:hint="eastAsia"/>
                <w:sz w:val="24"/>
                <w:szCs w:val="20"/>
                <w:lang w:eastAsia="zh-CN"/>
              </w:rPr>
              <w:t>质保期</w:t>
            </w:r>
          </w:p>
        </w:tc>
        <w:tc>
          <w:tcPr>
            <w:tcW w:w="1822" w:type="pct"/>
            <w:tcBorders>
              <w:top w:val="single" w:color="auto" w:sz="4" w:space="0"/>
              <w:left w:val="single" w:color="auto" w:sz="4" w:space="0"/>
              <w:bottom w:val="single" w:color="auto" w:sz="4" w:space="0"/>
              <w:right w:val="single" w:color="auto" w:sz="4" w:space="0"/>
            </w:tcBorders>
          </w:tcPr>
          <w:p w14:paraId="28E7A1B8">
            <w:pPr>
              <w:pStyle w:val="127"/>
              <w:spacing w:line="276" w:lineRule="auto"/>
              <w:ind w:firstLineChars="0"/>
              <w:jc w:val="both"/>
              <w:rPr>
                <w:rFonts w:ascii="宋体" w:hAnsi="宋体"/>
                <w:bCs/>
              </w:rPr>
            </w:pPr>
          </w:p>
        </w:tc>
        <w:tc>
          <w:tcPr>
            <w:tcW w:w="810" w:type="pct"/>
            <w:tcBorders>
              <w:top w:val="single" w:color="auto" w:sz="4" w:space="0"/>
              <w:left w:val="single" w:color="auto" w:sz="4" w:space="0"/>
              <w:bottom w:val="single" w:color="auto" w:sz="4" w:space="0"/>
              <w:right w:val="single" w:color="auto" w:sz="4" w:space="0"/>
            </w:tcBorders>
          </w:tcPr>
          <w:p w14:paraId="516914DF">
            <w:pPr>
              <w:snapToGrid w:val="0"/>
              <w:spacing w:before="120" w:beforeLines="50" w:line="276" w:lineRule="auto"/>
              <w:rPr>
                <w:sz w:val="24"/>
                <w:szCs w:val="20"/>
              </w:rPr>
            </w:pPr>
          </w:p>
        </w:tc>
        <w:tc>
          <w:tcPr>
            <w:tcW w:w="1461" w:type="pct"/>
            <w:tcBorders>
              <w:top w:val="single" w:color="auto" w:sz="4" w:space="0"/>
              <w:left w:val="single" w:color="auto" w:sz="4" w:space="0"/>
              <w:bottom w:val="single" w:color="auto" w:sz="4" w:space="0"/>
              <w:right w:val="single" w:color="auto" w:sz="4" w:space="0"/>
            </w:tcBorders>
          </w:tcPr>
          <w:p w14:paraId="36F8AED3">
            <w:pPr>
              <w:snapToGrid w:val="0"/>
              <w:spacing w:before="120" w:beforeLines="50" w:line="276" w:lineRule="auto"/>
              <w:rPr>
                <w:sz w:val="24"/>
                <w:szCs w:val="20"/>
              </w:rPr>
            </w:pPr>
          </w:p>
        </w:tc>
      </w:tr>
      <w:tr w14:paraId="4ECB6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908" w:type="pct"/>
            <w:tcBorders>
              <w:top w:val="single" w:color="auto" w:sz="4" w:space="0"/>
              <w:left w:val="single" w:color="auto" w:sz="4" w:space="0"/>
              <w:bottom w:val="single" w:color="auto" w:sz="4" w:space="0"/>
              <w:right w:val="single" w:color="auto" w:sz="4" w:space="0"/>
            </w:tcBorders>
          </w:tcPr>
          <w:p w14:paraId="1DBBCAE8">
            <w:pPr>
              <w:snapToGrid w:val="0"/>
              <w:spacing w:before="120" w:beforeLines="50" w:line="276" w:lineRule="auto"/>
              <w:jc w:val="center"/>
              <w:rPr>
                <w:sz w:val="24"/>
                <w:szCs w:val="20"/>
              </w:rPr>
            </w:pPr>
            <w:r>
              <w:rPr>
                <w:rFonts w:hint="eastAsia"/>
                <w:sz w:val="24"/>
                <w:szCs w:val="20"/>
              </w:rPr>
              <w:t>付款方式</w:t>
            </w:r>
          </w:p>
        </w:tc>
        <w:tc>
          <w:tcPr>
            <w:tcW w:w="1822" w:type="pct"/>
            <w:tcBorders>
              <w:top w:val="single" w:color="auto" w:sz="4" w:space="0"/>
              <w:left w:val="single" w:color="auto" w:sz="4" w:space="0"/>
              <w:bottom w:val="single" w:color="auto" w:sz="4" w:space="0"/>
              <w:right w:val="single" w:color="auto" w:sz="4" w:space="0"/>
            </w:tcBorders>
            <w:vAlign w:val="center"/>
          </w:tcPr>
          <w:p w14:paraId="00AAA531">
            <w:pPr>
              <w:adjustRightInd w:val="0"/>
              <w:snapToGrid w:val="0"/>
              <w:spacing w:line="276" w:lineRule="auto"/>
              <w:ind w:firstLine="482" w:firstLineChars="200"/>
              <w:rPr>
                <w:b/>
                <w:snapToGrid w:val="0"/>
                <w:sz w:val="24"/>
                <w:highlight w:val="yellow"/>
              </w:rPr>
            </w:pPr>
          </w:p>
        </w:tc>
        <w:tc>
          <w:tcPr>
            <w:tcW w:w="810" w:type="pct"/>
            <w:tcBorders>
              <w:top w:val="single" w:color="auto" w:sz="4" w:space="0"/>
              <w:left w:val="single" w:color="auto" w:sz="4" w:space="0"/>
              <w:bottom w:val="single" w:color="auto" w:sz="4" w:space="0"/>
              <w:right w:val="single" w:color="auto" w:sz="4" w:space="0"/>
            </w:tcBorders>
          </w:tcPr>
          <w:p w14:paraId="4C9CB34B">
            <w:pPr>
              <w:snapToGrid w:val="0"/>
              <w:spacing w:before="120" w:beforeLines="50" w:line="276" w:lineRule="auto"/>
              <w:ind w:left="43"/>
              <w:rPr>
                <w:sz w:val="24"/>
                <w:szCs w:val="20"/>
              </w:rPr>
            </w:pPr>
          </w:p>
        </w:tc>
        <w:tc>
          <w:tcPr>
            <w:tcW w:w="1461" w:type="pct"/>
            <w:tcBorders>
              <w:top w:val="single" w:color="auto" w:sz="4" w:space="0"/>
              <w:left w:val="single" w:color="auto" w:sz="4" w:space="0"/>
              <w:bottom w:val="single" w:color="auto" w:sz="4" w:space="0"/>
              <w:right w:val="single" w:color="auto" w:sz="4" w:space="0"/>
            </w:tcBorders>
          </w:tcPr>
          <w:p w14:paraId="57DD0583">
            <w:pPr>
              <w:snapToGrid w:val="0"/>
              <w:spacing w:before="120" w:beforeLines="50" w:line="276" w:lineRule="auto"/>
              <w:ind w:left="43"/>
              <w:rPr>
                <w:sz w:val="24"/>
                <w:szCs w:val="20"/>
              </w:rPr>
            </w:pPr>
          </w:p>
        </w:tc>
      </w:tr>
      <w:tr w14:paraId="14D24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908" w:type="pct"/>
            <w:tcBorders>
              <w:top w:val="single" w:color="auto" w:sz="4" w:space="0"/>
              <w:left w:val="single" w:color="auto" w:sz="4" w:space="0"/>
              <w:bottom w:val="single" w:color="auto" w:sz="4" w:space="0"/>
              <w:right w:val="single" w:color="auto" w:sz="4" w:space="0"/>
            </w:tcBorders>
          </w:tcPr>
          <w:p w14:paraId="5781B1B0">
            <w:pPr>
              <w:snapToGrid w:val="0"/>
              <w:spacing w:before="120" w:beforeLines="50" w:line="276" w:lineRule="auto"/>
              <w:jc w:val="center"/>
              <w:rPr>
                <w:sz w:val="24"/>
                <w:szCs w:val="20"/>
              </w:rPr>
            </w:pPr>
            <w:r>
              <w:rPr>
                <w:rFonts w:hint="eastAsia"/>
                <w:sz w:val="24"/>
                <w:szCs w:val="20"/>
              </w:rPr>
              <w:t>其他</w:t>
            </w:r>
          </w:p>
        </w:tc>
        <w:tc>
          <w:tcPr>
            <w:tcW w:w="1822" w:type="pct"/>
            <w:tcBorders>
              <w:top w:val="single" w:color="auto" w:sz="4" w:space="0"/>
              <w:left w:val="single" w:color="auto" w:sz="4" w:space="0"/>
              <w:bottom w:val="single" w:color="auto" w:sz="4" w:space="0"/>
              <w:right w:val="single" w:color="auto" w:sz="4" w:space="0"/>
            </w:tcBorders>
          </w:tcPr>
          <w:p w14:paraId="503355EA">
            <w:pPr>
              <w:pStyle w:val="127"/>
              <w:spacing w:line="360" w:lineRule="auto"/>
              <w:ind w:firstLineChars="0"/>
              <w:jc w:val="both"/>
              <w:rPr>
                <w:rFonts w:ascii="宋体" w:hAnsi="宋体"/>
                <w:bCs/>
              </w:rPr>
            </w:pPr>
          </w:p>
        </w:tc>
        <w:tc>
          <w:tcPr>
            <w:tcW w:w="810" w:type="pct"/>
            <w:tcBorders>
              <w:top w:val="single" w:color="auto" w:sz="4" w:space="0"/>
              <w:left w:val="single" w:color="auto" w:sz="4" w:space="0"/>
              <w:bottom w:val="single" w:color="auto" w:sz="4" w:space="0"/>
              <w:right w:val="single" w:color="auto" w:sz="4" w:space="0"/>
            </w:tcBorders>
          </w:tcPr>
          <w:p w14:paraId="26F1CCEC">
            <w:pPr>
              <w:snapToGrid w:val="0"/>
              <w:spacing w:before="120" w:beforeLines="50" w:line="276" w:lineRule="auto"/>
              <w:rPr>
                <w:sz w:val="24"/>
                <w:szCs w:val="20"/>
              </w:rPr>
            </w:pPr>
          </w:p>
        </w:tc>
        <w:tc>
          <w:tcPr>
            <w:tcW w:w="1461" w:type="pct"/>
            <w:tcBorders>
              <w:top w:val="single" w:color="auto" w:sz="4" w:space="0"/>
              <w:left w:val="single" w:color="auto" w:sz="4" w:space="0"/>
              <w:bottom w:val="single" w:color="auto" w:sz="4" w:space="0"/>
              <w:right w:val="single" w:color="auto" w:sz="4" w:space="0"/>
            </w:tcBorders>
          </w:tcPr>
          <w:p w14:paraId="4D670CCE">
            <w:pPr>
              <w:snapToGrid w:val="0"/>
              <w:spacing w:before="120" w:beforeLines="50" w:line="276" w:lineRule="auto"/>
              <w:rPr>
                <w:sz w:val="24"/>
                <w:szCs w:val="20"/>
              </w:rPr>
            </w:pPr>
          </w:p>
        </w:tc>
      </w:tr>
      <w:tr w14:paraId="118CA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8" w:type="pct"/>
            <w:tcBorders>
              <w:top w:val="single" w:color="auto" w:sz="4" w:space="0"/>
              <w:left w:val="single" w:color="auto" w:sz="4" w:space="0"/>
              <w:bottom w:val="single" w:color="auto" w:sz="4" w:space="0"/>
              <w:right w:val="single" w:color="auto" w:sz="4" w:space="0"/>
            </w:tcBorders>
          </w:tcPr>
          <w:p w14:paraId="33F73883">
            <w:pPr>
              <w:snapToGrid w:val="0"/>
              <w:spacing w:before="120" w:beforeLines="50" w:line="276" w:lineRule="auto"/>
              <w:rPr>
                <w:sz w:val="24"/>
                <w:szCs w:val="20"/>
              </w:rPr>
            </w:pPr>
            <w:r>
              <w:rPr>
                <w:rFonts w:hint="eastAsia"/>
                <w:sz w:val="24"/>
              </w:rPr>
              <w:t>…</w:t>
            </w:r>
          </w:p>
        </w:tc>
        <w:tc>
          <w:tcPr>
            <w:tcW w:w="1822" w:type="pct"/>
            <w:tcBorders>
              <w:top w:val="single" w:color="auto" w:sz="4" w:space="0"/>
              <w:left w:val="single" w:color="auto" w:sz="4" w:space="0"/>
              <w:bottom w:val="single" w:color="auto" w:sz="4" w:space="0"/>
              <w:right w:val="single" w:color="auto" w:sz="4" w:space="0"/>
            </w:tcBorders>
          </w:tcPr>
          <w:p w14:paraId="00FD5052">
            <w:pPr>
              <w:snapToGrid w:val="0"/>
              <w:spacing w:before="120" w:beforeLines="50" w:line="276" w:lineRule="auto"/>
              <w:rPr>
                <w:sz w:val="24"/>
                <w:szCs w:val="20"/>
              </w:rPr>
            </w:pPr>
          </w:p>
        </w:tc>
        <w:tc>
          <w:tcPr>
            <w:tcW w:w="810" w:type="pct"/>
            <w:tcBorders>
              <w:top w:val="single" w:color="auto" w:sz="4" w:space="0"/>
              <w:left w:val="single" w:color="auto" w:sz="4" w:space="0"/>
              <w:bottom w:val="single" w:color="auto" w:sz="4" w:space="0"/>
              <w:right w:val="single" w:color="auto" w:sz="4" w:space="0"/>
            </w:tcBorders>
          </w:tcPr>
          <w:p w14:paraId="7F1BB40A">
            <w:pPr>
              <w:snapToGrid w:val="0"/>
              <w:spacing w:before="120" w:beforeLines="50" w:line="276" w:lineRule="auto"/>
              <w:rPr>
                <w:sz w:val="24"/>
                <w:szCs w:val="20"/>
              </w:rPr>
            </w:pPr>
          </w:p>
        </w:tc>
        <w:tc>
          <w:tcPr>
            <w:tcW w:w="1461" w:type="pct"/>
            <w:tcBorders>
              <w:top w:val="single" w:color="auto" w:sz="4" w:space="0"/>
              <w:left w:val="single" w:color="auto" w:sz="4" w:space="0"/>
              <w:bottom w:val="single" w:color="auto" w:sz="4" w:space="0"/>
              <w:right w:val="single" w:color="auto" w:sz="4" w:space="0"/>
            </w:tcBorders>
          </w:tcPr>
          <w:p w14:paraId="05DEB284">
            <w:pPr>
              <w:snapToGrid w:val="0"/>
              <w:spacing w:before="120" w:beforeLines="50" w:line="276" w:lineRule="auto"/>
              <w:rPr>
                <w:sz w:val="24"/>
                <w:szCs w:val="20"/>
              </w:rPr>
            </w:pPr>
          </w:p>
        </w:tc>
      </w:tr>
    </w:tbl>
    <w:p w14:paraId="375F0FE4">
      <w:pPr>
        <w:snapToGrid w:val="0"/>
        <w:spacing w:before="120" w:beforeLines="50"/>
        <w:rPr>
          <w:sz w:val="24"/>
          <w:szCs w:val="20"/>
        </w:rPr>
      </w:pPr>
    </w:p>
    <w:p w14:paraId="3489B1BA">
      <w:pPr>
        <w:pStyle w:val="7"/>
        <w:spacing w:line="360" w:lineRule="auto"/>
        <w:ind w:firstLine="0"/>
        <w:rPr>
          <w:rFonts w:hAnsi="宋体" w:cs="宋体"/>
          <w:spacing w:val="20"/>
          <w:sz w:val="24"/>
        </w:rPr>
      </w:pPr>
      <w:r>
        <w:rPr>
          <w:rFonts w:hint="eastAsia" w:hAnsi="宋体" w:cs="宋体"/>
          <w:spacing w:val="20"/>
          <w:sz w:val="24"/>
        </w:rPr>
        <w:t>投标供应商（盖章）：</w:t>
      </w:r>
    </w:p>
    <w:p w14:paraId="5B343327">
      <w:pPr>
        <w:pStyle w:val="7"/>
        <w:spacing w:line="360" w:lineRule="auto"/>
        <w:ind w:firstLine="0"/>
        <w:rPr>
          <w:rFonts w:hAnsi="宋体" w:cs="宋体"/>
          <w:spacing w:val="20"/>
          <w:sz w:val="24"/>
          <w:u w:val="single"/>
        </w:rPr>
      </w:pPr>
      <w:r>
        <w:rPr>
          <w:rFonts w:hAnsi="宋体"/>
          <w:sz w:val="24"/>
          <w:szCs w:val="24"/>
        </w:rPr>
        <w:t>法定代表人或其授权代表（签</w:t>
      </w:r>
      <w:r>
        <w:rPr>
          <w:rFonts w:hint="eastAsia" w:hAnsi="宋体"/>
          <w:sz w:val="24"/>
          <w:szCs w:val="24"/>
        </w:rPr>
        <w:t>字</w:t>
      </w:r>
      <w:r>
        <w:rPr>
          <w:rFonts w:hAnsi="宋体"/>
          <w:sz w:val="24"/>
          <w:szCs w:val="24"/>
        </w:rPr>
        <w:t>或盖章）</w:t>
      </w:r>
      <w:r>
        <w:rPr>
          <w:rFonts w:hAnsi="宋体" w:cs="宋体"/>
          <w:spacing w:val="20"/>
          <w:sz w:val="24"/>
        </w:rPr>
        <w:t>：</w:t>
      </w:r>
    </w:p>
    <w:p w14:paraId="5EE8544C">
      <w:pPr>
        <w:snapToGrid w:val="0"/>
        <w:spacing w:before="120" w:beforeLines="50"/>
        <w:ind w:firstLine="3780"/>
        <w:rPr>
          <w:sz w:val="24"/>
          <w:szCs w:val="20"/>
          <w:u w:val="single"/>
        </w:rPr>
      </w:pPr>
    </w:p>
    <w:p w14:paraId="7447C450">
      <w:pPr>
        <w:snapToGrid w:val="0"/>
        <w:spacing w:before="120" w:beforeLines="50" w:after="50"/>
        <w:ind w:firstLine="240" w:firstLineChars="100"/>
        <w:rPr>
          <w:b/>
          <w:sz w:val="24"/>
        </w:rPr>
      </w:pPr>
      <w:r>
        <w:rPr>
          <w:sz w:val="24"/>
        </w:rPr>
        <w:t>年    月    日</w:t>
      </w:r>
    </w:p>
    <w:p w14:paraId="0631B5B1">
      <w:pPr>
        <w:snapToGrid w:val="0"/>
        <w:spacing w:line="360" w:lineRule="auto"/>
        <w:rPr>
          <w:b/>
          <w:sz w:val="30"/>
        </w:rPr>
      </w:pPr>
    </w:p>
    <w:p w14:paraId="2796135F">
      <w:pPr>
        <w:snapToGrid w:val="0"/>
        <w:spacing w:line="360" w:lineRule="auto"/>
        <w:ind w:firstLine="482" w:firstLineChars="200"/>
        <w:jc w:val="center"/>
        <w:rPr>
          <w:b/>
          <w:bCs/>
          <w:sz w:val="24"/>
        </w:rPr>
      </w:pPr>
    </w:p>
    <w:p w14:paraId="13ADB4DC">
      <w:pPr>
        <w:snapToGrid w:val="0"/>
        <w:spacing w:line="360" w:lineRule="auto"/>
        <w:ind w:firstLine="482" w:firstLineChars="200"/>
        <w:jc w:val="center"/>
        <w:rPr>
          <w:rFonts w:hint="eastAsia"/>
          <w:b/>
          <w:bCs/>
          <w:sz w:val="24"/>
          <w:lang w:val="en-US" w:eastAsia="zh-CN"/>
        </w:rPr>
      </w:pPr>
    </w:p>
    <w:p w14:paraId="37169875">
      <w:pPr>
        <w:pStyle w:val="24"/>
        <w:rPr>
          <w:rFonts w:hint="eastAsia"/>
          <w:lang w:val="en-US" w:eastAsia="zh-CN"/>
        </w:rPr>
      </w:pPr>
    </w:p>
    <w:p w14:paraId="1A5896FD">
      <w:pPr>
        <w:snapToGrid w:val="0"/>
        <w:spacing w:line="360" w:lineRule="auto"/>
        <w:ind w:firstLine="482" w:firstLineChars="200"/>
        <w:jc w:val="center"/>
        <w:rPr>
          <w:b/>
          <w:bCs/>
          <w:sz w:val="24"/>
          <w:lang w:val="en-US"/>
        </w:rPr>
      </w:pPr>
      <w:r>
        <w:rPr>
          <w:rFonts w:hint="eastAsia"/>
          <w:b/>
          <w:bCs/>
          <w:sz w:val="24"/>
          <w:lang w:val="en-US" w:eastAsia="zh-CN"/>
        </w:rPr>
        <w:t>（16）</w:t>
      </w:r>
      <w:r>
        <w:rPr>
          <w:rFonts w:hint="eastAsia"/>
          <w:b/>
          <w:bCs/>
          <w:sz w:val="24"/>
          <w:lang w:val="en-US"/>
        </w:rPr>
        <w:t>投标供应商认为需要的其他文件资料。</w:t>
      </w:r>
    </w:p>
    <w:p w14:paraId="018EE508">
      <w:pPr>
        <w:pStyle w:val="22"/>
        <w:ind w:firstLine="280"/>
      </w:pPr>
    </w:p>
    <w:p w14:paraId="1E704183">
      <w:pPr>
        <w:pStyle w:val="22"/>
        <w:ind w:firstLine="241"/>
        <w:jc w:val="center"/>
        <w:rPr>
          <w:rFonts w:ascii="宋体" w:hAnsi="宋体" w:cs="宋体"/>
          <w:b/>
          <w:bCs/>
          <w:sz w:val="24"/>
        </w:rPr>
      </w:pPr>
    </w:p>
    <w:p w14:paraId="20E1F8A6">
      <w:r>
        <w:br w:type="page"/>
      </w:r>
    </w:p>
    <w:p w14:paraId="6CAE6F0F">
      <w:pPr>
        <w:pStyle w:val="24"/>
      </w:pPr>
    </w:p>
    <w:p w14:paraId="5BFD6C88">
      <w:pPr>
        <w:numPr>
          <w:ilvl w:val="0"/>
          <w:numId w:val="13"/>
        </w:numPr>
        <w:spacing w:line="760" w:lineRule="exact"/>
        <w:rPr>
          <w:rFonts w:ascii="宋体" w:hAnsi="宋体" w:cs="宋体"/>
          <w:b/>
          <w:sz w:val="24"/>
        </w:rPr>
      </w:pPr>
      <w:r>
        <w:rPr>
          <w:rFonts w:hint="eastAsia" w:ascii="宋体" w:hAnsi="宋体" w:cs="宋体"/>
          <w:b/>
          <w:sz w:val="24"/>
        </w:rPr>
        <w:t>报价文件格式：</w:t>
      </w:r>
    </w:p>
    <w:p w14:paraId="6937D29D">
      <w:pPr>
        <w:pStyle w:val="23"/>
        <w:ind w:firstLine="0"/>
      </w:pPr>
    </w:p>
    <w:p w14:paraId="38939BBA">
      <w:pPr>
        <w:pStyle w:val="23"/>
        <w:ind w:firstLine="0"/>
      </w:pPr>
    </w:p>
    <w:p w14:paraId="6FE6E8E0">
      <w:pPr>
        <w:snapToGrid w:val="0"/>
        <w:spacing w:beforeLines="50" w:after="50"/>
        <w:jc w:val="right"/>
        <w:rPr>
          <w:rFonts w:ascii="宋体" w:hAnsi="宋体" w:cs="宋体"/>
          <w:bCs/>
          <w:sz w:val="24"/>
          <w:szCs w:val="20"/>
        </w:rPr>
      </w:pPr>
      <w:r>
        <w:rPr>
          <w:rFonts w:hint="eastAsia" w:ascii="宋体" w:hAnsi="宋体" w:cs="宋体"/>
          <w:b/>
          <w:sz w:val="24"/>
          <w:szCs w:val="20"/>
        </w:rPr>
        <w:t>正本/或副本</w:t>
      </w:r>
    </w:p>
    <w:p w14:paraId="00C2CEAD">
      <w:pPr>
        <w:snapToGrid w:val="0"/>
        <w:spacing w:beforeLines="50" w:after="50"/>
        <w:jc w:val="center"/>
        <w:rPr>
          <w:rFonts w:ascii="宋体" w:hAnsi="宋体" w:cs="宋体"/>
          <w:bCs/>
          <w:sz w:val="24"/>
        </w:rPr>
      </w:pPr>
    </w:p>
    <w:p w14:paraId="03AF0B5F">
      <w:pPr>
        <w:snapToGrid w:val="0"/>
        <w:spacing w:beforeLines="50" w:after="50"/>
        <w:jc w:val="center"/>
        <w:rPr>
          <w:rFonts w:ascii="宋体" w:hAnsi="宋体" w:cs="宋体"/>
          <w:bCs/>
          <w:sz w:val="24"/>
        </w:rPr>
      </w:pPr>
    </w:p>
    <w:p w14:paraId="1C12B9F0">
      <w:pPr>
        <w:snapToGrid w:val="0"/>
        <w:spacing w:beforeLines="50" w:after="50"/>
        <w:jc w:val="center"/>
        <w:rPr>
          <w:rFonts w:ascii="宋体" w:hAnsi="宋体" w:cs="宋体"/>
          <w:bCs/>
          <w:sz w:val="24"/>
        </w:rPr>
      </w:pPr>
    </w:p>
    <w:p w14:paraId="4E7709B7">
      <w:pPr>
        <w:snapToGrid w:val="0"/>
        <w:spacing w:beforeLines="50" w:after="50"/>
        <w:jc w:val="center"/>
        <w:rPr>
          <w:rFonts w:ascii="宋体" w:hAnsi="宋体" w:cs="宋体"/>
          <w:bCs/>
          <w:sz w:val="24"/>
          <w:szCs w:val="20"/>
        </w:rPr>
      </w:pPr>
      <w:r>
        <w:rPr>
          <w:rFonts w:hint="eastAsia" w:ascii="宋体" w:hAnsi="宋体" w:cs="宋体"/>
          <w:bCs/>
          <w:sz w:val="24"/>
        </w:rPr>
        <w:t>报价文件</w:t>
      </w:r>
    </w:p>
    <w:p w14:paraId="6B4AE2D2">
      <w:pPr>
        <w:snapToGrid w:val="0"/>
        <w:spacing w:beforeLines="50" w:after="50"/>
        <w:rPr>
          <w:rFonts w:ascii="宋体" w:hAnsi="宋体" w:cs="宋体"/>
          <w:bCs/>
          <w:sz w:val="24"/>
          <w:szCs w:val="20"/>
        </w:rPr>
      </w:pPr>
    </w:p>
    <w:p w14:paraId="15D3093B">
      <w:pPr>
        <w:snapToGrid w:val="0"/>
        <w:spacing w:beforeLines="50" w:after="50"/>
        <w:ind w:firstLine="1068" w:firstLineChars="445"/>
        <w:rPr>
          <w:rFonts w:ascii="宋体" w:hAnsi="宋体" w:cs="宋体"/>
          <w:bCs/>
          <w:sz w:val="24"/>
        </w:rPr>
      </w:pPr>
      <w:r>
        <w:rPr>
          <w:rFonts w:hint="eastAsia" w:ascii="宋体" w:hAnsi="宋体" w:cs="宋体"/>
          <w:bCs/>
          <w:sz w:val="24"/>
        </w:rPr>
        <w:t>项目名称：</w:t>
      </w:r>
    </w:p>
    <w:p w14:paraId="7651036C">
      <w:pPr>
        <w:snapToGrid w:val="0"/>
        <w:spacing w:beforeLines="50" w:after="50"/>
        <w:ind w:firstLine="1068" w:firstLineChars="445"/>
        <w:rPr>
          <w:rFonts w:ascii="宋体" w:hAnsi="宋体" w:cs="宋体"/>
          <w:bCs/>
          <w:sz w:val="24"/>
        </w:rPr>
      </w:pPr>
      <w:r>
        <w:rPr>
          <w:rFonts w:hint="eastAsia" w:ascii="宋体" w:hAnsi="宋体" w:cs="宋体"/>
          <w:bCs/>
          <w:sz w:val="24"/>
        </w:rPr>
        <w:t>项目编号：</w:t>
      </w:r>
    </w:p>
    <w:p w14:paraId="34CF4C13">
      <w:pPr>
        <w:snapToGrid w:val="0"/>
        <w:spacing w:beforeLines="50" w:after="50"/>
        <w:ind w:firstLine="1068" w:firstLineChars="445"/>
        <w:rPr>
          <w:rFonts w:ascii="宋体" w:hAnsi="宋体" w:cs="宋体"/>
          <w:bCs/>
          <w:sz w:val="24"/>
        </w:rPr>
      </w:pPr>
      <w:r>
        <w:rPr>
          <w:rFonts w:hint="eastAsia" w:ascii="宋体" w:hAnsi="宋体" w:cs="宋体"/>
          <w:bCs/>
          <w:sz w:val="24"/>
        </w:rPr>
        <w:t>投标人名称：</w:t>
      </w:r>
    </w:p>
    <w:p w14:paraId="03CB5F77">
      <w:pPr>
        <w:snapToGrid w:val="0"/>
        <w:spacing w:beforeLines="50" w:after="50"/>
        <w:ind w:firstLine="1068" w:firstLineChars="445"/>
        <w:rPr>
          <w:rFonts w:ascii="宋体" w:hAnsi="宋体" w:cs="宋体"/>
          <w:bCs/>
          <w:sz w:val="24"/>
        </w:rPr>
      </w:pPr>
      <w:r>
        <w:rPr>
          <w:rFonts w:hint="eastAsia" w:ascii="宋体" w:hAnsi="宋体" w:cs="宋体"/>
          <w:bCs/>
          <w:sz w:val="24"/>
        </w:rPr>
        <w:t>投标人地址：</w:t>
      </w:r>
    </w:p>
    <w:p w14:paraId="1913D467">
      <w:pPr>
        <w:snapToGrid w:val="0"/>
        <w:spacing w:beforeLines="50" w:after="50"/>
        <w:ind w:firstLine="1068" w:firstLineChars="445"/>
        <w:rPr>
          <w:rFonts w:ascii="宋体" w:hAnsi="宋体" w:cs="宋体"/>
          <w:bCs/>
          <w:sz w:val="24"/>
        </w:rPr>
      </w:pPr>
      <w:r>
        <w:rPr>
          <w:rFonts w:hint="eastAsia" w:ascii="宋体" w:hAnsi="宋体" w:cs="宋体"/>
          <w:bCs/>
          <w:sz w:val="24"/>
        </w:rPr>
        <w:t>在  年  月  日  时  分之前不得启封</w:t>
      </w:r>
    </w:p>
    <w:p w14:paraId="39059CDA">
      <w:pPr>
        <w:snapToGrid w:val="0"/>
        <w:spacing w:beforeLines="50" w:after="50"/>
        <w:ind w:firstLine="4080" w:firstLineChars="1700"/>
        <w:rPr>
          <w:rFonts w:ascii="宋体" w:hAnsi="宋体" w:cs="宋体"/>
          <w:bCs/>
          <w:sz w:val="24"/>
          <w:szCs w:val="20"/>
        </w:rPr>
      </w:pPr>
    </w:p>
    <w:p w14:paraId="45BE95E4">
      <w:pPr>
        <w:snapToGrid w:val="0"/>
        <w:spacing w:beforeLines="50" w:after="50"/>
        <w:ind w:firstLine="645"/>
        <w:jc w:val="right"/>
        <w:rPr>
          <w:rFonts w:ascii="宋体" w:hAnsi="宋体" w:cs="宋体"/>
          <w:bCs/>
          <w:sz w:val="24"/>
          <w:szCs w:val="20"/>
        </w:rPr>
      </w:pPr>
      <w:r>
        <w:rPr>
          <w:rFonts w:hint="eastAsia" w:ascii="宋体" w:hAnsi="宋体" w:cs="宋体"/>
          <w:bCs/>
          <w:sz w:val="24"/>
        </w:rPr>
        <w:t>年  月  日</w:t>
      </w:r>
    </w:p>
    <w:p w14:paraId="702371D1">
      <w:pPr>
        <w:snapToGrid w:val="0"/>
        <w:spacing w:before="50" w:afterLines="50"/>
        <w:rPr>
          <w:rFonts w:ascii="宋体" w:hAnsi="宋体" w:cs="宋体"/>
          <w:b/>
          <w:sz w:val="24"/>
        </w:rPr>
      </w:pPr>
    </w:p>
    <w:p w14:paraId="2EBD23CB">
      <w:pPr>
        <w:pStyle w:val="7"/>
        <w:ind w:firstLine="0"/>
        <w:rPr>
          <w:rFonts w:ascii="宋体" w:hAnsi="宋体"/>
          <w:b/>
          <w:sz w:val="24"/>
        </w:rPr>
      </w:pPr>
    </w:p>
    <w:p w14:paraId="50799336">
      <w:pPr>
        <w:pStyle w:val="7"/>
        <w:ind w:firstLine="0"/>
        <w:rPr>
          <w:rFonts w:ascii="宋体" w:hAnsi="宋体"/>
          <w:b/>
          <w:sz w:val="24"/>
        </w:rPr>
      </w:pPr>
    </w:p>
    <w:p w14:paraId="5E1D82FA">
      <w:pPr>
        <w:pStyle w:val="7"/>
        <w:ind w:firstLine="0"/>
        <w:rPr>
          <w:rFonts w:ascii="宋体" w:hAnsi="宋体"/>
          <w:b/>
          <w:sz w:val="24"/>
        </w:rPr>
      </w:pPr>
    </w:p>
    <w:p w14:paraId="45419C34">
      <w:pPr>
        <w:pStyle w:val="7"/>
        <w:ind w:firstLine="0"/>
        <w:rPr>
          <w:rFonts w:ascii="宋体" w:hAnsi="宋体"/>
          <w:b/>
          <w:sz w:val="24"/>
        </w:rPr>
      </w:pPr>
    </w:p>
    <w:p w14:paraId="4D4B9E80">
      <w:pPr>
        <w:pStyle w:val="7"/>
        <w:ind w:firstLine="0"/>
        <w:rPr>
          <w:rFonts w:ascii="宋体" w:hAnsi="宋体"/>
          <w:b/>
          <w:sz w:val="24"/>
        </w:rPr>
      </w:pPr>
    </w:p>
    <w:p w14:paraId="4CBAD568">
      <w:pPr>
        <w:pStyle w:val="7"/>
        <w:ind w:firstLine="0"/>
        <w:rPr>
          <w:rFonts w:ascii="宋体" w:hAnsi="宋体"/>
          <w:b/>
          <w:sz w:val="24"/>
        </w:rPr>
      </w:pPr>
    </w:p>
    <w:p w14:paraId="26FBEA57">
      <w:pPr>
        <w:pStyle w:val="7"/>
        <w:ind w:firstLine="0"/>
        <w:rPr>
          <w:rFonts w:ascii="宋体" w:hAnsi="宋体"/>
          <w:b/>
          <w:sz w:val="24"/>
        </w:rPr>
      </w:pPr>
    </w:p>
    <w:p w14:paraId="496F0DA7">
      <w:pPr>
        <w:pStyle w:val="7"/>
        <w:ind w:firstLine="0"/>
        <w:rPr>
          <w:rFonts w:ascii="宋体" w:hAnsi="宋体"/>
          <w:b/>
          <w:sz w:val="24"/>
        </w:rPr>
      </w:pPr>
    </w:p>
    <w:p w14:paraId="1614C424">
      <w:pPr>
        <w:pStyle w:val="7"/>
        <w:ind w:firstLine="0"/>
        <w:rPr>
          <w:rFonts w:ascii="宋体" w:hAnsi="宋体"/>
          <w:b/>
          <w:sz w:val="24"/>
        </w:rPr>
      </w:pPr>
    </w:p>
    <w:p w14:paraId="7D232678">
      <w:pPr>
        <w:pStyle w:val="7"/>
        <w:ind w:firstLine="0"/>
        <w:rPr>
          <w:rFonts w:ascii="宋体" w:hAnsi="宋体"/>
          <w:b/>
          <w:sz w:val="24"/>
        </w:rPr>
      </w:pPr>
    </w:p>
    <w:p w14:paraId="69DE39D2">
      <w:pPr>
        <w:pStyle w:val="7"/>
        <w:ind w:firstLine="0"/>
        <w:rPr>
          <w:rFonts w:ascii="宋体" w:hAnsi="宋体"/>
          <w:b/>
          <w:sz w:val="24"/>
        </w:rPr>
      </w:pPr>
    </w:p>
    <w:p w14:paraId="65622B40">
      <w:pPr>
        <w:pStyle w:val="7"/>
        <w:ind w:firstLine="0"/>
        <w:rPr>
          <w:rFonts w:ascii="宋体" w:hAnsi="宋体"/>
          <w:b/>
          <w:sz w:val="24"/>
        </w:rPr>
      </w:pPr>
    </w:p>
    <w:p w14:paraId="24A6176F">
      <w:pPr>
        <w:pStyle w:val="7"/>
        <w:ind w:firstLine="0"/>
        <w:rPr>
          <w:rFonts w:ascii="宋体" w:hAnsi="宋体"/>
          <w:b/>
          <w:sz w:val="24"/>
        </w:rPr>
      </w:pPr>
    </w:p>
    <w:p w14:paraId="0CD96BEF">
      <w:pPr>
        <w:pStyle w:val="7"/>
        <w:ind w:firstLine="0"/>
        <w:rPr>
          <w:rFonts w:ascii="宋体" w:hAnsi="宋体"/>
          <w:b/>
          <w:sz w:val="24"/>
        </w:rPr>
      </w:pPr>
    </w:p>
    <w:p w14:paraId="25600B4A">
      <w:pPr>
        <w:pStyle w:val="7"/>
        <w:ind w:firstLine="0"/>
        <w:rPr>
          <w:rFonts w:ascii="宋体" w:hAnsi="宋体"/>
          <w:b/>
          <w:sz w:val="24"/>
        </w:rPr>
      </w:pPr>
    </w:p>
    <w:p w14:paraId="5D414AE8">
      <w:pPr>
        <w:pStyle w:val="7"/>
        <w:ind w:firstLine="0"/>
        <w:rPr>
          <w:rFonts w:ascii="宋体" w:hAnsi="宋体"/>
          <w:b/>
          <w:sz w:val="24"/>
        </w:rPr>
      </w:pPr>
    </w:p>
    <w:p w14:paraId="198D5ED8">
      <w:pPr>
        <w:pStyle w:val="7"/>
        <w:ind w:firstLine="0"/>
        <w:rPr>
          <w:rFonts w:ascii="宋体" w:hAnsi="宋体"/>
          <w:b/>
          <w:sz w:val="24"/>
        </w:rPr>
      </w:pPr>
    </w:p>
    <w:p w14:paraId="7E055227">
      <w:pPr>
        <w:pStyle w:val="7"/>
        <w:ind w:firstLine="0"/>
        <w:rPr>
          <w:rFonts w:ascii="宋体" w:hAnsi="宋体"/>
          <w:b/>
          <w:sz w:val="24"/>
        </w:rPr>
      </w:pPr>
    </w:p>
    <w:p w14:paraId="4083A9CD">
      <w:pPr>
        <w:pStyle w:val="7"/>
        <w:ind w:firstLine="0"/>
        <w:rPr>
          <w:rFonts w:ascii="宋体" w:hAnsi="宋体"/>
          <w:b/>
          <w:sz w:val="24"/>
        </w:rPr>
      </w:pPr>
    </w:p>
    <w:p w14:paraId="55AD798A">
      <w:pPr>
        <w:pStyle w:val="7"/>
        <w:ind w:firstLine="0"/>
        <w:rPr>
          <w:rFonts w:ascii="宋体" w:hAnsi="宋体"/>
          <w:b/>
          <w:sz w:val="24"/>
        </w:rPr>
      </w:pPr>
    </w:p>
    <w:p w14:paraId="5594C747">
      <w:pPr>
        <w:pStyle w:val="7"/>
        <w:ind w:firstLine="0"/>
        <w:rPr>
          <w:rFonts w:ascii="宋体" w:hAnsi="宋体"/>
          <w:b/>
          <w:sz w:val="24"/>
        </w:rPr>
      </w:pPr>
    </w:p>
    <w:p w14:paraId="29A2A2A7">
      <w:pPr>
        <w:pStyle w:val="7"/>
        <w:ind w:firstLine="0"/>
        <w:rPr>
          <w:rFonts w:ascii="宋体" w:hAnsi="宋体"/>
          <w:b/>
          <w:sz w:val="24"/>
        </w:rPr>
      </w:pPr>
    </w:p>
    <w:p w14:paraId="2FBF4D15">
      <w:pPr>
        <w:rPr>
          <w:rFonts w:ascii="宋体" w:hAnsi="宋体"/>
          <w:sz w:val="24"/>
        </w:rPr>
      </w:pPr>
      <w:r>
        <w:rPr>
          <w:rFonts w:ascii="宋体" w:hAnsi="宋体"/>
          <w:b/>
          <w:sz w:val="24"/>
        </w:rPr>
        <w:t>报价文件</w:t>
      </w:r>
      <w:r>
        <w:rPr>
          <w:rFonts w:hint="eastAsia" w:ascii="宋体" w:hAnsi="宋体"/>
          <w:b/>
          <w:sz w:val="24"/>
        </w:rPr>
        <w:t>目录</w:t>
      </w:r>
    </w:p>
    <w:p w14:paraId="4CDE65A3">
      <w:pPr>
        <w:tabs>
          <w:tab w:val="left" w:pos="720"/>
        </w:tabs>
        <w:spacing w:line="360" w:lineRule="auto"/>
        <w:ind w:firstLine="480" w:firstLineChars="200"/>
        <w:rPr>
          <w:rFonts w:hint="eastAsia" w:ascii="宋体" w:hAnsi="宋体"/>
          <w:sz w:val="24"/>
        </w:rPr>
      </w:pPr>
    </w:p>
    <w:p w14:paraId="022C5844">
      <w:pPr>
        <w:tabs>
          <w:tab w:val="left" w:pos="720"/>
        </w:tabs>
        <w:spacing w:line="360" w:lineRule="auto"/>
        <w:ind w:firstLine="480" w:firstLineChars="200"/>
        <w:rPr>
          <w:rFonts w:ascii="宋体" w:hAnsi="宋体"/>
          <w:sz w:val="24"/>
        </w:rPr>
      </w:pPr>
      <w:r>
        <w:rPr>
          <w:rFonts w:hint="eastAsia" w:ascii="宋体" w:hAnsi="宋体"/>
          <w:sz w:val="24"/>
        </w:rPr>
        <w:t>（1) 投标函；</w:t>
      </w:r>
    </w:p>
    <w:p w14:paraId="15E0DDB9">
      <w:pPr>
        <w:tabs>
          <w:tab w:val="left" w:pos="720"/>
        </w:tabs>
        <w:spacing w:line="360" w:lineRule="auto"/>
        <w:ind w:firstLine="480" w:firstLineChars="200"/>
        <w:rPr>
          <w:rFonts w:ascii="宋体" w:hAnsi="宋体"/>
          <w:sz w:val="24"/>
        </w:rPr>
      </w:pPr>
      <w:r>
        <w:rPr>
          <w:rFonts w:hint="eastAsia" w:ascii="宋体" w:hAnsi="宋体"/>
          <w:sz w:val="24"/>
        </w:rPr>
        <w:t>（2) 开标一览表（格式见附件）；</w:t>
      </w:r>
    </w:p>
    <w:p w14:paraId="57EF0C7D">
      <w:pPr>
        <w:tabs>
          <w:tab w:val="left" w:pos="720"/>
        </w:tabs>
        <w:spacing w:line="360" w:lineRule="auto"/>
        <w:ind w:firstLine="480" w:firstLineChars="200"/>
        <w:rPr>
          <w:rFonts w:ascii="宋体" w:hAnsi="宋体"/>
          <w:sz w:val="24"/>
        </w:rPr>
      </w:pPr>
      <w:r>
        <w:rPr>
          <w:rFonts w:hint="eastAsia" w:ascii="宋体" w:hAnsi="宋体"/>
          <w:sz w:val="24"/>
        </w:rPr>
        <w:t>（3）报价明细表；</w:t>
      </w:r>
    </w:p>
    <w:p w14:paraId="5AC0A1FA">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）招标代理服务费承诺函(格式见附件)；</w:t>
      </w:r>
    </w:p>
    <w:p w14:paraId="0CE08FC3">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）其他投标供应商认为有必要提供的资料。</w:t>
      </w:r>
      <w:r>
        <w:rPr>
          <w:rFonts w:hint="eastAsia" w:ascii="宋体" w:hAnsi="宋体"/>
          <w:sz w:val="24"/>
        </w:rPr>
        <w:tab/>
      </w:r>
    </w:p>
    <w:p w14:paraId="01922B86">
      <w:pPr>
        <w:snapToGrid w:val="0"/>
        <w:spacing w:line="360" w:lineRule="auto"/>
        <w:rPr>
          <w:rFonts w:ascii="宋体" w:hAnsi="宋体"/>
          <w:b/>
          <w:sz w:val="24"/>
        </w:rPr>
      </w:pPr>
    </w:p>
    <w:p w14:paraId="4772E266">
      <w:pPr>
        <w:pStyle w:val="22"/>
        <w:ind w:firstLine="240"/>
        <w:rPr>
          <w:sz w:val="24"/>
        </w:rPr>
      </w:pPr>
    </w:p>
    <w:p w14:paraId="3FC8389A">
      <w:pPr>
        <w:rPr>
          <w:sz w:val="24"/>
        </w:rPr>
      </w:pPr>
    </w:p>
    <w:p w14:paraId="43E2AA3E">
      <w:pPr>
        <w:pStyle w:val="23"/>
        <w:rPr>
          <w:sz w:val="24"/>
        </w:rPr>
      </w:pPr>
    </w:p>
    <w:p w14:paraId="52A1478C">
      <w:pPr>
        <w:pStyle w:val="23"/>
        <w:rPr>
          <w:sz w:val="24"/>
        </w:rPr>
      </w:pPr>
    </w:p>
    <w:p w14:paraId="461241FE">
      <w:pPr>
        <w:pStyle w:val="23"/>
        <w:rPr>
          <w:sz w:val="24"/>
        </w:rPr>
      </w:pPr>
    </w:p>
    <w:p w14:paraId="434EAB10">
      <w:pPr>
        <w:pStyle w:val="23"/>
        <w:rPr>
          <w:sz w:val="24"/>
        </w:rPr>
      </w:pPr>
    </w:p>
    <w:p w14:paraId="5C814CC1">
      <w:pPr>
        <w:pStyle w:val="23"/>
        <w:rPr>
          <w:sz w:val="24"/>
        </w:rPr>
      </w:pPr>
    </w:p>
    <w:p w14:paraId="6F327760">
      <w:pPr>
        <w:pStyle w:val="23"/>
        <w:rPr>
          <w:sz w:val="24"/>
        </w:rPr>
      </w:pPr>
    </w:p>
    <w:p w14:paraId="190DE671">
      <w:pPr>
        <w:pStyle w:val="23"/>
        <w:rPr>
          <w:sz w:val="24"/>
        </w:rPr>
      </w:pPr>
    </w:p>
    <w:p w14:paraId="73493112">
      <w:pPr>
        <w:pStyle w:val="23"/>
        <w:rPr>
          <w:sz w:val="24"/>
        </w:rPr>
      </w:pPr>
    </w:p>
    <w:p w14:paraId="06B8C0A5">
      <w:pPr>
        <w:pStyle w:val="23"/>
        <w:rPr>
          <w:sz w:val="24"/>
        </w:rPr>
      </w:pPr>
    </w:p>
    <w:p w14:paraId="22D78917">
      <w:pPr>
        <w:pStyle w:val="23"/>
        <w:rPr>
          <w:sz w:val="24"/>
        </w:rPr>
      </w:pPr>
    </w:p>
    <w:p w14:paraId="0CF788F2">
      <w:pPr>
        <w:pStyle w:val="23"/>
        <w:rPr>
          <w:sz w:val="24"/>
        </w:rPr>
      </w:pPr>
    </w:p>
    <w:p w14:paraId="11A9D9A2">
      <w:pPr>
        <w:pStyle w:val="23"/>
        <w:rPr>
          <w:sz w:val="24"/>
        </w:rPr>
      </w:pPr>
    </w:p>
    <w:p w14:paraId="580A34FE">
      <w:pPr>
        <w:pStyle w:val="23"/>
        <w:rPr>
          <w:sz w:val="24"/>
        </w:rPr>
      </w:pPr>
    </w:p>
    <w:p w14:paraId="70D28817">
      <w:pPr>
        <w:pStyle w:val="23"/>
        <w:rPr>
          <w:sz w:val="24"/>
        </w:rPr>
      </w:pPr>
    </w:p>
    <w:p w14:paraId="47DC653A">
      <w:pPr>
        <w:pStyle w:val="23"/>
        <w:rPr>
          <w:sz w:val="24"/>
        </w:rPr>
      </w:pPr>
    </w:p>
    <w:p w14:paraId="67BE8AE2">
      <w:pPr>
        <w:pStyle w:val="22"/>
        <w:ind w:firstLine="0" w:firstLineChars="0"/>
        <w:rPr>
          <w:sz w:val="24"/>
        </w:rPr>
      </w:pPr>
    </w:p>
    <w:p w14:paraId="7CEB6061"/>
    <w:p w14:paraId="6389369C">
      <w:pPr>
        <w:rPr>
          <w:rFonts w:ascii="宋体" w:hAnsi="宋体" w:cs="宋体"/>
          <w:b/>
          <w:sz w:val="24"/>
        </w:rPr>
      </w:pPr>
      <w:r>
        <w:rPr>
          <w:rFonts w:hint="eastAsia" w:ascii="宋体" w:hAnsi="宋体" w:cs="宋体"/>
          <w:b/>
          <w:sz w:val="24"/>
        </w:rPr>
        <w:br w:type="page"/>
      </w:r>
    </w:p>
    <w:p w14:paraId="41A7F829">
      <w:pPr>
        <w:snapToGrid w:val="0"/>
        <w:spacing w:line="460" w:lineRule="exact"/>
        <w:jc w:val="center"/>
        <w:rPr>
          <w:rFonts w:ascii="宋体" w:hAnsi="宋体" w:cs="宋体"/>
          <w:b/>
          <w:sz w:val="24"/>
        </w:rPr>
      </w:pPr>
    </w:p>
    <w:p w14:paraId="6D4D748E">
      <w:pPr>
        <w:snapToGrid w:val="0"/>
        <w:spacing w:line="460" w:lineRule="exact"/>
        <w:jc w:val="center"/>
        <w:rPr>
          <w:rFonts w:ascii="宋体" w:hAnsi="宋体" w:cs="宋体"/>
          <w:b/>
          <w:sz w:val="24"/>
        </w:rPr>
      </w:pPr>
      <w:r>
        <w:rPr>
          <w:rFonts w:hint="eastAsia" w:ascii="宋体" w:hAnsi="宋体" w:cs="宋体"/>
          <w:b/>
          <w:sz w:val="24"/>
        </w:rPr>
        <w:t>一、投标函</w:t>
      </w:r>
    </w:p>
    <w:p w14:paraId="11DA1C71">
      <w:pPr>
        <w:snapToGrid w:val="0"/>
        <w:spacing w:line="460" w:lineRule="exact"/>
        <w:rPr>
          <w:rFonts w:ascii="宋体" w:hAnsi="宋体" w:cs="宋体"/>
          <w:sz w:val="24"/>
          <w:szCs w:val="20"/>
        </w:rPr>
      </w:pPr>
      <w:r>
        <w:rPr>
          <w:rFonts w:hint="eastAsia" w:ascii="宋体" w:hAnsi="宋体" w:cs="宋体"/>
          <w:sz w:val="24"/>
        </w:rPr>
        <w:t>致：（采购人名称）：</w:t>
      </w:r>
    </w:p>
    <w:p w14:paraId="563DDE9A">
      <w:pPr>
        <w:snapToGrid w:val="0"/>
        <w:spacing w:line="460" w:lineRule="exact"/>
        <w:ind w:firstLine="600" w:firstLineChars="250"/>
        <w:rPr>
          <w:rFonts w:ascii="宋体" w:hAnsi="宋体" w:cs="宋体"/>
          <w:sz w:val="24"/>
          <w:szCs w:val="20"/>
        </w:rPr>
      </w:pPr>
      <w:r>
        <w:rPr>
          <w:rFonts w:hint="eastAsia" w:ascii="宋体" w:hAnsi="宋体" w:cs="宋体"/>
          <w:sz w:val="24"/>
        </w:rPr>
        <w:t>根据贵方为项目的招标公告（项目编号：），签字代表（全名）经正式授权并代表供应商（供应商名称）提交资格文件、报价文件、技术文件、商务文件、资信及其他文件电子标书一份。</w:t>
      </w:r>
    </w:p>
    <w:p w14:paraId="75150865">
      <w:pPr>
        <w:snapToGrid w:val="0"/>
        <w:spacing w:line="460" w:lineRule="exact"/>
        <w:ind w:firstLine="480" w:firstLineChars="200"/>
        <w:rPr>
          <w:rFonts w:ascii="宋体" w:hAnsi="宋体" w:cs="宋体"/>
          <w:sz w:val="24"/>
          <w:szCs w:val="20"/>
        </w:rPr>
      </w:pPr>
      <w:r>
        <w:rPr>
          <w:rFonts w:hint="eastAsia" w:ascii="宋体" w:hAnsi="宋体" w:cs="宋体"/>
          <w:sz w:val="24"/>
        </w:rPr>
        <w:t>据此函，签字代表宣布同意如下：</w:t>
      </w:r>
    </w:p>
    <w:p w14:paraId="431390E8">
      <w:pPr>
        <w:snapToGrid w:val="0"/>
        <w:spacing w:line="460" w:lineRule="exact"/>
        <w:ind w:firstLine="480" w:firstLineChars="200"/>
        <w:rPr>
          <w:rFonts w:ascii="宋体" w:hAnsi="宋体" w:cs="宋体"/>
          <w:sz w:val="24"/>
          <w:szCs w:val="20"/>
        </w:rPr>
      </w:pPr>
      <w:r>
        <w:rPr>
          <w:rFonts w:hint="eastAsia" w:ascii="宋体" w:hAnsi="宋体" w:cs="宋体"/>
          <w:sz w:val="24"/>
        </w:rPr>
        <w:t>1.供应商已详细审查全部“招标文件”，包括修改文件（如有的话）以及全部参考资料和有关附件，已经了解我方对于招标文件、采购过程、采购结果有依法进行询问、质疑、投诉的权利及相关渠道和要求。</w:t>
      </w:r>
    </w:p>
    <w:p w14:paraId="44915B3F">
      <w:pPr>
        <w:snapToGrid w:val="0"/>
        <w:spacing w:line="460" w:lineRule="exact"/>
        <w:ind w:firstLine="480" w:firstLineChars="200"/>
        <w:rPr>
          <w:rFonts w:ascii="宋体" w:hAnsi="宋体" w:cs="宋体"/>
          <w:sz w:val="24"/>
          <w:szCs w:val="20"/>
        </w:rPr>
      </w:pPr>
      <w:r>
        <w:rPr>
          <w:rFonts w:hint="eastAsia" w:ascii="宋体" w:hAnsi="宋体" w:cs="宋体"/>
          <w:sz w:val="24"/>
        </w:rPr>
        <w:t>2.供应商在竞标之前已经与贵方进行了充分的沟通，完全理解并接受招标文件的各项规定和要求，对招标文件的合理性、合法性不再有异议。</w:t>
      </w:r>
    </w:p>
    <w:p w14:paraId="00770754">
      <w:pPr>
        <w:snapToGrid w:val="0"/>
        <w:spacing w:line="460" w:lineRule="exact"/>
        <w:ind w:firstLine="480" w:firstLineChars="200"/>
        <w:rPr>
          <w:rFonts w:ascii="宋体" w:hAnsi="宋体" w:cs="宋体"/>
          <w:sz w:val="24"/>
          <w:szCs w:val="20"/>
        </w:rPr>
      </w:pPr>
      <w:r>
        <w:rPr>
          <w:rFonts w:hint="eastAsia" w:ascii="宋体" w:hAnsi="宋体" w:cs="宋体"/>
          <w:sz w:val="24"/>
        </w:rPr>
        <w:t>3.本投标有效期自投标日起</w:t>
      </w:r>
      <w:r>
        <w:rPr>
          <w:rFonts w:hint="eastAsia" w:ascii="宋体" w:hAnsi="宋体" w:cs="宋体"/>
          <w:sz w:val="24"/>
          <w:u w:val="single"/>
        </w:rPr>
        <w:t>60</w:t>
      </w:r>
      <w:r>
        <w:rPr>
          <w:rFonts w:hint="eastAsia" w:ascii="宋体" w:hAnsi="宋体" w:cs="宋体"/>
          <w:sz w:val="24"/>
        </w:rPr>
        <w:t>个日历天。</w:t>
      </w:r>
    </w:p>
    <w:p w14:paraId="365A4899">
      <w:pPr>
        <w:snapToGrid w:val="0"/>
        <w:spacing w:line="460" w:lineRule="exact"/>
        <w:ind w:firstLine="480" w:firstLineChars="200"/>
        <w:rPr>
          <w:rFonts w:ascii="宋体" w:hAnsi="宋体" w:cs="宋体"/>
          <w:sz w:val="24"/>
          <w:szCs w:val="20"/>
        </w:rPr>
      </w:pPr>
      <w:r>
        <w:rPr>
          <w:rFonts w:hint="eastAsia" w:ascii="宋体" w:hAnsi="宋体" w:cs="宋体"/>
          <w:sz w:val="24"/>
        </w:rPr>
        <w:t>4.如成交，本投标文件至本项目合同履行完毕止均保持有效，本供应商将按“招标文件”及政府采购法律、法规的规定履行合同责任和义务。</w:t>
      </w:r>
    </w:p>
    <w:p w14:paraId="0E83AC0D">
      <w:pPr>
        <w:snapToGrid w:val="0"/>
        <w:spacing w:line="460" w:lineRule="exact"/>
        <w:ind w:firstLine="480" w:firstLineChars="200"/>
        <w:rPr>
          <w:rFonts w:ascii="宋体" w:hAnsi="宋体" w:cs="宋体"/>
          <w:sz w:val="24"/>
          <w:szCs w:val="20"/>
        </w:rPr>
      </w:pPr>
      <w:r>
        <w:rPr>
          <w:rFonts w:hint="eastAsia" w:ascii="宋体" w:hAnsi="宋体" w:cs="宋体"/>
          <w:sz w:val="24"/>
        </w:rPr>
        <w:t>5.供应商同意按照贵方要求提供与竞标有关的一切数据或资料。</w:t>
      </w:r>
    </w:p>
    <w:p w14:paraId="01CFCCA7">
      <w:pPr>
        <w:snapToGrid w:val="0"/>
        <w:spacing w:line="460" w:lineRule="exact"/>
        <w:ind w:firstLine="480" w:firstLineChars="200"/>
        <w:rPr>
          <w:rFonts w:ascii="宋体" w:hAnsi="宋体" w:cs="宋体"/>
          <w:sz w:val="24"/>
          <w:szCs w:val="20"/>
        </w:rPr>
      </w:pPr>
      <w:r>
        <w:rPr>
          <w:rFonts w:hint="eastAsia" w:ascii="宋体" w:hAnsi="宋体" w:cs="宋体"/>
          <w:sz w:val="24"/>
        </w:rPr>
        <w:t>6.与本竞标有关的一切正式往来信函请寄：</w:t>
      </w:r>
    </w:p>
    <w:p w14:paraId="390A4EA6">
      <w:pPr>
        <w:snapToGrid w:val="0"/>
        <w:spacing w:line="560" w:lineRule="exact"/>
        <w:rPr>
          <w:rFonts w:ascii="宋体" w:hAnsi="宋体" w:cs="宋体"/>
          <w:sz w:val="24"/>
          <w:szCs w:val="20"/>
        </w:rPr>
      </w:pPr>
      <w:r>
        <w:rPr>
          <w:rFonts w:hint="eastAsia" w:ascii="宋体" w:hAnsi="宋体" w:cs="宋体"/>
          <w:sz w:val="24"/>
        </w:rPr>
        <w:t>地址：邮编：电话：</w:t>
      </w:r>
    </w:p>
    <w:p w14:paraId="0B4ACEF2">
      <w:pPr>
        <w:snapToGrid w:val="0"/>
        <w:spacing w:line="560" w:lineRule="exact"/>
        <w:rPr>
          <w:rFonts w:ascii="宋体" w:hAnsi="宋体" w:cs="宋体"/>
          <w:sz w:val="24"/>
          <w:szCs w:val="20"/>
        </w:rPr>
      </w:pPr>
      <w:r>
        <w:rPr>
          <w:rFonts w:hint="eastAsia" w:ascii="宋体" w:hAnsi="宋体" w:cs="宋体"/>
          <w:sz w:val="24"/>
        </w:rPr>
        <w:t>传真：供应商代表姓名： 职务：</w:t>
      </w:r>
    </w:p>
    <w:p w14:paraId="0881186D">
      <w:pPr>
        <w:snapToGrid w:val="0"/>
        <w:spacing w:line="560" w:lineRule="exact"/>
        <w:rPr>
          <w:rFonts w:ascii="宋体" w:hAnsi="宋体" w:cs="宋体"/>
          <w:sz w:val="24"/>
          <w:u w:val="single"/>
        </w:rPr>
      </w:pPr>
      <w:r>
        <w:rPr>
          <w:rFonts w:hint="eastAsia" w:ascii="宋体" w:hAnsi="宋体"/>
          <w:sz w:val="24"/>
        </w:rPr>
        <w:t>投标供应商</w:t>
      </w:r>
      <w:r>
        <w:rPr>
          <w:rFonts w:hint="eastAsia" w:ascii="宋体" w:hAnsi="宋体" w:cs="宋体"/>
          <w:sz w:val="24"/>
        </w:rPr>
        <w:t>(公章):</w:t>
      </w:r>
    </w:p>
    <w:p w14:paraId="7FB058F5">
      <w:pPr>
        <w:snapToGrid w:val="0"/>
        <w:spacing w:line="560" w:lineRule="exact"/>
        <w:rPr>
          <w:rFonts w:ascii="宋体" w:hAnsi="宋体" w:cs="宋体"/>
          <w:sz w:val="24"/>
          <w:szCs w:val="20"/>
        </w:rPr>
      </w:pPr>
      <w:r>
        <w:rPr>
          <w:rFonts w:hint="eastAsia" w:ascii="宋体" w:hAnsi="宋体" w:cs="宋体"/>
          <w:sz w:val="24"/>
        </w:rPr>
        <w:t>开户银行：   银行帐号：</w:t>
      </w:r>
    </w:p>
    <w:p w14:paraId="6B41C578">
      <w:pPr>
        <w:snapToGrid w:val="0"/>
        <w:spacing w:line="560" w:lineRule="exact"/>
        <w:rPr>
          <w:rFonts w:ascii="宋体" w:hAnsi="宋体" w:cs="宋体"/>
          <w:sz w:val="30"/>
          <w:szCs w:val="20"/>
        </w:rPr>
      </w:pPr>
      <w:r>
        <w:rPr>
          <w:rFonts w:hint="eastAsia" w:ascii="宋体" w:hAnsi="宋体" w:cs="宋体"/>
          <w:sz w:val="24"/>
        </w:rPr>
        <w:t xml:space="preserve"> 日期:年月日</w:t>
      </w:r>
    </w:p>
    <w:p w14:paraId="6323E0FD">
      <w:pPr>
        <w:pStyle w:val="7"/>
        <w:spacing w:line="600" w:lineRule="exact"/>
        <w:ind w:firstLine="0"/>
        <w:rPr>
          <w:rFonts w:ascii="宋体" w:hAnsi="宋体" w:cs="宋体"/>
          <w:b/>
          <w:bCs/>
          <w:spacing w:val="24"/>
          <w:sz w:val="30"/>
        </w:rPr>
      </w:pPr>
    </w:p>
    <w:p w14:paraId="3269814A">
      <w:pPr>
        <w:pStyle w:val="7"/>
        <w:spacing w:line="600" w:lineRule="exact"/>
        <w:ind w:firstLine="0"/>
        <w:rPr>
          <w:rFonts w:ascii="宋体" w:hAnsi="宋体" w:cs="宋体"/>
          <w:b/>
          <w:bCs/>
          <w:spacing w:val="24"/>
          <w:sz w:val="30"/>
        </w:rPr>
      </w:pPr>
    </w:p>
    <w:p w14:paraId="6BB3C0CF">
      <w:pPr>
        <w:pStyle w:val="7"/>
        <w:spacing w:line="600" w:lineRule="exact"/>
        <w:ind w:firstLine="0"/>
        <w:rPr>
          <w:rFonts w:ascii="宋体" w:hAnsi="宋体" w:cs="宋体"/>
          <w:b/>
          <w:bCs/>
          <w:spacing w:val="24"/>
          <w:sz w:val="30"/>
        </w:rPr>
      </w:pPr>
    </w:p>
    <w:p w14:paraId="06E40777">
      <w:pPr>
        <w:pStyle w:val="7"/>
        <w:spacing w:line="600" w:lineRule="exact"/>
        <w:ind w:firstLine="0"/>
        <w:rPr>
          <w:rFonts w:ascii="宋体" w:hAnsi="宋体" w:cs="宋体"/>
          <w:b/>
          <w:bCs/>
          <w:spacing w:val="24"/>
          <w:sz w:val="30"/>
        </w:rPr>
      </w:pPr>
    </w:p>
    <w:p w14:paraId="78D9B979">
      <w:pPr>
        <w:spacing w:line="360" w:lineRule="auto"/>
        <w:rPr>
          <w:rFonts w:ascii="宋体" w:hAnsi="宋体" w:cs="宋体"/>
          <w:b/>
          <w:bCs/>
          <w:sz w:val="24"/>
        </w:rPr>
      </w:pPr>
    </w:p>
    <w:p w14:paraId="78033648">
      <w:pPr>
        <w:pStyle w:val="23"/>
      </w:pPr>
    </w:p>
    <w:p w14:paraId="511CD5C1">
      <w:pPr>
        <w:pStyle w:val="7"/>
      </w:pPr>
    </w:p>
    <w:p w14:paraId="5087AE06">
      <w:pPr>
        <w:pStyle w:val="29"/>
        <w:spacing w:before="295" w:after="295"/>
        <w:jc w:val="center"/>
        <w:rPr>
          <w:rFonts w:hint="eastAsia"/>
          <w:b/>
          <w:sz w:val="24"/>
          <w:szCs w:val="24"/>
        </w:rPr>
      </w:pPr>
    </w:p>
    <w:p w14:paraId="21C8BED2">
      <w:pPr>
        <w:pStyle w:val="29"/>
        <w:spacing w:before="295" w:after="295"/>
        <w:jc w:val="center"/>
        <w:rPr>
          <w:b/>
          <w:sz w:val="24"/>
          <w:szCs w:val="24"/>
        </w:rPr>
      </w:pPr>
      <w:r>
        <w:rPr>
          <w:rFonts w:hint="eastAsia"/>
          <w:b/>
          <w:sz w:val="24"/>
          <w:szCs w:val="24"/>
        </w:rPr>
        <w:t>二、</w:t>
      </w:r>
      <w:r>
        <w:rPr>
          <w:b/>
          <w:sz w:val="24"/>
          <w:szCs w:val="24"/>
        </w:rPr>
        <w:t>开标一览表</w:t>
      </w:r>
    </w:p>
    <w:p w14:paraId="40AD3BAF">
      <w:pPr>
        <w:adjustRightInd w:val="0"/>
        <w:snapToGrid w:val="0"/>
        <w:spacing w:line="440" w:lineRule="exact"/>
        <w:ind w:firstLine="480" w:firstLineChars="200"/>
        <w:rPr>
          <w:rFonts w:ascii="宋体" w:hAnsi="宋体"/>
          <w:sz w:val="24"/>
          <w:u w:val="single"/>
        </w:rPr>
      </w:pPr>
      <w:r>
        <w:rPr>
          <w:rFonts w:hint="eastAsia" w:ascii="宋体" w:hAnsi="宋体"/>
          <w:sz w:val="24"/>
        </w:rPr>
        <w:t xml:space="preserve">项目名称：                                   </w:t>
      </w:r>
    </w:p>
    <w:p w14:paraId="230BB0D2">
      <w:pPr>
        <w:spacing w:line="500" w:lineRule="exact"/>
        <w:ind w:right="465" w:rightChars="166" w:firstLine="480" w:firstLineChars="200"/>
        <w:rPr>
          <w:rFonts w:ascii="宋体" w:hAnsi="宋体" w:cs="宋体"/>
          <w:sz w:val="24"/>
        </w:rPr>
      </w:pPr>
      <w:r>
        <w:rPr>
          <w:rFonts w:hint="eastAsia" w:ascii="宋体" w:hAnsi="宋体" w:cs="宋体"/>
          <w:sz w:val="24"/>
        </w:rPr>
        <w:t>项目编号：</w:t>
      </w:r>
    </w:p>
    <w:tbl>
      <w:tblPr>
        <w:tblStyle w:val="44"/>
        <w:tblW w:w="97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9"/>
        <w:gridCol w:w="4913"/>
      </w:tblGrid>
      <w:tr w14:paraId="1582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869" w:type="dxa"/>
            <w:noWrap/>
            <w:vAlign w:val="center"/>
          </w:tcPr>
          <w:p w14:paraId="5B06B9C4">
            <w:pPr>
              <w:adjustRightInd w:val="0"/>
              <w:snapToGrid w:val="0"/>
              <w:spacing w:line="440" w:lineRule="exact"/>
              <w:jc w:val="center"/>
              <w:rPr>
                <w:sz w:val="24"/>
              </w:rPr>
            </w:pPr>
            <w:r>
              <w:rPr>
                <w:rFonts w:hint="eastAsia"/>
                <w:sz w:val="24"/>
              </w:rPr>
              <w:t>项目名称</w:t>
            </w:r>
          </w:p>
        </w:tc>
        <w:tc>
          <w:tcPr>
            <w:tcW w:w="4913" w:type="dxa"/>
            <w:noWrap/>
            <w:vAlign w:val="center"/>
          </w:tcPr>
          <w:p w14:paraId="7B189B1D">
            <w:pPr>
              <w:adjustRightInd w:val="0"/>
              <w:snapToGrid w:val="0"/>
              <w:spacing w:line="440" w:lineRule="exact"/>
              <w:jc w:val="center"/>
              <w:rPr>
                <w:sz w:val="24"/>
              </w:rPr>
            </w:pPr>
            <w:r>
              <w:rPr>
                <w:rFonts w:hint="eastAsia"/>
                <w:sz w:val="24"/>
              </w:rPr>
              <w:t>投标报价</w:t>
            </w:r>
          </w:p>
        </w:tc>
      </w:tr>
      <w:tr w14:paraId="5309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4869" w:type="dxa"/>
            <w:noWrap/>
            <w:vAlign w:val="center"/>
          </w:tcPr>
          <w:p w14:paraId="73375C74">
            <w:pPr>
              <w:adjustRightInd w:val="0"/>
              <w:snapToGrid w:val="0"/>
              <w:spacing w:line="440" w:lineRule="exact"/>
              <w:ind w:left="-140" w:leftChars="-50" w:right="-140" w:rightChars="-50"/>
              <w:jc w:val="center"/>
              <w:rPr>
                <w:rFonts w:hint="eastAsia"/>
                <w:sz w:val="24"/>
                <w:lang w:eastAsia="zh-CN"/>
              </w:rPr>
            </w:pPr>
            <w:r>
              <w:rPr>
                <w:rFonts w:hint="eastAsia"/>
                <w:sz w:val="24"/>
                <w:lang w:eastAsia="zh-CN"/>
              </w:rPr>
              <w:t>吴兴区2024年度千万亩森林质量精准提升工程</w:t>
            </w:r>
          </w:p>
          <w:p w14:paraId="4E4F5B61">
            <w:pPr>
              <w:pStyle w:val="21"/>
              <w:rPr>
                <w:rFonts w:hint="eastAsia"/>
                <w:lang w:eastAsia="zh-CN"/>
              </w:rPr>
            </w:pPr>
          </w:p>
        </w:tc>
        <w:tc>
          <w:tcPr>
            <w:tcW w:w="4913" w:type="dxa"/>
            <w:noWrap/>
            <w:vAlign w:val="center"/>
          </w:tcPr>
          <w:p w14:paraId="6A52D05A">
            <w:pPr>
              <w:adjustRightInd w:val="0"/>
              <w:snapToGrid w:val="0"/>
              <w:spacing w:line="440" w:lineRule="exact"/>
              <w:rPr>
                <w:sz w:val="24"/>
              </w:rPr>
            </w:pPr>
            <w:r>
              <w:rPr>
                <w:rFonts w:hint="eastAsia"/>
                <w:sz w:val="24"/>
              </w:rPr>
              <w:t>人民币大写：</w:t>
            </w:r>
          </w:p>
          <w:p w14:paraId="4962CEA2">
            <w:pPr>
              <w:adjustRightInd w:val="0"/>
              <w:snapToGrid w:val="0"/>
              <w:spacing w:line="440" w:lineRule="exact"/>
              <w:rPr>
                <w:sz w:val="24"/>
              </w:rPr>
            </w:pPr>
            <w:r>
              <w:rPr>
                <w:rFonts w:hint="eastAsia"/>
                <w:sz w:val="24"/>
              </w:rPr>
              <w:t>人民币小写：</w:t>
            </w:r>
          </w:p>
        </w:tc>
      </w:tr>
    </w:tbl>
    <w:p w14:paraId="368BC443">
      <w:pPr>
        <w:spacing w:line="500" w:lineRule="exact"/>
        <w:ind w:left="663" w:leftChars="105" w:hanging="369" w:hangingChars="154"/>
        <w:rPr>
          <w:rFonts w:ascii="宋体" w:hAnsi="宋体" w:cs="宋体"/>
          <w:sz w:val="24"/>
        </w:rPr>
      </w:pPr>
      <w:r>
        <w:rPr>
          <w:rFonts w:hint="eastAsia" w:ascii="宋体" w:hAnsi="宋体" w:cs="宋体"/>
          <w:sz w:val="24"/>
        </w:rPr>
        <w:t>说明：</w:t>
      </w:r>
    </w:p>
    <w:p w14:paraId="513C0D75">
      <w:pPr>
        <w:spacing w:line="500" w:lineRule="exact"/>
        <w:ind w:left="546" w:leftChars="106" w:hanging="249" w:hangingChars="104"/>
        <w:rPr>
          <w:rFonts w:ascii="宋体" w:hAnsi="宋体" w:cs="宋体"/>
          <w:sz w:val="24"/>
        </w:rPr>
      </w:pPr>
      <w:r>
        <w:rPr>
          <w:rFonts w:hint="eastAsia" w:ascii="宋体" w:hAnsi="宋体" w:cs="宋体"/>
          <w:sz w:val="24"/>
        </w:rPr>
        <w:t>1. 开标一览表中的报价为完成本项目的所有费用。</w:t>
      </w:r>
    </w:p>
    <w:p w14:paraId="3C03B616">
      <w:pPr>
        <w:spacing w:line="500" w:lineRule="exact"/>
        <w:ind w:left="546" w:leftChars="106" w:hanging="249" w:hangingChars="104"/>
        <w:rPr>
          <w:rFonts w:ascii="宋体" w:hAnsi="宋体" w:cs="宋体"/>
          <w:sz w:val="24"/>
        </w:rPr>
      </w:pPr>
      <w:r>
        <w:rPr>
          <w:rFonts w:hint="eastAsia" w:ascii="宋体" w:hAnsi="宋体"/>
          <w:sz w:val="24"/>
        </w:rPr>
        <w:t>2.报价一经涂改，应在涂改处加盖单位公章或者由法定代表人或授权委托人签字或盖章，否则其投标作无效标处理。</w:t>
      </w:r>
    </w:p>
    <w:p w14:paraId="5C44D1C4">
      <w:pPr>
        <w:jc w:val="left"/>
        <w:rPr>
          <w:rFonts w:ascii="宋体" w:hAnsi="宋体" w:cs="宋体"/>
          <w:b/>
          <w:sz w:val="24"/>
          <w:u w:val="single"/>
        </w:rPr>
      </w:pPr>
    </w:p>
    <w:p w14:paraId="77CA4C3F">
      <w:pPr>
        <w:jc w:val="left"/>
        <w:rPr>
          <w:rFonts w:ascii="宋体" w:hAnsi="宋体" w:cs="宋体"/>
          <w:b/>
          <w:sz w:val="24"/>
          <w:u w:val="single"/>
        </w:rPr>
      </w:pPr>
    </w:p>
    <w:p w14:paraId="32C4780F">
      <w:pPr>
        <w:jc w:val="left"/>
        <w:rPr>
          <w:b/>
          <w:sz w:val="24"/>
        </w:rPr>
      </w:pPr>
    </w:p>
    <w:p w14:paraId="4E87E57F">
      <w:pPr>
        <w:spacing w:line="360" w:lineRule="auto"/>
        <w:jc w:val="left"/>
        <w:rPr>
          <w:sz w:val="24"/>
        </w:rPr>
      </w:pPr>
      <w:r>
        <w:rPr>
          <w:rFonts w:hint="eastAsia"/>
          <w:sz w:val="24"/>
        </w:rPr>
        <w:t>投标供应商全称（加盖公章）：</w:t>
      </w:r>
    </w:p>
    <w:p w14:paraId="6064D0FF">
      <w:pPr>
        <w:spacing w:line="360" w:lineRule="auto"/>
        <w:jc w:val="left"/>
        <w:rPr>
          <w:sz w:val="24"/>
        </w:rPr>
      </w:pPr>
      <w:r>
        <w:rPr>
          <w:rFonts w:hint="eastAsia"/>
          <w:sz w:val="24"/>
        </w:rPr>
        <w:t>法定代表人或其授权代理人（盖章）：</w:t>
      </w:r>
    </w:p>
    <w:p w14:paraId="569945F4">
      <w:pPr>
        <w:spacing w:line="360" w:lineRule="auto"/>
        <w:jc w:val="left"/>
        <w:rPr>
          <w:sz w:val="24"/>
        </w:rPr>
      </w:pPr>
    </w:p>
    <w:p w14:paraId="1890A82D">
      <w:pPr>
        <w:spacing w:line="360" w:lineRule="auto"/>
        <w:jc w:val="left"/>
        <w:rPr>
          <w:sz w:val="24"/>
        </w:rPr>
      </w:pPr>
    </w:p>
    <w:p w14:paraId="4D954D25">
      <w:pPr>
        <w:spacing w:line="360" w:lineRule="auto"/>
        <w:jc w:val="left"/>
        <w:rPr>
          <w:sz w:val="24"/>
        </w:rPr>
      </w:pPr>
      <w:r>
        <w:rPr>
          <w:rFonts w:hint="eastAsia"/>
          <w:sz w:val="24"/>
        </w:rPr>
        <w:t xml:space="preserve">                                                日期：   年   月  日 </w:t>
      </w:r>
    </w:p>
    <w:p w14:paraId="5077809D">
      <w:pPr>
        <w:spacing w:line="360" w:lineRule="auto"/>
        <w:rPr>
          <w:rFonts w:ascii="宋体" w:hAnsi="宋体" w:cs="宋体"/>
          <w:b/>
          <w:szCs w:val="28"/>
        </w:rPr>
      </w:pPr>
    </w:p>
    <w:p w14:paraId="6F66FE79">
      <w:pPr>
        <w:pStyle w:val="22"/>
        <w:ind w:firstLine="240"/>
        <w:rPr>
          <w:sz w:val="24"/>
        </w:rPr>
      </w:pPr>
    </w:p>
    <w:p w14:paraId="2511EB29">
      <w:pPr>
        <w:pStyle w:val="22"/>
        <w:ind w:firstLine="240"/>
        <w:rPr>
          <w:sz w:val="24"/>
        </w:rPr>
      </w:pPr>
    </w:p>
    <w:p w14:paraId="54EFFB89">
      <w:pPr>
        <w:pStyle w:val="22"/>
        <w:ind w:firstLine="0" w:firstLineChars="0"/>
        <w:rPr>
          <w:sz w:val="24"/>
        </w:rPr>
      </w:pPr>
    </w:p>
    <w:p w14:paraId="3BB26347">
      <w:pPr>
        <w:pStyle w:val="22"/>
        <w:ind w:firstLine="0" w:firstLineChars="0"/>
        <w:rPr>
          <w:sz w:val="24"/>
        </w:rPr>
      </w:pPr>
    </w:p>
    <w:p w14:paraId="76BEA814"/>
    <w:p w14:paraId="6AEAEBE9">
      <w:pPr>
        <w:snapToGrid w:val="0"/>
        <w:spacing w:before="50" w:after="50" w:line="540" w:lineRule="exact"/>
        <w:jc w:val="center"/>
        <w:rPr>
          <w:b/>
          <w:bCs/>
          <w:sz w:val="24"/>
        </w:rPr>
      </w:pPr>
    </w:p>
    <w:p w14:paraId="25CFEE75">
      <w:pPr>
        <w:rPr>
          <w:rFonts w:hint="eastAsia"/>
          <w:b/>
          <w:bCs/>
          <w:sz w:val="24"/>
        </w:rPr>
      </w:pPr>
      <w:r>
        <w:rPr>
          <w:rFonts w:hint="eastAsia"/>
          <w:b/>
          <w:bCs/>
          <w:sz w:val="24"/>
        </w:rPr>
        <w:br w:type="page"/>
      </w:r>
    </w:p>
    <w:p w14:paraId="2A779BF6">
      <w:pPr>
        <w:jc w:val="center"/>
        <w:rPr>
          <w:rFonts w:hint="eastAsia"/>
          <w:b/>
          <w:bCs/>
          <w:sz w:val="24"/>
        </w:rPr>
      </w:pPr>
    </w:p>
    <w:p w14:paraId="33CF684F">
      <w:pPr>
        <w:jc w:val="center"/>
        <w:rPr>
          <w:rFonts w:hint="eastAsia"/>
          <w:b/>
          <w:bCs/>
          <w:sz w:val="24"/>
        </w:rPr>
      </w:pPr>
    </w:p>
    <w:p w14:paraId="2BB62B80">
      <w:pPr>
        <w:jc w:val="center"/>
        <w:rPr>
          <w:b/>
          <w:bCs/>
          <w:sz w:val="24"/>
        </w:rPr>
      </w:pPr>
      <w:r>
        <w:rPr>
          <w:rFonts w:hint="eastAsia"/>
          <w:b/>
          <w:bCs/>
          <w:sz w:val="24"/>
        </w:rPr>
        <w:t>三、报价明细表</w:t>
      </w:r>
    </w:p>
    <w:p w14:paraId="49C16E3F">
      <w:pPr>
        <w:snapToGrid w:val="0"/>
        <w:spacing w:before="50" w:afterLines="50" w:line="540" w:lineRule="exact"/>
        <w:rPr>
          <w:sz w:val="24"/>
        </w:rPr>
      </w:pPr>
      <w:r>
        <w:rPr>
          <w:rFonts w:hint="eastAsia"/>
          <w:sz w:val="24"/>
        </w:rPr>
        <w:t>项目名称：</w:t>
      </w:r>
    </w:p>
    <w:p w14:paraId="66E24E4C">
      <w:pPr>
        <w:snapToGrid w:val="0"/>
        <w:spacing w:before="50" w:afterLines="50" w:line="540" w:lineRule="exact"/>
        <w:rPr>
          <w:sz w:val="24"/>
        </w:rPr>
      </w:pPr>
      <w:r>
        <w:rPr>
          <w:rFonts w:hint="eastAsia"/>
          <w:sz w:val="24"/>
        </w:rPr>
        <w:t>项目编号：</w:t>
      </w:r>
    </w:p>
    <w:tbl>
      <w:tblPr>
        <w:tblStyle w:val="44"/>
        <w:tblpPr w:leftFromText="180" w:rightFromText="180" w:vertAnchor="text" w:horzAnchor="page" w:tblpX="976" w:tblpY="394"/>
        <w:tblOverlap w:val="never"/>
        <w:tblW w:w="51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436"/>
        <w:gridCol w:w="2482"/>
        <w:gridCol w:w="879"/>
        <w:gridCol w:w="821"/>
        <w:gridCol w:w="975"/>
        <w:gridCol w:w="1766"/>
        <w:gridCol w:w="977"/>
      </w:tblGrid>
      <w:tr w14:paraId="1CB9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56" w:type="pct"/>
            <w:vAlign w:val="center"/>
          </w:tcPr>
          <w:p w14:paraId="2ABBFE08">
            <w:pPr>
              <w:spacing w:line="360" w:lineRule="auto"/>
              <w:jc w:val="center"/>
              <w:rPr>
                <w:sz w:val="24"/>
              </w:rPr>
            </w:pPr>
            <w:r>
              <w:rPr>
                <w:rFonts w:hint="eastAsia"/>
                <w:sz w:val="24"/>
              </w:rPr>
              <w:t>序号</w:t>
            </w:r>
          </w:p>
        </w:tc>
        <w:tc>
          <w:tcPr>
            <w:tcW w:w="714" w:type="pct"/>
            <w:vAlign w:val="center"/>
          </w:tcPr>
          <w:p w14:paraId="37D5F119">
            <w:pPr>
              <w:spacing w:line="360" w:lineRule="auto"/>
              <w:jc w:val="center"/>
              <w:rPr>
                <w:sz w:val="24"/>
              </w:rPr>
            </w:pPr>
            <w:r>
              <w:rPr>
                <w:rFonts w:hint="eastAsia"/>
                <w:sz w:val="24"/>
              </w:rPr>
              <w:t>名称</w:t>
            </w:r>
          </w:p>
        </w:tc>
        <w:tc>
          <w:tcPr>
            <w:tcW w:w="1234" w:type="pct"/>
            <w:vAlign w:val="center"/>
          </w:tcPr>
          <w:p w14:paraId="08594532">
            <w:pPr>
              <w:spacing w:line="360" w:lineRule="auto"/>
              <w:jc w:val="center"/>
              <w:rPr>
                <w:sz w:val="24"/>
              </w:rPr>
            </w:pPr>
            <w:r>
              <w:rPr>
                <w:rFonts w:hint="eastAsia"/>
                <w:sz w:val="24"/>
              </w:rPr>
              <w:t>详细说明</w:t>
            </w:r>
          </w:p>
        </w:tc>
        <w:tc>
          <w:tcPr>
            <w:tcW w:w="437" w:type="pct"/>
            <w:vAlign w:val="center"/>
          </w:tcPr>
          <w:p w14:paraId="349B22FD">
            <w:pPr>
              <w:spacing w:line="360" w:lineRule="auto"/>
              <w:jc w:val="center"/>
              <w:rPr>
                <w:sz w:val="24"/>
              </w:rPr>
            </w:pPr>
            <w:r>
              <w:rPr>
                <w:rFonts w:hint="eastAsia"/>
                <w:sz w:val="24"/>
              </w:rPr>
              <w:t>数量</w:t>
            </w:r>
          </w:p>
        </w:tc>
        <w:tc>
          <w:tcPr>
            <w:tcW w:w="408" w:type="pct"/>
            <w:vAlign w:val="center"/>
          </w:tcPr>
          <w:p w14:paraId="04C38698">
            <w:pPr>
              <w:spacing w:line="360" w:lineRule="auto"/>
              <w:jc w:val="center"/>
              <w:rPr>
                <w:sz w:val="24"/>
              </w:rPr>
            </w:pPr>
            <w:r>
              <w:rPr>
                <w:rFonts w:hint="eastAsia"/>
                <w:sz w:val="24"/>
              </w:rPr>
              <w:t>单位</w:t>
            </w:r>
          </w:p>
        </w:tc>
        <w:tc>
          <w:tcPr>
            <w:tcW w:w="485" w:type="pct"/>
            <w:vAlign w:val="center"/>
          </w:tcPr>
          <w:p w14:paraId="1112FBF5">
            <w:pPr>
              <w:spacing w:line="360" w:lineRule="auto"/>
              <w:jc w:val="center"/>
              <w:rPr>
                <w:sz w:val="24"/>
              </w:rPr>
            </w:pPr>
            <w:r>
              <w:rPr>
                <w:rFonts w:hint="eastAsia"/>
                <w:sz w:val="24"/>
              </w:rPr>
              <w:t>单价</w:t>
            </w:r>
          </w:p>
        </w:tc>
        <w:tc>
          <w:tcPr>
            <w:tcW w:w="878" w:type="pct"/>
            <w:vAlign w:val="center"/>
          </w:tcPr>
          <w:p w14:paraId="5B4E080E">
            <w:pPr>
              <w:spacing w:line="360" w:lineRule="auto"/>
              <w:jc w:val="center"/>
              <w:rPr>
                <w:sz w:val="24"/>
              </w:rPr>
            </w:pPr>
            <w:r>
              <w:rPr>
                <w:rFonts w:hint="eastAsia"/>
                <w:sz w:val="24"/>
              </w:rPr>
              <w:t>合计（元）</w:t>
            </w:r>
          </w:p>
        </w:tc>
        <w:tc>
          <w:tcPr>
            <w:tcW w:w="485" w:type="pct"/>
            <w:vAlign w:val="center"/>
          </w:tcPr>
          <w:p w14:paraId="0885D6C5">
            <w:pPr>
              <w:spacing w:line="360" w:lineRule="auto"/>
              <w:jc w:val="center"/>
              <w:rPr>
                <w:sz w:val="24"/>
              </w:rPr>
            </w:pPr>
            <w:r>
              <w:rPr>
                <w:rFonts w:hint="eastAsia"/>
                <w:sz w:val="24"/>
              </w:rPr>
              <w:t>备注</w:t>
            </w:r>
          </w:p>
        </w:tc>
      </w:tr>
      <w:tr w14:paraId="52F4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356" w:type="pct"/>
            <w:vAlign w:val="center"/>
          </w:tcPr>
          <w:p w14:paraId="39F0B72B">
            <w:pPr>
              <w:spacing w:line="360" w:lineRule="auto"/>
              <w:jc w:val="center"/>
              <w:rPr>
                <w:sz w:val="24"/>
              </w:rPr>
            </w:pPr>
          </w:p>
        </w:tc>
        <w:tc>
          <w:tcPr>
            <w:tcW w:w="714" w:type="pct"/>
            <w:vAlign w:val="center"/>
          </w:tcPr>
          <w:p w14:paraId="06D131C2">
            <w:pPr>
              <w:widowControl/>
              <w:jc w:val="center"/>
              <w:rPr>
                <w:sz w:val="24"/>
              </w:rPr>
            </w:pPr>
          </w:p>
        </w:tc>
        <w:tc>
          <w:tcPr>
            <w:tcW w:w="1234" w:type="pct"/>
            <w:vAlign w:val="center"/>
          </w:tcPr>
          <w:p w14:paraId="6543B3B0">
            <w:pPr>
              <w:autoSpaceDE w:val="0"/>
              <w:autoSpaceDN w:val="0"/>
              <w:spacing w:line="320" w:lineRule="atLeast"/>
              <w:jc w:val="center"/>
              <w:rPr>
                <w:sz w:val="24"/>
              </w:rPr>
            </w:pPr>
          </w:p>
        </w:tc>
        <w:tc>
          <w:tcPr>
            <w:tcW w:w="437" w:type="pct"/>
            <w:vAlign w:val="center"/>
          </w:tcPr>
          <w:p w14:paraId="448359D3">
            <w:pPr>
              <w:autoSpaceDE w:val="0"/>
              <w:autoSpaceDN w:val="0"/>
              <w:spacing w:line="320" w:lineRule="atLeast"/>
              <w:jc w:val="center"/>
              <w:rPr>
                <w:rFonts w:ascii="宋体" w:hAnsi="宋体"/>
                <w:sz w:val="24"/>
              </w:rPr>
            </w:pPr>
          </w:p>
        </w:tc>
        <w:tc>
          <w:tcPr>
            <w:tcW w:w="408" w:type="pct"/>
            <w:vAlign w:val="center"/>
          </w:tcPr>
          <w:p w14:paraId="67FB87BA">
            <w:pPr>
              <w:autoSpaceDE w:val="0"/>
              <w:autoSpaceDN w:val="0"/>
              <w:spacing w:line="320" w:lineRule="atLeast"/>
              <w:jc w:val="center"/>
              <w:rPr>
                <w:rFonts w:ascii="宋体" w:hAnsi="宋体"/>
                <w:sz w:val="24"/>
              </w:rPr>
            </w:pPr>
          </w:p>
        </w:tc>
        <w:tc>
          <w:tcPr>
            <w:tcW w:w="485" w:type="pct"/>
            <w:vAlign w:val="center"/>
          </w:tcPr>
          <w:p w14:paraId="03E3687D">
            <w:pPr>
              <w:spacing w:line="360" w:lineRule="auto"/>
              <w:jc w:val="center"/>
              <w:rPr>
                <w:sz w:val="24"/>
              </w:rPr>
            </w:pPr>
          </w:p>
        </w:tc>
        <w:tc>
          <w:tcPr>
            <w:tcW w:w="878" w:type="pct"/>
            <w:vAlign w:val="center"/>
          </w:tcPr>
          <w:p w14:paraId="44FCFF8C">
            <w:pPr>
              <w:spacing w:line="360" w:lineRule="auto"/>
              <w:jc w:val="center"/>
              <w:rPr>
                <w:sz w:val="24"/>
              </w:rPr>
            </w:pPr>
          </w:p>
        </w:tc>
        <w:tc>
          <w:tcPr>
            <w:tcW w:w="485" w:type="pct"/>
            <w:vAlign w:val="center"/>
          </w:tcPr>
          <w:p w14:paraId="0A4232D7">
            <w:pPr>
              <w:spacing w:line="360" w:lineRule="auto"/>
              <w:jc w:val="center"/>
              <w:rPr>
                <w:sz w:val="24"/>
              </w:rPr>
            </w:pPr>
          </w:p>
        </w:tc>
      </w:tr>
      <w:tr w14:paraId="134D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56" w:type="pct"/>
            <w:vAlign w:val="center"/>
          </w:tcPr>
          <w:p w14:paraId="3432C85F">
            <w:pPr>
              <w:spacing w:line="360" w:lineRule="auto"/>
              <w:jc w:val="center"/>
              <w:rPr>
                <w:sz w:val="24"/>
              </w:rPr>
            </w:pPr>
          </w:p>
        </w:tc>
        <w:tc>
          <w:tcPr>
            <w:tcW w:w="714" w:type="pct"/>
            <w:vAlign w:val="center"/>
          </w:tcPr>
          <w:p w14:paraId="20D338AC">
            <w:pPr>
              <w:widowControl/>
              <w:jc w:val="center"/>
              <w:rPr>
                <w:sz w:val="24"/>
              </w:rPr>
            </w:pPr>
          </w:p>
        </w:tc>
        <w:tc>
          <w:tcPr>
            <w:tcW w:w="1234" w:type="pct"/>
            <w:vAlign w:val="center"/>
          </w:tcPr>
          <w:p w14:paraId="2F8C3BA8">
            <w:pPr>
              <w:autoSpaceDE w:val="0"/>
              <w:autoSpaceDN w:val="0"/>
              <w:spacing w:line="320" w:lineRule="atLeast"/>
              <w:jc w:val="center"/>
              <w:rPr>
                <w:sz w:val="24"/>
              </w:rPr>
            </w:pPr>
          </w:p>
        </w:tc>
        <w:tc>
          <w:tcPr>
            <w:tcW w:w="437" w:type="pct"/>
            <w:vAlign w:val="center"/>
          </w:tcPr>
          <w:p w14:paraId="36C35807">
            <w:pPr>
              <w:autoSpaceDE w:val="0"/>
              <w:autoSpaceDN w:val="0"/>
              <w:spacing w:line="320" w:lineRule="atLeast"/>
              <w:jc w:val="center"/>
              <w:rPr>
                <w:rFonts w:ascii="宋体" w:hAnsi="宋体"/>
                <w:sz w:val="24"/>
              </w:rPr>
            </w:pPr>
          </w:p>
        </w:tc>
        <w:tc>
          <w:tcPr>
            <w:tcW w:w="408" w:type="pct"/>
            <w:vAlign w:val="center"/>
          </w:tcPr>
          <w:p w14:paraId="5F8BC839">
            <w:pPr>
              <w:autoSpaceDE w:val="0"/>
              <w:autoSpaceDN w:val="0"/>
              <w:spacing w:line="320" w:lineRule="atLeast"/>
              <w:jc w:val="center"/>
              <w:rPr>
                <w:rFonts w:ascii="宋体" w:hAnsi="宋体"/>
                <w:sz w:val="24"/>
              </w:rPr>
            </w:pPr>
          </w:p>
        </w:tc>
        <w:tc>
          <w:tcPr>
            <w:tcW w:w="485" w:type="pct"/>
            <w:vAlign w:val="center"/>
          </w:tcPr>
          <w:p w14:paraId="580C992C">
            <w:pPr>
              <w:spacing w:line="360" w:lineRule="auto"/>
              <w:jc w:val="center"/>
              <w:rPr>
                <w:sz w:val="24"/>
              </w:rPr>
            </w:pPr>
          </w:p>
        </w:tc>
        <w:tc>
          <w:tcPr>
            <w:tcW w:w="878" w:type="pct"/>
            <w:vAlign w:val="center"/>
          </w:tcPr>
          <w:p w14:paraId="7BF6346C">
            <w:pPr>
              <w:spacing w:line="360" w:lineRule="auto"/>
              <w:jc w:val="center"/>
              <w:rPr>
                <w:sz w:val="24"/>
              </w:rPr>
            </w:pPr>
          </w:p>
        </w:tc>
        <w:tc>
          <w:tcPr>
            <w:tcW w:w="485" w:type="pct"/>
            <w:vAlign w:val="center"/>
          </w:tcPr>
          <w:p w14:paraId="3346FC2D">
            <w:pPr>
              <w:spacing w:line="360" w:lineRule="auto"/>
              <w:jc w:val="center"/>
              <w:rPr>
                <w:sz w:val="24"/>
              </w:rPr>
            </w:pPr>
          </w:p>
        </w:tc>
      </w:tr>
      <w:tr w14:paraId="61EC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56" w:type="pct"/>
            <w:vAlign w:val="center"/>
          </w:tcPr>
          <w:p w14:paraId="13635D0A">
            <w:pPr>
              <w:spacing w:line="360" w:lineRule="auto"/>
              <w:jc w:val="center"/>
              <w:rPr>
                <w:sz w:val="24"/>
              </w:rPr>
            </w:pPr>
          </w:p>
        </w:tc>
        <w:tc>
          <w:tcPr>
            <w:tcW w:w="714" w:type="pct"/>
            <w:vAlign w:val="center"/>
          </w:tcPr>
          <w:p w14:paraId="38E6010B">
            <w:pPr>
              <w:widowControl/>
              <w:rPr>
                <w:sz w:val="24"/>
              </w:rPr>
            </w:pPr>
          </w:p>
        </w:tc>
        <w:tc>
          <w:tcPr>
            <w:tcW w:w="1234" w:type="pct"/>
            <w:vAlign w:val="center"/>
          </w:tcPr>
          <w:p w14:paraId="44FE2203">
            <w:pPr>
              <w:autoSpaceDE w:val="0"/>
              <w:autoSpaceDN w:val="0"/>
              <w:spacing w:line="320" w:lineRule="atLeast"/>
              <w:jc w:val="center"/>
              <w:rPr>
                <w:sz w:val="24"/>
              </w:rPr>
            </w:pPr>
          </w:p>
        </w:tc>
        <w:tc>
          <w:tcPr>
            <w:tcW w:w="437" w:type="pct"/>
            <w:vAlign w:val="center"/>
          </w:tcPr>
          <w:p w14:paraId="3CF45A0D">
            <w:pPr>
              <w:autoSpaceDE w:val="0"/>
              <w:autoSpaceDN w:val="0"/>
              <w:spacing w:line="320" w:lineRule="atLeast"/>
              <w:jc w:val="center"/>
              <w:rPr>
                <w:rFonts w:ascii="宋体" w:hAnsi="宋体"/>
                <w:sz w:val="24"/>
              </w:rPr>
            </w:pPr>
          </w:p>
        </w:tc>
        <w:tc>
          <w:tcPr>
            <w:tcW w:w="408" w:type="pct"/>
            <w:vAlign w:val="center"/>
          </w:tcPr>
          <w:p w14:paraId="4130DADC">
            <w:pPr>
              <w:autoSpaceDE w:val="0"/>
              <w:autoSpaceDN w:val="0"/>
              <w:spacing w:line="320" w:lineRule="atLeast"/>
              <w:jc w:val="center"/>
              <w:rPr>
                <w:rFonts w:ascii="宋体" w:hAnsi="宋体"/>
                <w:sz w:val="24"/>
              </w:rPr>
            </w:pPr>
          </w:p>
        </w:tc>
        <w:tc>
          <w:tcPr>
            <w:tcW w:w="485" w:type="pct"/>
            <w:vAlign w:val="center"/>
          </w:tcPr>
          <w:p w14:paraId="07435B7B">
            <w:pPr>
              <w:spacing w:line="360" w:lineRule="auto"/>
              <w:jc w:val="center"/>
              <w:rPr>
                <w:sz w:val="24"/>
              </w:rPr>
            </w:pPr>
          </w:p>
        </w:tc>
        <w:tc>
          <w:tcPr>
            <w:tcW w:w="878" w:type="pct"/>
            <w:vAlign w:val="center"/>
          </w:tcPr>
          <w:p w14:paraId="16632F28">
            <w:pPr>
              <w:spacing w:line="360" w:lineRule="auto"/>
              <w:jc w:val="center"/>
              <w:rPr>
                <w:sz w:val="24"/>
              </w:rPr>
            </w:pPr>
          </w:p>
        </w:tc>
        <w:tc>
          <w:tcPr>
            <w:tcW w:w="485" w:type="pct"/>
            <w:vAlign w:val="center"/>
          </w:tcPr>
          <w:p w14:paraId="699BB403">
            <w:pPr>
              <w:spacing w:line="360" w:lineRule="auto"/>
              <w:jc w:val="center"/>
              <w:rPr>
                <w:sz w:val="24"/>
              </w:rPr>
            </w:pPr>
          </w:p>
        </w:tc>
      </w:tr>
      <w:tr w14:paraId="534F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6" w:type="pct"/>
            <w:vAlign w:val="center"/>
          </w:tcPr>
          <w:p w14:paraId="638A597F">
            <w:pPr>
              <w:spacing w:line="360" w:lineRule="auto"/>
              <w:jc w:val="center"/>
              <w:rPr>
                <w:sz w:val="24"/>
              </w:rPr>
            </w:pPr>
          </w:p>
        </w:tc>
        <w:tc>
          <w:tcPr>
            <w:tcW w:w="714" w:type="pct"/>
            <w:vAlign w:val="center"/>
          </w:tcPr>
          <w:p w14:paraId="61454AF8">
            <w:pPr>
              <w:spacing w:line="360" w:lineRule="auto"/>
              <w:jc w:val="center"/>
              <w:rPr>
                <w:sz w:val="24"/>
              </w:rPr>
            </w:pPr>
          </w:p>
        </w:tc>
        <w:tc>
          <w:tcPr>
            <w:tcW w:w="1234" w:type="pct"/>
            <w:vAlign w:val="center"/>
          </w:tcPr>
          <w:p w14:paraId="4BA42D22">
            <w:pPr>
              <w:spacing w:line="360" w:lineRule="auto"/>
              <w:jc w:val="center"/>
              <w:rPr>
                <w:sz w:val="24"/>
              </w:rPr>
            </w:pPr>
          </w:p>
        </w:tc>
        <w:tc>
          <w:tcPr>
            <w:tcW w:w="437" w:type="pct"/>
            <w:vAlign w:val="center"/>
          </w:tcPr>
          <w:p w14:paraId="541C1CBF">
            <w:pPr>
              <w:spacing w:line="360" w:lineRule="auto"/>
              <w:jc w:val="center"/>
              <w:rPr>
                <w:sz w:val="24"/>
              </w:rPr>
            </w:pPr>
          </w:p>
        </w:tc>
        <w:tc>
          <w:tcPr>
            <w:tcW w:w="408" w:type="pct"/>
            <w:vAlign w:val="center"/>
          </w:tcPr>
          <w:p w14:paraId="0B971BF9">
            <w:pPr>
              <w:spacing w:line="360" w:lineRule="auto"/>
              <w:jc w:val="center"/>
              <w:rPr>
                <w:sz w:val="24"/>
              </w:rPr>
            </w:pPr>
          </w:p>
        </w:tc>
        <w:tc>
          <w:tcPr>
            <w:tcW w:w="485" w:type="pct"/>
            <w:vAlign w:val="center"/>
          </w:tcPr>
          <w:p w14:paraId="1E016098">
            <w:pPr>
              <w:spacing w:line="360" w:lineRule="auto"/>
              <w:jc w:val="center"/>
              <w:rPr>
                <w:sz w:val="24"/>
              </w:rPr>
            </w:pPr>
          </w:p>
        </w:tc>
        <w:tc>
          <w:tcPr>
            <w:tcW w:w="878" w:type="pct"/>
            <w:vAlign w:val="center"/>
          </w:tcPr>
          <w:p w14:paraId="73DBE0EF">
            <w:pPr>
              <w:spacing w:line="360" w:lineRule="auto"/>
              <w:jc w:val="center"/>
              <w:rPr>
                <w:sz w:val="24"/>
              </w:rPr>
            </w:pPr>
          </w:p>
        </w:tc>
        <w:tc>
          <w:tcPr>
            <w:tcW w:w="485" w:type="pct"/>
            <w:vAlign w:val="center"/>
          </w:tcPr>
          <w:p w14:paraId="05BFEA06">
            <w:pPr>
              <w:spacing w:line="360" w:lineRule="auto"/>
              <w:jc w:val="center"/>
              <w:rPr>
                <w:sz w:val="24"/>
              </w:rPr>
            </w:pPr>
          </w:p>
        </w:tc>
      </w:tr>
      <w:tr w14:paraId="6180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6" w:type="pct"/>
            <w:vAlign w:val="center"/>
          </w:tcPr>
          <w:p w14:paraId="6FCA46A2">
            <w:pPr>
              <w:spacing w:line="360" w:lineRule="auto"/>
              <w:jc w:val="center"/>
              <w:rPr>
                <w:sz w:val="24"/>
              </w:rPr>
            </w:pPr>
          </w:p>
        </w:tc>
        <w:tc>
          <w:tcPr>
            <w:tcW w:w="714" w:type="pct"/>
            <w:vAlign w:val="center"/>
          </w:tcPr>
          <w:p w14:paraId="55567481">
            <w:pPr>
              <w:spacing w:line="360" w:lineRule="auto"/>
              <w:jc w:val="center"/>
              <w:rPr>
                <w:sz w:val="24"/>
              </w:rPr>
            </w:pPr>
          </w:p>
        </w:tc>
        <w:tc>
          <w:tcPr>
            <w:tcW w:w="1234" w:type="pct"/>
            <w:vAlign w:val="center"/>
          </w:tcPr>
          <w:p w14:paraId="6C3BE135">
            <w:pPr>
              <w:spacing w:line="360" w:lineRule="auto"/>
              <w:jc w:val="center"/>
              <w:rPr>
                <w:sz w:val="24"/>
              </w:rPr>
            </w:pPr>
          </w:p>
        </w:tc>
        <w:tc>
          <w:tcPr>
            <w:tcW w:w="437" w:type="pct"/>
            <w:vAlign w:val="center"/>
          </w:tcPr>
          <w:p w14:paraId="670FC56E">
            <w:pPr>
              <w:spacing w:line="360" w:lineRule="auto"/>
              <w:jc w:val="center"/>
              <w:rPr>
                <w:sz w:val="24"/>
              </w:rPr>
            </w:pPr>
          </w:p>
        </w:tc>
        <w:tc>
          <w:tcPr>
            <w:tcW w:w="408" w:type="pct"/>
            <w:vAlign w:val="center"/>
          </w:tcPr>
          <w:p w14:paraId="5D358B4E">
            <w:pPr>
              <w:spacing w:line="360" w:lineRule="auto"/>
              <w:jc w:val="center"/>
              <w:rPr>
                <w:sz w:val="24"/>
              </w:rPr>
            </w:pPr>
          </w:p>
        </w:tc>
        <w:tc>
          <w:tcPr>
            <w:tcW w:w="485" w:type="pct"/>
            <w:vAlign w:val="center"/>
          </w:tcPr>
          <w:p w14:paraId="3C3C826C">
            <w:pPr>
              <w:spacing w:line="360" w:lineRule="auto"/>
              <w:jc w:val="center"/>
              <w:rPr>
                <w:sz w:val="24"/>
              </w:rPr>
            </w:pPr>
          </w:p>
        </w:tc>
        <w:tc>
          <w:tcPr>
            <w:tcW w:w="878" w:type="pct"/>
            <w:vAlign w:val="center"/>
          </w:tcPr>
          <w:p w14:paraId="37E4A2E1">
            <w:pPr>
              <w:spacing w:line="360" w:lineRule="auto"/>
              <w:jc w:val="center"/>
              <w:rPr>
                <w:sz w:val="24"/>
              </w:rPr>
            </w:pPr>
          </w:p>
        </w:tc>
        <w:tc>
          <w:tcPr>
            <w:tcW w:w="485" w:type="pct"/>
            <w:vAlign w:val="center"/>
          </w:tcPr>
          <w:p w14:paraId="64807523">
            <w:pPr>
              <w:spacing w:line="360" w:lineRule="auto"/>
              <w:jc w:val="center"/>
              <w:rPr>
                <w:sz w:val="24"/>
              </w:rPr>
            </w:pPr>
          </w:p>
        </w:tc>
      </w:tr>
      <w:tr w14:paraId="6574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56" w:type="pct"/>
            <w:vMerge w:val="restart"/>
            <w:vAlign w:val="center"/>
          </w:tcPr>
          <w:p w14:paraId="1CCA4564">
            <w:pPr>
              <w:spacing w:line="360" w:lineRule="auto"/>
              <w:jc w:val="center"/>
              <w:rPr>
                <w:sz w:val="24"/>
              </w:rPr>
            </w:pPr>
          </w:p>
        </w:tc>
        <w:tc>
          <w:tcPr>
            <w:tcW w:w="1948" w:type="pct"/>
            <w:gridSpan w:val="2"/>
            <w:vMerge w:val="restart"/>
            <w:vAlign w:val="center"/>
          </w:tcPr>
          <w:p w14:paraId="49F94DC5">
            <w:pPr>
              <w:spacing w:line="360" w:lineRule="auto"/>
              <w:jc w:val="center"/>
              <w:rPr>
                <w:sz w:val="24"/>
              </w:rPr>
            </w:pPr>
            <w:r>
              <w:rPr>
                <w:rFonts w:hint="eastAsia"/>
                <w:sz w:val="24"/>
              </w:rPr>
              <w:t>总价</w:t>
            </w:r>
          </w:p>
        </w:tc>
        <w:tc>
          <w:tcPr>
            <w:tcW w:w="2694" w:type="pct"/>
            <w:gridSpan w:val="5"/>
            <w:vAlign w:val="center"/>
          </w:tcPr>
          <w:p w14:paraId="28E98A9B">
            <w:pPr>
              <w:spacing w:before="240" w:line="360" w:lineRule="auto"/>
              <w:jc w:val="center"/>
              <w:rPr>
                <w:sz w:val="24"/>
              </w:rPr>
            </w:pPr>
            <w:r>
              <w:rPr>
                <w:rFonts w:hint="eastAsia"/>
                <w:sz w:val="24"/>
              </w:rPr>
              <w:t>大写：</w:t>
            </w:r>
          </w:p>
        </w:tc>
      </w:tr>
      <w:tr w14:paraId="3EC1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356" w:type="pct"/>
            <w:vMerge w:val="continue"/>
            <w:vAlign w:val="center"/>
          </w:tcPr>
          <w:p w14:paraId="3222D410">
            <w:pPr>
              <w:spacing w:line="360" w:lineRule="auto"/>
              <w:jc w:val="center"/>
              <w:rPr>
                <w:sz w:val="24"/>
              </w:rPr>
            </w:pPr>
          </w:p>
        </w:tc>
        <w:tc>
          <w:tcPr>
            <w:tcW w:w="1948" w:type="pct"/>
            <w:gridSpan w:val="2"/>
            <w:vMerge w:val="continue"/>
            <w:vAlign w:val="center"/>
          </w:tcPr>
          <w:p w14:paraId="7E9D7A70">
            <w:pPr>
              <w:spacing w:line="360" w:lineRule="auto"/>
              <w:jc w:val="center"/>
              <w:rPr>
                <w:sz w:val="24"/>
              </w:rPr>
            </w:pPr>
          </w:p>
        </w:tc>
        <w:tc>
          <w:tcPr>
            <w:tcW w:w="2694" w:type="pct"/>
            <w:gridSpan w:val="5"/>
            <w:vAlign w:val="center"/>
          </w:tcPr>
          <w:p w14:paraId="717F0CF6">
            <w:pPr>
              <w:spacing w:before="240" w:line="360" w:lineRule="auto"/>
              <w:jc w:val="center"/>
              <w:rPr>
                <w:sz w:val="24"/>
              </w:rPr>
            </w:pPr>
            <w:r>
              <w:rPr>
                <w:rFonts w:hint="eastAsia" w:ascii="宋体" w:hAnsi="宋体" w:cs="宋体"/>
                <w:sz w:val="24"/>
              </w:rPr>
              <w:t>小写：</w:t>
            </w:r>
          </w:p>
        </w:tc>
      </w:tr>
    </w:tbl>
    <w:p w14:paraId="17EE1E94">
      <w:pPr>
        <w:pStyle w:val="7"/>
        <w:spacing w:line="540" w:lineRule="exact"/>
        <w:ind w:left="-479" w:leftChars="-171" w:firstLine="480" w:firstLineChars="200"/>
        <w:rPr>
          <w:rFonts w:ascii="宋体"/>
          <w:sz w:val="24"/>
          <w:szCs w:val="24"/>
        </w:rPr>
      </w:pPr>
    </w:p>
    <w:p w14:paraId="3945E185">
      <w:pPr>
        <w:adjustRightInd w:val="0"/>
        <w:spacing w:line="500" w:lineRule="exact"/>
        <w:rPr>
          <w:b/>
          <w:bCs/>
          <w:sz w:val="24"/>
        </w:rPr>
      </w:pPr>
      <w:r>
        <w:rPr>
          <w:rFonts w:hint="eastAsia"/>
          <w:b/>
          <w:bCs/>
          <w:sz w:val="24"/>
        </w:rPr>
        <w:t>注▲以上报价总和应与“报价一览表”相一致。</w:t>
      </w:r>
    </w:p>
    <w:p w14:paraId="52534FA6">
      <w:pPr>
        <w:adjustRightInd w:val="0"/>
        <w:spacing w:line="500" w:lineRule="exact"/>
        <w:rPr>
          <w:sz w:val="24"/>
        </w:rPr>
      </w:pPr>
      <w:r>
        <w:rPr>
          <w:rFonts w:hint="eastAsia"/>
          <w:sz w:val="24"/>
        </w:rPr>
        <w:t>供应商全称（盖章）：</w:t>
      </w:r>
    </w:p>
    <w:p w14:paraId="1ED14BB3">
      <w:pPr>
        <w:adjustRightInd w:val="0"/>
        <w:spacing w:line="500" w:lineRule="exact"/>
        <w:rPr>
          <w:sz w:val="24"/>
        </w:rPr>
      </w:pPr>
      <w:r>
        <w:rPr>
          <w:rFonts w:hint="eastAsia"/>
          <w:color w:val="000000"/>
          <w:sz w:val="24"/>
        </w:rPr>
        <w:t>法定代表人或其授权代理人签名或盖章</w:t>
      </w:r>
      <w:r>
        <w:rPr>
          <w:rFonts w:hint="eastAsia"/>
          <w:sz w:val="24"/>
        </w:rPr>
        <w:t>：</w:t>
      </w:r>
    </w:p>
    <w:p w14:paraId="5A5128A3">
      <w:pPr>
        <w:adjustRightInd w:val="0"/>
        <w:spacing w:line="500" w:lineRule="exact"/>
        <w:rPr>
          <w:sz w:val="24"/>
        </w:rPr>
      </w:pPr>
      <w:r>
        <w:rPr>
          <w:rFonts w:hint="eastAsia"/>
          <w:sz w:val="24"/>
        </w:rPr>
        <w:t>日期：</w:t>
      </w:r>
    </w:p>
    <w:p w14:paraId="1ED50892">
      <w:pPr>
        <w:rPr>
          <w:rFonts w:ascii="宋体" w:hAnsi="宋体" w:cs="宋体"/>
          <w:b/>
          <w:sz w:val="24"/>
        </w:rPr>
      </w:pPr>
      <w:r>
        <w:rPr>
          <w:rFonts w:hint="eastAsia" w:ascii="宋体" w:hAnsi="宋体" w:cs="宋体"/>
          <w:b/>
          <w:sz w:val="24"/>
        </w:rPr>
        <w:br w:type="page"/>
      </w:r>
    </w:p>
    <w:p w14:paraId="3F0BC88F">
      <w:pPr>
        <w:snapToGrid w:val="0"/>
        <w:spacing w:before="50" w:after="50" w:line="540" w:lineRule="exact"/>
        <w:jc w:val="both"/>
        <w:rPr>
          <w:rFonts w:ascii="宋体" w:hAnsi="宋体" w:cs="宋体"/>
          <w:b/>
          <w:sz w:val="24"/>
        </w:rPr>
      </w:pPr>
    </w:p>
    <w:p w14:paraId="1EAC3D02">
      <w:pPr>
        <w:snapToGrid w:val="0"/>
        <w:spacing w:before="50" w:after="50" w:line="540" w:lineRule="exact"/>
        <w:jc w:val="center"/>
        <w:rPr>
          <w:rFonts w:ascii="宋体" w:hAnsi="宋体" w:cs="宋体"/>
          <w:b/>
          <w:sz w:val="24"/>
        </w:rPr>
      </w:pPr>
      <w:r>
        <w:rPr>
          <w:rFonts w:hint="eastAsia" w:ascii="宋体" w:hAnsi="宋体" w:cs="宋体"/>
          <w:b/>
          <w:sz w:val="24"/>
          <w:lang w:eastAsia="zh-CN"/>
        </w:rPr>
        <w:t>四</w:t>
      </w:r>
      <w:r>
        <w:rPr>
          <w:rFonts w:hint="eastAsia" w:ascii="宋体" w:hAnsi="宋体" w:cs="宋体"/>
          <w:b/>
          <w:sz w:val="24"/>
        </w:rPr>
        <w:t>、招标代理服务费承诺函</w:t>
      </w:r>
    </w:p>
    <w:p w14:paraId="590090E6">
      <w:pPr>
        <w:spacing w:line="540" w:lineRule="exact"/>
        <w:jc w:val="center"/>
        <w:rPr>
          <w:rFonts w:ascii="宋体" w:hAnsi="宋体"/>
          <w:b/>
          <w:sz w:val="24"/>
          <w:szCs w:val="20"/>
        </w:rPr>
      </w:pPr>
    </w:p>
    <w:p w14:paraId="5CD954A7">
      <w:pPr>
        <w:tabs>
          <w:tab w:val="left" w:pos="2996"/>
        </w:tabs>
        <w:spacing w:line="480" w:lineRule="auto"/>
        <w:ind w:firstLine="480" w:firstLineChars="200"/>
        <w:rPr>
          <w:rFonts w:ascii="宋体" w:hAnsi="宋体" w:cs="宋体"/>
          <w:sz w:val="24"/>
        </w:rPr>
      </w:pPr>
      <w:r>
        <w:rPr>
          <w:rFonts w:hint="eastAsia" w:ascii="宋体" w:hAnsi="宋体" w:cs="宋体"/>
          <w:sz w:val="24"/>
        </w:rPr>
        <w:t>根据国家计委、物价局文件和招标文件的规定，一旦我公司中标，我公司同意按本招标文件规定向代理机构交纳招标代理费</w:t>
      </w:r>
      <w:r>
        <w:rPr>
          <w:rFonts w:hint="eastAsia" w:ascii="宋体" w:hAnsi="宋体" w:cs="宋体"/>
          <w:sz w:val="24"/>
          <w:lang w:eastAsia="zh-CN"/>
        </w:rPr>
        <w:t>，</w:t>
      </w:r>
      <w:r>
        <w:rPr>
          <w:rFonts w:hint="eastAsia" w:ascii="宋体" w:hAnsi="宋体" w:cs="宋体"/>
          <w:sz w:val="24"/>
        </w:rPr>
        <w:t>在收到中标通知书的当日一次性向招标代理机构缴清。</w:t>
      </w:r>
    </w:p>
    <w:p w14:paraId="619D6A7E">
      <w:pPr>
        <w:spacing w:line="480" w:lineRule="auto"/>
        <w:rPr>
          <w:rFonts w:ascii="宋体" w:hAnsi="宋体" w:cs="宋体"/>
          <w:sz w:val="24"/>
        </w:rPr>
      </w:pPr>
    </w:p>
    <w:p w14:paraId="4CD92818">
      <w:pPr>
        <w:pStyle w:val="29"/>
        <w:spacing w:before="120" w:after="120"/>
        <w:rPr>
          <w:rFonts w:hAnsi="宋体" w:cs="宋体"/>
        </w:rPr>
      </w:pPr>
    </w:p>
    <w:p w14:paraId="00CA8CFF">
      <w:pPr>
        <w:pStyle w:val="29"/>
        <w:spacing w:before="120" w:after="120"/>
        <w:rPr>
          <w:rFonts w:hAnsi="宋体" w:cs="宋体"/>
        </w:rPr>
      </w:pPr>
    </w:p>
    <w:p w14:paraId="5D24D376">
      <w:pPr>
        <w:pStyle w:val="29"/>
        <w:spacing w:before="120" w:after="120"/>
        <w:rPr>
          <w:rFonts w:hAnsi="宋体" w:cs="宋体"/>
        </w:rPr>
      </w:pPr>
    </w:p>
    <w:p w14:paraId="5950FB1A">
      <w:pPr>
        <w:pStyle w:val="29"/>
        <w:spacing w:before="120" w:after="120"/>
        <w:rPr>
          <w:rFonts w:hAnsi="宋体" w:cs="宋体"/>
        </w:rPr>
      </w:pPr>
    </w:p>
    <w:p w14:paraId="09D059B3">
      <w:pPr>
        <w:snapToGrid w:val="0"/>
        <w:spacing w:beforeLines="50"/>
        <w:rPr>
          <w:rFonts w:ascii="宋体" w:hAnsi="宋体" w:cs="宋体"/>
          <w:sz w:val="24"/>
          <w:u w:val="single"/>
        </w:rPr>
      </w:pPr>
      <w:r>
        <w:rPr>
          <w:rFonts w:hint="eastAsia" w:ascii="宋体" w:hAnsi="宋体" w:cs="宋体"/>
          <w:sz w:val="24"/>
        </w:rPr>
        <w:t>法定代表人或授权代表签字：</w:t>
      </w:r>
    </w:p>
    <w:p w14:paraId="6FD9820B">
      <w:pPr>
        <w:snapToGrid w:val="0"/>
        <w:spacing w:beforeLines="50" w:after="50"/>
        <w:rPr>
          <w:rFonts w:ascii="宋体" w:hAnsi="宋体" w:cs="宋体"/>
          <w:sz w:val="24"/>
        </w:rPr>
      </w:pPr>
      <w:r>
        <w:rPr>
          <w:rFonts w:hint="eastAsia" w:cs="宋体"/>
          <w:sz w:val="24"/>
        </w:rPr>
        <w:t>供应商</w:t>
      </w:r>
      <w:r>
        <w:rPr>
          <w:rFonts w:hint="eastAsia" w:ascii="宋体" w:hAnsi="宋体" w:cs="宋体"/>
          <w:sz w:val="24"/>
        </w:rPr>
        <w:t>公章：</w:t>
      </w:r>
    </w:p>
    <w:p w14:paraId="71EEEE00">
      <w:pPr>
        <w:snapToGrid w:val="0"/>
        <w:spacing w:beforeLines="50" w:after="50"/>
        <w:ind w:firstLine="6240" w:firstLineChars="2600"/>
        <w:rPr>
          <w:rFonts w:ascii="宋体" w:hAnsi="宋体" w:cs="宋体"/>
          <w:sz w:val="24"/>
        </w:rPr>
      </w:pPr>
    </w:p>
    <w:p w14:paraId="62A99421">
      <w:pPr>
        <w:snapToGrid w:val="0"/>
        <w:spacing w:beforeLines="50" w:after="50"/>
        <w:ind w:firstLine="6240" w:firstLineChars="2600"/>
        <w:rPr>
          <w:rFonts w:ascii="宋体" w:hAnsi="宋体" w:cs="宋体"/>
          <w:sz w:val="24"/>
        </w:rPr>
      </w:pPr>
      <w:r>
        <w:rPr>
          <w:rFonts w:hint="eastAsia" w:ascii="宋体" w:hAnsi="宋体" w:cs="宋体"/>
          <w:sz w:val="24"/>
        </w:rPr>
        <w:t>年    月    日</w:t>
      </w:r>
    </w:p>
    <w:p w14:paraId="3792F7E2">
      <w:pPr>
        <w:tabs>
          <w:tab w:val="left" w:pos="3780"/>
        </w:tabs>
        <w:spacing w:after="160"/>
        <w:jc w:val="center"/>
        <w:rPr>
          <w:rFonts w:ascii="宋体" w:hAnsi="宋体" w:cs="宋体"/>
          <w:position w:val="-6"/>
        </w:rPr>
      </w:pPr>
    </w:p>
    <w:p w14:paraId="16D47AB5">
      <w:pPr>
        <w:tabs>
          <w:tab w:val="left" w:pos="3780"/>
        </w:tabs>
        <w:spacing w:after="160"/>
        <w:jc w:val="center"/>
        <w:rPr>
          <w:rFonts w:ascii="宋体" w:hAnsi="宋体" w:cs="宋体"/>
          <w:position w:val="-6"/>
        </w:rPr>
      </w:pPr>
    </w:p>
    <w:p w14:paraId="42AB5EF0">
      <w:pPr>
        <w:ind w:firstLine="480"/>
        <w:rPr>
          <w:sz w:val="24"/>
          <w:u w:val="single"/>
        </w:rPr>
      </w:pPr>
    </w:p>
    <w:p w14:paraId="2D0A2586">
      <w:pPr>
        <w:snapToGrid w:val="0"/>
        <w:spacing w:before="50" w:after="50" w:line="540" w:lineRule="exact"/>
        <w:rPr>
          <w:rFonts w:ascii="宋体" w:hAnsi="宋体"/>
          <w:b/>
          <w:sz w:val="24"/>
          <w:szCs w:val="30"/>
        </w:rPr>
      </w:pPr>
    </w:p>
    <w:p w14:paraId="6E4B1F0A">
      <w:pPr>
        <w:pStyle w:val="2"/>
        <w:rPr>
          <w:rFonts w:ascii="宋体" w:hAnsi="宋体"/>
          <w:b/>
          <w:sz w:val="24"/>
          <w:szCs w:val="30"/>
        </w:rPr>
      </w:pPr>
    </w:p>
    <w:p w14:paraId="74A187AD">
      <w:pPr>
        <w:pStyle w:val="2"/>
        <w:rPr>
          <w:rFonts w:ascii="宋体" w:hAnsi="宋体"/>
          <w:b/>
          <w:sz w:val="24"/>
          <w:szCs w:val="30"/>
        </w:rPr>
      </w:pPr>
    </w:p>
    <w:p w14:paraId="598B44AD">
      <w:pPr>
        <w:pStyle w:val="2"/>
        <w:rPr>
          <w:rFonts w:ascii="宋体" w:hAnsi="宋体"/>
          <w:b/>
          <w:sz w:val="24"/>
          <w:szCs w:val="30"/>
        </w:rPr>
      </w:pPr>
    </w:p>
    <w:p w14:paraId="3B4D20A4">
      <w:pPr>
        <w:pStyle w:val="2"/>
        <w:rPr>
          <w:rFonts w:ascii="宋体" w:hAnsi="宋体"/>
          <w:b/>
          <w:sz w:val="24"/>
          <w:szCs w:val="30"/>
        </w:rPr>
      </w:pPr>
    </w:p>
    <w:p w14:paraId="6D5C7E30">
      <w:pPr>
        <w:pStyle w:val="2"/>
        <w:rPr>
          <w:rFonts w:ascii="宋体" w:hAnsi="宋体"/>
          <w:b/>
          <w:sz w:val="24"/>
          <w:szCs w:val="30"/>
        </w:rPr>
      </w:pPr>
    </w:p>
    <w:p w14:paraId="05C0CCF4">
      <w:pPr>
        <w:pStyle w:val="2"/>
        <w:rPr>
          <w:rFonts w:ascii="宋体" w:hAnsi="宋体"/>
          <w:b/>
          <w:sz w:val="24"/>
          <w:szCs w:val="30"/>
        </w:rPr>
      </w:pPr>
    </w:p>
    <w:p w14:paraId="785342E0">
      <w:pPr>
        <w:pStyle w:val="2"/>
        <w:rPr>
          <w:rFonts w:ascii="宋体" w:hAnsi="宋体"/>
          <w:b/>
          <w:sz w:val="24"/>
          <w:szCs w:val="30"/>
        </w:rPr>
      </w:pPr>
    </w:p>
    <w:p w14:paraId="74E8961E">
      <w:pPr>
        <w:pStyle w:val="2"/>
        <w:rPr>
          <w:rFonts w:ascii="宋体" w:hAnsi="宋体"/>
          <w:b/>
          <w:sz w:val="24"/>
          <w:szCs w:val="30"/>
        </w:rPr>
      </w:pPr>
    </w:p>
    <w:p w14:paraId="3BFD4C2E">
      <w:pPr>
        <w:pStyle w:val="2"/>
        <w:rPr>
          <w:rFonts w:ascii="宋体" w:hAnsi="宋体"/>
          <w:b/>
          <w:sz w:val="24"/>
          <w:szCs w:val="30"/>
        </w:rPr>
      </w:pPr>
    </w:p>
    <w:p w14:paraId="51546918">
      <w:pPr>
        <w:pStyle w:val="2"/>
        <w:rPr>
          <w:rFonts w:ascii="宋体" w:hAnsi="宋体"/>
          <w:b/>
          <w:sz w:val="24"/>
          <w:szCs w:val="30"/>
        </w:rPr>
      </w:pPr>
    </w:p>
    <w:p w14:paraId="34E52C56">
      <w:pPr>
        <w:pStyle w:val="2"/>
        <w:rPr>
          <w:rFonts w:ascii="宋体" w:hAnsi="宋体"/>
          <w:b/>
          <w:sz w:val="24"/>
          <w:szCs w:val="30"/>
        </w:rPr>
      </w:pPr>
    </w:p>
    <w:p w14:paraId="71846F4E">
      <w:pPr>
        <w:pStyle w:val="2"/>
        <w:rPr>
          <w:rFonts w:ascii="宋体" w:hAnsi="宋体"/>
          <w:b/>
          <w:sz w:val="24"/>
          <w:szCs w:val="30"/>
        </w:rPr>
      </w:pPr>
    </w:p>
    <w:p w14:paraId="684E99AF">
      <w:pPr>
        <w:pStyle w:val="2"/>
        <w:rPr>
          <w:rFonts w:ascii="宋体" w:hAnsi="宋体"/>
          <w:b/>
          <w:sz w:val="24"/>
          <w:szCs w:val="30"/>
        </w:rPr>
      </w:pPr>
    </w:p>
    <w:p w14:paraId="7B828605">
      <w:pPr>
        <w:pStyle w:val="2"/>
        <w:rPr>
          <w:rFonts w:ascii="宋体" w:hAnsi="宋体"/>
          <w:b/>
          <w:sz w:val="24"/>
          <w:szCs w:val="30"/>
        </w:rPr>
      </w:pPr>
    </w:p>
    <w:p w14:paraId="0926FA91">
      <w:pPr>
        <w:pStyle w:val="41"/>
        <w:spacing w:after="120" w:line="360" w:lineRule="auto"/>
        <w:ind w:firstLine="482" w:firstLineChars="200"/>
        <w:jc w:val="center"/>
        <w:rPr>
          <w:rFonts w:hint="eastAsia"/>
          <w:b/>
          <w:bCs/>
          <w:lang w:eastAsia="zh-CN"/>
        </w:rPr>
      </w:pPr>
    </w:p>
    <w:p w14:paraId="3C1947DF">
      <w:pPr>
        <w:pStyle w:val="41"/>
        <w:spacing w:after="120" w:line="360" w:lineRule="auto"/>
        <w:ind w:firstLine="482" w:firstLineChars="200"/>
        <w:jc w:val="center"/>
        <w:rPr>
          <w:b/>
          <w:bCs/>
        </w:rPr>
      </w:pPr>
      <w:r>
        <w:rPr>
          <w:rFonts w:hint="eastAsia"/>
          <w:b/>
          <w:bCs/>
          <w:lang w:eastAsia="zh-CN"/>
        </w:rPr>
        <w:t>五</w:t>
      </w:r>
      <w:r>
        <w:rPr>
          <w:rFonts w:hint="eastAsia"/>
          <w:b/>
          <w:bCs/>
        </w:rPr>
        <w:t>、 其他投标供应商认为有必要提供的资料。</w:t>
      </w:r>
    </w:p>
    <w:p w14:paraId="68E360AC">
      <w:pPr>
        <w:pStyle w:val="7"/>
        <w:ind w:firstLine="0"/>
        <w:rPr>
          <w:rFonts w:ascii="宋体"/>
          <w:sz w:val="22"/>
        </w:rPr>
      </w:pPr>
    </w:p>
    <w:sectPr>
      <w:headerReference r:id="rId3" w:type="default"/>
      <w:footerReference r:id="rId4" w:type="default"/>
      <w:pgSz w:w="11907" w:h="16840"/>
      <w:pgMar w:top="1134" w:right="1247" w:bottom="1191" w:left="1128" w:header="454" w:footer="10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F406">
    <w:pPr>
      <w:pStyle w:val="33"/>
      <w:ind w:firstLine="420" w:firstLineChars="200"/>
      <w:jc w:val="both"/>
      <w:rPr>
        <w:rFonts w:hint="default" w:ascii="黑体" w:hAnsi="MS PGothic"/>
        <w:lang w:val="en-US"/>
      </w:rPr>
    </w:pPr>
    <w:r>
      <w:rPr>
        <w:sz w:val="21"/>
      </w:rPr>
      <w:pict>
        <v:shape id="文本框 1025" o:spid="_x0000_s1026" o:spt="202" type="#_x0000_t202" style="position:absolute;left:0pt;margin-left:443.6pt;margin-top:0pt;height:144pt;width:144pt;mso-position-horizontal-relative:margin;mso-wrap-style:none;z-index:251659264;mso-width-relative:page;mso-height-relative:page;" filled="f" stroked="f" coordsize="21600,21600" o:gfxdata="UEsDBAoAAAAAAIdO4kAAAAAAAAAAAAAAAAAEAAAAZHJzL1BLAwQUAAAACACHTuJAn4jIJ9QAAAAJ&#10;AQAADwAAAGRycy9kb3ducmV2LnhtbE2PP2vDMBTE90K+g3iFbo1sQ2vhWM4QyNKtaSl0U6wXy1R/&#10;jKQ49rfvy9SOxx13v2v3i7NsxpjG4CWU2wIY+j7o0Q8SPj+OzwJYysprZYNHCSsm2Hebh1Y1Otz8&#10;O86nPDAq8alREkzOU8N56g06lbZhQk/eJUSnMsk4cB3Vjcqd5VVRvHKnRk8LRk14MNj/nK5OQr18&#10;BZwSHvD7MvfRjKuwb6uUT49lsQOWccl/YbjjEzp0xHQOV68TsxKEqCuKSqBHd7usX0ifJVRCFMC7&#10;lv9/0P0CUEsDBBQAAAAIAIdO4kConHTYzAEAAJwDAAAOAAAAZHJzL2Uyb0RvYy54bWytU0tu2zAQ&#10;3RfIHQjuY8oCWhiC5SCBkSJA0BZIewCaoiwC/IFDW/IF2ht01U33PZfP0SElOW26yaIbajgzfPPe&#10;zGh9MxhNjjKAcramy0VBibTCNcrua/rl8/31ihKI3DZcOytrepJAbzZXb9a9r2TpOqcbGQiCWKh6&#10;X9MuRl8xBqKThsPCeWkx2LpgeMRr2LMm8B7RjWZlUbxjvQuND05IAPRuxyCdEMNrAF3bKiG3ThyM&#10;tHFEDVLziJKgUx7oJrNtWynix7YFGYmuKSqN+cQiaO/SyTZrXu0D950SEwX+GgovNBmuLBa9QG15&#10;5OQQ1D9QRongwLVxIZxho5DcEVSxLF705qnjXmYt2Grwl6bD/4MVH46fAlFNTUtKLDc48PP3b+cf&#10;v84/v5JlUb5NHeo9VJj45DE1DnduwL2Z/YDOJHxog0lflEQwjv09Xforh0hEerQqV6sCQwJj8wXx&#10;2fNzHyC+l86QZNQ04ABzX/nxEeKYOqekatbdK63zELX9y4GYycMS95FjsuKwGyZBO9ecUE+Ps6+p&#10;xVWnRD9YbG1ak9kIs7GbjYMPat8htWXmBf72EJFE5pYqjLBTYRxaVjctWNqKP+856/mn2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4jIJ9QAAAAJAQAADwAAAAAAAAABACAAAAAiAAAAZHJzL2Rv&#10;d25yZXYueG1sUEsBAhQAFAAAAAgAh07iQKicdNjMAQAAnAMAAA4AAAAAAAAAAQAgAAAAIwEAAGRy&#10;cy9lMm9Eb2MueG1sUEsFBgAAAAAGAAYAWQEAAGEFAAAAAA==&#10;">
          <v:path/>
          <v:fill on="f" focussize="0,0"/>
          <v:stroke on="f" joinstyle="miter"/>
          <v:imagedata o:title=""/>
          <o:lock v:ext="edit"/>
          <v:textbox inset="0mm,0mm,0mm,0mm" style="mso-fit-shape-to-text:t;">
            <w:txbxContent>
              <w:p w14:paraId="030EDB49">
                <w:pPr>
                  <w:pStyle w:val="33"/>
                </w:pPr>
                <w:r>
                  <w:fldChar w:fldCharType="begin"/>
                </w:r>
                <w:r>
                  <w:instrText xml:space="preserve"> PAGE  \* MERGEFORMAT </w:instrText>
                </w:r>
                <w:r>
                  <w:fldChar w:fldCharType="separate"/>
                </w:r>
                <w:r>
                  <w:t>12</w:t>
                </w:r>
                <w:r>
                  <w:fldChar w:fldCharType="end"/>
                </w:r>
              </w:p>
            </w:txbxContent>
          </v:textbox>
        </v:shape>
      </w:pict>
    </w:r>
    <w:r>
      <w:rPr>
        <w:rFonts w:hint="eastAsia"/>
        <w:color w:val="000000"/>
        <w:sz w:val="21"/>
        <w:szCs w:val="21"/>
        <w:lang w:eastAsia="zh-CN"/>
      </w:rPr>
      <w:t>湖州泓达工程管理咨询有限公司</w:t>
    </w:r>
    <w:r>
      <w:rPr>
        <w:rFonts w:hint="eastAsia"/>
        <w:color w:val="000000"/>
        <w:sz w:val="21"/>
        <w:szCs w:val="21"/>
        <w:lang w:val="en-US" w:eastAsia="zh-CN"/>
      </w:rPr>
      <w:t xml:space="preserve">                            电话：0572-2068728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362FC">
    <w:pPr>
      <w:pStyle w:val="35"/>
      <w:tabs>
        <w:tab w:val="left" w:pos="8388"/>
        <w:tab w:val="clear" w:pos="8306"/>
      </w:tabs>
      <w:jc w:val="both"/>
      <w:rPr>
        <w:rFonts w:ascii="宋体" w:hAnsi="宋体" w:cs="宋体"/>
        <w:snapToGrid w:val="0"/>
      </w:rPr>
    </w:pPr>
  </w:p>
  <w:p w14:paraId="15C5B841">
    <w:pPr>
      <w:pStyle w:val="35"/>
      <w:tabs>
        <w:tab w:val="left" w:pos="8388"/>
        <w:tab w:val="clear" w:pos="8306"/>
      </w:tabs>
      <w:jc w:val="both"/>
      <w:rPr>
        <w:rFonts w:ascii="宋体" w:hAnsi="宋体" w:cs="宋体"/>
        <w:sz w:val="21"/>
        <w:szCs w:val="21"/>
      </w:rPr>
    </w:pPr>
    <w:r>
      <w:rPr>
        <w:rFonts w:hint="eastAsia" w:ascii="宋体" w:hAnsi="宋体" w:cs="宋体"/>
        <w:snapToGrid w:val="0"/>
        <w:sz w:val="21"/>
        <w:szCs w:val="21"/>
        <w:lang w:eastAsia="zh-CN"/>
      </w:rPr>
      <w:t>吴兴区2024年度千万亩森林质量精准提升工程</w:t>
    </w:r>
    <w:r>
      <w:rPr>
        <w:rFonts w:hint="eastAsia" w:ascii="宋体" w:hAnsi="宋体" w:cs="宋体"/>
        <w:snapToGrid w:val="0"/>
        <w:sz w:val="21"/>
        <w:szCs w:val="21"/>
        <w:lang w:val="en-US" w:eastAsia="zh-CN"/>
      </w:rPr>
      <w:t xml:space="preserve">     </w:t>
    </w:r>
    <w:r>
      <w:rPr>
        <w:rFonts w:hint="eastAsia" w:ascii="宋体" w:hAnsi="宋体" w:cs="宋体"/>
        <w:snapToGrid w:val="0"/>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A9E8B"/>
    <w:multiLevelType w:val="singleLevel"/>
    <w:tmpl w:val="8C5A9E8B"/>
    <w:lvl w:ilvl="0" w:tentative="0">
      <w:start w:val="7"/>
      <w:numFmt w:val="decimal"/>
      <w:suff w:val="space"/>
      <w:lvlText w:val="%1."/>
      <w:lvlJc w:val="left"/>
    </w:lvl>
  </w:abstractNum>
  <w:abstractNum w:abstractNumId="1">
    <w:nsid w:val="B84FD4D2"/>
    <w:multiLevelType w:val="singleLevel"/>
    <w:tmpl w:val="B84FD4D2"/>
    <w:lvl w:ilvl="0" w:tentative="0">
      <w:start w:val="1"/>
      <w:numFmt w:val="decimal"/>
      <w:suff w:val="nothing"/>
      <w:lvlText w:val="%1、"/>
      <w:lvlJc w:val="left"/>
    </w:lvl>
  </w:abstractNum>
  <w:abstractNum w:abstractNumId="2">
    <w:nsid w:val="CB3E1B2E"/>
    <w:multiLevelType w:val="singleLevel"/>
    <w:tmpl w:val="CB3E1B2E"/>
    <w:lvl w:ilvl="0" w:tentative="0">
      <w:start w:val="3"/>
      <w:numFmt w:val="decimal"/>
      <w:suff w:val="nothing"/>
      <w:lvlText w:val="%1）"/>
      <w:lvlJc w:val="left"/>
    </w:lvl>
  </w:abstractNum>
  <w:abstractNum w:abstractNumId="3">
    <w:nsid w:val="E327E1F2"/>
    <w:multiLevelType w:val="singleLevel"/>
    <w:tmpl w:val="E327E1F2"/>
    <w:lvl w:ilvl="0" w:tentative="0">
      <w:start w:val="1"/>
      <w:numFmt w:val="chineseCounting"/>
      <w:suff w:val="nothing"/>
      <w:lvlText w:val="%1、"/>
      <w:lvlJc w:val="left"/>
      <w:rPr>
        <w:rFonts w:hint="eastAsia"/>
      </w:rPr>
    </w:lvl>
  </w:abstractNum>
  <w:abstractNum w:abstractNumId="4">
    <w:nsid w:val="E4109DE7"/>
    <w:multiLevelType w:val="singleLevel"/>
    <w:tmpl w:val="E4109DE7"/>
    <w:lvl w:ilvl="0" w:tentative="0">
      <w:start w:val="1"/>
      <w:numFmt w:val="chineseCounting"/>
      <w:suff w:val="nothing"/>
      <w:lvlText w:val="%1、"/>
      <w:lvlJc w:val="left"/>
      <w:rPr>
        <w:rFonts w:hint="eastAsia"/>
      </w:rPr>
    </w:lvl>
  </w:abstractNum>
  <w:abstractNum w:abstractNumId="5">
    <w:nsid w:val="FDF116DE"/>
    <w:multiLevelType w:val="singleLevel"/>
    <w:tmpl w:val="FDF116DE"/>
    <w:lvl w:ilvl="0" w:tentative="0">
      <w:start w:val="1"/>
      <w:numFmt w:val="chineseCounting"/>
      <w:suff w:val="nothing"/>
      <w:lvlText w:val="（%1）"/>
      <w:lvlJc w:val="left"/>
      <w:rPr>
        <w:rFonts w:hint="eastAsia"/>
      </w:rPr>
    </w:lvl>
  </w:abstractNum>
  <w:abstractNum w:abstractNumId="6">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7">
    <w:nsid w:val="FFFFFF82"/>
    <w:multiLevelType w:val="singleLevel"/>
    <w:tmpl w:val="FFFFFF82"/>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8">
    <w:nsid w:val="139079B9"/>
    <w:multiLevelType w:val="singleLevel"/>
    <w:tmpl w:val="139079B9"/>
    <w:lvl w:ilvl="0" w:tentative="0">
      <w:start w:val="2"/>
      <w:numFmt w:val="decimal"/>
      <w:lvlText w:val="%1."/>
      <w:lvlJc w:val="left"/>
      <w:pPr>
        <w:tabs>
          <w:tab w:val="left" w:pos="312"/>
        </w:tabs>
      </w:pPr>
    </w:lvl>
  </w:abstractNum>
  <w:abstractNum w:abstractNumId="9">
    <w:nsid w:val="307DE30D"/>
    <w:multiLevelType w:val="singleLevel"/>
    <w:tmpl w:val="307DE30D"/>
    <w:lvl w:ilvl="0" w:tentative="0">
      <w:start w:val="2"/>
      <w:numFmt w:val="chineseCounting"/>
      <w:suff w:val="space"/>
      <w:lvlText w:val="第%1章"/>
      <w:lvlJc w:val="left"/>
      <w:rPr>
        <w:rFonts w:hint="eastAsia"/>
      </w:rPr>
    </w:lvl>
  </w:abstractNum>
  <w:abstractNum w:abstractNumId="1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1"/>
      <w:lvlText w:val="           "/>
      <w:lvlJc w:val="left"/>
      <w:pPr>
        <w:tabs>
          <w:tab w:val="left" w:pos="1440"/>
        </w:tabs>
        <w:ind w:left="1152" w:hanging="1152"/>
      </w:pPr>
      <w:rPr>
        <w:rFonts w:hint="eastAsia"/>
      </w:rPr>
    </w:lvl>
    <w:lvl w:ilvl="6" w:tentative="0">
      <w:start w:val="1"/>
      <w:numFmt w:val="decimal"/>
      <w:pStyle w:val="12"/>
      <w:lvlText w:val="%1.%2.%3.%4.%5.%6.%7"/>
      <w:lvlJc w:val="left"/>
      <w:pPr>
        <w:tabs>
          <w:tab w:val="left" w:pos="2520"/>
        </w:tabs>
        <w:ind w:left="1296" w:hanging="1296"/>
      </w:pPr>
      <w:rPr>
        <w:rFonts w:hint="eastAsia"/>
      </w:rPr>
    </w:lvl>
    <w:lvl w:ilvl="7" w:tentative="0">
      <w:start w:val="1"/>
      <w:numFmt w:val="decimal"/>
      <w:pStyle w:val="13"/>
      <w:lvlText w:val="%1.%2.%3.%4.%5.%6.%7.%8"/>
      <w:lvlJc w:val="left"/>
      <w:pPr>
        <w:tabs>
          <w:tab w:val="left" w:pos="1440"/>
        </w:tabs>
        <w:ind w:left="1440" w:hanging="1440"/>
      </w:pPr>
      <w:rPr>
        <w:rFonts w:hint="eastAsia"/>
      </w:rPr>
    </w:lvl>
    <w:lvl w:ilvl="8" w:tentative="0">
      <w:start w:val="1"/>
      <w:numFmt w:val="decimal"/>
      <w:pStyle w:val="14"/>
      <w:lvlText w:val="%1.%2.%3.%4.%5.%6.%7.%8.%9"/>
      <w:lvlJc w:val="left"/>
      <w:pPr>
        <w:tabs>
          <w:tab w:val="left" w:pos="1584"/>
        </w:tabs>
        <w:ind w:left="1584" w:hanging="1584"/>
      </w:pPr>
      <w:rPr>
        <w:rFonts w:hint="eastAsia"/>
      </w:rPr>
    </w:lvl>
  </w:abstractNum>
  <w:abstractNum w:abstractNumId="11">
    <w:nsid w:val="61197AF1"/>
    <w:multiLevelType w:val="singleLevel"/>
    <w:tmpl w:val="61197AF1"/>
    <w:lvl w:ilvl="0" w:tentative="0">
      <w:start w:val="1"/>
      <w:numFmt w:val="decimal"/>
      <w:lvlText w:val="%1."/>
      <w:lvlJc w:val="left"/>
      <w:pPr>
        <w:tabs>
          <w:tab w:val="left" w:pos="312"/>
        </w:tabs>
      </w:pPr>
    </w:lvl>
  </w:abstractNum>
  <w:abstractNum w:abstractNumId="12">
    <w:nsid w:val="6BFB5477"/>
    <w:multiLevelType w:val="singleLevel"/>
    <w:tmpl w:val="6BFB5477"/>
    <w:lvl w:ilvl="0" w:tentative="0">
      <w:start w:val="6"/>
      <w:numFmt w:val="decimal"/>
      <w:suff w:val="nothing"/>
      <w:lvlText w:val="%1、"/>
      <w:lvlJc w:val="left"/>
    </w:lvl>
  </w:abstractNum>
  <w:num w:numId="1">
    <w:abstractNumId w:val="10"/>
  </w:num>
  <w:num w:numId="2">
    <w:abstractNumId w:val="7"/>
  </w:num>
  <w:num w:numId="3">
    <w:abstractNumId w:val="6"/>
  </w:num>
  <w:num w:numId="4">
    <w:abstractNumId w:val="9"/>
  </w:num>
  <w:num w:numId="5">
    <w:abstractNumId w:val="4"/>
  </w:num>
  <w:num w:numId="6">
    <w:abstractNumId w:val="12"/>
  </w:num>
  <w:num w:numId="7">
    <w:abstractNumId w:val="5"/>
  </w:num>
  <w:num w:numId="8">
    <w:abstractNumId w:val="1"/>
  </w:num>
  <w:num w:numId="9">
    <w:abstractNumId w:val="2"/>
  </w:num>
  <w:num w:numId="10">
    <w:abstractNumId w:val="0"/>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kzMDBmMzQ2MWFmYjAwNzE2ZWMyOTU1NDBhODc5YjYifQ=="/>
  </w:docVars>
  <w:rsids>
    <w:rsidRoot w:val="00F24E48"/>
    <w:rsid w:val="000006B4"/>
    <w:rsid w:val="000007E4"/>
    <w:rsid w:val="00000FEC"/>
    <w:rsid w:val="00001C64"/>
    <w:rsid w:val="00003D00"/>
    <w:rsid w:val="00004639"/>
    <w:rsid w:val="00005C6E"/>
    <w:rsid w:val="00005D9D"/>
    <w:rsid w:val="0000609E"/>
    <w:rsid w:val="00006378"/>
    <w:rsid w:val="0000673A"/>
    <w:rsid w:val="00011A3E"/>
    <w:rsid w:val="000126C5"/>
    <w:rsid w:val="00015824"/>
    <w:rsid w:val="00015EF2"/>
    <w:rsid w:val="00016668"/>
    <w:rsid w:val="00017645"/>
    <w:rsid w:val="00020D43"/>
    <w:rsid w:val="00020EFB"/>
    <w:rsid w:val="00021451"/>
    <w:rsid w:val="00022443"/>
    <w:rsid w:val="000233E6"/>
    <w:rsid w:val="00024B55"/>
    <w:rsid w:val="000256CF"/>
    <w:rsid w:val="00027D87"/>
    <w:rsid w:val="00030720"/>
    <w:rsid w:val="00031679"/>
    <w:rsid w:val="00032E33"/>
    <w:rsid w:val="000341E2"/>
    <w:rsid w:val="00034488"/>
    <w:rsid w:val="0003471A"/>
    <w:rsid w:val="000349A0"/>
    <w:rsid w:val="0003574D"/>
    <w:rsid w:val="00035752"/>
    <w:rsid w:val="0003627D"/>
    <w:rsid w:val="00037665"/>
    <w:rsid w:val="00037F55"/>
    <w:rsid w:val="00041814"/>
    <w:rsid w:val="00043CCD"/>
    <w:rsid w:val="0004481C"/>
    <w:rsid w:val="00045A61"/>
    <w:rsid w:val="000516E4"/>
    <w:rsid w:val="00051EE9"/>
    <w:rsid w:val="00052DBB"/>
    <w:rsid w:val="00053BA4"/>
    <w:rsid w:val="0005559D"/>
    <w:rsid w:val="00057159"/>
    <w:rsid w:val="000571F3"/>
    <w:rsid w:val="0005747C"/>
    <w:rsid w:val="00057CB4"/>
    <w:rsid w:val="000610ED"/>
    <w:rsid w:val="000618FD"/>
    <w:rsid w:val="0006399B"/>
    <w:rsid w:val="00063ED0"/>
    <w:rsid w:val="00065560"/>
    <w:rsid w:val="00066AEF"/>
    <w:rsid w:val="00066E08"/>
    <w:rsid w:val="000737D2"/>
    <w:rsid w:val="000739C8"/>
    <w:rsid w:val="00074C4F"/>
    <w:rsid w:val="00075446"/>
    <w:rsid w:val="00075763"/>
    <w:rsid w:val="00076278"/>
    <w:rsid w:val="00076CD5"/>
    <w:rsid w:val="00076DCA"/>
    <w:rsid w:val="0007747B"/>
    <w:rsid w:val="00077713"/>
    <w:rsid w:val="00077780"/>
    <w:rsid w:val="00080AA5"/>
    <w:rsid w:val="00084129"/>
    <w:rsid w:val="00084E47"/>
    <w:rsid w:val="000864BC"/>
    <w:rsid w:val="00086A51"/>
    <w:rsid w:val="00086B4D"/>
    <w:rsid w:val="00086B76"/>
    <w:rsid w:val="00087359"/>
    <w:rsid w:val="00087551"/>
    <w:rsid w:val="0009104E"/>
    <w:rsid w:val="000911F8"/>
    <w:rsid w:val="000918E9"/>
    <w:rsid w:val="00092CD3"/>
    <w:rsid w:val="00092E76"/>
    <w:rsid w:val="00095E80"/>
    <w:rsid w:val="00097B83"/>
    <w:rsid w:val="00097D35"/>
    <w:rsid w:val="000A12B2"/>
    <w:rsid w:val="000A134C"/>
    <w:rsid w:val="000A2363"/>
    <w:rsid w:val="000A2FC9"/>
    <w:rsid w:val="000A359E"/>
    <w:rsid w:val="000A4A49"/>
    <w:rsid w:val="000A5B8E"/>
    <w:rsid w:val="000A6713"/>
    <w:rsid w:val="000B021B"/>
    <w:rsid w:val="000B29AF"/>
    <w:rsid w:val="000B4D21"/>
    <w:rsid w:val="000B66FB"/>
    <w:rsid w:val="000B7CB9"/>
    <w:rsid w:val="000C1898"/>
    <w:rsid w:val="000C3124"/>
    <w:rsid w:val="000C5CAB"/>
    <w:rsid w:val="000C5CD6"/>
    <w:rsid w:val="000C67B9"/>
    <w:rsid w:val="000C7A22"/>
    <w:rsid w:val="000D07D7"/>
    <w:rsid w:val="000D0F71"/>
    <w:rsid w:val="000D14D9"/>
    <w:rsid w:val="000D1D42"/>
    <w:rsid w:val="000D2DBE"/>
    <w:rsid w:val="000D3A1B"/>
    <w:rsid w:val="000D4174"/>
    <w:rsid w:val="000D5789"/>
    <w:rsid w:val="000D672B"/>
    <w:rsid w:val="000D73D5"/>
    <w:rsid w:val="000D7CCE"/>
    <w:rsid w:val="000D7F5F"/>
    <w:rsid w:val="000E29F4"/>
    <w:rsid w:val="000E3FAC"/>
    <w:rsid w:val="000E40AF"/>
    <w:rsid w:val="000E4ED4"/>
    <w:rsid w:val="000E526D"/>
    <w:rsid w:val="000E5BEB"/>
    <w:rsid w:val="000F38F3"/>
    <w:rsid w:val="000F48A6"/>
    <w:rsid w:val="000F4A8A"/>
    <w:rsid w:val="000F63C9"/>
    <w:rsid w:val="000F6D52"/>
    <w:rsid w:val="000F70F9"/>
    <w:rsid w:val="001019A4"/>
    <w:rsid w:val="00101E7C"/>
    <w:rsid w:val="00102F8E"/>
    <w:rsid w:val="00104914"/>
    <w:rsid w:val="001055CE"/>
    <w:rsid w:val="00107E28"/>
    <w:rsid w:val="001102D6"/>
    <w:rsid w:val="00111D8B"/>
    <w:rsid w:val="0011234E"/>
    <w:rsid w:val="00113D3D"/>
    <w:rsid w:val="00114C0A"/>
    <w:rsid w:val="0012174E"/>
    <w:rsid w:val="00125885"/>
    <w:rsid w:val="00125C58"/>
    <w:rsid w:val="001261EA"/>
    <w:rsid w:val="00126655"/>
    <w:rsid w:val="00127FEA"/>
    <w:rsid w:val="001326CC"/>
    <w:rsid w:val="001329E5"/>
    <w:rsid w:val="00132C2A"/>
    <w:rsid w:val="00132F9E"/>
    <w:rsid w:val="001345A3"/>
    <w:rsid w:val="0013520D"/>
    <w:rsid w:val="00137655"/>
    <w:rsid w:val="001425AE"/>
    <w:rsid w:val="001455CA"/>
    <w:rsid w:val="00145AFD"/>
    <w:rsid w:val="00145B6A"/>
    <w:rsid w:val="0014678D"/>
    <w:rsid w:val="0014727E"/>
    <w:rsid w:val="00147644"/>
    <w:rsid w:val="0015062B"/>
    <w:rsid w:val="001509EA"/>
    <w:rsid w:val="00151340"/>
    <w:rsid w:val="001522D2"/>
    <w:rsid w:val="00152353"/>
    <w:rsid w:val="00152840"/>
    <w:rsid w:val="00152DB7"/>
    <w:rsid w:val="0015369D"/>
    <w:rsid w:val="001543C1"/>
    <w:rsid w:val="001554C4"/>
    <w:rsid w:val="00155704"/>
    <w:rsid w:val="00156609"/>
    <w:rsid w:val="001625E5"/>
    <w:rsid w:val="00163E62"/>
    <w:rsid w:val="00164FC6"/>
    <w:rsid w:val="00165614"/>
    <w:rsid w:val="00165CE2"/>
    <w:rsid w:val="001662D4"/>
    <w:rsid w:val="00167820"/>
    <w:rsid w:val="00167D75"/>
    <w:rsid w:val="00173549"/>
    <w:rsid w:val="00173D9B"/>
    <w:rsid w:val="00175C06"/>
    <w:rsid w:val="00176078"/>
    <w:rsid w:val="00176E63"/>
    <w:rsid w:val="00177185"/>
    <w:rsid w:val="0018050D"/>
    <w:rsid w:val="00180954"/>
    <w:rsid w:val="00180AE6"/>
    <w:rsid w:val="00183168"/>
    <w:rsid w:val="00185247"/>
    <w:rsid w:val="00186C85"/>
    <w:rsid w:val="00190B98"/>
    <w:rsid w:val="001912E7"/>
    <w:rsid w:val="00191FF8"/>
    <w:rsid w:val="00192534"/>
    <w:rsid w:val="001929B8"/>
    <w:rsid w:val="00192C15"/>
    <w:rsid w:val="00195551"/>
    <w:rsid w:val="00197193"/>
    <w:rsid w:val="00197FAF"/>
    <w:rsid w:val="001A1613"/>
    <w:rsid w:val="001A6B3B"/>
    <w:rsid w:val="001B0C1E"/>
    <w:rsid w:val="001B178D"/>
    <w:rsid w:val="001B2A4A"/>
    <w:rsid w:val="001B5168"/>
    <w:rsid w:val="001B68B9"/>
    <w:rsid w:val="001B79EE"/>
    <w:rsid w:val="001B7DAC"/>
    <w:rsid w:val="001C141E"/>
    <w:rsid w:val="001C1E56"/>
    <w:rsid w:val="001C2BC7"/>
    <w:rsid w:val="001C3C26"/>
    <w:rsid w:val="001C45E0"/>
    <w:rsid w:val="001C4C9A"/>
    <w:rsid w:val="001D1C6F"/>
    <w:rsid w:val="001D21C5"/>
    <w:rsid w:val="001D34FA"/>
    <w:rsid w:val="001D3EA7"/>
    <w:rsid w:val="001D56D0"/>
    <w:rsid w:val="001D58FB"/>
    <w:rsid w:val="001E2638"/>
    <w:rsid w:val="001E4395"/>
    <w:rsid w:val="001E799F"/>
    <w:rsid w:val="001F0282"/>
    <w:rsid w:val="001F364A"/>
    <w:rsid w:val="001F3937"/>
    <w:rsid w:val="001F5A39"/>
    <w:rsid w:val="001F6363"/>
    <w:rsid w:val="001F7865"/>
    <w:rsid w:val="001F7A0E"/>
    <w:rsid w:val="001F7A82"/>
    <w:rsid w:val="002005B9"/>
    <w:rsid w:val="00201914"/>
    <w:rsid w:val="0020224E"/>
    <w:rsid w:val="00202472"/>
    <w:rsid w:val="00202CD5"/>
    <w:rsid w:val="00202E28"/>
    <w:rsid w:val="002039C8"/>
    <w:rsid w:val="002049C5"/>
    <w:rsid w:val="00204B83"/>
    <w:rsid w:val="002074C4"/>
    <w:rsid w:val="00207A59"/>
    <w:rsid w:val="00210540"/>
    <w:rsid w:val="00210B1E"/>
    <w:rsid w:val="0021276F"/>
    <w:rsid w:val="00213AF4"/>
    <w:rsid w:val="0021557D"/>
    <w:rsid w:val="00216820"/>
    <w:rsid w:val="00217987"/>
    <w:rsid w:val="0022077B"/>
    <w:rsid w:val="00224F11"/>
    <w:rsid w:val="002257A2"/>
    <w:rsid w:val="00225B92"/>
    <w:rsid w:val="002304CE"/>
    <w:rsid w:val="002306EF"/>
    <w:rsid w:val="00230DE5"/>
    <w:rsid w:val="00232C9A"/>
    <w:rsid w:val="002356F5"/>
    <w:rsid w:val="00236C01"/>
    <w:rsid w:val="00237FA1"/>
    <w:rsid w:val="00245542"/>
    <w:rsid w:val="00245FE7"/>
    <w:rsid w:val="0024603D"/>
    <w:rsid w:val="00246630"/>
    <w:rsid w:val="00247808"/>
    <w:rsid w:val="00251F52"/>
    <w:rsid w:val="00252946"/>
    <w:rsid w:val="00254D64"/>
    <w:rsid w:val="002615CC"/>
    <w:rsid w:val="00261ECB"/>
    <w:rsid w:val="00262D59"/>
    <w:rsid w:val="00263392"/>
    <w:rsid w:val="0026374F"/>
    <w:rsid w:val="00265BE2"/>
    <w:rsid w:val="00271A26"/>
    <w:rsid w:val="002731B6"/>
    <w:rsid w:val="00273B90"/>
    <w:rsid w:val="00273EE7"/>
    <w:rsid w:val="00274006"/>
    <w:rsid w:val="00275310"/>
    <w:rsid w:val="002772DE"/>
    <w:rsid w:val="002819D4"/>
    <w:rsid w:val="00282DFE"/>
    <w:rsid w:val="0028313A"/>
    <w:rsid w:val="002841EF"/>
    <w:rsid w:val="00286021"/>
    <w:rsid w:val="00286952"/>
    <w:rsid w:val="00286B1F"/>
    <w:rsid w:val="002901C6"/>
    <w:rsid w:val="002911DB"/>
    <w:rsid w:val="002913EA"/>
    <w:rsid w:val="002942F5"/>
    <w:rsid w:val="002944B8"/>
    <w:rsid w:val="002947BB"/>
    <w:rsid w:val="002947ED"/>
    <w:rsid w:val="00295270"/>
    <w:rsid w:val="00296F1F"/>
    <w:rsid w:val="002A0074"/>
    <w:rsid w:val="002A1033"/>
    <w:rsid w:val="002A2D66"/>
    <w:rsid w:val="002A5548"/>
    <w:rsid w:val="002A5E87"/>
    <w:rsid w:val="002A7472"/>
    <w:rsid w:val="002A7BCC"/>
    <w:rsid w:val="002B0042"/>
    <w:rsid w:val="002B07AF"/>
    <w:rsid w:val="002B206F"/>
    <w:rsid w:val="002B231B"/>
    <w:rsid w:val="002B235A"/>
    <w:rsid w:val="002B2B68"/>
    <w:rsid w:val="002B44BC"/>
    <w:rsid w:val="002B48F6"/>
    <w:rsid w:val="002C01E9"/>
    <w:rsid w:val="002C07B2"/>
    <w:rsid w:val="002C0BE4"/>
    <w:rsid w:val="002C1549"/>
    <w:rsid w:val="002C16AD"/>
    <w:rsid w:val="002C20E0"/>
    <w:rsid w:val="002C271F"/>
    <w:rsid w:val="002C3028"/>
    <w:rsid w:val="002C3EFC"/>
    <w:rsid w:val="002C7F25"/>
    <w:rsid w:val="002C7F88"/>
    <w:rsid w:val="002D0336"/>
    <w:rsid w:val="002D09A5"/>
    <w:rsid w:val="002D2353"/>
    <w:rsid w:val="002D346A"/>
    <w:rsid w:val="002D3A82"/>
    <w:rsid w:val="002D3B8D"/>
    <w:rsid w:val="002D47CD"/>
    <w:rsid w:val="002E0938"/>
    <w:rsid w:val="002E21CF"/>
    <w:rsid w:val="002E254E"/>
    <w:rsid w:val="002E275C"/>
    <w:rsid w:val="002E4525"/>
    <w:rsid w:val="002E597B"/>
    <w:rsid w:val="002F55E7"/>
    <w:rsid w:val="002F58DA"/>
    <w:rsid w:val="002F695A"/>
    <w:rsid w:val="003009DA"/>
    <w:rsid w:val="0030212D"/>
    <w:rsid w:val="00302B85"/>
    <w:rsid w:val="0030653F"/>
    <w:rsid w:val="00307264"/>
    <w:rsid w:val="00307BF4"/>
    <w:rsid w:val="00310A92"/>
    <w:rsid w:val="00310AD2"/>
    <w:rsid w:val="0031126E"/>
    <w:rsid w:val="003115D3"/>
    <w:rsid w:val="0031292C"/>
    <w:rsid w:val="00314101"/>
    <w:rsid w:val="003210A5"/>
    <w:rsid w:val="00321BB2"/>
    <w:rsid w:val="00322AB0"/>
    <w:rsid w:val="00326BFD"/>
    <w:rsid w:val="00326C1D"/>
    <w:rsid w:val="00330FEB"/>
    <w:rsid w:val="00332F23"/>
    <w:rsid w:val="00333A85"/>
    <w:rsid w:val="00334802"/>
    <w:rsid w:val="00335161"/>
    <w:rsid w:val="00337E90"/>
    <w:rsid w:val="0034071A"/>
    <w:rsid w:val="0034071D"/>
    <w:rsid w:val="00342A1D"/>
    <w:rsid w:val="00342D91"/>
    <w:rsid w:val="003433A5"/>
    <w:rsid w:val="003451B3"/>
    <w:rsid w:val="00346493"/>
    <w:rsid w:val="00346F76"/>
    <w:rsid w:val="00347A74"/>
    <w:rsid w:val="00350C64"/>
    <w:rsid w:val="00353DBB"/>
    <w:rsid w:val="00354088"/>
    <w:rsid w:val="0035553F"/>
    <w:rsid w:val="003555A8"/>
    <w:rsid w:val="00356713"/>
    <w:rsid w:val="003575FF"/>
    <w:rsid w:val="003629E7"/>
    <w:rsid w:val="003633E9"/>
    <w:rsid w:val="00364C98"/>
    <w:rsid w:val="0036513A"/>
    <w:rsid w:val="00366B31"/>
    <w:rsid w:val="00371683"/>
    <w:rsid w:val="003722FA"/>
    <w:rsid w:val="00380D67"/>
    <w:rsid w:val="00381344"/>
    <w:rsid w:val="0038432D"/>
    <w:rsid w:val="003857A5"/>
    <w:rsid w:val="00386345"/>
    <w:rsid w:val="00386515"/>
    <w:rsid w:val="00386769"/>
    <w:rsid w:val="003872E8"/>
    <w:rsid w:val="00390AEF"/>
    <w:rsid w:val="00392196"/>
    <w:rsid w:val="003924F1"/>
    <w:rsid w:val="00392DE0"/>
    <w:rsid w:val="00393D08"/>
    <w:rsid w:val="00394394"/>
    <w:rsid w:val="003956E2"/>
    <w:rsid w:val="00395D21"/>
    <w:rsid w:val="0039638E"/>
    <w:rsid w:val="003968A6"/>
    <w:rsid w:val="00397269"/>
    <w:rsid w:val="00397368"/>
    <w:rsid w:val="003A060C"/>
    <w:rsid w:val="003A069E"/>
    <w:rsid w:val="003A0F0E"/>
    <w:rsid w:val="003A1410"/>
    <w:rsid w:val="003A18CD"/>
    <w:rsid w:val="003A572A"/>
    <w:rsid w:val="003A7F5D"/>
    <w:rsid w:val="003B2618"/>
    <w:rsid w:val="003B273D"/>
    <w:rsid w:val="003B51B2"/>
    <w:rsid w:val="003B521C"/>
    <w:rsid w:val="003B524C"/>
    <w:rsid w:val="003B5F91"/>
    <w:rsid w:val="003B6F83"/>
    <w:rsid w:val="003C09E3"/>
    <w:rsid w:val="003C10C2"/>
    <w:rsid w:val="003C16ED"/>
    <w:rsid w:val="003C299A"/>
    <w:rsid w:val="003C3790"/>
    <w:rsid w:val="003C3DB0"/>
    <w:rsid w:val="003C5596"/>
    <w:rsid w:val="003C599C"/>
    <w:rsid w:val="003C6092"/>
    <w:rsid w:val="003D3FD1"/>
    <w:rsid w:val="003D465C"/>
    <w:rsid w:val="003D4A0C"/>
    <w:rsid w:val="003D542D"/>
    <w:rsid w:val="003E0228"/>
    <w:rsid w:val="003E2C04"/>
    <w:rsid w:val="003E2D6A"/>
    <w:rsid w:val="003E3451"/>
    <w:rsid w:val="003E5215"/>
    <w:rsid w:val="003E54DF"/>
    <w:rsid w:val="003E5D2C"/>
    <w:rsid w:val="003E6BB4"/>
    <w:rsid w:val="003E6FC9"/>
    <w:rsid w:val="003F3352"/>
    <w:rsid w:val="003F371D"/>
    <w:rsid w:val="003F3AD6"/>
    <w:rsid w:val="003F59B0"/>
    <w:rsid w:val="003F6354"/>
    <w:rsid w:val="00405C14"/>
    <w:rsid w:val="004061D7"/>
    <w:rsid w:val="00407728"/>
    <w:rsid w:val="00414A33"/>
    <w:rsid w:val="0041641E"/>
    <w:rsid w:val="004165B7"/>
    <w:rsid w:val="0041683F"/>
    <w:rsid w:val="004177D7"/>
    <w:rsid w:val="004205D1"/>
    <w:rsid w:val="004211E6"/>
    <w:rsid w:val="00421BA6"/>
    <w:rsid w:val="004223D1"/>
    <w:rsid w:val="00422AED"/>
    <w:rsid w:val="004244C9"/>
    <w:rsid w:val="00427C34"/>
    <w:rsid w:val="00431A63"/>
    <w:rsid w:val="00432153"/>
    <w:rsid w:val="00434157"/>
    <w:rsid w:val="00437751"/>
    <w:rsid w:val="00441A5B"/>
    <w:rsid w:val="004421F7"/>
    <w:rsid w:val="00442665"/>
    <w:rsid w:val="004437D1"/>
    <w:rsid w:val="0044392E"/>
    <w:rsid w:val="0044463D"/>
    <w:rsid w:val="00447F34"/>
    <w:rsid w:val="00452299"/>
    <w:rsid w:val="00453421"/>
    <w:rsid w:val="00457C22"/>
    <w:rsid w:val="0046048A"/>
    <w:rsid w:val="004638DB"/>
    <w:rsid w:val="00465FEF"/>
    <w:rsid w:val="0046650E"/>
    <w:rsid w:val="00466682"/>
    <w:rsid w:val="004712CA"/>
    <w:rsid w:val="00472215"/>
    <w:rsid w:val="004730B7"/>
    <w:rsid w:val="0047403F"/>
    <w:rsid w:val="00475BB4"/>
    <w:rsid w:val="00476512"/>
    <w:rsid w:val="004766B2"/>
    <w:rsid w:val="00476BCA"/>
    <w:rsid w:val="00476D84"/>
    <w:rsid w:val="00477022"/>
    <w:rsid w:val="004770BB"/>
    <w:rsid w:val="0047778E"/>
    <w:rsid w:val="00477F1F"/>
    <w:rsid w:val="00482117"/>
    <w:rsid w:val="00482248"/>
    <w:rsid w:val="0048285A"/>
    <w:rsid w:val="00482E7B"/>
    <w:rsid w:val="004844AE"/>
    <w:rsid w:val="00485123"/>
    <w:rsid w:val="0048572B"/>
    <w:rsid w:val="004865F5"/>
    <w:rsid w:val="0048689E"/>
    <w:rsid w:val="00491047"/>
    <w:rsid w:val="00492105"/>
    <w:rsid w:val="00493649"/>
    <w:rsid w:val="00494735"/>
    <w:rsid w:val="00495D51"/>
    <w:rsid w:val="004972E5"/>
    <w:rsid w:val="0049758E"/>
    <w:rsid w:val="00497BA7"/>
    <w:rsid w:val="004A00E9"/>
    <w:rsid w:val="004A213D"/>
    <w:rsid w:val="004A4114"/>
    <w:rsid w:val="004A7CB9"/>
    <w:rsid w:val="004B1A47"/>
    <w:rsid w:val="004B1D36"/>
    <w:rsid w:val="004B21EC"/>
    <w:rsid w:val="004B2808"/>
    <w:rsid w:val="004B34DE"/>
    <w:rsid w:val="004B6332"/>
    <w:rsid w:val="004B6822"/>
    <w:rsid w:val="004B68D8"/>
    <w:rsid w:val="004B77A9"/>
    <w:rsid w:val="004C1C68"/>
    <w:rsid w:val="004C2E7A"/>
    <w:rsid w:val="004C4030"/>
    <w:rsid w:val="004C537C"/>
    <w:rsid w:val="004C6EE7"/>
    <w:rsid w:val="004C7CD7"/>
    <w:rsid w:val="004D0365"/>
    <w:rsid w:val="004D049E"/>
    <w:rsid w:val="004D1D81"/>
    <w:rsid w:val="004D283D"/>
    <w:rsid w:val="004D2B5A"/>
    <w:rsid w:val="004D57FB"/>
    <w:rsid w:val="004D5FA5"/>
    <w:rsid w:val="004D6F47"/>
    <w:rsid w:val="004E0974"/>
    <w:rsid w:val="004E0A93"/>
    <w:rsid w:val="004E1F3C"/>
    <w:rsid w:val="004E22CB"/>
    <w:rsid w:val="004E2DF8"/>
    <w:rsid w:val="004E4D24"/>
    <w:rsid w:val="004E55B5"/>
    <w:rsid w:val="004E62B0"/>
    <w:rsid w:val="004F058F"/>
    <w:rsid w:val="004F0A2E"/>
    <w:rsid w:val="004F15EA"/>
    <w:rsid w:val="004F2777"/>
    <w:rsid w:val="004F3740"/>
    <w:rsid w:val="004F4390"/>
    <w:rsid w:val="004F6992"/>
    <w:rsid w:val="004F69F6"/>
    <w:rsid w:val="004F7659"/>
    <w:rsid w:val="005009B9"/>
    <w:rsid w:val="00502268"/>
    <w:rsid w:val="00502388"/>
    <w:rsid w:val="00504781"/>
    <w:rsid w:val="005070F9"/>
    <w:rsid w:val="005104FF"/>
    <w:rsid w:val="00510704"/>
    <w:rsid w:val="00513D85"/>
    <w:rsid w:val="00513E2A"/>
    <w:rsid w:val="00515858"/>
    <w:rsid w:val="005168A6"/>
    <w:rsid w:val="00516BA8"/>
    <w:rsid w:val="00517DD2"/>
    <w:rsid w:val="00520259"/>
    <w:rsid w:val="00522A52"/>
    <w:rsid w:val="005250C9"/>
    <w:rsid w:val="00525430"/>
    <w:rsid w:val="0052606B"/>
    <w:rsid w:val="00531EA1"/>
    <w:rsid w:val="00533FCB"/>
    <w:rsid w:val="005344A7"/>
    <w:rsid w:val="00535912"/>
    <w:rsid w:val="0053653C"/>
    <w:rsid w:val="00541CDE"/>
    <w:rsid w:val="005421AD"/>
    <w:rsid w:val="00543010"/>
    <w:rsid w:val="0054323E"/>
    <w:rsid w:val="005441A7"/>
    <w:rsid w:val="00544204"/>
    <w:rsid w:val="00545728"/>
    <w:rsid w:val="00545BAC"/>
    <w:rsid w:val="00545DD3"/>
    <w:rsid w:val="005502B3"/>
    <w:rsid w:val="00550D5F"/>
    <w:rsid w:val="00550E89"/>
    <w:rsid w:val="005510F5"/>
    <w:rsid w:val="0055135C"/>
    <w:rsid w:val="0055158C"/>
    <w:rsid w:val="00551670"/>
    <w:rsid w:val="00551E26"/>
    <w:rsid w:val="00551F07"/>
    <w:rsid w:val="0055461E"/>
    <w:rsid w:val="005564AA"/>
    <w:rsid w:val="005566C8"/>
    <w:rsid w:val="00560274"/>
    <w:rsid w:val="00560D5C"/>
    <w:rsid w:val="00564BCE"/>
    <w:rsid w:val="005666EF"/>
    <w:rsid w:val="00570DB5"/>
    <w:rsid w:val="00570F53"/>
    <w:rsid w:val="00570FE6"/>
    <w:rsid w:val="00572038"/>
    <w:rsid w:val="00572D78"/>
    <w:rsid w:val="0057326D"/>
    <w:rsid w:val="005768CC"/>
    <w:rsid w:val="00576A6F"/>
    <w:rsid w:val="005776ED"/>
    <w:rsid w:val="00580607"/>
    <w:rsid w:val="005807FB"/>
    <w:rsid w:val="00580BF9"/>
    <w:rsid w:val="00581715"/>
    <w:rsid w:val="00582167"/>
    <w:rsid w:val="00582849"/>
    <w:rsid w:val="0058339C"/>
    <w:rsid w:val="00583C08"/>
    <w:rsid w:val="0058495D"/>
    <w:rsid w:val="00586158"/>
    <w:rsid w:val="005903E4"/>
    <w:rsid w:val="005909E6"/>
    <w:rsid w:val="0059518D"/>
    <w:rsid w:val="005955E9"/>
    <w:rsid w:val="00595DB8"/>
    <w:rsid w:val="005A0353"/>
    <w:rsid w:val="005A1180"/>
    <w:rsid w:val="005A4448"/>
    <w:rsid w:val="005A5AC7"/>
    <w:rsid w:val="005A6568"/>
    <w:rsid w:val="005B04EC"/>
    <w:rsid w:val="005B5846"/>
    <w:rsid w:val="005B7195"/>
    <w:rsid w:val="005B71A8"/>
    <w:rsid w:val="005B7E60"/>
    <w:rsid w:val="005C159E"/>
    <w:rsid w:val="005C1623"/>
    <w:rsid w:val="005C1FA1"/>
    <w:rsid w:val="005C32C9"/>
    <w:rsid w:val="005C3C57"/>
    <w:rsid w:val="005C4042"/>
    <w:rsid w:val="005C4DA7"/>
    <w:rsid w:val="005C54BD"/>
    <w:rsid w:val="005C6772"/>
    <w:rsid w:val="005D1173"/>
    <w:rsid w:val="005D2652"/>
    <w:rsid w:val="005D30CA"/>
    <w:rsid w:val="005D3B29"/>
    <w:rsid w:val="005D3F86"/>
    <w:rsid w:val="005D486B"/>
    <w:rsid w:val="005D770A"/>
    <w:rsid w:val="005E01AB"/>
    <w:rsid w:val="005E43BD"/>
    <w:rsid w:val="005E6C25"/>
    <w:rsid w:val="005E754E"/>
    <w:rsid w:val="005E7E3F"/>
    <w:rsid w:val="005F37C5"/>
    <w:rsid w:val="005F3940"/>
    <w:rsid w:val="005F43D5"/>
    <w:rsid w:val="005F4BAF"/>
    <w:rsid w:val="005F5772"/>
    <w:rsid w:val="005F79D5"/>
    <w:rsid w:val="00601356"/>
    <w:rsid w:val="00601ADE"/>
    <w:rsid w:val="00602E24"/>
    <w:rsid w:val="006053A9"/>
    <w:rsid w:val="00607DBE"/>
    <w:rsid w:val="00610210"/>
    <w:rsid w:val="00611DC4"/>
    <w:rsid w:val="006124D2"/>
    <w:rsid w:val="006135A8"/>
    <w:rsid w:val="0061501B"/>
    <w:rsid w:val="00615231"/>
    <w:rsid w:val="00620507"/>
    <w:rsid w:val="006221D9"/>
    <w:rsid w:val="00623712"/>
    <w:rsid w:val="006261AC"/>
    <w:rsid w:val="0063501C"/>
    <w:rsid w:val="0063527A"/>
    <w:rsid w:val="0064035E"/>
    <w:rsid w:val="00641B56"/>
    <w:rsid w:val="00643D7A"/>
    <w:rsid w:val="006442B7"/>
    <w:rsid w:val="00644532"/>
    <w:rsid w:val="00644C71"/>
    <w:rsid w:val="00644D42"/>
    <w:rsid w:val="00644F37"/>
    <w:rsid w:val="0064644B"/>
    <w:rsid w:val="00646E5F"/>
    <w:rsid w:val="00651366"/>
    <w:rsid w:val="006517B8"/>
    <w:rsid w:val="0065192D"/>
    <w:rsid w:val="0065313E"/>
    <w:rsid w:val="0065378C"/>
    <w:rsid w:val="0065380F"/>
    <w:rsid w:val="00653CF4"/>
    <w:rsid w:val="00654EE0"/>
    <w:rsid w:val="00655272"/>
    <w:rsid w:val="006573B9"/>
    <w:rsid w:val="006602F1"/>
    <w:rsid w:val="0066060F"/>
    <w:rsid w:val="00661E30"/>
    <w:rsid w:val="006641C8"/>
    <w:rsid w:val="00664249"/>
    <w:rsid w:val="00664350"/>
    <w:rsid w:val="006659E4"/>
    <w:rsid w:val="00665E10"/>
    <w:rsid w:val="00666F98"/>
    <w:rsid w:val="00667337"/>
    <w:rsid w:val="00671091"/>
    <w:rsid w:val="00672397"/>
    <w:rsid w:val="006723C6"/>
    <w:rsid w:val="0067582B"/>
    <w:rsid w:val="00675EA6"/>
    <w:rsid w:val="006772F7"/>
    <w:rsid w:val="00680CF9"/>
    <w:rsid w:val="0068139A"/>
    <w:rsid w:val="00681D53"/>
    <w:rsid w:val="006843D9"/>
    <w:rsid w:val="006868C8"/>
    <w:rsid w:val="006914F4"/>
    <w:rsid w:val="006941A7"/>
    <w:rsid w:val="00694E4E"/>
    <w:rsid w:val="006953CA"/>
    <w:rsid w:val="00695FA0"/>
    <w:rsid w:val="0069691B"/>
    <w:rsid w:val="006A0031"/>
    <w:rsid w:val="006A01F7"/>
    <w:rsid w:val="006A4AFB"/>
    <w:rsid w:val="006A5D7C"/>
    <w:rsid w:val="006A60F3"/>
    <w:rsid w:val="006B03D5"/>
    <w:rsid w:val="006B05A0"/>
    <w:rsid w:val="006B0ED8"/>
    <w:rsid w:val="006B1939"/>
    <w:rsid w:val="006B19E6"/>
    <w:rsid w:val="006B33A6"/>
    <w:rsid w:val="006B366C"/>
    <w:rsid w:val="006B6EBF"/>
    <w:rsid w:val="006B7E4A"/>
    <w:rsid w:val="006C285C"/>
    <w:rsid w:val="006C2B15"/>
    <w:rsid w:val="006C45BF"/>
    <w:rsid w:val="006C653C"/>
    <w:rsid w:val="006C6FAE"/>
    <w:rsid w:val="006D0583"/>
    <w:rsid w:val="006D0938"/>
    <w:rsid w:val="006D25BE"/>
    <w:rsid w:val="006D40E1"/>
    <w:rsid w:val="006D5796"/>
    <w:rsid w:val="006D6882"/>
    <w:rsid w:val="006D739B"/>
    <w:rsid w:val="006E0515"/>
    <w:rsid w:val="006E1F5E"/>
    <w:rsid w:val="006E2FD2"/>
    <w:rsid w:val="006E47BD"/>
    <w:rsid w:val="006E4B68"/>
    <w:rsid w:val="006E676E"/>
    <w:rsid w:val="006E69C1"/>
    <w:rsid w:val="006E7559"/>
    <w:rsid w:val="006F02CD"/>
    <w:rsid w:val="006F2B42"/>
    <w:rsid w:val="006F3D22"/>
    <w:rsid w:val="006F6098"/>
    <w:rsid w:val="006F6DEF"/>
    <w:rsid w:val="007019C1"/>
    <w:rsid w:val="0070321E"/>
    <w:rsid w:val="007143A1"/>
    <w:rsid w:val="00722B4E"/>
    <w:rsid w:val="00722E43"/>
    <w:rsid w:val="0072408B"/>
    <w:rsid w:val="007241EF"/>
    <w:rsid w:val="00724BF7"/>
    <w:rsid w:val="007272FF"/>
    <w:rsid w:val="00727A33"/>
    <w:rsid w:val="00727E7E"/>
    <w:rsid w:val="00730680"/>
    <w:rsid w:val="00730E32"/>
    <w:rsid w:val="00732652"/>
    <w:rsid w:val="00732F2C"/>
    <w:rsid w:val="00733057"/>
    <w:rsid w:val="00733811"/>
    <w:rsid w:val="00734125"/>
    <w:rsid w:val="0073417A"/>
    <w:rsid w:val="00734223"/>
    <w:rsid w:val="0073580F"/>
    <w:rsid w:val="00735D3B"/>
    <w:rsid w:val="00736C4E"/>
    <w:rsid w:val="007376DD"/>
    <w:rsid w:val="00740501"/>
    <w:rsid w:val="00743E85"/>
    <w:rsid w:val="00746748"/>
    <w:rsid w:val="007476E4"/>
    <w:rsid w:val="00747980"/>
    <w:rsid w:val="007500F3"/>
    <w:rsid w:val="00750362"/>
    <w:rsid w:val="007517E5"/>
    <w:rsid w:val="0075285E"/>
    <w:rsid w:val="007531AF"/>
    <w:rsid w:val="00753F42"/>
    <w:rsid w:val="00754E2F"/>
    <w:rsid w:val="007578D4"/>
    <w:rsid w:val="00760AE6"/>
    <w:rsid w:val="007626D7"/>
    <w:rsid w:val="007629B0"/>
    <w:rsid w:val="00762AE6"/>
    <w:rsid w:val="00762FB6"/>
    <w:rsid w:val="00763A5A"/>
    <w:rsid w:val="00763EF6"/>
    <w:rsid w:val="00766F69"/>
    <w:rsid w:val="00767FFD"/>
    <w:rsid w:val="007712A4"/>
    <w:rsid w:val="0077251E"/>
    <w:rsid w:val="00772FBD"/>
    <w:rsid w:val="0077327B"/>
    <w:rsid w:val="00775B89"/>
    <w:rsid w:val="00776580"/>
    <w:rsid w:val="00776EF3"/>
    <w:rsid w:val="0077773D"/>
    <w:rsid w:val="00781997"/>
    <w:rsid w:val="00782F1A"/>
    <w:rsid w:val="0078454A"/>
    <w:rsid w:val="007856C5"/>
    <w:rsid w:val="0078585D"/>
    <w:rsid w:val="00790EC3"/>
    <w:rsid w:val="00791418"/>
    <w:rsid w:val="00792DA2"/>
    <w:rsid w:val="00793268"/>
    <w:rsid w:val="00794F3B"/>
    <w:rsid w:val="00795A5E"/>
    <w:rsid w:val="00795AB0"/>
    <w:rsid w:val="007966FC"/>
    <w:rsid w:val="00796C33"/>
    <w:rsid w:val="007A20F9"/>
    <w:rsid w:val="007A3469"/>
    <w:rsid w:val="007A3AF2"/>
    <w:rsid w:val="007B0315"/>
    <w:rsid w:val="007B206B"/>
    <w:rsid w:val="007B56B6"/>
    <w:rsid w:val="007B5895"/>
    <w:rsid w:val="007B71CA"/>
    <w:rsid w:val="007C0EA8"/>
    <w:rsid w:val="007C2762"/>
    <w:rsid w:val="007C5492"/>
    <w:rsid w:val="007C6B1D"/>
    <w:rsid w:val="007D0E21"/>
    <w:rsid w:val="007D10D8"/>
    <w:rsid w:val="007D286F"/>
    <w:rsid w:val="007D287D"/>
    <w:rsid w:val="007D2965"/>
    <w:rsid w:val="007D2F05"/>
    <w:rsid w:val="007D51EC"/>
    <w:rsid w:val="007D6504"/>
    <w:rsid w:val="007D79B3"/>
    <w:rsid w:val="007E031B"/>
    <w:rsid w:val="007E0B66"/>
    <w:rsid w:val="007E0C15"/>
    <w:rsid w:val="007E0F7D"/>
    <w:rsid w:val="007E18E8"/>
    <w:rsid w:val="007E197D"/>
    <w:rsid w:val="007E1E3B"/>
    <w:rsid w:val="007E7EEA"/>
    <w:rsid w:val="007F0FE7"/>
    <w:rsid w:val="007F1932"/>
    <w:rsid w:val="007F1A80"/>
    <w:rsid w:val="007F5FC0"/>
    <w:rsid w:val="007F683F"/>
    <w:rsid w:val="008007C8"/>
    <w:rsid w:val="00800E9E"/>
    <w:rsid w:val="00806E32"/>
    <w:rsid w:val="00807F39"/>
    <w:rsid w:val="0081104F"/>
    <w:rsid w:val="0081349C"/>
    <w:rsid w:val="008140B5"/>
    <w:rsid w:val="00814EE8"/>
    <w:rsid w:val="00815510"/>
    <w:rsid w:val="008169F6"/>
    <w:rsid w:val="00816CC9"/>
    <w:rsid w:val="0082047E"/>
    <w:rsid w:val="008209A9"/>
    <w:rsid w:val="00821600"/>
    <w:rsid w:val="00822FC9"/>
    <w:rsid w:val="00823339"/>
    <w:rsid w:val="00825106"/>
    <w:rsid w:val="0082662F"/>
    <w:rsid w:val="008305C0"/>
    <w:rsid w:val="008341E0"/>
    <w:rsid w:val="008348E6"/>
    <w:rsid w:val="00835BB9"/>
    <w:rsid w:val="008369A2"/>
    <w:rsid w:val="00837235"/>
    <w:rsid w:val="00837565"/>
    <w:rsid w:val="00840648"/>
    <w:rsid w:val="00840DCC"/>
    <w:rsid w:val="00840FFE"/>
    <w:rsid w:val="008455B9"/>
    <w:rsid w:val="0084637D"/>
    <w:rsid w:val="0084712F"/>
    <w:rsid w:val="0084786B"/>
    <w:rsid w:val="00847C38"/>
    <w:rsid w:val="00850DA9"/>
    <w:rsid w:val="0085148E"/>
    <w:rsid w:val="00851ECE"/>
    <w:rsid w:val="00854534"/>
    <w:rsid w:val="008546F0"/>
    <w:rsid w:val="00855503"/>
    <w:rsid w:val="008578C4"/>
    <w:rsid w:val="00860C28"/>
    <w:rsid w:val="00862FFD"/>
    <w:rsid w:val="00863155"/>
    <w:rsid w:val="00864E19"/>
    <w:rsid w:val="008701AC"/>
    <w:rsid w:val="00871860"/>
    <w:rsid w:val="00872306"/>
    <w:rsid w:val="00872F9B"/>
    <w:rsid w:val="008733C9"/>
    <w:rsid w:val="00873BD7"/>
    <w:rsid w:val="00875249"/>
    <w:rsid w:val="00875ECD"/>
    <w:rsid w:val="00876599"/>
    <w:rsid w:val="00876EF9"/>
    <w:rsid w:val="00880BC2"/>
    <w:rsid w:val="00882066"/>
    <w:rsid w:val="00885CAE"/>
    <w:rsid w:val="0088641C"/>
    <w:rsid w:val="0088673E"/>
    <w:rsid w:val="008870EE"/>
    <w:rsid w:val="0088713E"/>
    <w:rsid w:val="00887D95"/>
    <w:rsid w:val="00890AF5"/>
    <w:rsid w:val="00892F8C"/>
    <w:rsid w:val="00894073"/>
    <w:rsid w:val="0089431B"/>
    <w:rsid w:val="0089498F"/>
    <w:rsid w:val="008956AC"/>
    <w:rsid w:val="008962B8"/>
    <w:rsid w:val="00897306"/>
    <w:rsid w:val="008A0079"/>
    <w:rsid w:val="008A1D84"/>
    <w:rsid w:val="008A3867"/>
    <w:rsid w:val="008A3989"/>
    <w:rsid w:val="008A5583"/>
    <w:rsid w:val="008A6732"/>
    <w:rsid w:val="008B1025"/>
    <w:rsid w:val="008B48C2"/>
    <w:rsid w:val="008B552B"/>
    <w:rsid w:val="008B5F34"/>
    <w:rsid w:val="008B62EF"/>
    <w:rsid w:val="008B67A9"/>
    <w:rsid w:val="008C0102"/>
    <w:rsid w:val="008C042D"/>
    <w:rsid w:val="008C24FF"/>
    <w:rsid w:val="008C282C"/>
    <w:rsid w:val="008C42F2"/>
    <w:rsid w:val="008C4D47"/>
    <w:rsid w:val="008C554B"/>
    <w:rsid w:val="008D0C82"/>
    <w:rsid w:val="008D0E45"/>
    <w:rsid w:val="008D18AE"/>
    <w:rsid w:val="008D3FE7"/>
    <w:rsid w:val="008D55B9"/>
    <w:rsid w:val="008D7FEA"/>
    <w:rsid w:val="008E0EFE"/>
    <w:rsid w:val="008E12B3"/>
    <w:rsid w:val="008E2F85"/>
    <w:rsid w:val="008E3414"/>
    <w:rsid w:val="008E380D"/>
    <w:rsid w:val="008E4380"/>
    <w:rsid w:val="008E4AE0"/>
    <w:rsid w:val="008E4ED3"/>
    <w:rsid w:val="008E550B"/>
    <w:rsid w:val="008E6ACB"/>
    <w:rsid w:val="008E703C"/>
    <w:rsid w:val="008E7AFB"/>
    <w:rsid w:val="008E7C2E"/>
    <w:rsid w:val="008F0C63"/>
    <w:rsid w:val="008F2D1A"/>
    <w:rsid w:val="008F4B69"/>
    <w:rsid w:val="008F6A11"/>
    <w:rsid w:val="00901E39"/>
    <w:rsid w:val="00904908"/>
    <w:rsid w:val="0090534A"/>
    <w:rsid w:val="009054C5"/>
    <w:rsid w:val="00906710"/>
    <w:rsid w:val="00906868"/>
    <w:rsid w:val="00906BA1"/>
    <w:rsid w:val="00906FEF"/>
    <w:rsid w:val="00907E5B"/>
    <w:rsid w:val="00912E39"/>
    <w:rsid w:val="0091445F"/>
    <w:rsid w:val="00917574"/>
    <w:rsid w:val="0092031B"/>
    <w:rsid w:val="009203C7"/>
    <w:rsid w:val="00921AF7"/>
    <w:rsid w:val="00921D9E"/>
    <w:rsid w:val="0092387F"/>
    <w:rsid w:val="00926405"/>
    <w:rsid w:val="00931362"/>
    <w:rsid w:val="00931FF3"/>
    <w:rsid w:val="00935EBC"/>
    <w:rsid w:val="009374B0"/>
    <w:rsid w:val="00937973"/>
    <w:rsid w:val="0094062A"/>
    <w:rsid w:val="00940979"/>
    <w:rsid w:val="0094171F"/>
    <w:rsid w:val="0094332F"/>
    <w:rsid w:val="00943C03"/>
    <w:rsid w:val="00947307"/>
    <w:rsid w:val="00947A1F"/>
    <w:rsid w:val="00953416"/>
    <w:rsid w:val="00953FB3"/>
    <w:rsid w:val="009551B7"/>
    <w:rsid w:val="0095533A"/>
    <w:rsid w:val="0095552E"/>
    <w:rsid w:val="00957F10"/>
    <w:rsid w:val="00960954"/>
    <w:rsid w:val="00961AB7"/>
    <w:rsid w:val="00961C02"/>
    <w:rsid w:val="00962101"/>
    <w:rsid w:val="009636F6"/>
    <w:rsid w:val="0096428F"/>
    <w:rsid w:val="0096432B"/>
    <w:rsid w:val="00965974"/>
    <w:rsid w:val="009670BB"/>
    <w:rsid w:val="009672E7"/>
    <w:rsid w:val="00971576"/>
    <w:rsid w:val="009721FC"/>
    <w:rsid w:val="009732EE"/>
    <w:rsid w:val="00976D29"/>
    <w:rsid w:val="0098318A"/>
    <w:rsid w:val="00985ED4"/>
    <w:rsid w:val="00985F34"/>
    <w:rsid w:val="00987F51"/>
    <w:rsid w:val="009914DA"/>
    <w:rsid w:val="00991F3F"/>
    <w:rsid w:val="009933F1"/>
    <w:rsid w:val="00993CE9"/>
    <w:rsid w:val="00994127"/>
    <w:rsid w:val="00994757"/>
    <w:rsid w:val="00997A66"/>
    <w:rsid w:val="009A2F1A"/>
    <w:rsid w:val="009A33FC"/>
    <w:rsid w:val="009A4031"/>
    <w:rsid w:val="009A54FA"/>
    <w:rsid w:val="009A6DC7"/>
    <w:rsid w:val="009A7D18"/>
    <w:rsid w:val="009B0228"/>
    <w:rsid w:val="009B25CE"/>
    <w:rsid w:val="009B314B"/>
    <w:rsid w:val="009B3584"/>
    <w:rsid w:val="009B4820"/>
    <w:rsid w:val="009B4F4B"/>
    <w:rsid w:val="009B5EE4"/>
    <w:rsid w:val="009B6C99"/>
    <w:rsid w:val="009C14F7"/>
    <w:rsid w:val="009C1864"/>
    <w:rsid w:val="009C198E"/>
    <w:rsid w:val="009C2748"/>
    <w:rsid w:val="009C3618"/>
    <w:rsid w:val="009C47CD"/>
    <w:rsid w:val="009C4BCE"/>
    <w:rsid w:val="009C65FD"/>
    <w:rsid w:val="009C7378"/>
    <w:rsid w:val="009D0648"/>
    <w:rsid w:val="009D431C"/>
    <w:rsid w:val="009D6385"/>
    <w:rsid w:val="009D69CB"/>
    <w:rsid w:val="009E0B52"/>
    <w:rsid w:val="009E0F20"/>
    <w:rsid w:val="009E263E"/>
    <w:rsid w:val="009E3C12"/>
    <w:rsid w:val="009E4456"/>
    <w:rsid w:val="009E5EA4"/>
    <w:rsid w:val="009F0B90"/>
    <w:rsid w:val="009F102D"/>
    <w:rsid w:val="009F1269"/>
    <w:rsid w:val="009F2B2F"/>
    <w:rsid w:val="009F32FE"/>
    <w:rsid w:val="009F4619"/>
    <w:rsid w:val="00A0035D"/>
    <w:rsid w:val="00A01B8A"/>
    <w:rsid w:val="00A053CE"/>
    <w:rsid w:val="00A05854"/>
    <w:rsid w:val="00A0602C"/>
    <w:rsid w:val="00A12260"/>
    <w:rsid w:val="00A13EB8"/>
    <w:rsid w:val="00A1588A"/>
    <w:rsid w:val="00A1594C"/>
    <w:rsid w:val="00A16709"/>
    <w:rsid w:val="00A16ABB"/>
    <w:rsid w:val="00A209BE"/>
    <w:rsid w:val="00A20F40"/>
    <w:rsid w:val="00A21F57"/>
    <w:rsid w:val="00A2273F"/>
    <w:rsid w:val="00A310E4"/>
    <w:rsid w:val="00A3166E"/>
    <w:rsid w:val="00A318BC"/>
    <w:rsid w:val="00A32203"/>
    <w:rsid w:val="00A32FA9"/>
    <w:rsid w:val="00A353C1"/>
    <w:rsid w:val="00A36937"/>
    <w:rsid w:val="00A42506"/>
    <w:rsid w:val="00A42687"/>
    <w:rsid w:val="00A432F1"/>
    <w:rsid w:val="00A4442B"/>
    <w:rsid w:val="00A46A25"/>
    <w:rsid w:val="00A511EB"/>
    <w:rsid w:val="00A53572"/>
    <w:rsid w:val="00A53826"/>
    <w:rsid w:val="00A5487A"/>
    <w:rsid w:val="00A57C72"/>
    <w:rsid w:val="00A61B8C"/>
    <w:rsid w:val="00A6204C"/>
    <w:rsid w:val="00A6316F"/>
    <w:rsid w:val="00A64EBC"/>
    <w:rsid w:val="00A64F35"/>
    <w:rsid w:val="00A65C47"/>
    <w:rsid w:val="00A664AD"/>
    <w:rsid w:val="00A67013"/>
    <w:rsid w:val="00A70C5B"/>
    <w:rsid w:val="00A70FF3"/>
    <w:rsid w:val="00A72AAC"/>
    <w:rsid w:val="00A72E1E"/>
    <w:rsid w:val="00A7515F"/>
    <w:rsid w:val="00A75484"/>
    <w:rsid w:val="00A75FBB"/>
    <w:rsid w:val="00A7791A"/>
    <w:rsid w:val="00A779D8"/>
    <w:rsid w:val="00A802FC"/>
    <w:rsid w:val="00A84763"/>
    <w:rsid w:val="00A84A9E"/>
    <w:rsid w:val="00A85179"/>
    <w:rsid w:val="00A8642C"/>
    <w:rsid w:val="00A86BC0"/>
    <w:rsid w:val="00A87FD9"/>
    <w:rsid w:val="00A913C1"/>
    <w:rsid w:val="00A91F9E"/>
    <w:rsid w:val="00A94035"/>
    <w:rsid w:val="00A9506D"/>
    <w:rsid w:val="00A957EA"/>
    <w:rsid w:val="00A95B04"/>
    <w:rsid w:val="00A9632C"/>
    <w:rsid w:val="00A96844"/>
    <w:rsid w:val="00AA2657"/>
    <w:rsid w:val="00AA323D"/>
    <w:rsid w:val="00AA34E7"/>
    <w:rsid w:val="00AA4283"/>
    <w:rsid w:val="00AA5B48"/>
    <w:rsid w:val="00AA6144"/>
    <w:rsid w:val="00AB00C6"/>
    <w:rsid w:val="00AB0970"/>
    <w:rsid w:val="00AB189B"/>
    <w:rsid w:val="00AB56B9"/>
    <w:rsid w:val="00AB6861"/>
    <w:rsid w:val="00AB6B02"/>
    <w:rsid w:val="00AC0B8A"/>
    <w:rsid w:val="00AC389B"/>
    <w:rsid w:val="00AC3FD3"/>
    <w:rsid w:val="00AC5432"/>
    <w:rsid w:val="00AC60E8"/>
    <w:rsid w:val="00AC72A2"/>
    <w:rsid w:val="00AD00EC"/>
    <w:rsid w:val="00AD0413"/>
    <w:rsid w:val="00AD0910"/>
    <w:rsid w:val="00AD2B8F"/>
    <w:rsid w:val="00AD2D98"/>
    <w:rsid w:val="00AD39C7"/>
    <w:rsid w:val="00AD3ECE"/>
    <w:rsid w:val="00AD453C"/>
    <w:rsid w:val="00AD4854"/>
    <w:rsid w:val="00AD4953"/>
    <w:rsid w:val="00AD5E16"/>
    <w:rsid w:val="00AD7456"/>
    <w:rsid w:val="00AE0044"/>
    <w:rsid w:val="00AE06FE"/>
    <w:rsid w:val="00AE1B16"/>
    <w:rsid w:val="00AE28A6"/>
    <w:rsid w:val="00AE3943"/>
    <w:rsid w:val="00AE48F6"/>
    <w:rsid w:val="00AE4F72"/>
    <w:rsid w:val="00AE59E5"/>
    <w:rsid w:val="00AE5FE6"/>
    <w:rsid w:val="00AE602F"/>
    <w:rsid w:val="00AE6F2A"/>
    <w:rsid w:val="00AF008B"/>
    <w:rsid w:val="00AF2671"/>
    <w:rsid w:val="00AF2F74"/>
    <w:rsid w:val="00AF3CA7"/>
    <w:rsid w:val="00AF3E04"/>
    <w:rsid w:val="00AF3F17"/>
    <w:rsid w:val="00AF4A4C"/>
    <w:rsid w:val="00AF4A9A"/>
    <w:rsid w:val="00AF788A"/>
    <w:rsid w:val="00AF7B82"/>
    <w:rsid w:val="00B03559"/>
    <w:rsid w:val="00B042A1"/>
    <w:rsid w:val="00B043F0"/>
    <w:rsid w:val="00B05B79"/>
    <w:rsid w:val="00B06998"/>
    <w:rsid w:val="00B1160B"/>
    <w:rsid w:val="00B1198C"/>
    <w:rsid w:val="00B12281"/>
    <w:rsid w:val="00B12FC8"/>
    <w:rsid w:val="00B13583"/>
    <w:rsid w:val="00B14368"/>
    <w:rsid w:val="00B14A91"/>
    <w:rsid w:val="00B156DA"/>
    <w:rsid w:val="00B1755B"/>
    <w:rsid w:val="00B203D3"/>
    <w:rsid w:val="00B209E0"/>
    <w:rsid w:val="00B22710"/>
    <w:rsid w:val="00B22746"/>
    <w:rsid w:val="00B22A5C"/>
    <w:rsid w:val="00B23371"/>
    <w:rsid w:val="00B2495E"/>
    <w:rsid w:val="00B257DC"/>
    <w:rsid w:val="00B315A0"/>
    <w:rsid w:val="00B32F52"/>
    <w:rsid w:val="00B33E45"/>
    <w:rsid w:val="00B344A7"/>
    <w:rsid w:val="00B345A1"/>
    <w:rsid w:val="00B354D3"/>
    <w:rsid w:val="00B36E51"/>
    <w:rsid w:val="00B40ED1"/>
    <w:rsid w:val="00B41770"/>
    <w:rsid w:val="00B4235D"/>
    <w:rsid w:val="00B424DE"/>
    <w:rsid w:val="00B42CF6"/>
    <w:rsid w:val="00B433D8"/>
    <w:rsid w:val="00B438F3"/>
    <w:rsid w:val="00B43974"/>
    <w:rsid w:val="00B43F4F"/>
    <w:rsid w:val="00B46412"/>
    <w:rsid w:val="00B4707D"/>
    <w:rsid w:val="00B519A3"/>
    <w:rsid w:val="00B55451"/>
    <w:rsid w:val="00B55770"/>
    <w:rsid w:val="00B55872"/>
    <w:rsid w:val="00B57048"/>
    <w:rsid w:val="00B60196"/>
    <w:rsid w:val="00B60988"/>
    <w:rsid w:val="00B65430"/>
    <w:rsid w:val="00B65806"/>
    <w:rsid w:val="00B664E5"/>
    <w:rsid w:val="00B66757"/>
    <w:rsid w:val="00B66B1E"/>
    <w:rsid w:val="00B67CC7"/>
    <w:rsid w:val="00B7213E"/>
    <w:rsid w:val="00B767F5"/>
    <w:rsid w:val="00B77857"/>
    <w:rsid w:val="00B83A2F"/>
    <w:rsid w:val="00B85C82"/>
    <w:rsid w:val="00B86C3E"/>
    <w:rsid w:val="00B90FF1"/>
    <w:rsid w:val="00B9121A"/>
    <w:rsid w:val="00B9148F"/>
    <w:rsid w:val="00B915AC"/>
    <w:rsid w:val="00B92DB0"/>
    <w:rsid w:val="00B93AB0"/>
    <w:rsid w:val="00B949F2"/>
    <w:rsid w:val="00B960CD"/>
    <w:rsid w:val="00B96E3C"/>
    <w:rsid w:val="00B97696"/>
    <w:rsid w:val="00BA2D9A"/>
    <w:rsid w:val="00BA2F55"/>
    <w:rsid w:val="00BA32DB"/>
    <w:rsid w:val="00BA3F4C"/>
    <w:rsid w:val="00BA60C0"/>
    <w:rsid w:val="00BA6E38"/>
    <w:rsid w:val="00BB281B"/>
    <w:rsid w:val="00BB3161"/>
    <w:rsid w:val="00BB32E8"/>
    <w:rsid w:val="00BB3ED9"/>
    <w:rsid w:val="00BB4152"/>
    <w:rsid w:val="00BB4647"/>
    <w:rsid w:val="00BB5F24"/>
    <w:rsid w:val="00BB6B21"/>
    <w:rsid w:val="00BB6FD7"/>
    <w:rsid w:val="00BB777B"/>
    <w:rsid w:val="00BC0B06"/>
    <w:rsid w:val="00BC1935"/>
    <w:rsid w:val="00BC2AE6"/>
    <w:rsid w:val="00BC469F"/>
    <w:rsid w:val="00BD21D3"/>
    <w:rsid w:val="00BD2655"/>
    <w:rsid w:val="00BD2765"/>
    <w:rsid w:val="00BD4362"/>
    <w:rsid w:val="00BE1566"/>
    <w:rsid w:val="00BE29C8"/>
    <w:rsid w:val="00BE2DED"/>
    <w:rsid w:val="00BE401B"/>
    <w:rsid w:val="00BE55A2"/>
    <w:rsid w:val="00BE56A3"/>
    <w:rsid w:val="00BE56A9"/>
    <w:rsid w:val="00BE5E82"/>
    <w:rsid w:val="00BF0672"/>
    <w:rsid w:val="00BF1AA1"/>
    <w:rsid w:val="00BF5862"/>
    <w:rsid w:val="00BF5CCA"/>
    <w:rsid w:val="00BF606D"/>
    <w:rsid w:val="00C03704"/>
    <w:rsid w:val="00C06CD2"/>
    <w:rsid w:val="00C0751F"/>
    <w:rsid w:val="00C13A30"/>
    <w:rsid w:val="00C1436A"/>
    <w:rsid w:val="00C14F7A"/>
    <w:rsid w:val="00C16FAC"/>
    <w:rsid w:val="00C17276"/>
    <w:rsid w:val="00C22611"/>
    <w:rsid w:val="00C2264C"/>
    <w:rsid w:val="00C253F0"/>
    <w:rsid w:val="00C26372"/>
    <w:rsid w:val="00C26BF5"/>
    <w:rsid w:val="00C31E95"/>
    <w:rsid w:val="00C35AFD"/>
    <w:rsid w:val="00C35E7C"/>
    <w:rsid w:val="00C37BD2"/>
    <w:rsid w:val="00C405CA"/>
    <w:rsid w:val="00C41712"/>
    <w:rsid w:val="00C41E37"/>
    <w:rsid w:val="00C4205A"/>
    <w:rsid w:val="00C42C68"/>
    <w:rsid w:val="00C43205"/>
    <w:rsid w:val="00C4414C"/>
    <w:rsid w:val="00C44473"/>
    <w:rsid w:val="00C45969"/>
    <w:rsid w:val="00C478D2"/>
    <w:rsid w:val="00C47D47"/>
    <w:rsid w:val="00C50855"/>
    <w:rsid w:val="00C50981"/>
    <w:rsid w:val="00C52BBD"/>
    <w:rsid w:val="00C5410C"/>
    <w:rsid w:val="00C54BF8"/>
    <w:rsid w:val="00C555FD"/>
    <w:rsid w:val="00C5560B"/>
    <w:rsid w:val="00C556A7"/>
    <w:rsid w:val="00C5608D"/>
    <w:rsid w:val="00C56427"/>
    <w:rsid w:val="00C60112"/>
    <w:rsid w:val="00C61C11"/>
    <w:rsid w:val="00C61F9E"/>
    <w:rsid w:val="00C64C81"/>
    <w:rsid w:val="00C6550B"/>
    <w:rsid w:val="00C70406"/>
    <w:rsid w:val="00C70F3E"/>
    <w:rsid w:val="00C71E1E"/>
    <w:rsid w:val="00C727B5"/>
    <w:rsid w:val="00C72A90"/>
    <w:rsid w:val="00C738B9"/>
    <w:rsid w:val="00C75114"/>
    <w:rsid w:val="00C77317"/>
    <w:rsid w:val="00C81DAD"/>
    <w:rsid w:val="00C822BF"/>
    <w:rsid w:val="00C8261C"/>
    <w:rsid w:val="00C82986"/>
    <w:rsid w:val="00C8655C"/>
    <w:rsid w:val="00C90655"/>
    <w:rsid w:val="00C91426"/>
    <w:rsid w:val="00C915BD"/>
    <w:rsid w:val="00C91C60"/>
    <w:rsid w:val="00C9282B"/>
    <w:rsid w:val="00C92ED0"/>
    <w:rsid w:val="00C931B6"/>
    <w:rsid w:val="00C93BE3"/>
    <w:rsid w:val="00C94D8A"/>
    <w:rsid w:val="00C95EC2"/>
    <w:rsid w:val="00C97E65"/>
    <w:rsid w:val="00CA10C1"/>
    <w:rsid w:val="00CA23BB"/>
    <w:rsid w:val="00CA2E4D"/>
    <w:rsid w:val="00CA3812"/>
    <w:rsid w:val="00CA4014"/>
    <w:rsid w:val="00CA76B8"/>
    <w:rsid w:val="00CB0871"/>
    <w:rsid w:val="00CB2722"/>
    <w:rsid w:val="00CB35FC"/>
    <w:rsid w:val="00CB3C87"/>
    <w:rsid w:val="00CB45A3"/>
    <w:rsid w:val="00CB4B4F"/>
    <w:rsid w:val="00CB4CDD"/>
    <w:rsid w:val="00CB68BB"/>
    <w:rsid w:val="00CB76C6"/>
    <w:rsid w:val="00CC2841"/>
    <w:rsid w:val="00CC4972"/>
    <w:rsid w:val="00CC6B35"/>
    <w:rsid w:val="00CC78B0"/>
    <w:rsid w:val="00CD319E"/>
    <w:rsid w:val="00CD337D"/>
    <w:rsid w:val="00CD496E"/>
    <w:rsid w:val="00CD6290"/>
    <w:rsid w:val="00CD753D"/>
    <w:rsid w:val="00CE639D"/>
    <w:rsid w:val="00CE6AB1"/>
    <w:rsid w:val="00CE6E38"/>
    <w:rsid w:val="00CF62D1"/>
    <w:rsid w:val="00CF6607"/>
    <w:rsid w:val="00CF66E1"/>
    <w:rsid w:val="00CF67F9"/>
    <w:rsid w:val="00CF7050"/>
    <w:rsid w:val="00D006E2"/>
    <w:rsid w:val="00D00A37"/>
    <w:rsid w:val="00D01734"/>
    <w:rsid w:val="00D02BA4"/>
    <w:rsid w:val="00D058A6"/>
    <w:rsid w:val="00D073EE"/>
    <w:rsid w:val="00D07ECD"/>
    <w:rsid w:val="00D103D2"/>
    <w:rsid w:val="00D10725"/>
    <w:rsid w:val="00D1100E"/>
    <w:rsid w:val="00D125B6"/>
    <w:rsid w:val="00D13D1D"/>
    <w:rsid w:val="00D17572"/>
    <w:rsid w:val="00D17DB8"/>
    <w:rsid w:val="00D22483"/>
    <w:rsid w:val="00D24EEC"/>
    <w:rsid w:val="00D253B4"/>
    <w:rsid w:val="00D259AB"/>
    <w:rsid w:val="00D26C68"/>
    <w:rsid w:val="00D30549"/>
    <w:rsid w:val="00D330DA"/>
    <w:rsid w:val="00D332FD"/>
    <w:rsid w:val="00D3573C"/>
    <w:rsid w:val="00D35F9B"/>
    <w:rsid w:val="00D360A9"/>
    <w:rsid w:val="00D37948"/>
    <w:rsid w:val="00D41E5B"/>
    <w:rsid w:val="00D43DDF"/>
    <w:rsid w:val="00D44B2F"/>
    <w:rsid w:val="00D44D5A"/>
    <w:rsid w:val="00D450A9"/>
    <w:rsid w:val="00D46304"/>
    <w:rsid w:val="00D478DD"/>
    <w:rsid w:val="00D50D09"/>
    <w:rsid w:val="00D518D8"/>
    <w:rsid w:val="00D533CE"/>
    <w:rsid w:val="00D534E9"/>
    <w:rsid w:val="00D5514B"/>
    <w:rsid w:val="00D55BAB"/>
    <w:rsid w:val="00D5685E"/>
    <w:rsid w:val="00D60485"/>
    <w:rsid w:val="00D608CB"/>
    <w:rsid w:val="00D6171E"/>
    <w:rsid w:val="00D62936"/>
    <w:rsid w:val="00D630A5"/>
    <w:rsid w:val="00D63B7F"/>
    <w:rsid w:val="00D647F2"/>
    <w:rsid w:val="00D64CDA"/>
    <w:rsid w:val="00D65B65"/>
    <w:rsid w:val="00D665C3"/>
    <w:rsid w:val="00D674CF"/>
    <w:rsid w:val="00D72716"/>
    <w:rsid w:val="00D729B6"/>
    <w:rsid w:val="00D736E3"/>
    <w:rsid w:val="00D7385C"/>
    <w:rsid w:val="00D73B19"/>
    <w:rsid w:val="00D76D14"/>
    <w:rsid w:val="00D77112"/>
    <w:rsid w:val="00D77212"/>
    <w:rsid w:val="00D7724D"/>
    <w:rsid w:val="00D77847"/>
    <w:rsid w:val="00D82282"/>
    <w:rsid w:val="00D825F5"/>
    <w:rsid w:val="00D83DB1"/>
    <w:rsid w:val="00D84950"/>
    <w:rsid w:val="00D84BE2"/>
    <w:rsid w:val="00D84C75"/>
    <w:rsid w:val="00D84E16"/>
    <w:rsid w:val="00D87170"/>
    <w:rsid w:val="00D87492"/>
    <w:rsid w:val="00D879DE"/>
    <w:rsid w:val="00D90C4D"/>
    <w:rsid w:val="00D91B3E"/>
    <w:rsid w:val="00D9208A"/>
    <w:rsid w:val="00D92E84"/>
    <w:rsid w:val="00D93754"/>
    <w:rsid w:val="00D940BA"/>
    <w:rsid w:val="00D948B4"/>
    <w:rsid w:val="00D94C36"/>
    <w:rsid w:val="00D96ADC"/>
    <w:rsid w:val="00DA0FDB"/>
    <w:rsid w:val="00DA1896"/>
    <w:rsid w:val="00DA2A42"/>
    <w:rsid w:val="00DA57F6"/>
    <w:rsid w:val="00DA5989"/>
    <w:rsid w:val="00DA6132"/>
    <w:rsid w:val="00DB0571"/>
    <w:rsid w:val="00DB37DD"/>
    <w:rsid w:val="00DB391A"/>
    <w:rsid w:val="00DB406B"/>
    <w:rsid w:val="00DB712D"/>
    <w:rsid w:val="00DB7585"/>
    <w:rsid w:val="00DC0B24"/>
    <w:rsid w:val="00DC3F09"/>
    <w:rsid w:val="00DC5798"/>
    <w:rsid w:val="00DC72DC"/>
    <w:rsid w:val="00DC7D28"/>
    <w:rsid w:val="00DD04C8"/>
    <w:rsid w:val="00DD18DA"/>
    <w:rsid w:val="00DD2601"/>
    <w:rsid w:val="00DD413A"/>
    <w:rsid w:val="00DD4EFD"/>
    <w:rsid w:val="00DE1020"/>
    <w:rsid w:val="00DE21D8"/>
    <w:rsid w:val="00DE27B0"/>
    <w:rsid w:val="00DE5E6F"/>
    <w:rsid w:val="00DE75E3"/>
    <w:rsid w:val="00DF1744"/>
    <w:rsid w:val="00DF1F33"/>
    <w:rsid w:val="00DF2CA4"/>
    <w:rsid w:val="00DF2F4B"/>
    <w:rsid w:val="00DF355B"/>
    <w:rsid w:val="00DF361E"/>
    <w:rsid w:val="00DF40AB"/>
    <w:rsid w:val="00DF4471"/>
    <w:rsid w:val="00DF4E7E"/>
    <w:rsid w:val="00DF5BA1"/>
    <w:rsid w:val="00DF63D3"/>
    <w:rsid w:val="00DF6759"/>
    <w:rsid w:val="00E00071"/>
    <w:rsid w:val="00E075F2"/>
    <w:rsid w:val="00E1123D"/>
    <w:rsid w:val="00E12A64"/>
    <w:rsid w:val="00E12E2A"/>
    <w:rsid w:val="00E13EDB"/>
    <w:rsid w:val="00E1405A"/>
    <w:rsid w:val="00E146A1"/>
    <w:rsid w:val="00E159A9"/>
    <w:rsid w:val="00E204EC"/>
    <w:rsid w:val="00E20B66"/>
    <w:rsid w:val="00E21A73"/>
    <w:rsid w:val="00E21F73"/>
    <w:rsid w:val="00E24988"/>
    <w:rsid w:val="00E25F48"/>
    <w:rsid w:val="00E25FD0"/>
    <w:rsid w:val="00E3099C"/>
    <w:rsid w:val="00E30DF9"/>
    <w:rsid w:val="00E3630C"/>
    <w:rsid w:val="00E36454"/>
    <w:rsid w:val="00E366BC"/>
    <w:rsid w:val="00E3682A"/>
    <w:rsid w:val="00E3712A"/>
    <w:rsid w:val="00E37F31"/>
    <w:rsid w:val="00E40FD3"/>
    <w:rsid w:val="00E41120"/>
    <w:rsid w:val="00E415B8"/>
    <w:rsid w:val="00E416D0"/>
    <w:rsid w:val="00E42CB4"/>
    <w:rsid w:val="00E44898"/>
    <w:rsid w:val="00E44913"/>
    <w:rsid w:val="00E450E7"/>
    <w:rsid w:val="00E453A3"/>
    <w:rsid w:val="00E45EB9"/>
    <w:rsid w:val="00E46136"/>
    <w:rsid w:val="00E467E1"/>
    <w:rsid w:val="00E46A44"/>
    <w:rsid w:val="00E50677"/>
    <w:rsid w:val="00E52735"/>
    <w:rsid w:val="00E54368"/>
    <w:rsid w:val="00E54F31"/>
    <w:rsid w:val="00E57227"/>
    <w:rsid w:val="00E57C7F"/>
    <w:rsid w:val="00E60085"/>
    <w:rsid w:val="00E610EB"/>
    <w:rsid w:val="00E61370"/>
    <w:rsid w:val="00E61A1E"/>
    <w:rsid w:val="00E640FF"/>
    <w:rsid w:val="00E6421A"/>
    <w:rsid w:val="00E658C7"/>
    <w:rsid w:val="00E663E6"/>
    <w:rsid w:val="00E67BAC"/>
    <w:rsid w:val="00E70617"/>
    <w:rsid w:val="00E745A4"/>
    <w:rsid w:val="00E751A0"/>
    <w:rsid w:val="00E7649D"/>
    <w:rsid w:val="00E76537"/>
    <w:rsid w:val="00E76A76"/>
    <w:rsid w:val="00E77373"/>
    <w:rsid w:val="00E82F2E"/>
    <w:rsid w:val="00E854C1"/>
    <w:rsid w:val="00E85C43"/>
    <w:rsid w:val="00E8627D"/>
    <w:rsid w:val="00E90B04"/>
    <w:rsid w:val="00E9415F"/>
    <w:rsid w:val="00E962D1"/>
    <w:rsid w:val="00E9694A"/>
    <w:rsid w:val="00E974AD"/>
    <w:rsid w:val="00EA029B"/>
    <w:rsid w:val="00EA0682"/>
    <w:rsid w:val="00EA084E"/>
    <w:rsid w:val="00EA0B48"/>
    <w:rsid w:val="00EA0CB2"/>
    <w:rsid w:val="00EA2351"/>
    <w:rsid w:val="00EA3283"/>
    <w:rsid w:val="00EA3BEF"/>
    <w:rsid w:val="00EA3CCB"/>
    <w:rsid w:val="00EA545B"/>
    <w:rsid w:val="00EA58D8"/>
    <w:rsid w:val="00EA5C4D"/>
    <w:rsid w:val="00EA5E0E"/>
    <w:rsid w:val="00EA67F3"/>
    <w:rsid w:val="00EA788B"/>
    <w:rsid w:val="00EB3326"/>
    <w:rsid w:val="00EB3A10"/>
    <w:rsid w:val="00EB59BD"/>
    <w:rsid w:val="00EB7D49"/>
    <w:rsid w:val="00EC117C"/>
    <w:rsid w:val="00EC359E"/>
    <w:rsid w:val="00EC452F"/>
    <w:rsid w:val="00EC5EA7"/>
    <w:rsid w:val="00ED08B8"/>
    <w:rsid w:val="00ED16A4"/>
    <w:rsid w:val="00ED23E9"/>
    <w:rsid w:val="00ED2E90"/>
    <w:rsid w:val="00ED434E"/>
    <w:rsid w:val="00ED445D"/>
    <w:rsid w:val="00EE03E2"/>
    <w:rsid w:val="00EE389F"/>
    <w:rsid w:val="00EE3DBE"/>
    <w:rsid w:val="00EE478E"/>
    <w:rsid w:val="00EE5038"/>
    <w:rsid w:val="00EE577E"/>
    <w:rsid w:val="00EE5855"/>
    <w:rsid w:val="00EE6A16"/>
    <w:rsid w:val="00EF026F"/>
    <w:rsid w:val="00EF0FAF"/>
    <w:rsid w:val="00EF152D"/>
    <w:rsid w:val="00EF2BA3"/>
    <w:rsid w:val="00EF4724"/>
    <w:rsid w:val="00EF4B1F"/>
    <w:rsid w:val="00EF4CD0"/>
    <w:rsid w:val="00EF66D0"/>
    <w:rsid w:val="00EF7E78"/>
    <w:rsid w:val="00F005C5"/>
    <w:rsid w:val="00F009BE"/>
    <w:rsid w:val="00F00D15"/>
    <w:rsid w:val="00F03583"/>
    <w:rsid w:val="00F05894"/>
    <w:rsid w:val="00F06907"/>
    <w:rsid w:val="00F07E5C"/>
    <w:rsid w:val="00F1040C"/>
    <w:rsid w:val="00F12586"/>
    <w:rsid w:val="00F14BA9"/>
    <w:rsid w:val="00F152D8"/>
    <w:rsid w:val="00F16CEC"/>
    <w:rsid w:val="00F20D61"/>
    <w:rsid w:val="00F21F57"/>
    <w:rsid w:val="00F2382D"/>
    <w:rsid w:val="00F24E48"/>
    <w:rsid w:val="00F25CD3"/>
    <w:rsid w:val="00F26F4D"/>
    <w:rsid w:val="00F27A40"/>
    <w:rsid w:val="00F30453"/>
    <w:rsid w:val="00F330C7"/>
    <w:rsid w:val="00F402CE"/>
    <w:rsid w:val="00F40656"/>
    <w:rsid w:val="00F42516"/>
    <w:rsid w:val="00F42DD9"/>
    <w:rsid w:val="00F45187"/>
    <w:rsid w:val="00F459A6"/>
    <w:rsid w:val="00F47B27"/>
    <w:rsid w:val="00F5152E"/>
    <w:rsid w:val="00F53A75"/>
    <w:rsid w:val="00F55B60"/>
    <w:rsid w:val="00F56B27"/>
    <w:rsid w:val="00F57061"/>
    <w:rsid w:val="00F601D1"/>
    <w:rsid w:val="00F60B7B"/>
    <w:rsid w:val="00F616C1"/>
    <w:rsid w:val="00F619D4"/>
    <w:rsid w:val="00F643A3"/>
    <w:rsid w:val="00F64573"/>
    <w:rsid w:val="00F64898"/>
    <w:rsid w:val="00F65F08"/>
    <w:rsid w:val="00F6636D"/>
    <w:rsid w:val="00F674A5"/>
    <w:rsid w:val="00F71259"/>
    <w:rsid w:val="00F71448"/>
    <w:rsid w:val="00F72F4B"/>
    <w:rsid w:val="00F74028"/>
    <w:rsid w:val="00F748FE"/>
    <w:rsid w:val="00F759BC"/>
    <w:rsid w:val="00F80520"/>
    <w:rsid w:val="00F806B9"/>
    <w:rsid w:val="00F816BF"/>
    <w:rsid w:val="00F81C40"/>
    <w:rsid w:val="00F81FC9"/>
    <w:rsid w:val="00F85E7A"/>
    <w:rsid w:val="00F87386"/>
    <w:rsid w:val="00F90871"/>
    <w:rsid w:val="00F93130"/>
    <w:rsid w:val="00F93CC1"/>
    <w:rsid w:val="00F9410C"/>
    <w:rsid w:val="00F944A9"/>
    <w:rsid w:val="00F94B31"/>
    <w:rsid w:val="00F95CF3"/>
    <w:rsid w:val="00F970C0"/>
    <w:rsid w:val="00FA0F79"/>
    <w:rsid w:val="00FA1D04"/>
    <w:rsid w:val="00FA7F4B"/>
    <w:rsid w:val="00FB0E68"/>
    <w:rsid w:val="00FB278A"/>
    <w:rsid w:val="00FB64E9"/>
    <w:rsid w:val="00FB69C7"/>
    <w:rsid w:val="00FB71F7"/>
    <w:rsid w:val="00FB74E5"/>
    <w:rsid w:val="00FB7A8B"/>
    <w:rsid w:val="00FC0317"/>
    <w:rsid w:val="00FC0721"/>
    <w:rsid w:val="00FC0F6A"/>
    <w:rsid w:val="00FC3C61"/>
    <w:rsid w:val="00FD2271"/>
    <w:rsid w:val="00FD27BE"/>
    <w:rsid w:val="00FE0387"/>
    <w:rsid w:val="00FE12D2"/>
    <w:rsid w:val="00FE3A90"/>
    <w:rsid w:val="00FE3BD8"/>
    <w:rsid w:val="00FE5441"/>
    <w:rsid w:val="00FE5DB2"/>
    <w:rsid w:val="00FE72A5"/>
    <w:rsid w:val="00FE76F6"/>
    <w:rsid w:val="00FF1FDB"/>
    <w:rsid w:val="00FF7612"/>
    <w:rsid w:val="010728ED"/>
    <w:rsid w:val="011B2E38"/>
    <w:rsid w:val="014F09D3"/>
    <w:rsid w:val="01615741"/>
    <w:rsid w:val="018B76DE"/>
    <w:rsid w:val="01B87094"/>
    <w:rsid w:val="01D136C3"/>
    <w:rsid w:val="01D57348"/>
    <w:rsid w:val="01DA494C"/>
    <w:rsid w:val="01FA3BA1"/>
    <w:rsid w:val="01FE6AD1"/>
    <w:rsid w:val="0235346A"/>
    <w:rsid w:val="024E3D78"/>
    <w:rsid w:val="025A5526"/>
    <w:rsid w:val="02737E72"/>
    <w:rsid w:val="02865B55"/>
    <w:rsid w:val="02C92703"/>
    <w:rsid w:val="02E275F2"/>
    <w:rsid w:val="02E818DE"/>
    <w:rsid w:val="02EE60FA"/>
    <w:rsid w:val="03093C3C"/>
    <w:rsid w:val="031C1576"/>
    <w:rsid w:val="032644F1"/>
    <w:rsid w:val="032911FF"/>
    <w:rsid w:val="03443C07"/>
    <w:rsid w:val="03464ABF"/>
    <w:rsid w:val="037924DB"/>
    <w:rsid w:val="037B4CD4"/>
    <w:rsid w:val="03994022"/>
    <w:rsid w:val="03C0318C"/>
    <w:rsid w:val="03C46021"/>
    <w:rsid w:val="03DA11B3"/>
    <w:rsid w:val="03DF2169"/>
    <w:rsid w:val="041846B5"/>
    <w:rsid w:val="041F6DEC"/>
    <w:rsid w:val="0427262A"/>
    <w:rsid w:val="04A86FF4"/>
    <w:rsid w:val="04BB06B1"/>
    <w:rsid w:val="04DC7B68"/>
    <w:rsid w:val="04DE1B9F"/>
    <w:rsid w:val="04EA1716"/>
    <w:rsid w:val="04FC6524"/>
    <w:rsid w:val="04FD4C0A"/>
    <w:rsid w:val="052722A7"/>
    <w:rsid w:val="05370857"/>
    <w:rsid w:val="055B0C43"/>
    <w:rsid w:val="05902C24"/>
    <w:rsid w:val="05951BA5"/>
    <w:rsid w:val="05967170"/>
    <w:rsid w:val="05A14F91"/>
    <w:rsid w:val="05A60F67"/>
    <w:rsid w:val="05B11E50"/>
    <w:rsid w:val="05B4539A"/>
    <w:rsid w:val="05CC0F23"/>
    <w:rsid w:val="05CF04C3"/>
    <w:rsid w:val="05E74F83"/>
    <w:rsid w:val="05FF1BD0"/>
    <w:rsid w:val="061C5287"/>
    <w:rsid w:val="062260D2"/>
    <w:rsid w:val="062A4B06"/>
    <w:rsid w:val="062F6A41"/>
    <w:rsid w:val="063522A9"/>
    <w:rsid w:val="06405385"/>
    <w:rsid w:val="065B42D2"/>
    <w:rsid w:val="06952B2A"/>
    <w:rsid w:val="06AC7621"/>
    <w:rsid w:val="06B449E8"/>
    <w:rsid w:val="06E55900"/>
    <w:rsid w:val="06EF2962"/>
    <w:rsid w:val="070F74DD"/>
    <w:rsid w:val="07156B69"/>
    <w:rsid w:val="074F7401"/>
    <w:rsid w:val="07566E68"/>
    <w:rsid w:val="075876B9"/>
    <w:rsid w:val="076560A2"/>
    <w:rsid w:val="076F78F5"/>
    <w:rsid w:val="07980D6B"/>
    <w:rsid w:val="079B6C48"/>
    <w:rsid w:val="07BA0581"/>
    <w:rsid w:val="07BA25DA"/>
    <w:rsid w:val="07D05744"/>
    <w:rsid w:val="07D872D8"/>
    <w:rsid w:val="07E077C4"/>
    <w:rsid w:val="07F0265E"/>
    <w:rsid w:val="07F137AF"/>
    <w:rsid w:val="08061125"/>
    <w:rsid w:val="08270B6E"/>
    <w:rsid w:val="084A5596"/>
    <w:rsid w:val="085206E7"/>
    <w:rsid w:val="089E6A7F"/>
    <w:rsid w:val="08D401D8"/>
    <w:rsid w:val="08FB4267"/>
    <w:rsid w:val="08FC2784"/>
    <w:rsid w:val="091F724C"/>
    <w:rsid w:val="093C27E8"/>
    <w:rsid w:val="09420B40"/>
    <w:rsid w:val="09441DC3"/>
    <w:rsid w:val="09475E50"/>
    <w:rsid w:val="094F5638"/>
    <w:rsid w:val="09677F17"/>
    <w:rsid w:val="09D524E2"/>
    <w:rsid w:val="09F45CDA"/>
    <w:rsid w:val="0A0655BF"/>
    <w:rsid w:val="0A0D4BA9"/>
    <w:rsid w:val="0A174DC5"/>
    <w:rsid w:val="0A196D7F"/>
    <w:rsid w:val="0A3227B1"/>
    <w:rsid w:val="0A38682C"/>
    <w:rsid w:val="0A403C01"/>
    <w:rsid w:val="0A570D43"/>
    <w:rsid w:val="0A6922BB"/>
    <w:rsid w:val="0AB319EF"/>
    <w:rsid w:val="0ABA2E9A"/>
    <w:rsid w:val="0AC17816"/>
    <w:rsid w:val="0AC42304"/>
    <w:rsid w:val="0AD56081"/>
    <w:rsid w:val="0AED62B0"/>
    <w:rsid w:val="0AF44A65"/>
    <w:rsid w:val="0B234360"/>
    <w:rsid w:val="0B235389"/>
    <w:rsid w:val="0B7E7969"/>
    <w:rsid w:val="0B9139BA"/>
    <w:rsid w:val="0BA14782"/>
    <w:rsid w:val="0BB3039C"/>
    <w:rsid w:val="0BD70BDD"/>
    <w:rsid w:val="0BD93022"/>
    <w:rsid w:val="0BFD5CFE"/>
    <w:rsid w:val="0C452842"/>
    <w:rsid w:val="0C461145"/>
    <w:rsid w:val="0C47420B"/>
    <w:rsid w:val="0C5D5313"/>
    <w:rsid w:val="0C6A6E26"/>
    <w:rsid w:val="0C701CE7"/>
    <w:rsid w:val="0C946884"/>
    <w:rsid w:val="0CE93FC6"/>
    <w:rsid w:val="0CEC0D29"/>
    <w:rsid w:val="0D181C6E"/>
    <w:rsid w:val="0D2160AD"/>
    <w:rsid w:val="0D282AD2"/>
    <w:rsid w:val="0D4B3500"/>
    <w:rsid w:val="0D5F382D"/>
    <w:rsid w:val="0D604131"/>
    <w:rsid w:val="0D6540A0"/>
    <w:rsid w:val="0D6C0CA2"/>
    <w:rsid w:val="0D7F7494"/>
    <w:rsid w:val="0D835B86"/>
    <w:rsid w:val="0DBD4238"/>
    <w:rsid w:val="0DCF28A1"/>
    <w:rsid w:val="0DE038F1"/>
    <w:rsid w:val="0DE95EC9"/>
    <w:rsid w:val="0E0B5ADC"/>
    <w:rsid w:val="0E214E89"/>
    <w:rsid w:val="0E2C316A"/>
    <w:rsid w:val="0E664566"/>
    <w:rsid w:val="0E7058D0"/>
    <w:rsid w:val="0E9B6C5B"/>
    <w:rsid w:val="0EA8609D"/>
    <w:rsid w:val="0EDE4D23"/>
    <w:rsid w:val="0EE81CE2"/>
    <w:rsid w:val="0F065B31"/>
    <w:rsid w:val="0F121CD3"/>
    <w:rsid w:val="0F234269"/>
    <w:rsid w:val="0F432F7D"/>
    <w:rsid w:val="0F512B06"/>
    <w:rsid w:val="0F78649A"/>
    <w:rsid w:val="0F9A7029"/>
    <w:rsid w:val="0FF50DDF"/>
    <w:rsid w:val="0FFA158B"/>
    <w:rsid w:val="106B3C5C"/>
    <w:rsid w:val="10863276"/>
    <w:rsid w:val="10BE3305"/>
    <w:rsid w:val="10F11796"/>
    <w:rsid w:val="11207761"/>
    <w:rsid w:val="113C6D55"/>
    <w:rsid w:val="113D3267"/>
    <w:rsid w:val="114411CF"/>
    <w:rsid w:val="115E6D52"/>
    <w:rsid w:val="1192681D"/>
    <w:rsid w:val="119C31AD"/>
    <w:rsid w:val="119E5FAB"/>
    <w:rsid w:val="11A90E79"/>
    <w:rsid w:val="11C43225"/>
    <w:rsid w:val="120B502F"/>
    <w:rsid w:val="121F3E0E"/>
    <w:rsid w:val="121F5E28"/>
    <w:rsid w:val="1241258B"/>
    <w:rsid w:val="125449EA"/>
    <w:rsid w:val="127B3EDC"/>
    <w:rsid w:val="12D85FEB"/>
    <w:rsid w:val="13005243"/>
    <w:rsid w:val="13090143"/>
    <w:rsid w:val="131D3CDF"/>
    <w:rsid w:val="132821A0"/>
    <w:rsid w:val="134A110A"/>
    <w:rsid w:val="13881C60"/>
    <w:rsid w:val="138B6498"/>
    <w:rsid w:val="139D0C31"/>
    <w:rsid w:val="13A62A82"/>
    <w:rsid w:val="13AA6975"/>
    <w:rsid w:val="13C117BE"/>
    <w:rsid w:val="13E66B14"/>
    <w:rsid w:val="14213091"/>
    <w:rsid w:val="144A617F"/>
    <w:rsid w:val="14533E01"/>
    <w:rsid w:val="1459022B"/>
    <w:rsid w:val="145D4414"/>
    <w:rsid w:val="146B482B"/>
    <w:rsid w:val="14892109"/>
    <w:rsid w:val="14A24235"/>
    <w:rsid w:val="14CC70CA"/>
    <w:rsid w:val="14F75923"/>
    <w:rsid w:val="14FD7476"/>
    <w:rsid w:val="150B3A4D"/>
    <w:rsid w:val="150F76B4"/>
    <w:rsid w:val="15250A36"/>
    <w:rsid w:val="15732FE9"/>
    <w:rsid w:val="157D5EC0"/>
    <w:rsid w:val="15896112"/>
    <w:rsid w:val="158E228D"/>
    <w:rsid w:val="158F0292"/>
    <w:rsid w:val="159F3D93"/>
    <w:rsid w:val="15A36C75"/>
    <w:rsid w:val="15C262DE"/>
    <w:rsid w:val="16112612"/>
    <w:rsid w:val="162C162E"/>
    <w:rsid w:val="16342843"/>
    <w:rsid w:val="1639254D"/>
    <w:rsid w:val="164B2E68"/>
    <w:rsid w:val="16AF1D9A"/>
    <w:rsid w:val="16FA2CE4"/>
    <w:rsid w:val="17040310"/>
    <w:rsid w:val="17064FFA"/>
    <w:rsid w:val="170E7896"/>
    <w:rsid w:val="172B7A6D"/>
    <w:rsid w:val="17447C31"/>
    <w:rsid w:val="174D6CD7"/>
    <w:rsid w:val="17606A5A"/>
    <w:rsid w:val="17765BC5"/>
    <w:rsid w:val="17882469"/>
    <w:rsid w:val="17930F56"/>
    <w:rsid w:val="17A32A45"/>
    <w:rsid w:val="17D252BA"/>
    <w:rsid w:val="17D8205C"/>
    <w:rsid w:val="17DD680B"/>
    <w:rsid w:val="17DE5535"/>
    <w:rsid w:val="18114620"/>
    <w:rsid w:val="181573E2"/>
    <w:rsid w:val="18573657"/>
    <w:rsid w:val="18601A40"/>
    <w:rsid w:val="186834B7"/>
    <w:rsid w:val="187A4051"/>
    <w:rsid w:val="18B05777"/>
    <w:rsid w:val="18D61DE5"/>
    <w:rsid w:val="18E43D2A"/>
    <w:rsid w:val="18F3123E"/>
    <w:rsid w:val="1906188C"/>
    <w:rsid w:val="196C5B08"/>
    <w:rsid w:val="197A4451"/>
    <w:rsid w:val="198E7FC2"/>
    <w:rsid w:val="199F306B"/>
    <w:rsid w:val="19D86D4F"/>
    <w:rsid w:val="19DE534A"/>
    <w:rsid w:val="19FE0FFC"/>
    <w:rsid w:val="1A206E6A"/>
    <w:rsid w:val="1A240CBD"/>
    <w:rsid w:val="1A2C6E15"/>
    <w:rsid w:val="1A43782A"/>
    <w:rsid w:val="1A474250"/>
    <w:rsid w:val="1A5672E2"/>
    <w:rsid w:val="1A67124F"/>
    <w:rsid w:val="1AEA3B43"/>
    <w:rsid w:val="1B0572E0"/>
    <w:rsid w:val="1B116279"/>
    <w:rsid w:val="1B336733"/>
    <w:rsid w:val="1B3A6E7C"/>
    <w:rsid w:val="1B525540"/>
    <w:rsid w:val="1B5A6C2C"/>
    <w:rsid w:val="1B7366C4"/>
    <w:rsid w:val="1B8536C2"/>
    <w:rsid w:val="1B944DE0"/>
    <w:rsid w:val="1BB031A7"/>
    <w:rsid w:val="1BC85FEC"/>
    <w:rsid w:val="1BD465CD"/>
    <w:rsid w:val="1BF3616B"/>
    <w:rsid w:val="1C216DDC"/>
    <w:rsid w:val="1C313672"/>
    <w:rsid w:val="1C3D6BC0"/>
    <w:rsid w:val="1C8E5EB0"/>
    <w:rsid w:val="1C983618"/>
    <w:rsid w:val="1C9C0955"/>
    <w:rsid w:val="1CA13AB6"/>
    <w:rsid w:val="1CBE1806"/>
    <w:rsid w:val="1CC90D33"/>
    <w:rsid w:val="1D056FBA"/>
    <w:rsid w:val="1D4A702D"/>
    <w:rsid w:val="1D4C35EE"/>
    <w:rsid w:val="1D4D21F9"/>
    <w:rsid w:val="1D5E59CA"/>
    <w:rsid w:val="1D9F2D21"/>
    <w:rsid w:val="1DAE6A92"/>
    <w:rsid w:val="1DBC4C07"/>
    <w:rsid w:val="1DFF326A"/>
    <w:rsid w:val="1E0954C0"/>
    <w:rsid w:val="1E3C6B3B"/>
    <w:rsid w:val="1E6D2CC5"/>
    <w:rsid w:val="1EA772E0"/>
    <w:rsid w:val="1EB964B7"/>
    <w:rsid w:val="1EFF1FC5"/>
    <w:rsid w:val="1F0B766F"/>
    <w:rsid w:val="1F510700"/>
    <w:rsid w:val="1F7514DF"/>
    <w:rsid w:val="201805BB"/>
    <w:rsid w:val="202B2AD1"/>
    <w:rsid w:val="20586B61"/>
    <w:rsid w:val="20D969A9"/>
    <w:rsid w:val="21074434"/>
    <w:rsid w:val="21115F11"/>
    <w:rsid w:val="21137B56"/>
    <w:rsid w:val="216803B2"/>
    <w:rsid w:val="21895706"/>
    <w:rsid w:val="22046F2A"/>
    <w:rsid w:val="223F6733"/>
    <w:rsid w:val="224E25F7"/>
    <w:rsid w:val="225079A5"/>
    <w:rsid w:val="225365CD"/>
    <w:rsid w:val="22860F7B"/>
    <w:rsid w:val="228D621F"/>
    <w:rsid w:val="22C06271"/>
    <w:rsid w:val="22C64F56"/>
    <w:rsid w:val="22D24B74"/>
    <w:rsid w:val="232F5F2C"/>
    <w:rsid w:val="23340BFF"/>
    <w:rsid w:val="235F79E5"/>
    <w:rsid w:val="23663782"/>
    <w:rsid w:val="236741D1"/>
    <w:rsid w:val="237A2AF0"/>
    <w:rsid w:val="237C60A5"/>
    <w:rsid w:val="239B11C1"/>
    <w:rsid w:val="239E0540"/>
    <w:rsid w:val="23B72EC4"/>
    <w:rsid w:val="24475598"/>
    <w:rsid w:val="24641FE2"/>
    <w:rsid w:val="246B441C"/>
    <w:rsid w:val="246F5EA9"/>
    <w:rsid w:val="247F43CB"/>
    <w:rsid w:val="249364A8"/>
    <w:rsid w:val="24BD5A48"/>
    <w:rsid w:val="24CF34E5"/>
    <w:rsid w:val="24D7204C"/>
    <w:rsid w:val="24DC4388"/>
    <w:rsid w:val="24DF06A9"/>
    <w:rsid w:val="24E42B5E"/>
    <w:rsid w:val="250C4699"/>
    <w:rsid w:val="25102005"/>
    <w:rsid w:val="252D46D4"/>
    <w:rsid w:val="25551A7D"/>
    <w:rsid w:val="259E1D9A"/>
    <w:rsid w:val="25E04DF4"/>
    <w:rsid w:val="25F563FF"/>
    <w:rsid w:val="25F64A62"/>
    <w:rsid w:val="26193034"/>
    <w:rsid w:val="26347385"/>
    <w:rsid w:val="26350719"/>
    <w:rsid w:val="26351B89"/>
    <w:rsid w:val="26413A7C"/>
    <w:rsid w:val="26442B77"/>
    <w:rsid w:val="26576330"/>
    <w:rsid w:val="2664103E"/>
    <w:rsid w:val="26831404"/>
    <w:rsid w:val="26C124AA"/>
    <w:rsid w:val="271352BE"/>
    <w:rsid w:val="271F4D90"/>
    <w:rsid w:val="27356745"/>
    <w:rsid w:val="274F0EB4"/>
    <w:rsid w:val="277116C7"/>
    <w:rsid w:val="27775FB1"/>
    <w:rsid w:val="277C7C49"/>
    <w:rsid w:val="27964913"/>
    <w:rsid w:val="279B5197"/>
    <w:rsid w:val="27BF4197"/>
    <w:rsid w:val="27E865E2"/>
    <w:rsid w:val="27F6251A"/>
    <w:rsid w:val="28020694"/>
    <w:rsid w:val="280F0119"/>
    <w:rsid w:val="2819014B"/>
    <w:rsid w:val="281F70D9"/>
    <w:rsid w:val="28376316"/>
    <w:rsid w:val="284F4474"/>
    <w:rsid w:val="285F5C43"/>
    <w:rsid w:val="28A22685"/>
    <w:rsid w:val="28B353A4"/>
    <w:rsid w:val="290134AB"/>
    <w:rsid w:val="292568A6"/>
    <w:rsid w:val="292E5AF8"/>
    <w:rsid w:val="295E5748"/>
    <w:rsid w:val="29673B26"/>
    <w:rsid w:val="29844401"/>
    <w:rsid w:val="29E31DE1"/>
    <w:rsid w:val="2A33646A"/>
    <w:rsid w:val="2A3C48D7"/>
    <w:rsid w:val="2A595FE0"/>
    <w:rsid w:val="2A6339FD"/>
    <w:rsid w:val="2A831349"/>
    <w:rsid w:val="2A9F04BA"/>
    <w:rsid w:val="2AA31833"/>
    <w:rsid w:val="2AB501B1"/>
    <w:rsid w:val="2AC47FF9"/>
    <w:rsid w:val="2ACB689F"/>
    <w:rsid w:val="2AD72C79"/>
    <w:rsid w:val="2AEB697C"/>
    <w:rsid w:val="2B0C7CCC"/>
    <w:rsid w:val="2B271496"/>
    <w:rsid w:val="2B273182"/>
    <w:rsid w:val="2B28287E"/>
    <w:rsid w:val="2B663DCA"/>
    <w:rsid w:val="2B690E35"/>
    <w:rsid w:val="2B725E2E"/>
    <w:rsid w:val="2B824762"/>
    <w:rsid w:val="2BA80578"/>
    <w:rsid w:val="2BAE0891"/>
    <w:rsid w:val="2BAE295A"/>
    <w:rsid w:val="2BBA59A0"/>
    <w:rsid w:val="2BC53C4F"/>
    <w:rsid w:val="2BFB08C0"/>
    <w:rsid w:val="2BFD228B"/>
    <w:rsid w:val="2C4F5413"/>
    <w:rsid w:val="2C5D393E"/>
    <w:rsid w:val="2C644BA9"/>
    <w:rsid w:val="2C985978"/>
    <w:rsid w:val="2CB915BF"/>
    <w:rsid w:val="2CC360C5"/>
    <w:rsid w:val="2CD01D06"/>
    <w:rsid w:val="2CD07699"/>
    <w:rsid w:val="2CDF29EC"/>
    <w:rsid w:val="2CE078D5"/>
    <w:rsid w:val="2CFC5E84"/>
    <w:rsid w:val="2D0960A0"/>
    <w:rsid w:val="2D1D3028"/>
    <w:rsid w:val="2D3765B4"/>
    <w:rsid w:val="2D522175"/>
    <w:rsid w:val="2D7132D9"/>
    <w:rsid w:val="2D786CBC"/>
    <w:rsid w:val="2D801130"/>
    <w:rsid w:val="2DAB2C4C"/>
    <w:rsid w:val="2DE62C07"/>
    <w:rsid w:val="2DE65545"/>
    <w:rsid w:val="2DEA10A4"/>
    <w:rsid w:val="2E065E15"/>
    <w:rsid w:val="2E291E44"/>
    <w:rsid w:val="2E5E6D7E"/>
    <w:rsid w:val="2E8061C8"/>
    <w:rsid w:val="2E880F31"/>
    <w:rsid w:val="2EBD2BDD"/>
    <w:rsid w:val="2EBD5180"/>
    <w:rsid w:val="2EC965F3"/>
    <w:rsid w:val="2EEC2EBF"/>
    <w:rsid w:val="2EED5724"/>
    <w:rsid w:val="2EF6230E"/>
    <w:rsid w:val="2F146F4C"/>
    <w:rsid w:val="2F1D24CC"/>
    <w:rsid w:val="2F2307E7"/>
    <w:rsid w:val="2F6578B4"/>
    <w:rsid w:val="2F662E71"/>
    <w:rsid w:val="2FEE1B7A"/>
    <w:rsid w:val="2FFC3EF8"/>
    <w:rsid w:val="30015CE1"/>
    <w:rsid w:val="30054C1A"/>
    <w:rsid w:val="302B32F1"/>
    <w:rsid w:val="30341909"/>
    <w:rsid w:val="303F44B9"/>
    <w:rsid w:val="30495113"/>
    <w:rsid w:val="305665A7"/>
    <w:rsid w:val="30B8125D"/>
    <w:rsid w:val="30CF6095"/>
    <w:rsid w:val="31036440"/>
    <w:rsid w:val="310373D9"/>
    <w:rsid w:val="310C5EFC"/>
    <w:rsid w:val="31293822"/>
    <w:rsid w:val="31356DFC"/>
    <w:rsid w:val="31457268"/>
    <w:rsid w:val="31671CC5"/>
    <w:rsid w:val="3171028E"/>
    <w:rsid w:val="31B96ADD"/>
    <w:rsid w:val="31C2036C"/>
    <w:rsid w:val="31D82A83"/>
    <w:rsid w:val="321E69CF"/>
    <w:rsid w:val="32463868"/>
    <w:rsid w:val="325B45DF"/>
    <w:rsid w:val="32B55C16"/>
    <w:rsid w:val="32D50688"/>
    <w:rsid w:val="32E427DE"/>
    <w:rsid w:val="32F45ED0"/>
    <w:rsid w:val="335C4430"/>
    <w:rsid w:val="33615649"/>
    <w:rsid w:val="336657EF"/>
    <w:rsid w:val="33670B29"/>
    <w:rsid w:val="33671832"/>
    <w:rsid w:val="33776D2E"/>
    <w:rsid w:val="33942C86"/>
    <w:rsid w:val="339A08CD"/>
    <w:rsid w:val="339B60C3"/>
    <w:rsid w:val="33A52BAB"/>
    <w:rsid w:val="33BF5CCA"/>
    <w:rsid w:val="33CD093B"/>
    <w:rsid w:val="33E62A12"/>
    <w:rsid w:val="33F21329"/>
    <w:rsid w:val="33F70AD6"/>
    <w:rsid w:val="34000267"/>
    <w:rsid w:val="3430176B"/>
    <w:rsid w:val="347A0EE3"/>
    <w:rsid w:val="34B0173D"/>
    <w:rsid w:val="34B26218"/>
    <w:rsid w:val="34C80B5E"/>
    <w:rsid w:val="34CF25C8"/>
    <w:rsid w:val="350077FE"/>
    <w:rsid w:val="35070581"/>
    <w:rsid w:val="350971C4"/>
    <w:rsid w:val="350C1AD9"/>
    <w:rsid w:val="353D6F6B"/>
    <w:rsid w:val="35483AA0"/>
    <w:rsid w:val="356C74DA"/>
    <w:rsid w:val="356F0D73"/>
    <w:rsid w:val="35796698"/>
    <w:rsid w:val="35973C0F"/>
    <w:rsid w:val="359F2BA3"/>
    <w:rsid w:val="35BB2549"/>
    <w:rsid w:val="35D17E72"/>
    <w:rsid w:val="35D40DF1"/>
    <w:rsid w:val="36227DB5"/>
    <w:rsid w:val="36275D20"/>
    <w:rsid w:val="362B6D12"/>
    <w:rsid w:val="363D5D5B"/>
    <w:rsid w:val="36864E01"/>
    <w:rsid w:val="36907792"/>
    <w:rsid w:val="36A729CD"/>
    <w:rsid w:val="36AA1EFA"/>
    <w:rsid w:val="36BC42FC"/>
    <w:rsid w:val="36C61BC9"/>
    <w:rsid w:val="36D5068E"/>
    <w:rsid w:val="36DD78DE"/>
    <w:rsid w:val="36E27C37"/>
    <w:rsid w:val="36EE41F0"/>
    <w:rsid w:val="36F64B18"/>
    <w:rsid w:val="3758532E"/>
    <w:rsid w:val="37D578DE"/>
    <w:rsid w:val="37E10067"/>
    <w:rsid w:val="37F50B32"/>
    <w:rsid w:val="3862254C"/>
    <w:rsid w:val="389110E8"/>
    <w:rsid w:val="393C77B2"/>
    <w:rsid w:val="3957348C"/>
    <w:rsid w:val="397B0DF2"/>
    <w:rsid w:val="39914F3D"/>
    <w:rsid w:val="39A40797"/>
    <w:rsid w:val="39A9208B"/>
    <w:rsid w:val="39DF4CCC"/>
    <w:rsid w:val="3A4C3C47"/>
    <w:rsid w:val="3A7B266A"/>
    <w:rsid w:val="3A8B2F81"/>
    <w:rsid w:val="3A966060"/>
    <w:rsid w:val="3ABB1150"/>
    <w:rsid w:val="3AF564FB"/>
    <w:rsid w:val="3B1D5897"/>
    <w:rsid w:val="3B226F49"/>
    <w:rsid w:val="3B435BB7"/>
    <w:rsid w:val="3B6254C9"/>
    <w:rsid w:val="3BA0115D"/>
    <w:rsid w:val="3BA6375D"/>
    <w:rsid w:val="3BC95FBF"/>
    <w:rsid w:val="3BDC142B"/>
    <w:rsid w:val="3BE11400"/>
    <w:rsid w:val="3C2A06CF"/>
    <w:rsid w:val="3C5538B3"/>
    <w:rsid w:val="3C5C3C4C"/>
    <w:rsid w:val="3C6817B3"/>
    <w:rsid w:val="3C896008"/>
    <w:rsid w:val="3CE45A6D"/>
    <w:rsid w:val="3D116A98"/>
    <w:rsid w:val="3D2804EB"/>
    <w:rsid w:val="3D646BB5"/>
    <w:rsid w:val="3D7F1700"/>
    <w:rsid w:val="3D9A7397"/>
    <w:rsid w:val="3D9B7ED4"/>
    <w:rsid w:val="3DDE36CB"/>
    <w:rsid w:val="3DF061FB"/>
    <w:rsid w:val="3DF3229D"/>
    <w:rsid w:val="3E36138F"/>
    <w:rsid w:val="3E757720"/>
    <w:rsid w:val="3EB046B0"/>
    <w:rsid w:val="3EBD1708"/>
    <w:rsid w:val="3EC5295D"/>
    <w:rsid w:val="3ECB6600"/>
    <w:rsid w:val="3EDE2AD3"/>
    <w:rsid w:val="3EF52A44"/>
    <w:rsid w:val="3F127114"/>
    <w:rsid w:val="3F167E9E"/>
    <w:rsid w:val="3F256345"/>
    <w:rsid w:val="3F273F1C"/>
    <w:rsid w:val="3F4E0FAA"/>
    <w:rsid w:val="3F615C62"/>
    <w:rsid w:val="3F626373"/>
    <w:rsid w:val="3F7976C9"/>
    <w:rsid w:val="3F805E47"/>
    <w:rsid w:val="3FD11FEB"/>
    <w:rsid w:val="3FE644CA"/>
    <w:rsid w:val="40062DA2"/>
    <w:rsid w:val="4015433D"/>
    <w:rsid w:val="401D6359"/>
    <w:rsid w:val="40527268"/>
    <w:rsid w:val="405D5087"/>
    <w:rsid w:val="40842783"/>
    <w:rsid w:val="40890670"/>
    <w:rsid w:val="40A86AC1"/>
    <w:rsid w:val="40B756B8"/>
    <w:rsid w:val="40DF0F2E"/>
    <w:rsid w:val="40E73708"/>
    <w:rsid w:val="41040A34"/>
    <w:rsid w:val="4118372D"/>
    <w:rsid w:val="4125222F"/>
    <w:rsid w:val="41287EB4"/>
    <w:rsid w:val="41335FC9"/>
    <w:rsid w:val="414C08A2"/>
    <w:rsid w:val="41503BF6"/>
    <w:rsid w:val="415E4253"/>
    <w:rsid w:val="418C37E1"/>
    <w:rsid w:val="41CC2635"/>
    <w:rsid w:val="41DF1199"/>
    <w:rsid w:val="41FF5609"/>
    <w:rsid w:val="420D3D52"/>
    <w:rsid w:val="420D4287"/>
    <w:rsid w:val="421A31B0"/>
    <w:rsid w:val="421E323E"/>
    <w:rsid w:val="422E5CC6"/>
    <w:rsid w:val="424348A3"/>
    <w:rsid w:val="425959B4"/>
    <w:rsid w:val="42670E32"/>
    <w:rsid w:val="427B37EA"/>
    <w:rsid w:val="428910AF"/>
    <w:rsid w:val="42F669E1"/>
    <w:rsid w:val="431D3010"/>
    <w:rsid w:val="43225772"/>
    <w:rsid w:val="4327551E"/>
    <w:rsid w:val="434863BE"/>
    <w:rsid w:val="434B5C56"/>
    <w:rsid w:val="436C18CC"/>
    <w:rsid w:val="43C041BF"/>
    <w:rsid w:val="43D5366A"/>
    <w:rsid w:val="43DC0E27"/>
    <w:rsid w:val="4456561E"/>
    <w:rsid w:val="44797683"/>
    <w:rsid w:val="4481496D"/>
    <w:rsid w:val="44B36ACE"/>
    <w:rsid w:val="44BC77EC"/>
    <w:rsid w:val="44C8655A"/>
    <w:rsid w:val="44CB7025"/>
    <w:rsid w:val="44FC3175"/>
    <w:rsid w:val="451F7F28"/>
    <w:rsid w:val="45231D6F"/>
    <w:rsid w:val="452B3604"/>
    <w:rsid w:val="457E5466"/>
    <w:rsid w:val="459B0313"/>
    <w:rsid w:val="45AA3B0F"/>
    <w:rsid w:val="45AF5E81"/>
    <w:rsid w:val="45C5329B"/>
    <w:rsid w:val="45EC25C2"/>
    <w:rsid w:val="45FB2A4E"/>
    <w:rsid w:val="460F3276"/>
    <w:rsid w:val="465B1EF3"/>
    <w:rsid w:val="465C481B"/>
    <w:rsid w:val="46850C8B"/>
    <w:rsid w:val="46856383"/>
    <w:rsid w:val="46D46F0B"/>
    <w:rsid w:val="46DA0FD0"/>
    <w:rsid w:val="46E878A6"/>
    <w:rsid w:val="47056033"/>
    <w:rsid w:val="472250C1"/>
    <w:rsid w:val="472E7904"/>
    <w:rsid w:val="477A43F1"/>
    <w:rsid w:val="478E64B4"/>
    <w:rsid w:val="47936743"/>
    <w:rsid w:val="47BA2B76"/>
    <w:rsid w:val="47E364BD"/>
    <w:rsid w:val="47FB429C"/>
    <w:rsid w:val="48554A25"/>
    <w:rsid w:val="48614361"/>
    <w:rsid w:val="486B44BA"/>
    <w:rsid w:val="488B3DEF"/>
    <w:rsid w:val="48C52015"/>
    <w:rsid w:val="48D10788"/>
    <w:rsid w:val="48E5702B"/>
    <w:rsid w:val="490551EA"/>
    <w:rsid w:val="494C6832"/>
    <w:rsid w:val="49690EDC"/>
    <w:rsid w:val="499716FD"/>
    <w:rsid w:val="49BD7782"/>
    <w:rsid w:val="49C76F18"/>
    <w:rsid w:val="49D2497F"/>
    <w:rsid w:val="4A335E29"/>
    <w:rsid w:val="4A5D49A7"/>
    <w:rsid w:val="4A5E723F"/>
    <w:rsid w:val="4A9B5279"/>
    <w:rsid w:val="4AA7140E"/>
    <w:rsid w:val="4AEF57E1"/>
    <w:rsid w:val="4AF414C6"/>
    <w:rsid w:val="4B086AD7"/>
    <w:rsid w:val="4B153778"/>
    <w:rsid w:val="4B44154F"/>
    <w:rsid w:val="4B784AE9"/>
    <w:rsid w:val="4B892AAA"/>
    <w:rsid w:val="4B8D0E9C"/>
    <w:rsid w:val="4B9D4D6D"/>
    <w:rsid w:val="4BEC1523"/>
    <w:rsid w:val="4C287515"/>
    <w:rsid w:val="4C2F21BB"/>
    <w:rsid w:val="4C363F71"/>
    <w:rsid w:val="4C512114"/>
    <w:rsid w:val="4C7503E7"/>
    <w:rsid w:val="4C891825"/>
    <w:rsid w:val="4CA20751"/>
    <w:rsid w:val="4CAF0C63"/>
    <w:rsid w:val="4CB02062"/>
    <w:rsid w:val="4CFD7051"/>
    <w:rsid w:val="4D434F37"/>
    <w:rsid w:val="4D4F7BE1"/>
    <w:rsid w:val="4D502AF2"/>
    <w:rsid w:val="4D872C2D"/>
    <w:rsid w:val="4DA42B01"/>
    <w:rsid w:val="4DE62039"/>
    <w:rsid w:val="4E115510"/>
    <w:rsid w:val="4E1D510A"/>
    <w:rsid w:val="4E33529A"/>
    <w:rsid w:val="4E537B49"/>
    <w:rsid w:val="4E551BCF"/>
    <w:rsid w:val="4E6E5D35"/>
    <w:rsid w:val="4E7A7D4E"/>
    <w:rsid w:val="4EA56803"/>
    <w:rsid w:val="4EAA1951"/>
    <w:rsid w:val="4EAD4631"/>
    <w:rsid w:val="4F0E1AF7"/>
    <w:rsid w:val="4F0F2B72"/>
    <w:rsid w:val="4F7B62B4"/>
    <w:rsid w:val="4F9C5E78"/>
    <w:rsid w:val="4FAD6779"/>
    <w:rsid w:val="50405008"/>
    <w:rsid w:val="504B72C7"/>
    <w:rsid w:val="50620D6F"/>
    <w:rsid w:val="50802B94"/>
    <w:rsid w:val="509C0DEC"/>
    <w:rsid w:val="509D71CD"/>
    <w:rsid w:val="50A26286"/>
    <w:rsid w:val="50CD09DD"/>
    <w:rsid w:val="51056409"/>
    <w:rsid w:val="51104756"/>
    <w:rsid w:val="51736D6C"/>
    <w:rsid w:val="51890802"/>
    <w:rsid w:val="51B0261D"/>
    <w:rsid w:val="51B55A37"/>
    <w:rsid w:val="521B3D52"/>
    <w:rsid w:val="521D51AA"/>
    <w:rsid w:val="527C2EB4"/>
    <w:rsid w:val="52810C43"/>
    <w:rsid w:val="528B1CFF"/>
    <w:rsid w:val="5294352D"/>
    <w:rsid w:val="52965DD2"/>
    <w:rsid w:val="529A0FBA"/>
    <w:rsid w:val="52BC5DF4"/>
    <w:rsid w:val="52F6000E"/>
    <w:rsid w:val="53221C65"/>
    <w:rsid w:val="53275E8A"/>
    <w:rsid w:val="53386499"/>
    <w:rsid w:val="534E7AD3"/>
    <w:rsid w:val="535C4FE2"/>
    <w:rsid w:val="538D51C5"/>
    <w:rsid w:val="53CC3ADE"/>
    <w:rsid w:val="53EA562E"/>
    <w:rsid w:val="53EB2B08"/>
    <w:rsid w:val="543449A8"/>
    <w:rsid w:val="54590915"/>
    <w:rsid w:val="545E7779"/>
    <w:rsid w:val="54A06503"/>
    <w:rsid w:val="54D02D1F"/>
    <w:rsid w:val="55006F88"/>
    <w:rsid w:val="551754FD"/>
    <w:rsid w:val="554A02FD"/>
    <w:rsid w:val="556C3DA3"/>
    <w:rsid w:val="55767228"/>
    <w:rsid w:val="557E5D78"/>
    <w:rsid w:val="55880E41"/>
    <w:rsid w:val="55B066E0"/>
    <w:rsid w:val="55D1017B"/>
    <w:rsid w:val="55EF19D9"/>
    <w:rsid w:val="56121BBE"/>
    <w:rsid w:val="561B3CD6"/>
    <w:rsid w:val="561D46BC"/>
    <w:rsid w:val="56486589"/>
    <w:rsid w:val="56501293"/>
    <w:rsid w:val="5654180F"/>
    <w:rsid w:val="56612CFF"/>
    <w:rsid w:val="568159EA"/>
    <w:rsid w:val="56A8086F"/>
    <w:rsid w:val="56BF4848"/>
    <w:rsid w:val="56D06908"/>
    <w:rsid w:val="56EF119B"/>
    <w:rsid w:val="5785532F"/>
    <w:rsid w:val="57864767"/>
    <w:rsid w:val="579C2294"/>
    <w:rsid w:val="57A408D6"/>
    <w:rsid w:val="57CA3325"/>
    <w:rsid w:val="57D572BF"/>
    <w:rsid w:val="58052ED1"/>
    <w:rsid w:val="58210772"/>
    <w:rsid w:val="582608A0"/>
    <w:rsid w:val="58441A49"/>
    <w:rsid w:val="584C0094"/>
    <w:rsid w:val="58912831"/>
    <w:rsid w:val="58987F04"/>
    <w:rsid w:val="58A24C00"/>
    <w:rsid w:val="58B56E27"/>
    <w:rsid w:val="58DD51BC"/>
    <w:rsid w:val="58FD06B1"/>
    <w:rsid w:val="59075240"/>
    <w:rsid w:val="590E032C"/>
    <w:rsid w:val="5934156E"/>
    <w:rsid w:val="593744E5"/>
    <w:rsid w:val="5940429F"/>
    <w:rsid w:val="59426C92"/>
    <w:rsid w:val="59672CF3"/>
    <w:rsid w:val="5991341D"/>
    <w:rsid w:val="59A27512"/>
    <w:rsid w:val="59A466C7"/>
    <w:rsid w:val="59EA1A56"/>
    <w:rsid w:val="5A010482"/>
    <w:rsid w:val="5A2C1D8F"/>
    <w:rsid w:val="5A3A37E6"/>
    <w:rsid w:val="5A4612CE"/>
    <w:rsid w:val="5A9821A6"/>
    <w:rsid w:val="5A9F37FF"/>
    <w:rsid w:val="5AA23B19"/>
    <w:rsid w:val="5ABA4D51"/>
    <w:rsid w:val="5AC27CF4"/>
    <w:rsid w:val="5B091427"/>
    <w:rsid w:val="5B141F21"/>
    <w:rsid w:val="5B17509C"/>
    <w:rsid w:val="5B1C5FB6"/>
    <w:rsid w:val="5B244E04"/>
    <w:rsid w:val="5B582D46"/>
    <w:rsid w:val="5B660822"/>
    <w:rsid w:val="5B9010D6"/>
    <w:rsid w:val="5BA73880"/>
    <w:rsid w:val="5BDB416C"/>
    <w:rsid w:val="5BE6502F"/>
    <w:rsid w:val="5BFD7D70"/>
    <w:rsid w:val="5C3345B7"/>
    <w:rsid w:val="5C567561"/>
    <w:rsid w:val="5C5746F8"/>
    <w:rsid w:val="5C6325B1"/>
    <w:rsid w:val="5C8F6241"/>
    <w:rsid w:val="5CD4459F"/>
    <w:rsid w:val="5CDE6D82"/>
    <w:rsid w:val="5D043EAE"/>
    <w:rsid w:val="5D212BDD"/>
    <w:rsid w:val="5D22290C"/>
    <w:rsid w:val="5D391B26"/>
    <w:rsid w:val="5D557AD9"/>
    <w:rsid w:val="5D62442A"/>
    <w:rsid w:val="5D731EE5"/>
    <w:rsid w:val="5D7823B8"/>
    <w:rsid w:val="5DC7260D"/>
    <w:rsid w:val="5DCF725C"/>
    <w:rsid w:val="5DD169CD"/>
    <w:rsid w:val="5DD26365"/>
    <w:rsid w:val="5DD30CCA"/>
    <w:rsid w:val="5E7F43AC"/>
    <w:rsid w:val="5E976BC8"/>
    <w:rsid w:val="5E9D58BC"/>
    <w:rsid w:val="5EA30BF7"/>
    <w:rsid w:val="5F4E20AD"/>
    <w:rsid w:val="5F517840"/>
    <w:rsid w:val="5F865174"/>
    <w:rsid w:val="5F964C32"/>
    <w:rsid w:val="5F9920D2"/>
    <w:rsid w:val="5FA4136B"/>
    <w:rsid w:val="5FB064A7"/>
    <w:rsid w:val="5FC13F0A"/>
    <w:rsid w:val="5FC62184"/>
    <w:rsid w:val="5FD51631"/>
    <w:rsid w:val="5FDE72F6"/>
    <w:rsid w:val="605819C7"/>
    <w:rsid w:val="607508FE"/>
    <w:rsid w:val="60B12E1A"/>
    <w:rsid w:val="60C02B92"/>
    <w:rsid w:val="60ED55E7"/>
    <w:rsid w:val="6140773F"/>
    <w:rsid w:val="615411B0"/>
    <w:rsid w:val="619744A2"/>
    <w:rsid w:val="61D072D3"/>
    <w:rsid w:val="61E1537F"/>
    <w:rsid w:val="62501BE4"/>
    <w:rsid w:val="62552A87"/>
    <w:rsid w:val="62652A9E"/>
    <w:rsid w:val="629054FC"/>
    <w:rsid w:val="6299512D"/>
    <w:rsid w:val="629A5576"/>
    <w:rsid w:val="62BE5387"/>
    <w:rsid w:val="62C56354"/>
    <w:rsid w:val="62D26DDC"/>
    <w:rsid w:val="62F01C69"/>
    <w:rsid w:val="62F91C62"/>
    <w:rsid w:val="62FE786C"/>
    <w:rsid w:val="63072BCC"/>
    <w:rsid w:val="6315696A"/>
    <w:rsid w:val="63285926"/>
    <w:rsid w:val="632E475A"/>
    <w:rsid w:val="6356073C"/>
    <w:rsid w:val="636B3418"/>
    <w:rsid w:val="6381672D"/>
    <w:rsid w:val="638650FE"/>
    <w:rsid w:val="63952B1A"/>
    <w:rsid w:val="63BB69D5"/>
    <w:rsid w:val="63C170AD"/>
    <w:rsid w:val="63F15388"/>
    <w:rsid w:val="64016839"/>
    <w:rsid w:val="64153CF6"/>
    <w:rsid w:val="642072AD"/>
    <w:rsid w:val="64426FAC"/>
    <w:rsid w:val="645F1DFD"/>
    <w:rsid w:val="64603DE6"/>
    <w:rsid w:val="646E127E"/>
    <w:rsid w:val="648307EC"/>
    <w:rsid w:val="649D4AAB"/>
    <w:rsid w:val="64AE2B03"/>
    <w:rsid w:val="64E00199"/>
    <w:rsid w:val="64E42B53"/>
    <w:rsid w:val="64FA5ACB"/>
    <w:rsid w:val="65492F6E"/>
    <w:rsid w:val="65BE7A05"/>
    <w:rsid w:val="65D30E3D"/>
    <w:rsid w:val="65D338DA"/>
    <w:rsid w:val="65F26E71"/>
    <w:rsid w:val="663E63C4"/>
    <w:rsid w:val="66777958"/>
    <w:rsid w:val="668F2B06"/>
    <w:rsid w:val="669E6E2A"/>
    <w:rsid w:val="66E61903"/>
    <w:rsid w:val="670A5417"/>
    <w:rsid w:val="673C6ECE"/>
    <w:rsid w:val="675E6B93"/>
    <w:rsid w:val="679F69ED"/>
    <w:rsid w:val="67AF1AC7"/>
    <w:rsid w:val="67B72F7B"/>
    <w:rsid w:val="67D671BD"/>
    <w:rsid w:val="67F66FA0"/>
    <w:rsid w:val="680B4BB0"/>
    <w:rsid w:val="681B101F"/>
    <w:rsid w:val="685D30BC"/>
    <w:rsid w:val="68816323"/>
    <w:rsid w:val="689478DF"/>
    <w:rsid w:val="689C0DA3"/>
    <w:rsid w:val="68C47A04"/>
    <w:rsid w:val="68D460BA"/>
    <w:rsid w:val="69150C63"/>
    <w:rsid w:val="69627B1D"/>
    <w:rsid w:val="697E0EB5"/>
    <w:rsid w:val="697F30FA"/>
    <w:rsid w:val="698D3F53"/>
    <w:rsid w:val="69F16999"/>
    <w:rsid w:val="6A266B02"/>
    <w:rsid w:val="6A2A2600"/>
    <w:rsid w:val="6A694DFC"/>
    <w:rsid w:val="6A784F4C"/>
    <w:rsid w:val="6AA17E18"/>
    <w:rsid w:val="6ACD4CFB"/>
    <w:rsid w:val="6AFD504E"/>
    <w:rsid w:val="6B2A6F41"/>
    <w:rsid w:val="6B406C8C"/>
    <w:rsid w:val="6B5F0B5A"/>
    <w:rsid w:val="6B794D1E"/>
    <w:rsid w:val="6BEF7C67"/>
    <w:rsid w:val="6BF277B0"/>
    <w:rsid w:val="6BF35B12"/>
    <w:rsid w:val="6C3919F6"/>
    <w:rsid w:val="6C4B5B3B"/>
    <w:rsid w:val="6C4F62CC"/>
    <w:rsid w:val="6C61224A"/>
    <w:rsid w:val="6C637664"/>
    <w:rsid w:val="6C821243"/>
    <w:rsid w:val="6CB42814"/>
    <w:rsid w:val="6D096903"/>
    <w:rsid w:val="6D121BA4"/>
    <w:rsid w:val="6D2D7CA8"/>
    <w:rsid w:val="6D440804"/>
    <w:rsid w:val="6D5D7998"/>
    <w:rsid w:val="6D5F1A40"/>
    <w:rsid w:val="6D813910"/>
    <w:rsid w:val="6DA53478"/>
    <w:rsid w:val="6DAD5523"/>
    <w:rsid w:val="6E0714AB"/>
    <w:rsid w:val="6E2E074A"/>
    <w:rsid w:val="6E4F72C3"/>
    <w:rsid w:val="6E9C533A"/>
    <w:rsid w:val="6E9F3112"/>
    <w:rsid w:val="6EE3776F"/>
    <w:rsid w:val="6F033EC7"/>
    <w:rsid w:val="6F0853D4"/>
    <w:rsid w:val="6F1714D7"/>
    <w:rsid w:val="6F5850FE"/>
    <w:rsid w:val="6F6525EA"/>
    <w:rsid w:val="6F7B648A"/>
    <w:rsid w:val="6F830A4E"/>
    <w:rsid w:val="6F9C219C"/>
    <w:rsid w:val="6FC45445"/>
    <w:rsid w:val="6FE97C35"/>
    <w:rsid w:val="6FF26397"/>
    <w:rsid w:val="70055143"/>
    <w:rsid w:val="70292EC5"/>
    <w:rsid w:val="7052615C"/>
    <w:rsid w:val="705C0FC6"/>
    <w:rsid w:val="70A04330"/>
    <w:rsid w:val="70A13A10"/>
    <w:rsid w:val="70AF4C61"/>
    <w:rsid w:val="70BA1EAD"/>
    <w:rsid w:val="70CE3BAA"/>
    <w:rsid w:val="70E316BB"/>
    <w:rsid w:val="71117641"/>
    <w:rsid w:val="71156382"/>
    <w:rsid w:val="715211FB"/>
    <w:rsid w:val="71576633"/>
    <w:rsid w:val="716345F2"/>
    <w:rsid w:val="716743D5"/>
    <w:rsid w:val="718D3490"/>
    <w:rsid w:val="71997874"/>
    <w:rsid w:val="719E6475"/>
    <w:rsid w:val="72811B07"/>
    <w:rsid w:val="7294138C"/>
    <w:rsid w:val="72A00069"/>
    <w:rsid w:val="72A31EFA"/>
    <w:rsid w:val="72A75400"/>
    <w:rsid w:val="72F16F51"/>
    <w:rsid w:val="73171221"/>
    <w:rsid w:val="7334738F"/>
    <w:rsid w:val="734A5E0F"/>
    <w:rsid w:val="734C0143"/>
    <w:rsid w:val="734D08F1"/>
    <w:rsid w:val="737A756E"/>
    <w:rsid w:val="738F5BB1"/>
    <w:rsid w:val="73946C2C"/>
    <w:rsid w:val="739E1E18"/>
    <w:rsid w:val="73B6455D"/>
    <w:rsid w:val="740B4AF1"/>
    <w:rsid w:val="74426AAA"/>
    <w:rsid w:val="745340BF"/>
    <w:rsid w:val="746C2E2C"/>
    <w:rsid w:val="74754BD7"/>
    <w:rsid w:val="74AE50F0"/>
    <w:rsid w:val="74F34180"/>
    <w:rsid w:val="753C2968"/>
    <w:rsid w:val="756B4072"/>
    <w:rsid w:val="75734773"/>
    <w:rsid w:val="759A0EDF"/>
    <w:rsid w:val="75A57FB9"/>
    <w:rsid w:val="75B5748A"/>
    <w:rsid w:val="75DA0D53"/>
    <w:rsid w:val="75DD1A41"/>
    <w:rsid w:val="75E7449A"/>
    <w:rsid w:val="75FB6490"/>
    <w:rsid w:val="76054289"/>
    <w:rsid w:val="76065314"/>
    <w:rsid w:val="76170497"/>
    <w:rsid w:val="76764473"/>
    <w:rsid w:val="767A09C3"/>
    <w:rsid w:val="768B2D96"/>
    <w:rsid w:val="76BD4310"/>
    <w:rsid w:val="76BD7233"/>
    <w:rsid w:val="76F35364"/>
    <w:rsid w:val="76F873CC"/>
    <w:rsid w:val="770D7A58"/>
    <w:rsid w:val="77312882"/>
    <w:rsid w:val="77457240"/>
    <w:rsid w:val="77526393"/>
    <w:rsid w:val="7791632E"/>
    <w:rsid w:val="779A50DF"/>
    <w:rsid w:val="77A92E06"/>
    <w:rsid w:val="77C657CC"/>
    <w:rsid w:val="77D82949"/>
    <w:rsid w:val="77E8428B"/>
    <w:rsid w:val="77F75F89"/>
    <w:rsid w:val="786A2999"/>
    <w:rsid w:val="787A6581"/>
    <w:rsid w:val="78DC3841"/>
    <w:rsid w:val="78EE309A"/>
    <w:rsid w:val="78F138E1"/>
    <w:rsid w:val="79456010"/>
    <w:rsid w:val="79496D12"/>
    <w:rsid w:val="79741CEB"/>
    <w:rsid w:val="797A29C0"/>
    <w:rsid w:val="797A3212"/>
    <w:rsid w:val="7991238E"/>
    <w:rsid w:val="79B460D7"/>
    <w:rsid w:val="79BC2804"/>
    <w:rsid w:val="79C83864"/>
    <w:rsid w:val="79E50D3A"/>
    <w:rsid w:val="79FD5FD5"/>
    <w:rsid w:val="7A1A1324"/>
    <w:rsid w:val="7A291D39"/>
    <w:rsid w:val="7A2B2992"/>
    <w:rsid w:val="7A4E273C"/>
    <w:rsid w:val="7A570C5B"/>
    <w:rsid w:val="7A737C87"/>
    <w:rsid w:val="7A745A5C"/>
    <w:rsid w:val="7A900CAB"/>
    <w:rsid w:val="7AA26E1C"/>
    <w:rsid w:val="7AC15B06"/>
    <w:rsid w:val="7ACE4E37"/>
    <w:rsid w:val="7ADF5739"/>
    <w:rsid w:val="7AEF1593"/>
    <w:rsid w:val="7B1F45AC"/>
    <w:rsid w:val="7B265B3C"/>
    <w:rsid w:val="7B324AC3"/>
    <w:rsid w:val="7B387682"/>
    <w:rsid w:val="7B54266E"/>
    <w:rsid w:val="7B7E5090"/>
    <w:rsid w:val="7BA42308"/>
    <w:rsid w:val="7BAB0CBD"/>
    <w:rsid w:val="7BB068AE"/>
    <w:rsid w:val="7BB45549"/>
    <w:rsid w:val="7BDD3458"/>
    <w:rsid w:val="7C017373"/>
    <w:rsid w:val="7C0977CC"/>
    <w:rsid w:val="7C2877E1"/>
    <w:rsid w:val="7C3A6B8B"/>
    <w:rsid w:val="7C6B5760"/>
    <w:rsid w:val="7D022D52"/>
    <w:rsid w:val="7D136B9C"/>
    <w:rsid w:val="7D1A6423"/>
    <w:rsid w:val="7D721E66"/>
    <w:rsid w:val="7D7332D9"/>
    <w:rsid w:val="7D8A4ABE"/>
    <w:rsid w:val="7DB17046"/>
    <w:rsid w:val="7DD13B11"/>
    <w:rsid w:val="7DD476D6"/>
    <w:rsid w:val="7E025951"/>
    <w:rsid w:val="7E0C2354"/>
    <w:rsid w:val="7E4C0CAF"/>
    <w:rsid w:val="7E5D70FA"/>
    <w:rsid w:val="7E6308E9"/>
    <w:rsid w:val="7E7955BE"/>
    <w:rsid w:val="7E954A35"/>
    <w:rsid w:val="7E996DD5"/>
    <w:rsid w:val="7E9C7D46"/>
    <w:rsid w:val="7EAD35DD"/>
    <w:rsid w:val="7ED20BCB"/>
    <w:rsid w:val="7F012B24"/>
    <w:rsid w:val="7F4C265F"/>
    <w:rsid w:val="7F5F1202"/>
    <w:rsid w:val="7F757411"/>
    <w:rsid w:val="7FAC736E"/>
    <w:rsid w:val="7FE03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5"/>
    <w:link w:val="87"/>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link w:val="96"/>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9">
    <w:name w:val="heading 4"/>
    <w:basedOn w:val="1"/>
    <w:next w:val="1"/>
    <w:qFormat/>
    <w:uiPriority w:val="0"/>
    <w:pPr>
      <w:keepNext/>
      <w:keepLines/>
      <w:widowControl/>
      <w:spacing w:before="120" w:after="120" w:line="360" w:lineRule="auto"/>
      <w:jc w:val="center"/>
      <w:outlineLvl w:val="3"/>
    </w:pPr>
    <w:rPr>
      <w:rFonts w:ascii="Arial" w:hAnsi="Arial" w:eastAsia="黑体"/>
      <w:kern w:val="0"/>
      <w:szCs w:val="20"/>
    </w:rPr>
  </w:style>
  <w:style w:type="paragraph" w:styleId="10">
    <w:name w:val="heading 5"/>
    <w:basedOn w:val="1"/>
    <w:next w:val="1"/>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11">
    <w:name w:val="heading 6"/>
    <w:basedOn w:val="1"/>
    <w:next w:val="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numPr>
        <w:ilvl w:val="6"/>
        <w:numId w:val="1"/>
      </w:numPr>
      <w:spacing w:before="240" w:after="64" w:line="320" w:lineRule="auto"/>
      <w:jc w:val="left"/>
      <w:outlineLvl w:val="6"/>
    </w:pPr>
    <w:rPr>
      <w:b/>
      <w:bCs/>
      <w:kern w:val="0"/>
      <w:sz w:val="24"/>
    </w:rPr>
  </w:style>
  <w:style w:type="paragraph" w:styleId="13">
    <w:name w:val="heading 8"/>
    <w:basedOn w:val="1"/>
    <w:next w:val="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4">
    <w:name w:val="heading 9"/>
    <w:basedOn w:val="1"/>
    <w:next w:val="1"/>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customStyle="1" w:styleId="5">
    <w:name w:val="正文首行缩进2字符"/>
    <w:basedOn w:val="1"/>
    <w:qFormat/>
    <w:uiPriority w:val="0"/>
    <w:pPr>
      <w:widowControl/>
      <w:adjustRightInd w:val="0"/>
    </w:pPr>
  </w:style>
  <w:style w:type="paragraph" w:styleId="7">
    <w:name w:val="Normal Indent"/>
    <w:basedOn w:val="1"/>
    <w:next w:val="8"/>
    <w:link w:val="88"/>
    <w:qFormat/>
    <w:uiPriority w:val="0"/>
    <w:pPr>
      <w:ind w:firstLine="420"/>
    </w:pPr>
    <w:rPr>
      <w:sz w:val="21"/>
      <w:szCs w:val="20"/>
    </w:rPr>
  </w:style>
  <w:style w:type="paragraph" w:styleId="8">
    <w:name w:val="toc 2"/>
    <w:basedOn w:val="1"/>
    <w:next w:val="1"/>
    <w:qFormat/>
    <w:uiPriority w:val="0"/>
    <w:pPr>
      <w:ind w:left="420" w:leftChars="200"/>
    </w:p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semiHidden/>
    <w:qFormat/>
    <w:uiPriority w:val="99"/>
    <w:pPr>
      <w:adjustRightInd w:val="0"/>
      <w:spacing w:line="360" w:lineRule="atLeast"/>
      <w:jc w:val="left"/>
      <w:textAlignment w:val="baseline"/>
    </w:pPr>
    <w:rPr>
      <w:kern w:val="0"/>
      <w:sz w:val="24"/>
      <w:szCs w:val="20"/>
    </w:rPr>
  </w:style>
  <w:style w:type="paragraph" w:styleId="19">
    <w:name w:val="Body Text 3"/>
    <w:basedOn w:val="1"/>
    <w:qFormat/>
    <w:uiPriority w:val="0"/>
    <w:pPr>
      <w:snapToGrid w:val="0"/>
      <w:spacing w:before="50" w:after="50"/>
    </w:pPr>
  </w:style>
  <w:style w:type="paragraph" w:styleId="20">
    <w:name w:val="List Bullet 3"/>
    <w:basedOn w:val="1"/>
    <w:qFormat/>
    <w:uiPriority w:val="0"/>
    <w:pPr>
      <w:numPr>
        <w:ilvl w:val="0"/>
        <w:numId w:val="2"/>
      </w:numPr>
    </w:pPr>
    <w:rPr>
      <w:sz w:val="21"/>
    </w:rPr>
  </w:style>
  <w:style w:type="paragraph" w:styleId="21">
    <w:name w:val="Body Text"/>
    <w:basedOn w:val="1"/>
    <w:next w:val="22"/>
    <w:qFormat/>
    <w:uiPriority w:val="0"/>
    <w:pPr>
      <w:spacing w:line="0" w:lineRule="atLeast"/>
    </w:pPr>
    <w:rPr>
      <w:sz w:val="30"/>
      <w:szCs w:val="20"/>
    </w:rPr>
  </w:style>
  <w:style w:type="paragraph" w:styleId="22">
    <w:name w:val="Body Text First Indent"/>
    <w:basedOn w:val="21"/>
    <w:next w:val="1"/>
    <w:qFormat/>
    <w:uiPriority w:val="0"/>
    <w:pPr>
      <w:spacing w:after="120" w:line="240" w:lineRule="auto"/>
      <w:ind w:firstLine="420" w:firstLineChars="100"/>
    </w:pPr>
    <w:rPr>
      <w:sz w:val="28"/>
    </w:rPr>
  </w:style>
  <w:style w:type="paragraph" w:styleId="23">
    <w:name w:val="Body Text Indent"/>
    <w:basedOn w:val="1"/>
    <w:next w:val="24"/>
    <w:qFormat/>
    <w:uiPriority w:val="0"/>
    <w:pPr>
      <w:widowControl/>
      <w:tabs>
        <w:tab w:val="left" w:pos="0"/>
        <w:tab w:val="left" w:pos="993"/>
        <w:tab w:val="left" w:pos="1134"/>
      </w:tabs>
      <w:spacing w:line="500" w:lineRule="exact"/>
      <w:ind w:firstLine="567"/>
    </w:pPr>
    <w:rPr>
      <w:rFonts w:ascii="宋体"/>
      <w:kern w:val="0"/>
      <w:szCs w:val="20"/>
    </w:rPr>
  </w:style>
  <w:style w:type="paragraph" w:styleId="24">
    <w:name w:val="Body Text First Indent 2"/>
    <w:basedOn w:val="23"/>
    <w:unhideWhenUsed/>
    <w:qFormat/>
    <w:uiPriority w:val="99"/>
    <w:pPr>
      <w:spacing w:after="120" w:line="240" w:lineRule="auto"/>
      <w:ind w:left="420" w:leftChars="200" w:firstLine="420" w:firstLineChars="200"/>
    </w:pPr>
    <w:rPr>
      <w:rFonts w:ascii="Calibri" w:hAnsi="Calibri"/>
      <w:sz w:val="21"/>
      <w:szCs w:val="24"/>
    </w:rPr>
  </w:style>
  <w:style w:type="paragraph" w:styleId="25">
    <w:name w:val="List Number 3"/>
    <w:basedOn w:val="1"/>
    <w:qFormat/>
    <w:uiPriority w:val="0"/>
    <w:pPr>
      <w:numPr>
        <w:ilvl w:val="0"/>
        <w:numId w:val="3"/>
      </w:numPr>
    </w:pPr>
    <w:rPr>
      <w:sz w:val="21"/>
    </w:rPr>
  </w:style>
  <w:style w:type="paragraph" w:styleId="26">
    <w:name w:val="List 2"/>
    <w:basedOn w:val="1"/>
    <w:qFormat/>
    <w:uiPriority w:val="0"/>
    <w:pPr>
      <w:ind w:left="100" w:leftChars="200" w:hanging="200" w:hangingChars="200"/>
    </w:pPr>
  </w:style>
  <w:style w:type="paragraph" w:styleId="27">
    <w:name w:val="Block Text"/>
    <w:basedOn w:val="1"/>
    <w:qFormat/>
    <w:uiPriority w:val="0"/>
    <w:pPr>
      <w:adjustRightInd w:val="0"/>
      <w:ind w:left="420" w:right="33"/>
      <w:jc w:val="left"/>
      <w:textAlignment w:val="baseline"/>
    </w:pPr>
    <w:rPr>
      <w:kern w:val="0"/>
      <w:sz w:val="24"/>
      <w:szCs w:val="20"/>
    </w:rPr>
  </w:style>
  <w:style w:type="paragraph" w:styleId="28">
    <w:name w:val="toc 3"/>
    <w:basedOn w:val="1"/>
    <w:next w:val="1"/>
    <w:semiHidden/>
    <w:qFormat/>
    <w:uiPriority w:val="0"/>
    <w:pPr>
      <w:widowControl/>
      <w:ind w:left="400" w:right="255"/>
    </w:pPr>
    <w:rPr>
      <w:kern w:val="0"/>
      <w:sz w:val="24"/>
      <w:szCs w:val="20"/>
    </w:rPr>
  </w:style>
  <w:style w:type="paragraph" w:styleId="29">
    <w:name w:val="Plain Text"/>
    <w:basedOn w:val="1"/>
    <w:next w:val="1"/>
    <w:link w:val="80"/>
    <w:qFormat/>
    <w:uiPriority w:val="0"/>
    <w:pPr>
      <w:adjustRightInd w:val="0"/>
      <w:snapToGrid w:val="0"/>
    </w:pPr>
    <w:rPr>
      <w:rFonts w:ascii="宋体" w:hAnsi="Courier New" w:cs="Courier New"/>
      <w:sz w:val="21"/>
      <w:szCs w:val="21"/>
    </w:rPr>
  </w:style>
  <w:style w:type="paragraph" w:styleId="30">
    <w:name w:val="Date"/>
    <w:basedOn w:val="1"/>
    <w:next w:val="1"/>
    <w:qFormat/>
    <w:uiPriority w:val="0"/>
    <w:rPr>
      <w:szCs w:val="20"/>
    </w:rPr>
  </w:style>
  <w:style w:type="paragraph" w:styleId="31">
    <w:name w:val="Body Text Indent 2"/>
    <w:basedOn w:val="1"/>
    <w:qFormat/>
    <w:uiPriority w:val="0"/>
    <w:pPr>
      <w:ind w:firstLine="560" w:firstLineChars="200"/>
    </w:pPr>
    <w:rPr>
      <w:rFonts w:ascii="宋体" w:hAnsi="宋体"/>
      <w:szCs w:val="20"/>
    </w:rPr>
  </w:style>
  <w:style w:type="paragraph" w:styleId="32">
    <w:name w:val="Balloon Text"/>
    <w:basedOn w:val="1"/>
    <w:semiHidden/>
    <w:qFormat/>
    <w:uiPriority w:val="0"/>
    <w:rPr>
      <w:sz w:val="18"/>
      <w:szCs w:val="18"/>
    </w:rPr>
  </w:style>
  <w:style w:type="paragraph" w:styleId="33">
    <w:name w:val="footer"/>
    <w:basedOn w:val="1"/>
    <w:link w:val="85"/>
    <w:qFormat/>
    <w:uiPriority w:val="0"/>
    <w:pPr>
      <w:tabs>
        <w:tab w:val="center" w:pos="4153"/>
        <w:tab w:val="right" w:pos="8306"/>
      </w:tabs>
      <w:snapToGrid w:val="0"/>
      <w:jc w:val="left"/>
    </w:pPr>
    <w:rPr>
      <w:sz w:val="18"/>
      <w:szCs w:val="18"/>
    </w:rPr>
  </w:style>
  <w:style w:type="paragraph" w:styleId="34">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35">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style>
  <w:style w:type="paragraph" w:styleId="37">
    <w:name w:val="toc 4"/>
    <w:basedOn w:val="1"/>
    <w:next w:val="1"/>
    <w:qFormat/>
    <w:uiPriority w:val="0"/>
    <w:pPr>
      <w:wordWrap w:val="0"/>
      <w:ind w:left="850"/>
    </w:pPr>
    <w:rPr>
      <w:rFonts w:ascii="Calibri" w:hAnsi="Calibri"/>
      <w:sz w:val="21"/>
    </w:rPr>
  </w:style>
  <w:style w:type="paragraph" w:styleId="38">
    <w:name w:val="List"/>
    <w:basedOn w:val="1"/>
    <w:qFormat/>
    <w:uiPriority w:val="0"/>
    <w:pPr>
      <w:ind w:left="200" w:hanging="200" w:hangingChars="200"/>
    </w:pPr>
  </w:style>
  <w:style w:type="paragraph" w:styleId="39">
    <w:name w:val="toc 6"/>
    <w:basedOn w:val="1"/>
    <w:next w:val="1"/>
    <w:qFormat/>
    <w:uiPriority w:val="0"/>
    <w:pPr>
      <w:ind w:left="2100" w:leftChars="1000"/>
    </w:pPr>
  </w:style>
  <w:style w:type="paragraph" w:styleId="40">
    <w:name w:val="Body Text Indent 3"/>
    <w:basedOn w:val="1"/>
    <w:qFormat/>
    <w:uiPriority w:val="0"/>
    <w:pPr>
      <w:ind w:firstLine="419" w:firstLineChars="161"/>
    </w:pPr>
    <w:rPr>
      <w:rFonts w:ascii="宋体" w:hAnsi="宋体"/>
      <w:szCs w:val="20"/>
    </w:rPr>
  </w:style>
  <w:style w:type="paragraph" w:styleId="41">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4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99"/>
    <w:rPr>
      <w:color w:val="333333"/>
      <w:u w:val="none"/>
    </w:rPr>
  </w:style>
  <w:style w:type="character" w:styleId="50">
    <w:name w:val="Emphasis"/>
    <w:qFormat/>
    <w:uiPriority w:val="0"/>
    <w:rPr>
      <w:color w:val="CC0033"/>
    </w:rPr>
  </w:style>
  <w:style w:type="character" w:styleId="51">
    <w:name w:val="HTML Definition"/>
    <w:qFormat/>
    <w:uiPriority w:val="0"/>
  </w:style>
  <w:style w:type="character" w:styleId="52">
    <w:name w:val="HTML Typewriter"/>
    <w:qFormat/>
    <w:uiPriority w:val="0"/>
    <w:rPr>
      <w:rFonts w:hint="default" w:ascii="monospace" w:hAnsi="monospace" w:eastAsia="monospace" w:cs="monospace"/>
      <w:sz w:val="20"/>
    </w:rPr>
  </w:style>
  <w:style w:type="character" w:styleId="53">
    <w:name w:val="HTML Acronym"/>
    <w:basedOn w:val="46"/>
    <w:qFormat/>
    <w:uiPriority w:val="0"/>
  </w:style>
  <w:style w:type="character" w:styleId="54">
    <w:name w:val="HTML Variable"/>
    <w:qFormat/>
    <w:uiPriority w:val="0"/>
  </w:style>
  <w:style w:type="character" w:styleId="55">
    <w:name w:val="Hyperlink"/>
    <w:qFormat/>
    <w:uiPriority w:val="99"/>
    <w:rPr>
      <w:color w:val="333333"/>
      <w:u w:val="none"/>
    </w:rPr>
  </w:style>
  <w:style w:type="character" w:styleId="56">
    <w:name w:val="HTML Code"/>
    <w:qFormat/>
    <w:uiPriority w:val="0"/>
    <w:rPr>
      <w:rFonts w:ascii="monospace" w:hAnsi="monospace" w:eastAsia="monospace" w:cs="monospace"/>
      <w:sz w:val="20"/>
    </w:rPr>
  </w:style>
  <w:style w:type="character" w:styleId="57">
    <w:name w:val="annotation reference"/>
    <w:qFormat/>
    <w:uiPriority w:val="0"/>
    <w:rPr>
      <w:rFonts w:ascii="Tahoma" w:hAnsi="Tahoma"/>
      <w:sz w:val="21"/>
      <w:szCs w:val="21"/>
    </w:rPr>
  </w:style>
  <w:style w:type="character" w:styleId="58">
    <w:name w:val="HTML Cite"/>
    <w:qFormat/>
    <w:uiPriority w:val="0"/>
  </w:style>
  <w:style w:type="character" w:styleId="59">
    <w:name w:val="HTML Keyboard"/>
    <w:qFormat/>
    <w:uiPriority w:val="0"/>
    <w:rPr>
      <w:rFonts w:hint="default" w:ascii="monospace" w:hAnsi="monospace" w:eastAsia="monospace" w:cs="monospace"/>
      <w:sz w:val="20"/>
    </w:rPr>
  </w:style>
  <w:style w:type="character" w:styleId="60">
    <w:name w:val="HTML Sample"/>
    <w:qFormat/>
    <w:uiPriority w:val="0"/>
    <w:rPr>
      <w:rFonts w:hint="default" w:ascii="monospace" w:hAnsi="monospace" w:eastAsia="monospace" w:cs="monospace"/>
    </w:rPr>
  </w:style>
  <w:style w:type="paragraph" w:customStyle="1" w:styleId="61">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62">
    <w:name w:val="DAS正文"/>
    <w:basedOn w:val="1"/>
    <w:qFormat/>
    <w:uiPriority w:val="0"/>
    <w:pPr>
      <w:spacing w:line="360" w:lineRule="auto"/>
      <w:ind w:right="181" w:firstLine="480" w:firstLineChars="200"/>
    </w:pPr>
    <w:rPr>
      <w:rFonts w:ascii="Verdana" w:hAnsi="Verdana"/>
    </w:rPr>
  </w:style>
  <w:style w:type="paragraph" w:customStyle="1" w:styleId="63">
    <w:name w:val="_Style 1"/>
    <w:qFormat/>
    <w:uiPriority w:val="0"/>
    <w:rPr>
      <w:rFonts w:ascii="Times New Roman" w:hAnsi="Times New Roman" w:eastAsia="宋体" w:cs="Times New Roman"/>
      <w:kern w:val="2"/>
      <w:sz w:val="28"/>
      <w:szCs w:val="22"/>
      <w:lang w:val="en-US" w:eastAsia="zh-CN" w:bidi="ar-SA"/>
    </w:rPr>
  </w:style>
  <w:style w:type="paragraph" w:customStyle="1" w:styleId="64">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65">
    <w:name w:val="font3"/>
    <w:basedOn w:val="46"/>
    <w:qFormat/>
    <w:uiPriority w:val="0"/>
  </w:style>
  <w:style w:type="character" w:customStyle="1" w:styleId="66">
    <w:name w:val="style1"/>
    <w:basedOn w:val="46"/>
    <w:qFormat/>
    <w:uiPriority w:val="0"/>
  </w:style>
  <w:style w:type="character" w:customStyle="1" w:styleId="67">
    <w:name w:val="节标题 1.1 Char Char"/>
    <w:qFormat/>
    <w:uiPriority w:val="0"/>
    <w:rPr>
      <w:rFonts w:ascii="Arial" w:hAnsi="Arial" w:eastAsia="黑体"/>
      <w:b/>
      <w:bCs/>
      <w:kern w:val="2"/>
      <w:sz w:val="32"/>
      <w:szCs w:val="32"/>
      <w:lang w:val="en-US" w:eastAsia="zh-CN" w:bidi="ar-SA"/>
    </w:rPr>
  </w:style>
  <w:style w:type="character" w:customStyle="1" w:styleId="68">
    <w:name w:val="141"/>
    <w:qFormat/>
    <w:uiPriority w:val="0"/>
    <w:rPr>
      <w:color w:val="333333"/>
      <w:sz w:val="21"/>
      <w:szCs w:val="21"/>
      <w:u w:val="none"/>
    </w:rPr>
  </w:style>
  <w:style w:type="character" w:customStyle="1" w:styleId="69">
    <w:name w:val="正文（首行缩进两字） Char Char Char Char1"/>
    <w:qFormat/>
    <w:uiPriority w:val="0"/>
    <w:rPr>
      <w:rFonts w:eastAsia="宋体"/>
      <w:kern w:val="2"/>
      <w:sz w:val="21"/>
      <w:lang w:val="en-US" w:eastAsia="zh-CN" w:bidi="ar-SA"/>
    </w:rPr>
  </w:style>
  <w:style w:type="character" w:customStyle="1" w:styleId="70">
    <w:name w:val="页眉 Char"/>
    <w:link w:val="35"/>
    <w:semiHidden/>
    <w:qFormat/>
    <w:uiPriority w:val="0"/>
    <w:rPr>
      <w:rFonts w:eastAsia="宋体"/>
      <w:kern w:val="2"/>
      <w:sz w:val="18"/>
      <w:szCs w:val="18"/>
      <w:lang w:val="en-US" w:eastAsia="zh-CN" w:bidi="ar-SA"/>
    </w:rPr>
  </w:style>
  <w:style w:type="character" w:customStyle="1" w:styleId="71">
    <w:name w:val="sdtype"/>
    <w:qFormat/>
    <w:uiPriority w:val="0"/>
  </w:style>
  <w:style w:type="character" w:customStyle="1" w:styleId="72">
    <w:name w:val="ptb181"/>
    <w:qFormat/>
    <w:uiPriority w:val="0"/>
    <w:rPr>
      <w:rFonts w:hint="default" w:ascii="Verdana" w:hAnsi="Verdana"/>
      <w:b/>
      <w:bCs/>
      <w:color w:val="000000"/>
      <w:sz w:val="26"/>
      <w:szCs w:val="26"/>
    </w:rPr>
  </w:style>
  <w:style w:type="character" w:customStyle="1" w:styleId="73">
    <w:name w:val="style5"/>
    <w:basedOn w:val="46"/>
    <w:qFormat/>
    <w:uiPriority w:val="0"/>
  </w:style>
  <w:style w:type="character" w:customStyle="1" w:styleId="74">
    <w:name w:val="Char Char1"/>
    <w:qFormat/>
    <w:uiPriority w:val="0"/>
    <w:rPr>
      <w:kern w:val="2"/>
      <w:sz w:val="18"/>
      <w:szCs w:val="18"/>
    </w:rPr>
  </w:style>
  <w:style w:type="character" w:customStyle="1" w:styleId="75">
    <w:name w:val="style51"/>
    <w:qFormat/>
    <w:uiPriority w:val="0"/>
    <w:rPr>
      <w:sz w:val="18"/>
      <w:szCs w:val="18"/>
    </w:rPr>
  </w:style>
  <w:style w:type="character" w:customStyle="1" w:styleId="76">
    <w:name w:val="页脚 Char1"/>
    <w:qFormat/>
    <w:locked/>
    <w:uiPriority w:val="99"/>
    <w:rPr>
      <w:rFonts w:ascii="Tahoma" w:hAnsi="Tahoma" w:eastAsia="黑体"/>
      <w:snapToGrid w:val="0"/>
      <w:sz w:val="18"/>
      <w:szCs w:val="18"/>
      <w:lang w:val="en-US" w:eastAsia="zh-CN" w:bidi="ar-SA"/>
    </w:rPr>
  </w:style>
  <w:style w:type="character" w:customStyle="1" w:styleId="77">
    <w:name w:val="flname7"/>
    <w:basedOn w:val="46"/>
    <w:qFormat/>
    <w:uiPriority w:val="0"/>
  </w:style>
  <w:style w:type="character" w:customStyle="1" w:styleId="78">
    <w:name w:val="标题 1 Char Char"/>
    <w:qFormat/>
    <w:uiPriority w:val="0"/>
    <w:rPr>
      <w:rFonts w:eastAsia="宋体"/>
      <w:b/>
      <w:spacing w:val="-2"/>
      <w:sz w:val="24"/>
      <w:lang w:val="en-US" w:eastAsia="zh-CN" w:bidi="ar-SA"/>
    </w:rPr>
  </w:style>
  <w:style w:type="character" w:customStyle="1" w:styleId="79">
    <w:name w:val="页码1"/>
    <w:basedOn w:val="46"/>
    <w:qFormat/>
    <w:uiPriority w:val="0"/>
  </w:style>
  <w:style w:type="character" w:customStyle="1" w:styleId="80">
    <w:name w:val="纯文本 Char"/>
    <w:link w:val="29"/>
    <w:qFormat/>
    <w:uiPriority w:val="0"/>
    <w:rPr>
      <w:rFonts w:ascii="宋体" w:hAnsi="Courier New" w:eastAsia="宋体" w:cs="Courier New"/>
      <w:kern w:val="2"/>
      <w:sz w:val="21"/>
      <w:szCs w:val="21"/>
      <w:lang w:val="en-US" w:eastAsia="zh-CN" w:bidi="ar-SA"/>
    </w:rPr>
  </w:style>
  <w:style w:type="character" w:customStyle="1" w:styleId="81">
    <w:name w:val="Char Char6"/>
    <w:qFormat/>
    <w:uiPriority w:val="0"/>
    <w:rPr>
      <w:rFonts w:eastAsia="宋体"/>
      <w:kern w:val="2"/>
      <w:sz w:val="18"/>
      <w:szCs w:val="18"/>
      <w:lang w:val="en-US" w:eastAsia="zh-CN" w:bidi="ar-SA"/>
    </w:rPr>
  </w:style>
  <w:style w:type="character" w:customStyle="1" w:styleId="82">
    <w:name w:val="a Char"/>
    <w:link w:val="83"/>
    <w:qFormat/>
    <w:uiPriority w:val="0"/>
    <w:rPr>
      <w:rFonts w:ascii="宋体" w:hAnsi="宋体" w:eastAsia="仿宋_GB2312"/>
      <w:sz w:val="24"/>
      <w:lang w:val="en-US" w:eastAsia="zh-CN" w:bidi="ar-SA"/>
    </w:rPr>
  </w:style>
  <w:style w:type="paragraph" w:customStyle="1" w:styleId="83">
    <w:name w:val="a"/>
    <w:basedOn w:val="1"/>
    <w:link w:val="82"/>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84">
    <w:name w:val="纯文本 Char2"/>
    <w:qFormat/>
    <w:uiPriority w:val="0"/>
    <w:rPr>
      <w:rFonts w:ascii="宋体" w:hAnsi="Courier New" w:eastAsia="宋体"/>
      <w:kern w:val="2"/>
      <w:sz w:val="24"/>
      <w:szCs w:val="24"/>
      <w:lang w:val="en-US" w:eastAsia="zh-CN" w:bidi="ar-SA"/>
    </w:rPr>
  </w:style>
  <w:style w:type="character" w:customStyle="1" w:styleId="85">
    <w:name w:val="页脚 Char"/>
    <w:link w:val="33"/>
    <w:semiHidden/>
    <w:qFormat/>
    <w:uiPriority w:val="0"/>
    <w:rPr>
      <w:rFonts w:eastAsia="宋体"/>
      <w:kern w:val="2"/>
      <w:sz w:val="18"/>
      <w:szCs w:val="18"/>
      <w:lang w:val="en-US" w:eastAsia="zh-CN" w:bidi="ar-SA"/>
    </w:rPr>
  </w:style>
  <w:style w:type="character" w:customStyle="1" w:styleId="86">
    <w:name w:val="Char Char2"/>
    <w:qFormat/>
    <w:uiPriority w:val="0"/>
    <w:rPr>
      <w:rFonts w:ascii="宋体" w:hAnsi="Courier New" w:eastAsia="宋体"/>
      <w:sz w:val="21"/>
      <w:lang w:val="en-US" w:eastAsia="zh-CN" w:bidi="ar-SA"/>
    </w:rPr>
  </w:style>
  <w:style w:type="character" w:customStyle="1" w:styleId="87">
    <w:name w:val="标题 2 Char"/>
    <w:link w:val="4"/>
    <w:qFormat/>
    <w:uiPriority w:val="0"/>
    <w:rPr>
      <w:rFonts w:ascii="Arial" w:hAnsi="Arial" w:eastAsia="黑体"/>
      <w:b/>
      <w:bCs/>
      <w:kern w:val="2"/>
      <w:sz w:val="32"/>
      <w:szCs w:val="32"/>
      <w:lang w:val="en-US" w:eastAsia="zh-CN" w:bidi="ar-SA"/>
    </w:rPr>
  </w:style>
  <w:style w:type="character" w:customStyle="1" w:styleId="88">
    <w:name w:val="正文缩进 Char"/>
    <w:link w:val="7"/>
    <w:qFormat/>
    <w:uiPriority w:val="0"/>
    <w:rPr>
      <w:rFonts w:eastAsia="宋体"/>
      <w:kern w:val="2"/>
      <w:sz w:val="21"/>
      <w:lang w:val="en-US" w:eastAsia="zh-CN" w:bidi="ar-SA"/>
    </w:rPr>
  </w:style>
  <w:style w:type="character" w:customStyle="1" w:styleId="89">
    <w:name w:val="title14"/>
    <w:basedOn w:val="46"/>
    <w:qFormat/>
    <w:uiPriority w:val="0"/>
  </w:style>
  <w:style w:type="character" w:customStyle="1" w:styleId="90">
    <w:name w:val="正文缩进 Char2"/>
    <w:qFormat/>
    <w:uiPriority w:val="0"/>
    <w:rPr>
      <w:rFonts w:ascii="Tahoma" w:hAnsi="Tahoma" w:eastAsia="宋体"/>
      <w:kern w:val="2"/>
      <w:sz w:val="21"/>
      <w:lang w:val="en-US" w:eastAsia="zh-CN" w:bidi="ar-SA"/>
    </w:rPr>
  </w:style>
  <w:style w:type="character" w:customStyle="1" w:styleId="91">
    <w:name w:val="b titlename wangputoptitle"/>
    <w:basedOn w:val="46"/>
    <w:qFormat/>
    <w:uiPriority w:val="0"/>
  </w:style>
  <w:style w:type="character" w:customStyle="1" w:styleId="92">
    <w:name w:val="Char Char10"/>
    <w:qFormat/>
    <w:uiPriority w:val="0"/>
    <w:rPr>
      <w:rFonts w:ascii="宋体" w:hAnsi="Courier New" w:eastAsia="宋体"/>
      <w:kern w:val="2"/>
      <w:sz w:val="24"/>
      <w:szCs w:val="24"/>
      <w:lang w:val="en-US" w:eastAsia="zh-CN" w:bidi="ar-SA"/>
    </w:rPr>
  </w:style>
  <w:style w:type="character" w:customStyle="1" w:styleId="93">
    <w:name w:val="maywed421"/>
    <w:qFormat/>
    <w:uiPriority w:val="0"/>
    <w:rPr>
      <w:color w:val="366FB6"/>
      <w:u w:val="none"/>
    </w:rPr>
  </w:style>
  <w:style w:type="character" w:customStyle="1" w:styleId="94">
    <w:name w:val="style2"/>
    <w:basedOn w:val="46"/>
    <w:qFormat/>
    <w:uiPriority w:val="0"/>
  </w:style>
  <w:style w:type="character" w:customStyle="1" w:styleId="95">
    <w:name w:val="para"/>
    <w:basedOn w:val="46"/>
    <w:qFormat/>
    <w:uiPriority w:val="0"/>
  </w:style>
  <w:style w:type="character" w:customStyle="1" w:styleId="96">
    <w:name w:val="标题 3 Char"/>
    <w:link w:val="6"/>
    <w:qFormat/>
    <w:uiPriority w:val="0"/>
    <w:rPr>
      <w:rFonts w:eastAsia="宋体"/>
      <w:b/>
      <w:sz w:val="32"/>
      <w:lang w:val="en-US" w:eastAsia="zh-CN" w:bidi="ar-SA"/>
    </w:rPr>
  </w:style>
  <w:style w:type="paragraph" w:customStyle="1" w:styleId="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9">
    <w:name w:val="+正文"/>
    <w:basedOn w:val="1"/>
    <w:qFormat/>
    <w:uiPriority w:val="0"/>
    <w:pPr>
      <w:spacing w:line="360" w:lineRule="auto"/>
      <w:ind w:firstLine="200" w:firstLineChars="200"/>
    </w:pPr>
    <w:rPr>
      <w:sz w:val="24"/>
      <w:szCs w:val="28"/>
    </w:rPr>
  </w:style>
  <w:style w:type="paragraph" w:customStyle="1" w:styleId="100">
    <w:name w:val="Char Char24 Char Char Char Char"/>
    <w:basedOn w:val="1"/>
    <w:qFormat/>
    <w:uiPriority w:val="0"/>
    <w:pPr>
      <w:widowControl/>
      <w:spacing w:after="160" w:line="240" w:lineRule="exact"/>
      <w:jc w:val="left"/>
    </w:pPr>
    <w:rPr>
      <w:rFonts w:ascii="仿宋_GB2312" w:eastAsia="仿宋_GB2312"/>
      <w:spacing w:val="20"/>
    </w:rPr>
  </w:style>
  <w:style w:type="paragraph" w:customStyle="1" w:styleId="10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2">
    <w:name w:val="Table Paragraph"/>
    <w:basedOn w:val="1"/>
    <w:qFormat/>
    <w:uiPriority w:val="1"/>
    <w:rPr>
      <w:rFonts w:ascii="宋体" w:hAnsi="宋体" w:cs="宋体"/>
      <w:lang w:val="zh-CN" w:bidi="zh-CN"/>
    </w:rPr>
  </w:style>
  <w:style w:type="paragraph" w:customStyle="1" w:styleId="103">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正文段"/>
    <w:basedOn w:val="1"/>
    <w:qFormat/>
    <w:uiPriority w:val="0"/>
    <w:pPr>
      <w:widowControl/>
      <w:snapToGrid w:val="0"/>
      <w:spacing w:afterLines="50"/>
      <w:ind w:firstLine="200" w:firstLineChars="200"/>
    </w:pPr>
    <w:rPr>
      <w:kern w:val="0"/>
      <w:sz w:val="24"/>
      <w:szCs w:val="20"/>
    </w:rPr>
  </w:style>
  <w:style w:type="paragraph" w:customStyle="1" w:styleId="105">
    <w:name w:val="unnamed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6">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07">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09">
    <w:name w:val="Normal Indent1"/>
    <w:basedOn w:val="1"/>
    <w:qFormat/>
    <w:uiPriority w:val="0"/>
    <w:pPr>
      <w:ind w:firstLine="420"/>
    </w:pPr>
    <w:rPr>
      <w:szCs w:val="20"/>
    </w:rPr>
  </w:style>
  <w:style w:type="paragraph" w:customStyle="1" w:styleId="110">
    <w:name w:val="Char Char Char"/>
    <w:basedOn w:val="17"/>
    <w:qFormat/>
    <w:uiPriority w:val="0"/>
    <w:rPr>
      <w:rFonts w:ascii="Tahoma" w:hAnsi="Tahoma"/>
      <w:sz w:val="24"/>
    </w:rPr>
  </w:style>
  <w:style w:type="paragraph" w:customStyle="1" w:styleId="111">
    <w:name w:val="Char Char Char Char Char Char Char"/>
    <w:basedOn w:val="1"/>
    <w:qFormat/>
    <w:uiPriority w:val="0"/>
    <w:pPr>
      <w:tabs>
        <w:tab w:val="left" w:pos="432"/>
      </w:tabs>
      <w:ind w:left="432" w:hanging="432"/>
    </w:pPr>
    <w:rPr>
      <w:rFonts w:ascii="Tahoma" w:hAnsi="Tahoma"/>
      <w:sz w:val="24"/>
      <w:szCs w:val="20"/>
    </w:rPr>
  </w:style>
  <w:style w:type="paragraph" w:customStyle="1" w:styleId="112">
    <w:name w:val="Char Char Char 字元 字元"/>
    <w:basedOn w:val="1"/>
    <w:qFormat/>
    <w:uiPriority w:val="0"/>
    <w:pPr>
      <w:spacing w:line="360" w:lineRule="auto"/>
      <w:ind w:firstLine="200" w:firstLineChars="200"/>
    </w:pPr>
    <w:rPr>
      <w:rFonts w:ascii="宋体" w:hAnsi="宋体" w:cs="宋体"/>
      <w:sz w:val="24"/>
    </w:rPr>
  </w:style>
  <w:style w:type="paragraph" w:customStyle="1" w:styleId="113">
    <w:name w:val="table_1stline"/>
    <w:basedOn w:val="1"/>
    <w:qFormat/>
    <w:uiPriority w:val="0"/>
    <w:pPr>
      <w:widowControl/>
      <w:spacing w:before="120"/>
      <w:jc w:val="left"/>
    </w:pPr>
    <w:rPr>
      <w:bCs/>
      <w:kern w:val="0"/>
      <w:sz w:val="20"/>
      <w:szCs w:val="20"/>
      <w:lang w:val="de-DE" w:eastAsia="de-DE"/>
    </w:rPr>
  </w:style>
  <w:style w:type="paragraph" w:customStyle="1" w:styleId="114">
    <w:name w:val="Char1 Char Char Char"/>
    <w:basedOn w:val="1"/>
    <w:qFormat/>
    <w:uiPriority w:val="0"/>
    <w:rPr>
      <w:rFonts w:ascii="Tahoma" w:hAnsi="Tahoma"/>
      <w:sz w:val="24"/>
      <w:szCs w:val="20"/>
    </w:rPr>
  </w:style>
  <w:style w:type="paragraph" w:customStyle="1" w:styleId="1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6">
    <w:name w:val="正文2"/>
    <w:basedOn w:val="1"/>
    <w:qFormat/>
    <w:uiPriority w:val="0"/>
    <w:pPr>
      <w:spacing w:before="156" w:line="360" w:lineRule="auto"/>
      <w:ind w:firstLine="510" w:firstLineChars="200"/>
    </w:pPr>
    <w:rPr>
      <w:sz w:val="24"/>
      <w:szCs w:val="20"/>
    </w:rPr>
  </w:style>
  <w:style w:type="paragraph" w:styleId="117">
    <w:name w:val="Quote"/>
    <w:basedOn w:val="1"/>
    <w:next w:val="1"/>
    <w:qFormat/>
    <w:uiPriority w:val="99"/>
    <w:pPr>
      <w:spacing w:before="200" w:after="160"/>
      <w:ind w:left="864" w:right="864"/>
      <w:jc w:val="center"/>
    </w:pPr>
    <w:rPr>
      <w:i/>
      <w:iCs/>
      <w:color w:val="404040"/>
    </w:rPr>
  </w:style>
  <w:style w:type="paragraph" w:customStyle="1" w:styleId="118">
    <w:name w:val="Char Char7 Char"/>
    <w:basedOn w:val="1"/>
    <w:qFormat/>
    <w:uiPriority w:val="0"/>
    <w:pPr>
      <w:tabs>
        <w:tab w:val="left" w:pos="425"/>
      </w:tabs>
      <w:ind w:left="420" w:leftChars="200" w:firstLine="270" w:firstLineChars="150"/>
    </w:pPr>
    <w:rPr>
      <w:sz w:val="21"/>
    </w:rPr>
  </w:style>
  <w:style w:type="paragraph" w:customStyle="1" w:styleId="119">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20">
    <w:name w:val="paragraph1"/>
    <w:basedOn w:val="1"/>
    <w:qFormat/>
    <w:uiPriority w:val="0"/>
    <w:pPr>
      <w:spacing w:afterLines="30" w:line="360" w:lineRule="auto"/>
      <w:ind w:firstLine="420" w:firstLineChars="200"/>
    </w:pPr>
    <w:rPr>
      <w:rFonts w:eastAsia="楷体_GB2312"/>
      <w:sz w:val="24"/>
      <w:szCs w:val="20"/>
    </w:rPr>
  </w:style>
  <w:style w:type="paragraph" w:customStyle="1" w:styleId="1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2">
    <w:name w:val="table_lines"/>
    <w:basedOn w:val="1"/>
    <w:qFormat/>
    <w:uiPriority w:val="0"/>
    <w:pPr>
      <w:widowControl/>
      <w:jc w:val="left"/>
    </w:pPr>
    <w:rPr>
      <w:kern w:val="0"/>
      <w:sz w:val="20"/>
      <w:szCs w:val="20"/>
      <w:lang w:val="de-DE" w:eastAsia="de-DE"/>
    </w:rPr>
  </w:style>
  <w:style w:type="paragraph" w:customStyle="1" w:styleId="123">
    <w:name w:val="Plain Text1"/>
    <w:basedOn w:val="1"/>
    <w:qFormat/>
    <w:uiPriority w:val="0"/>
    <w:pPr>
      <w:spacing w:beforeLines="50" w:afterLines="50" w:line="400" w:lineRule="exact"/>
    </w:pPr>
    <w:rPr>
      <w:rFonts w:ascii="宋体" w:hAnsi="Courier New"/>
      <w:sz w:val="24"/>
    </w:rPr>
  </w:style>
  <w:style w:type="paragraph" w:customStyle="1" w:styleId="124">
    <w:name w:val="_Style 9"/>
    <w:basedOn w:val="1"/>
    <w:qFormat/>
    <w:uiPriority w:val="0"/>
  </w:style>
  <w:style w:type="paragraph" w:customStyle="1" w:styleId="125">
    <w:name w:val="Char Char Char Char Char Char Char1"/>
    <w:basedOn w:val="1"/>
    <w:qFormat/>
    <w:uiPriority w:val="0"/>
    <w:pPr>
      <w:tabs>
        <w:tab w:val="left" w:pos="432"/>
      </w:tabs>
      <w:ind w:left="432" w:hanging="432"/>
    </w:pPr>
    <w:rPr>
      <w:rFonts w:ascii="Tahoma" w:hAnsi="Tahoma"/>
      <w:sz w:val="24"/>
      <w:szCs w:val="20"/>
    </w:rPr>
  </w:style>
  <w:style w:type="paragraph" w:customStyle="1" w:styleId="126">
    <w:name w:val="列表编号 3 New"/>
    <w:basedOn w:val="1"/>
    <w:qFormat/>
    <w:uiPriority w:val="0"/>
    <w:pPr>
      <w:widowControl/>
      <w:tabs>
        <w:tab w:val="left" w:pos="482"/>
      </w:tabs>
      <w:spacing w:afterLines="50"/>
      <w:ind w:left="432" w:hanging="432"/>
      <w:jc w:val="left"/>
    </w:pPr>
    <w:rPr>
      <w:kern w:val="0"/>
      <w:sz w:val="24"/>
      <w:szCs w:val="20"/>
    </w:rPr>
  </w:style>
  <w:style w:type="paragraph" w:styleId="127">
    <w:name w:val="List Paragraph"/>
    <w:basedOn w:val="1"/>
    <w:qFormat/>
    <w:uiPriority w:val="0"/>
    <w:pPr>
      <w:ind w:firstLine="420" w:firstLineChars="200"/>
    </w:pPr>
    <w:rPr>
      <w:rFonts w:ascii="Calibri" w:hAnsi="Calibri"/>
      <w:sz w:val="21"/>
      <w:szCs w:val="22"/>
    </w:rPr>
  </w:style>
  <w:style w:type="paragraph" w:customStyle="1" w:styleId="128">
    <w:name w:val="样式 表格正文 + 两端对齐"/>
    <w:basedOn w:val="1"/>
    <w:qFormat/>
    <w:uiPriority w:val="0"/>
    <w:pPr>
      <w:spacing w:line="300" w:lineRule="auto"/>
    </w:pPr>
    <w:rPr>
      <w:sz w:val="24"/>
      <w:szCs w:val="20"/>
    </w:rPr>
  </w:style>
  <w:style w:type="paragraph" w:customStyle="1" w:styleId="129">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0">
    <w:name w:val="默认段落字体 Para Char Char Char Char Char Char Char Char Char1 Char Char Char Char"/>
    <w:basedOn w:val="1"/>
    <w:qFormat/>
    <w:uiPriority w:val="0"/>
    <w:rPr>
      <w:rFonts w:ascii="Tahoma" w:hAnsi="Tahoma"/>
      <w:sz w:val="24"/>
      <w:szCs w:val="20"/>
    </w:rPr>
  </w:style>
  <w:style w:type="paragraph" w:customStyle="1" w:styleId="131">
    <w:name w:val="Char1"/>
    <w:basedOn w:val="1"/>
    <w:qFormat/>
    <w:uiPriority w:val="0"/>
    <w:rPr>
      <w:rFonts w:ascii="仿宋_GB2312" w:eastAsia="仿宋_GB2312"/>
      <w:b/>
      <w:sz w:val="32"/>
      <w:szCs w:val="32"/>
    </w:rPr>
  </w:style>
  <w:style w:type="paragraph" w:customStyle="1" w:styleId="1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4">
    <w:name w:val="文档正文"/>
    <w:basedOn w:val="1"/>
    <w:qFormat/>
    <w:uiPriority w:val="0"/>
    <w:pPr>
      <w:adjustRightInd w:val="0"/>
      <w:spacing w:line="312" w:lineRule="atLeast"/>
      <w:ind w:firstLine="567"/>
      <w:textAlignment w:val="baseline"/>
    </w:pPr>
    <w:rPr>
      <w:rFonts w:ascii="长城仿宋" w:eastAsia="长城仿宋"/>
      <w:kern w:val="0"/>
      <w:szCs w:val="20"/>
    </w:rPr>
  </w:style>
  <w:style w:type="paragraph" w:customStyle="1" w:styleId="135">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136">
    <w:name w:val="font41"/>
    <w:basedOn w:val="46"/>
    <w:qFormat/>
    <w:uiPriority w:val="0"/>
    <w:rPr>
      <w:rFonts w:hint="eastAsia" w:ascii="等线" w:hAnsi="等线" w:eastAsia="等线" w:cs="等线"/>
      <w:color w:val="000000"/>
      <w:sz w:val="20"/>
      <w:szCs w:val="20"/>
      <w:u w:val="none"/>
    </w:rPr>
  </w:style>
  <w:style w:type="character" w:customStyle="1" w:styleId="137">
    <w:name w:val="font31"/>
    <w:basedOn w:val="46"/>
    <w:qFormat/>
    <w:uiPriority w:val="0"/>
    <w:rPr>
      <w:rFonts w:hint="eastAsia" w:ascii="等线" w:hAnsi="等线" w:eastAsia="等线" w:cs="等线"/>
      <w:b/>
      <w:color w:val="000000"/>
      <w:sz w:val="20"/>
      <w:szCs w:val="20"/>
      <w:u w:val="none"/>
    </w:rPr>
  </w:style>
  <w:style w:type="character" w:customStyle="1" w:styleId="138">
    <w:name w:val="font21"/>
    <w:basedOn w:val="46"/>
    <w:qFormat/>
    <w:uiPriority w:val="0"/>
    <w:rPr>
      <w:rFonts w:hint="eastAsia" w:ascii="等线" w:hAnsi="等线" w:eastAsia="等线" w:cs="等线"/>
      <w:color w:val="000000"/>
      <w:sz w:val="20"/>
      <w:szCs w:val="20"/>
      <w:u w:val="none"/>
    </w:rPr>
  </w:style>
  <w:style w:type="character" w:customStyle="1" w:styleId="139">
    <w:name w:val="font01"/>
    <w:basedOn w:val="46"/>
    <w:qFormat/>
    <w:uiPriority w:val="0"/>
    <w:rPr>
      <w:rFonts w:hint="eastAsia" w:ascii="等线" w:hAnsi="等线" w:eastAsia="等线" w:cs="等线"/>
      <w:b/>
      <w:color w:val="000000"/>
      <w:sz w:val="20"/>
      <w:szCs w:val="20"/>
      <w:u w:val="none"/>
    </w:rPr>
  </w:style>
  <w:style w:type="character" w:customStyle="1" w:styleId="140">
    <w:name w:val="font11"/>
    <w:basedOn w:val="46"/>
    <w:qFormat/>
    <w:uiPriority w:val="0"/>
    <w:rPr>
      <w:rFonts w:hint="eastAsia" w:ascii="宋体" w:hAnsi="宋体" w:eastAsia="宋体" w:cs="宋体"/>
      <w:b/>
      <w:color w:val="000000"/>
      <w:sz w:val="20"/>
      <w:szCs w:val="20"/>
      <w:u w:val="none"/>
    </w:rPr>
  </w:style>
  <w:style w:type="paragraph" w:customStyle="1" w:styleId="141">
    <w:name w:val="Title1"/>
    <w:basedOn w:val="3"/>
    <w:next w:val="142"/>
    <w:qFormat/>
    <w:uiPriority w:val="0"/>
    <w:pPr>
      <w:spacing w:before="240" w:after="240" w:line="360" w:lineRule="auto"/>
      <w:ind w:left="629" w:hanging="629"/>
    </w:pPr>
    <w:rPr>
      <w:sz w:val="36"/>
    </w:rPr>
  </w:style>
  <w:style w:type="paragraph" w:customStyle="1" w:styleId="142">
    <w:name w:val="Title2"/>
    <w:basedOn w:val="4"/>
    <w:next w:val="29"/>
    <w:qFormat/>
    <w:uiPriority w:val="0"/>
    <w:pPr>
      <w:spacing w:before="200" w:after="200" w:line="360" w:lineRule="auto"/>
      <w:ind w:left="629" w:hanging="629"/>
      <w:jc w:val="left"/>
    </w:pPr>
    <w:rPr>
      <w:rFonts w:ascii="Times New Roman" w:hAnsi="Times New Roman" w:eastAsia="宋体"/>
    </w:rPr>
  </w:style>
  <w:style w:type="paragraph" w:customStyle="1" w:styleId="143">
    <w:name w:val="p0"/>
    <w:basedOn w:val="1"/>
    <w:qFormat/>
    <w:uiPriority w:val="0"/>
    <w:pPr>
      <w:widowControl/>
    </w:pPr>
    <w:rPr>
      <w:kern w:val="0"/>
      <w:szCs w:val="20"/>
    </w:rPr>
  </w:style>
  <w:style w:type="paragraph" w:customStyle="1" w:styleId="144">
    <w:name w:val="彩色列表 - 着色 12"/>
    <w:basedOn w:val="1"/>
    <w:qFormat/>
    <w:uiPriority w:val="34"/>
    <w:pPr>
      <w:ind w:firstLine="420" w:firstLineChars="200"/>
    </w:pPr>
  </w:style>
  <w:style w:type="character" w:customStyle="1" w:styleId="145">
    <w:name w:val="map_taglist"/>
    <w:basedOn w:val="46"/>
    <w:qFormat/>
    <w:uiPriority w:val="0"/>
    <w:rPr>
      <w:color w:val="666666"/>
    </w:rPr>
  </w:style>
  <w:style w:type="character" w:customStyle="1" w:styleId="146">
    <w:name w:val="ts_tip_2"/>
    <w:basedOn w:val="46"/>
    <w:qFormat/>
    <w:uiPriority w:val="0"/>
    <w:rPr>
      <w:color w:val="E43023"/>
    </w:rPr>
  </w:style>
  <w:style w:type="character" w:customStyle="1" w:styleId="147">
    <w:name w:val="bus_type_tip"/>
    <w:basedOn w:val="46"/>
    <w:qFormat/>
    <w:uiPriority w:val="0"/>
    <w:rPr>
      <w:color w:val="FFFFFF"/>
      <w:sz w:val="18"/>
      <w:szCs w:val="18"/>
    </w:rPr>
  </w:style>
  <w:style w:type="character" w:customStyle="1" w:styleId="148">
    <w:name w:val="bus_type_4"/>
    <w:basedOn w:val="46"/>
    <w:qFormat/>
    <w:uiPriority w:val="0"/>
    <w:rPr>
      <w:shd w:val="clear" w:color="auto" w:fill="333F89"/>
    </w:rPr>
  </w:style>
  <w:style w:type="character" w:customStyle="1" w:styleId="149">
    <w:name w:val="active1"/>
    <w:basedOn w:val="46"/>
    <w:qFormat/>
    <w:uiPriority w:val="0"/>
    <w:rPr>
      <w:shd w:val="clear" w:color="auto" w:fill="3385FF"/>
    </w:rPr>
  </w:style>
  <w:style w:type="character" w:customStyle="1" w:styleId="150">
    <w:name w:val="active2"/>
    <w:basedOn w:val="46"/>
    <w:qFormat/>
    <w:uiPriority w:val="0"/>
    <w:rPr>
      <w:shd w:val="clear" w:color="auto" w:fill="3385FF"/>
    </w:rPr>
  </w:style>
  <w:style w:type="character" w:customStyle="1" w:styleId="151">
    <w:name w:val="linebg_on"/>
    <w:basedOn w:val="46"/>
    <w:qFormat/>
    <w:uiPriority w:val="0"/>
  </w:style>
  <w:style w:type="character" w:customStyle="1" w:styleId="152">
    <w:name w:val="linebg_on1"/>
    <w:basedOn w:val="46"/>
    <w:qFormat/>
    <w:uiPriority w:val="0"/>
  </w:style>
  <w:style w:type="character" w:customStyle="1" w:styleId="153">
    <w:name w:val="bs_tm"/>
    <w:basedOn w:val="46"/>
    <w:qFormat/>
    <w:uiPriority w:val="0"/>
  </w:style>
  <w:style w:type="character" w:customStyle="1" w:styleId="154">
    <w:name w:val="bs_tm1"/>
    <w:basedOn w:val="46"/>
    <w:qFormat/>
    <w:uiPriority w:val="0"/>
  </w:style>
  <w:style w:type="character" w:customStyle="1" w:styleId="155">
    <w:name w:val="input_span11"/>
    <w:basedOn w:val="46"/>
    <w:qFormat/>
    <w:uiPriority w:val="0"/>
  </w:style>
  <w:style w:type="character" w:customStyle="1" w:styleId="156">
    <w:name w:val="bus_type_0"/>
    <w:basedOn w:val="46"/>
    <w:qFormat/>
    <w:uiPriority w:val="0"/>
    <w:rPr>
      <w:shd w:val="clear" w:color="auto" w:fill="FF8853"/>
    </w:rPr>
  </w:style>
  <w:style w:type="character" w:customStyle="1" w:styleId="157">
    <w:name w:val="bs_clc"/>
    <w:basedOn w:val="46"/>
    <w:qFormat/>
    <w:uiPriority w:val="0"/>
  </w:style>
  <w:style w:type="character" w:customStyle="1" w:styleId="158">
    <w:name w:val="bus_type_3"/>
    <w:basedOn w:val="46"/>
    <w:qFormat/>
    <w:uiPriority w:val="0"/>
    <w:rPr>
      <w:shd w:val="clear" w:color="auto" w:fill="43CC8D"/>
    </w:rPr>
  </w:style>
  <w:style w:type="character" w:customStyle="1" w:styleId="159">
    <w:name w:val="bus_type_2"/>
    <w:basedOn w:val="46"/>
    <w:qFormat/>
    <w:uiPriority w:val="0"/>
    <w:rPr>
      <w:shd w:val="clear" w:color="auto" w:fill="FF4141"/>
    </w:rPr>
  </w:style>
  <w:style w:type="character" w:customStyle="1" w:styleId="160">
    <w:name w:val="hover42"/>
    <w:basedOn w:val="46"/>
    <w:qFormat/>
    <w:uiPriority w:val="0"/>
    <w:rPr>
      <w:bdr w:val="single" w:color="999999" w:sz="6" w:space="0"/>
    </w:rPr>
  </w:style>
  <w:style w:type="character" w:customStyle="1" w:styleId="161">
    <w:name w:val="linebg"/>
    <w:basedOn w:val="46"/>
    <w:qFormat/>
    <w:uiPriority w:val="0"/>
  </w:style>
  <w:style w:type="character" w:customStyle="1" w:styleId="162">
    <w:name w:val="linebg1"/>
    <w:basedOn w:val="46"/>
    <w:qFormat/>
    <w:uiPriority w:val="0"/>
  </w:style>
  <w:style w:type="character" w:customStyle="1" w:styleId="163">
    <w:name w:val="time_dis"/>
    <w:basedOn w:val="46"/>
    <w:qFormat/>
    <w:uiPriority w:val="0"/>
  </w:style>
  <w:style w:type="character" w:customStyle="1" w:styleId="164">
    <w:name w:val="bs_cal"/>
    <w:basedOn w:val="46"/>
    <w:qFormat/>
    <w:uiPriority w:val="0"/>
  </w:style>
  <w:style w:type="character" w:customStyle="1" w:styleId="165">
    <w:name w:val="ts_tip_1"/>
    <w:basedOn w:val="46"/>
    <w:qFormat/>
    <w:uiPriority w:val="0"/>
    <w:rPr>
      <w:color w:val="468B02"/>
    </w:rPr>
  </w:style>
  <w:style w:type="paragraph" w:customStyle="1" w:styleId="166">
    <w:name w:val="样式 样式 样式 标题 2 + 两端对齐 段前: 18 磅 + 首行缩进:  2 字符 + 首行缩进:  2 字符 段后: 0..."/>
    <w:basedOn w:val="1"/>
    <w:qFormat/>
    <w:uiPriority w:val="99"/>
    <w:pPr>
      <w:spacing w:afterLines="50" w:line="360" w:lineRule="auto"/>
    </w:pPr>
    <w:rPr>
      <w:rFonts w:cs="宋体"/>
      <w:b/>
      <w:bCs/>
      <w:sz w:val="24"/>
      <w:szCs w:val="20"/>
    </w:rPr>
  </w:style>
  <w:style w:type="character" w:customStyle="1" w:styleId="167">
    <w:name w:val="NormalCharacter"/>
    <w:semiHidden/>
    <w:qFormat/>
    <w:uiPriority w:val="0"/>
    <w:rPr>
      <w:kern w:val="2"/>
      <w:sz w:val="28"/>
      <w:szCs w:val="24"/>
      <w:lang w:val="en-US" w:eastAsia="zh-CN" w:bidi="ar-SA"/>
    </w:rPr>
  </w:style>
  <w:style w:type="paragraph" w:customStyle="1" w:styleId="168">
    <w:name w:val="表格文字"/>
    <w:basedOn w:val="1"/>
    <w:next w:val="21"/>
    <w:qFormat/>
    <w:uiPriority w:val="0"/>
    <w:pPr>
      <w:adjustRightInd w:val="0"/>
      <w:spacing w:line="420" w:lineRule="atLeast"/>
      <w:jc w:val="left"/>
      <w:textAlignment w:val="baseline"/>
    </w:pPr>
    <w:rPr>
      <w:kern w:val="0"/>
    </w:rPr>
  </w:style>
  <w:style w:type="paragraph" w:customStyle="1" w:styleId="169">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70">
    <w:name w:val="章正文"/>
    <w:basedOn w:val="1"/>
    <w:qFormat/>
    <w:uiPriority w:val="0"/>
    <w:pPr>
      <w:spacing w:beforeLines="50" w:line="300" w:lineRule="auto"/>
      <w:ind w:firstLine="480"/>
    </w:pPr>
    <w:rPr>
      <w:rFonts w:ascii="Helvetica" w:hAnsi="Helvetica"/>
      <w:kern w:val="0"/>
      <w:sz w:val="24"/>
    </w:rPr>
  </w:style>
  <w:style w:type="paragraph" w:customStyle="1" w:styleId="171">
    <w:name w:val="_Style 49"/>
    <w:basedOn w:val="1"/>
    <w:next w:val="29"/>
    <w:qFormat/>
    <w:uiPriority w:val="0"/>
    <w:rPr>
      <w:rFonts w:ascii="宋体" w:hAnsi="Courier New"/>
      <w:kern w:val="0"/>
      <w:sz w:val="24"/>
    </w:rPr>
  </w:style>
  <w:style w:type="paragraph" w:customStyle="1" w:styleId="172">
    <w:name w:val="正文文本1"/>
    <w:basedOn w:val="1"/>
    <w:next w:val="101"/>
    <w:qFormat/>
    <w:uiPriority w:val="0"/>
    <w:rPr>
      <w:rFonts w:eastAsia="仿宋_GB2312"/>
      <w:sz w:val="24"/>
    </w:rPr>
  </w:style>
  <w:style w:type="paragraph" w:customStyle="1" w:styleId="173">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29681</Words>
  <Characters>31370</Characters>
  <Lines>263</Lines>
  <Paragraphs>74</Paragraphs>
  <TotalTime>27</TotalTime>
  <ScaleCrop>false</ScaleCrop>
  <LinksUpToDate>false</LinksUpToDate>
  <CharactersWithSpaces>32489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2023-05-30T02:48:00Z</dcterms:created>
  <dc:creator>xueyong</dc:creator>
  <cp:lastModifiedBy>萌小宝</cp:lastModifiedBy>
  <cp:lastPrinted>2020-05-12T03:21:00Z</cp:lastPrinted>
  <dcterms:modified xsi:type="dcterms:W3CDTF">2024-08-16T06:48:34Z</dcterms:modified>
  <dc:title>目         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8448BC8CB99D4DFF840656A47B8396E2</vt:lpwstr>
  </property>
</Properties>
</file>