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F7AAF9">
      <w:pPr>
        <w:pStyle w:val="24"/>
        <w:jc w:val="both"/>
        <w:rPr>
          <w:rFonts w:ascii="宋体" w:hAnsi="宋体"/>
          <w:color w:val="auto"/>
          <w:sz w:val="52"/>
          <w:highlight w:val="none"/>
        </w:rPr>
      </w:pPr>
      <w:r>
        <w:rPr>
          <w:rFonts w:hint="eastAsia" w:ascii="宋体" w:hAnsi="宋体"/>
          <w:color w:val="auto"/>
          <w:sz w:val="52"/>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olor w:val="auto"/>
          <w:sz w:val="52"/>
          <w:highlight w:val="none"/>
        </w:rPr>
        <w:instrText xml:space="preserve">ADDIN CNKISM.UserStyle</w:instrText>
      </w:r>
      <w:r>
        <w:rPr>
          <w:rFonts w:hint="eastAsia" w:ascii="宋体" w:hAnsi="宋体"/>
          <w:color w:val="auto"/>
          <w:sz w:val="52"/>
          <w:highlight w:val="none"/>
        </w:rPr>
        <w:fldChar w:fldCharType="end"/>
      </w:r>
    </w:p>
    <w:p w14:paraId="7866F728">
      <w:pPr>
        <w:pStyle w:val="24"/>
        <w:spacing w:line="720" w:lineRule="auto"/>
        <w:ind w:left="283" w:leftChars="135" w:right="252" w:rightChars="120"/>
        <w:rPr>
          <w:rFonts w:ascii="宋体" w:hAnsi="宋体"/>
          <w:bCs/>
          <w:color w:val="auto"/>
          <w:sz w:val="52"/>
          <w:szCs w:val="48"/>
          <w:highlight w:val="none"/>
        </w:rPr>
      </w:pPr>
    </w:p>
    <w:p w14:paraId="2124BE88">
      <w:pPr>
        <w:pStyle w:val="24"/>
        <w:spacing w:line="720" w:lineRule="auto"/>
        <w:ind w:left="283" w:leftChars="135" w:right="252" w:rightChars="120"/>
        <w:rPr>
          <w:rFonts w:ascii="宋体" w:hAnsi="宋体"/>
          <w:bCs/>
          <w:color w:val="auto"/>
          <w:sz w:val="52"/>
          <w:szCs w:val="48"/>
          <w:highlight w:val="none"/>
        </w:rPr>
      </w:pPr>
      <w:r>
        <w:rPr>
          <w:rFonts w:hint="eastAsia" w:ascii="宋体" w:hAnsi="宋体"/>
          <w:bCs/>
          <w:color w:val="auto"/>
          <w:sz w:val="52"/>
          <w:szCs w:val="48"/>
          <w:highlight w:val="none"/>
        </w:rPr>
        <w:t>嘉兴市城市高质量建设发展项目城市更新咨询服务</w:t>
      </w:r>
    </w:p>
    <w:p w14:paraId="19AE2AC5">
      <w:pPr>
        <w:pStyle w:val="24"/>
        <w:spacing w:line="600" w:lineRule="exact"/>
        <w:rPr>
          <w:rFonts w:ascii="宋体" w:hAnsi="宋体"/>
          <w:color w:val="auto"/>
          <w:sz w:val="48"/>
          <w:szCs w:val="48"/>
          <w:highlight w:val="none"/>
        </w:rPr>
      </w:pPr>
    </w:p>
    <w:p w14:paraId="49AB865B">
      <w:pPr>
        <w:pStyle w:val="24"/>
        <w:spacing w:line="600" w:lineRule="exact"/>
        <w:rPr>
          <w:rFonts w:ascii="宋体" w:hAnsi="宋体"/>
          <w:color w:val="auto"/>
          <w:sz w:val="48"/>
          <w:szCs w:val="48"/>
          <w:highlight w:val="none"/>
        </w:rPr>
      </w:pPr>
    </w:p>
    <w:p w14:paraId="544E3324">
      <w:pPr>
        <w:pStyle w:val="24"/>
        <w:spacing w:line="600" w:lineRule="exact"/>
        <w:rPr>
          <w:rFonts w:ascii="宋体" w:hAnsi="宋体"/>
          <w:color w:val="auto"/>
          <w:sz w:val="48"/>
          <w:szCs w:val="48"/>
          <w:highlight w:val="none"/>
        </w:rPr>
      </w:pPr>
    </w:p>
    <w:p w14:paraId="570CBD00">
      <w:pPr>
        <w:pStyle w:val="24"/>
        <w:spacing w:line="600" w:lineRule="exact"/>
        <w:jc w:val="both"/>
        <w:rPr>
          <w:rFonts w:ascii="宋体" w:hAnsi="宋体"/>
          <w:color w:val="auto"/>
          <w:sz w:val="48"/>
          <w:szCs w:val="48"/>
          <w:highlight w:val="none"/>
        </w:rPr>
      </w:pPr>
    </w:p>
    <w:p w14:paraId="1EBB896F">
      <w:pPr>
        <w:pStyle w:val="24"/>
        <w:spacing w:line="600" w:lineRule="exact"/>
        <w:rPr>
          <w:rFonts w:ascii="宋体" w:hAnsi="宋体"/>
          <w:color w:val="auto"/>
          <w:sz w:val="48"/>
          <w:szCs w:val="48"/>
          <w:highlight w:val="none"/>
        </w:rPr>
      </w:pPr>
    </w:p>
    <w:p w14:paraId="1B943866">
      <w:pPr>
        <w:pStyle w:val="24"/>
        <w:spacing w:line="600" w:lineRule="exact"/>
        <w:rPr>
          <w:rFonts w:ascii="宋体" w:hAnsi="宋体"/>
          <w:color w:val="auto"/>
          <w:sz w:val="48"/>
          <w:szCs w:val="44"/>
          <w:highlight w:val="none"/>
        </w:rPr>
      </w:pPr>
      <w:r>
        <w:rPr>
          <w:rFonts w:hint="eastAsia" w:ascii="宋体" w:hAnsi="宋体"/>
          <w:color w:val="auto"/>
          <w:sz w:val="52"/>
          <w:szCs w:val="48"/>
          <w:highlight w:val="none"/>
        </w:rPr>
        <w:t>竞争性磋商文件</w:t>
      </w:r>
    </w:p>
    <w:p w14:paraId="20446910">
      <w:pPr>
        <w:pStyle w:val="24"/>
        <w:rPr>
          <w:rFonts w:ascii="宋体" w:hAnsi="宋体"/>
          <w:color w:val="auto"/>
          <w:sz w:val="52"/>
          <w:highlight w:val="none"/>
        </w:rPr>
      </w:pPr>
    </w:p>
    <w:p w14:paraId="7B7F53A4">
      <w:pPr>
        <w:pStyle w:val="24"/>
        <w:rPr>
          <w:rFonts w:ascii="宋体" w:hAnsi="宋体"/>
          <w:color w:val="auto"/>
          <w:sz w:val="52"/>
          <w:highlight w:val="none"/>
        </w:rPr>
      </w:pPr>
    </w:p>
    <w:p w14:paraId="5EB8A9B2">
      <w:pPr>
        <w:tabs>
          <w:tab w:val="left" w:pos="7063"/>
        </w:tabs>
        <w:rPr>
          <w:rFonts w:ascii="宋体" w:hAnsi="宋体" w:cs="宋体"/>
          <w:b/>
          <w:color w:val="auto"/>
          <w:sz w:val="36"/>
          <w:highlight w:val="none"/>
        </w:rPr>
      </w:pPr>
    </w:p>
    <w:p w14:paraId="6D52F9E3">
      <w:pPr>
        <w:pStyle w:val="59"/>
        <w:rPr>
          <w:rFonts w:ascii="宋体" w:hAnsi="宋体" w:eastAsia="宋体" w:cs="宋体"/>
          <w:color w:val="auto"/>
          <w:highlight w:val="none"/>
        </w:rPr>
      </w:pPr>
    </w:p>
    <w:p w14:paraId="23496CB5">
      <w:pPr>
        <w:spacing w:line="600" w:lineRule="exact"/>
        <w:rPr>
          <w:rFonts w:ascii="宋体" w:hAnsi="宋体" w:cs="宋体"/>
          <w:b/>
          <w:color w:val="auto"/>
          <w:sz w:val="32"/>
          <w:szCs w:val="32"/>
          <w:highlight w:val="none"/>
        </w:rPr>
      </w:pPr>
    </w:p>
    <w:p w14:paraId="52DC1D51">
      <w:pPr>
        <w:spacing w:line="600" w:lineRule="exact"/>
        <w:ind w:firstLine="1285" w:firstLineChars="400"/>
        <w:rPr>
          <w:rFonts w:ascii="宋体" w:hAnsi="宋体" w:cs="宋体"/>
          <w:b/>
          <w:color w:val="auto"/>
          <w:sz w:val="32"/>
          <w:szCs w:val="32"/>
          <w:highlight w:val="none"/>
        </w:rPr>
      </w:pPr>
    </w:p>
    <w:p w14:paraId="615D83CA">
      <w:pPr>
        <w:spacing w:line="600" w:lineRule="exact"/>
        <w:ind w:firstLine="1285" w:firstLineChars="400"/>
        <w:rPr>
          <w:rFonts w:ascii="宋体" w:hAnsi="宋体" w:cs="宋体"/>
          <w:b/>
          <w:color w:val="auto"/>
          <w:sz w:val="32"/>
          <w:szCs w:val="32"/>
          <w:highlight w:val="none"/>
        </w:rPr>
      </w:pPr>
    </w:p>
    <w:p w14:paraId="5B95D4A4">
      <w:pPr>
        <w:spacing w:line="600" w:lineRule="exact"/>
        <w:ind w:firstLine="1285" w:firstLineChars="4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中惠-2024-46号</w:t>
      </w:r>
    </w:p>
    <w:p w14:paraId="1E0B85E0">
      <w:pPr>
        <w:spacing w:line="600" w:lineRule="exact"/>
        <w:ind w:left="2883" w:leftChars="608" w:hanging="1606" w:hangingChars="500"/>
        <w:rPr>
          <w:rFonts w:ascii="宋体" w:hAnsi="宋体" w:cs="宋体"/>
          <w:b/>
          <w:color w:val="auto"/>
          <w:sz w:val="32"/>
          <w:szCs w:val="32"/>
          <w:highlight w:val="none"/>
        </w:rPr>
      </w:pPr>
      <w:r>
        <w:rPr>
          <w:rFonts w:hint="eastAsia" w:ascii="宋体" w:hAnsi="宋体" w:cs="宋体"/>
          <w:b/>
          <w:color w:val="auto"/>
          <w:sz w:val="32"/>
          <w:szCs w:val="32"/>
          <w:highlight w:val="none"/>
        </w:rPr>
        <w:t>采购单位：嘉兴市住房和城乡建设局</w:t>
      </w:r>
    </w:p>
    <w:p w14:paraId="3B1BA43D">
      <w:pPr>
        <w:spacing w:line="600" w:lineRule="exact"/>
        <w:ind w:firstLine="1285" w:firstLineChars="400"/>
        <w:rPr>
          <w:rFonts w:ascii="宋体" w:hAnsi="宋体" w:cs="宋体"/>
          <w:b/>
          <w:color w:val="auto"/>
          <w:sz w:val="32"/>
          <w:szCs w:val="32"/>
          <w:highlight w:val="none"/>
        </w:rPr>
      </w:pPr>
      <w:r>
        <w:rPr>
          <w:rFonts w:hint="eastAsia" w:ascii="宋体" w:hAnsi="宋体" w:cs="宋体"/>
          <w:b/>
          <w:color w:val="auto"/>
          <w:sz w:val="32"/>
          <w:szCs w:val="32"/>
          <w:highlight w:val="none"/>
        </w:rPr>
        <w:t>代理单位：浙江中惠工程管理有限公司</w:t>
      </w:r>
    </w:p>
    <w:p w14:paraId="5AB7B4C8">
      <w:pPr>
        <w:spacing w:line="600" w:lineRule="exact"/>
        <w:jc w:val="center"/>
        <w:rPr>
          <w:rFonts w:ascii="宋体" w:hAnsi="宋体" w:cs="宋体"/>
          <w:b/>
          <w:color w:val="auto"/>
          <w:sz w:val="32"/>
          <w:szCs w:val="32"/>
          <w:highlight w:val="none"/>
        </w:rPr>
        <w:sectPr>
          <w:headerReference r:id="rId3" w:type="default"/>
          <w:pgSz w:w="11906" w:h="16838"/>
          <w:pgMar w:top="1134" w:right="1361" w:bottom="1134" w:left="1361" w:header="851" w:footer="992" w:gutter="0"/>
          <w:cols w:space="720" w:num="1"/>
          <w:docGrid w:type="lines" w:linePitch="312" w:charSpace="0"/>
        </w:sectPr>
      </w:pPr>
      <w:r>
        <w:rPr>
          <w:rFonts w:hint="eastAsia" w:ascii="宋体" w:hAnsi="宋体" w:cs="宋体"/>
          <w:b/>
          <w:color w:val="auto"/>
          <w:sz w:val="32"/>
          <w:szCs w:val="32"/>
          <w:highlight w:val="none"/>
        </w:rPr>
        <w:t>2024年</w:t>
      </w:r>
      <w:r>
        <w:rPr>
          <w:rFonts w:hint="eastAsia" w:ascii="宋体" w:hAnsi="宋体" w:cs="宋体"/>
          <w:b/>
          <w:color w:val="auto"/>
          <w:sz w:val="32"/>
          <w:szCs w:val="32"/>
          <w:highlight w:val="none"/>
          <w:lang w:val="en-US" w:eastAsia="zh-CN"/>
        </w:rPr>
        <w:t>09</w:t>
      </w:r>
      <w:r>
        <w:rPr>
          <w:rFonts w:hint="eastAsia" w:ascii="宋体" w:hAnsi="宋体" w:cs="宋体"/>
          <w:b/>
          <w:color w:val="auto"/>
          <w:sz w:val="32"/>
          <w:szCs w:val="32"/>
          <w:highlight w:val="none"/>
        </w:rPr>
        <w:t>月</w:t>
      </w:r>
    </w:p>
    <w:p w14:paraId="6094920B">
      <w:pPr>
        <w:spacing w:line="600" w:lineRule="exact"/>
        <w:jc w:val="center"/>
        <w:rPr>
          <w:rFonts w:ascii="宋体" w:hAnsi="宋体" w:cs="宋体"/>
          <w:b/>
          <w:color w:val="auto"/>
          <w:sz w:val="32"/>
          <w:szCs w:val="32"/>
          <w:highlight w:val="none"/>
        </w:rPr>
      </w:pPr>
    </w:p>
    <w:p w14:paraId="3EB39FCA">
      <w:pPr>
        <w:spacing w:line="600" w:lineRule="exact"/>
        <w:rPr>
          <w:rFonts w:ascii="宋体" w:hAnsi="宋体" w:cs="宋体"/>
          <w:b/>
          <w:color w:val="auto"/>
          <w:sz w:val="32"/>
          <w:szCs w:val="32"/>
          <w:highlight w:val="none"/>
        </w:rPr>
      </w:pPr>
    </w:p>
    <w:p w14:paraId="0C05E286">
      <w:pPr>
        <w:pStyle w:val="14"/>
        <w:spacing w:before="120" w:after="120" w:line="360" w:lineRule="auto"/>
        <w:jc w:val="center"/>
        <w:rPr>
          <w:rFonts w:hAnsi="宋体"/>
          <w:b/>
          <w:bCs/>
          <w:color w:val="auto"/>
          <w:sz w:val="44"/>
          <w:szCs w:val="44"/>
          <w:highlight w:val="none"/>
        </w:rPr>
      </w:pPr>
      <w:r>
        <w:rPr>
          <w:rFonts w:hint="eastAsia" w:hAnsi="宋体"/>
          <w:b/>
          <w:bCs/>
          <w:color w:val="auto"/>
          <w:sz w:val="44"/>
          <w:szCs w:val="44"/>
          <w:highlight w:val="none"/>
        </w:rPr>
        <w:t>目  录</w:t>
      </w:r>
    </w:p>
    <w:p w14:paraId="58CFF5DC">
      <w:pPr>
        <w:pStyle w:val="14"/>
        <w:spacing w:before="120" w:after="120" w:line="360" w:lineRule="auto"/>
        <w:jc w:val="center"/>
        <w:rPr>
          <w:rFonts w:hAnsi="宋体"/>
          <w:color w:val="auto"/>
          <w:sz w:val="44"/>
          <w:szCs w:val="44"/>
          <w:highlight w:val="none"/>
        </w:rPr>
      </w:pPr>
    </w:p>
    <w:p w14:paraId="3D17E831">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竞争性磋商公告</w:t>
      </w:r>
    </w:p>
    <w:p w14:paraId="59336F86">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采购需求</w:t>
      </w:r>
    </w:p>
    <w:p w14:paraId="254A4BB6">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供应商须知</w:t>
      </w:r>
    </w:p>
    <w:p w14:paraId="2E474B67">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评标办法及评分标准</w:t>
      </w:r>
    </w:p>
    <w:p w14:paraId="0024706F">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政府采购合同主要条款</w:t>
      </w:r>
    </w:p>
    <w:p w14:paraId="10FA06C7">
      <w:pPr>
        <w:numPr>
          <w:ilvl w:val="0"/>
          <w:numId w:val="4"/>
        </w:numPr>
        <w:tabs>
          <w:tab w:val="left" w:pos="2520"/>
        </w:tabs>
        <w:spacing w:before="156" w:beforeLines="50" w:line="480" w:lineRule="exact"/>
        <w:ind w:hanging="195"/>
        <w:rPr>
          <w:rFonts w:ascii="宋体" w:hAnsi="宋体" w:cs="宋体"/>
          <w:color w:val="auto"/>
          <w:sz w:val="32"/>
          <w:szCs w:val="32"/>
          <w:highlight w:val="none"/>
        </w:rPr>
      </w:pPr>
      <w:r>
        <w:rPr>
          <w:rFonts w:hint="eastAsia" w:ascii="宋体" w:hAnsi="宋体" w:cs="宋体"/>
          <w:color w:val="auto"/>
          <w:sz w:val="32"/>
          <w:szCs w:val="32"/>
          <w:highlight w:val="none"/>
        </w:rPr>
        <w:t>投标文件格式</w:t>
      </w:r>
    </w:p>
    <w:p w14:paraId="62E2B977">
      <w:pPr>
        <w:spacing w:before="31" w:beforeLines="10" w:after="31" w:afterLines="10" w:line="480" w:lineRule="exact"/>
        <w:jc w:val="center"/>
        <w:rPr>
          <w:rFonts w:ascii="宋体" w:hAnsi="宋体" w:cs="宋体"/>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b/>
          <w:bCs/>
          <w:color w:val="auto"/>
          <w:sz w:val="32"/>
          <w:szCs w:val="32"/>
          <w:highlight w:val="none"/>
        </w:rPr>
        <w:t>第一章  竞争性磋商公告</w:t>
      </w:r>
    </w:p>
    <w:p w14:paraId="2EF1E2C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根据《中华人民共和国政府采购法》、《中华人民共和国政府采购法实施条例》等规定，浙江中</w:t>
      </w:r>
      <w:r>
        <w:rPr>
          <w:rFonts w:hint="eastAsia" w:ascii="宋体" w:hAnsi="宋体" w:cs="宋体"/>
          <w:color w:val="auto"/>
          <w:szCs w:val="21"/>
          <w:highlight w:val="none"/>
        </w:rPr>
        <w:t>惠工程管理有限公司受嘉兴市住房和城乡建设局委托，并经嘉兴市财政局</w:t>
      </w:r>
      <w:r>
        <w:rPr>
          <w:rFonts w:hint="eastAsia" w:ascii="宋体" w:hAnsi="宋体" w:cs="宋体"/>
          <w:color w:val="auto"/>
          <w:szCs w:val="21"/>
          <w:highlight w:val="none"/>
          <w:lang w:eastAsia="zh-CN"/>
        </w:rPr>
        <w:t>临[2024]6311号</w:t>
      </w:r>
      <w:r>
        <w:rPr>
          <w:rFonts w:hint="eastAsia" w:ascii="宋体" w:hAnsi="宋体" w:cs="宋体"/>
          <w:color w:val="auto"/>
          <w:szCs w:val="21"/>
          <w:highlight w:val="none"/>
        </w:rPr>
        <w:t>确认书批准，现就嘉兴市城市高质量建设发展项目城市更新咨询服务进行竞争性磋商，欢迎国内合格的投标人前来投标，现将有关事项公告如下：</w:t>
      </w:r>
    </w:p>
    <w:p w14:paraId="1095C277">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一、</w:t>
      </w:r>
      <w:r>
        <w:rPr>
          <w:rFonts w:hint="eastAsia" w:ascii="宋体" w:hAnsi="宋体" w:cs="宋体"/>
          <w:b/>
          <w:bCs/>
          <w:color w:val="auto"/>
          <w:szCs w:val="21"/>
          <w:highlight w:val="none"/>
        </w:rPr>
        <w:t>项目编号：</w:t>
      </w:r>
      <w:r>
        <w:rPr>
          <w:rFonts w:hint="eastAsia" w:ascii="宋体" w:hAnsi="宋体" w:cs="宋体"/>
          <w:color w:val="auto"/>
          <w:szCs w:val="21"/>
          <w:highlight w:val="none"/>
          <w:lang w:eastAsia="zh-CN"/>
        </w:rPr>
        <w:t>中惠-2024-46号</w:t>
      </w:r>
    </w:p>
    <w:p w14:paraId="5C51FE5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b/>
          <w:color w:val="auto"/>
          <w:szCs w:val="21"/>
          <w:highlight w:val="none"/>
        </w:rPr>
        <w:t>采购组织类型：</w:t>
      </w:r>
      <w:r>
        <w:rPr>
          <w:rFonts w:hint="eastAsia" w:ascii="宋体" w:hAnsi="宋体" w:cs="宋体"/>
          <w:color w:val="auto"/>
          <w:szCs w:val="21"/>
          <w:highlight w:val="none"/>
        </w:rPr>
        <w:t>分散采购委托中介</w:t>
      </w:r>
    </w:p>
    <w:p w14:paraId="5097F2ED">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三、采购方式：</w:t>
      </w:r>
      <w:r>
        <w:rPr>
          <w:rFonts w:hint="eastAsia" w:ascii="宋体" w:hAnsi="宋体" w:cs="宋体"/>
          <w:color w:val="auto"/>
          <w:szCs w:val="21"/>
          <w:highlight w:val="none"/>
        </w:rPr>
        <w:t>竞争性磋商</w:t>
      </w:r>
    </w:p>
    <w:p w14:paraId="704F5053">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四、</w:t>
      </w:r>
      <w:r>
        <w:rPr>
          <w:rFonts w:hint="eastAsia" w:ascii="宋体" w:hAnsi="宋体" w:cs="宋体"/>
          <w:b/>
          <w:bCs/>
          <w:color w:val="auto"/>
          <w:szCs w:val="21"/>
          <w:highlight w:val="none"/>
        </w:rPr>
        <w:t>采购内容及预算</w:t>
      </w:r>
      <w:r>
        <w:rPr>
          <w:rFonts w:hint="eastAsia" w:ascii="宋体" w:hAnsi="宋体" w:cs="宋体"/>
          <w:b/>
          <w:color w:val="auto"/>
          <w:szCs w:val="21"/>
          <w:highlight w:val="none"/>
        </w:rPr>
        <w:t>：</w:t>
      </w:r>
      <w:r>
        <w:rPr>
          <w:rFonts w:hint="eastAsia" w:ascii="宋体" w:hAnsi="宋体" w:cs="宋体"/>
          <w:color w:val="auto"/>
          <w:szCs w:val="21"/>
          <w:highlight w:val="none"/>
        </w:rPr>
        <w:t>嘉兴市城市高质量建设发展项目城市更新咨询服务，具体详见采购需求。</w:t>
      </w:r>
      <w:r>
        <w:rPr>
          <w:rFonts w:hint="eastAsia" w:ascii="宋体" w:hAnsi="宋体" w:cs="宋体"/>
          <w:b/>
          <w:bCs/>
          <w:color w:val="auto"/>
          <w:szCs w:val="21"/>
          <w:highlight w:val="none"/>
        </w:rPr>
        <w:t>预算金额：</w:t>
      </w:r>
      <w:r>
        <w:rPr>
          <w:rFonts w:hint="eastAsia" w:ascii="宋体" w:hAnsi="宋体" w:cs="宋体"/>
          <w:b/>
          <w:bCs/>
          <w:color w:val="auto"/>
          <w:szCs w:val="21"/>
          <w:highlight w:val="none"/>
        </w:rPr>
        <w:t>人民币290.5万元。</w:t>
      </w:r>
    </w:p>
    <w:p w14:paraId="2DC98560">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五、合格投标人的资格要求：</w:t>
      </w:r>
    </w:p>
    <w:p w14:paraId="270E8C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1、符合《中华人民共和国政府采购法》第二十二条的规定。</w:t>
      </w:r>
    </w:p>
    <w:p w14:paraId="7425F9BC">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p w14:paraId="6FEAA6B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kern w:val="0"/>
          <w:szCs w:val="21"/>
          <w:highlight w:val="none"/>
        </w:rPr>
        <w:t>落实政府采购政策需满足的资格要求：</w:t>
      </w:r>
      <w:r>
        <w:rPr>
          <w:rFonts w:ascii="宋体" w:hAnsi="宋体" w:cs="宋体"/>
          <w:color w:val="auto"/>
          <w:kern w:val="0"/>
          <w:szCs w:val="20"/>
          <w:highlight w:val="none"/>
        </w:rPr>
        <w:t>无</w:t>
      </w:r>
      <w:r>
        <w:rPr>
          <w:rFonts w:hint="eastAsia" w:ascii="宋体" w:hAnsi="宋体" w:cs="宋体"/>
          <w:color w:val="auto"/>
          <w:szCs w:val="21"/>
          <w:highlight w:val="none"/>
        </w:rPr>
        <w:t>。</w:t>
      </w:r>
    </w:p>
    <w:p w14:paraId="4177420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kern w:val="0"/>
          <w:szCs w:val="21"/>
          <w:highlight w:val="none"/>
        </w:rPr>
        <w:t>本项目的特定资格要求：</w:t>
      </w:r>
      <w:r>
        <w:rPr>
          <w:rFonts w:hint="eastAsia" w:ascii="宋体" w:hAnsi="宋体" w:cs="宋体"/>
          <w:color w:val="auto"/>
          <w:kern w:val="0"/>
          <w:szCs w:val="20"/>
          <w:highlight w:val="none"/>
        </w:rPr>
        <w:t>具有城乡规划编制乙级及以上资质。</w:t>
      </w:r>
    </w:p>
    <w:p w14:paraId="180BB43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5、本项目（是）接受联合体投标。</w:t>
      </w:r>
    </w:p>
    <w:p w14:paraId="140CAEAB">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注：本采购项目，中标单位与采购单位签订的政府采购合同适用于嘉兴市政府采购贷款政策，简称“政采贷”，具体内容可参阅政府采购贷款流程：</w:t>
      </w:r>
    </w:p>
    <w:p w14:paraId="45959B0E">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http://jxszwsjb.jiaxing.gov.cn/zxfw/005012/20181016/7e541bf4-ad29-4286-ace8-d12c1b2c54fc.html</w:t>
      </w:r>
    </w:p>
    <w:p w14:paraId="176A4620">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六、采购文件的获取：</w:t>
      </w:r>
    </w:p>
    <w:p w14:paraId="6310EB8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1、本项目采购文件实行“政府采购云平台”在线获取，不提供采购文件纸质版。供应商获取采购文件前应先完成“政府采购云平台”的账号注册；</w:t>
      </w:r>
    </w:p>
    <w:p w14:paraId="1B2872D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2、地点：政采云平台（https://www.zcygov.cn/）；</w:t>
      </w:r>
    </w:p>
    <w:p w14:paraId="79CA389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DE998D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599AC4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注：请供应商按上述要求获取采购文件，如未在“政采云”系统内完成相关流程，引起的投标无效责任自负。</w:t>
      </w:r>
    </w:p>
    <w:p w14:paraId="5371F0E9">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七、投标截止时间：2024年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13</w:t>
      </w:r>
      <w:r>
        <w:rPr>
          <w:rFonts w:hint="eastAsia" w:ascii="宋体" w:hAnsi="宋体" w:cs="宋体"/>
          <w:b/>
          <w:bCs/>
          <w:color w:val="auto"/>
          <w:szCs w:val="21"/>
          <w:highlight w:val="none"/>
        </w:rPr>
        <w:t>日14时00分</w:t>
      </w:r>
    </w:p>
    <w:p w14:paraId="5533F66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八、投标地点：政采云平台线上投标。</w:t>
      </w:r>
    </w:p>
    <w:p w14:paraId="4581C75B">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九、开标时间：2024年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13</w:t>
      </w:r>
      <w:r>
        <w:rPr>
          <w:rFonts w:hint="eastAsia" w:ascii="宋体" w:hAnsi="宋体" w:cs="宋体"/>
          <w:b/>
          <w:bCs/>
          <w:color w:val="auto"/>
          <w:szCs w:val="21"/>
          <w:highlight w:val="none"/>
        </w:rPr>
        <w:t>日14时00分</w:t>
      </w:r>
    </w:p>
    <w:p w14:paraId="1EC9CF6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十、开标地点：浙江中惠工程管理有限公司开标室（嘉兴市中山西路299号兴业大厦428室）。</w:t>
      </w:r>
    </w:p>
    <w:p w14:paraId="3F26074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十一、投标保证金：无</w:t>
      </w:r>
    </w:p>
    <w:p w14:paraId="30F2AB87">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十二、在线投标响应（电子投标）说明</w:t>
      </w:r>
    </w:p>
    <w:p w14:paraId="68AB275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09122C6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“政采云电子交易客户端”请自行前往“浙江政府采购网-下载专区-电子交易客户端”进行下载。</w:t>
      </w:r>
    </w:p>
    <w:p w14:paraId="193D0F9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2、供应商须申领CA，并在政采云平台完成绑定方可进行投标文件的编制，CA相关操作可参考“浙江政府采购网-下载专区-电子交易客户端-CA驱动和申领流程”。</w:t>
      </w:r>
    </w:p>
    <w:p w14:paraId="568B7D2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注：供应商在进行上述操作时，如遇技术问题可致电400-881-7190进行咨询或查阅《供应商项目采购-电子招投标操作指南》。操作指南在政府采购电子卖场-服务中心-帮助文档-供应商登录后，查看最新版指南。</w:t>
      </w:r>
    </w:p>
    <w:p w14:paraId="404D199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3、投标供应商应当在投标截止时间前，将生成的“电子加密投标文件”上传递交至“政府采购云平台”。</w:t>
      </w:r>
      <w:r>
        <w:rPr>
          <w:rFonts w:hint="eastAsia" w:ascii="宋体" w:hAnsi="宋体" w:cs="宋体"/>
          <w:b/>
          <w:bCs/>
          <w:color w:val="auto"/>
          <w:szCs w:val="21"/>
          <w:highlight w:val="none"/>
        </w:rPr>
        <w:t>投标截止时间以后上传递交的投标文件将被“政府采购云平台”拒收。</w:t>
      </w:r>
    </w:p>
    <w:p w14:paraId="68DB4FD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40935F86">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0C45EC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十三、其他事项：</w:t>
      </w:r>
    </w:p>
    <w:p w14:paraId="38752D5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1、本项目公告期限：5个工作日（公告期截止后，允许投标单位参加本项目投标活动）</w:t>
      </w:r>
    </w:p>
    <w:p w14:paraId="025876A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认为采购文件使自己的权益受到损害的，可以自获取采购文件之日（公告期截止日之后收到采购文件的，以公告期截止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6CC0882">
      <w:pPr>
        <w:pStyle w:val="12"/>
        <w:adjustRightInd w:val="0"/>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3、供应商中标后，供应商相关利益关系人（包括内部职工、投资人等）在本项目合同服务期内均不得在嘉兴市南湖区域范围内承接消防相关的建设、设计、施工、工程监理、设施检测、消防咨询、装修材料燃烧性能检测、器材销售等相关业务。如发现存在违规情况，无条件服从采购人安排。</w:t>
      </w:r>
    </w:p>
    <w:p w14:paraId="2C6F2D0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十四、业务咨询：</w:t>
      </w:r>
    </w:p>
    <w:p w14:paraId="401F7987">
      <w:pPr>
        <w:adjustRightInd w:val="0"/>
        <w:snapToGrid w:val="0"/>
        <w:spacing w:line="360" w:lineRule="auto"/>
        <w:ind w:firstLine="420" w:firstLineChars="200"/>
        <w:rPr>
          <w:rFonts w:ascii="宋体" w:hAnsi="宋体" w:cs="宋体"/>
          <w:color w:val="auto"/>
          <w:szCs w:val="21"/>
          <w:highlight w:val="none"/>
        </w:rPr>
      </w:pPr>
      <w:bookmarkStart w:id="0" w:name="OLE_LINK33"/>
      <w:r>
        <w:rPr>
          <w:rFonts w:hint="eastAsia" w:ascii="宋体" w:hAnsi="宋体" w:cs="宋体"/>
          <w:color w:val="auto"/>
          <w:szCs w:val="21"/>
          <w:highlight w:val="none"/>
        </w:rPr>
        <w:t>采购单位：嘉兴市住房和城乡建设局</w:t>
      </w:r>
    </w:p>
    <w:bookmarkEnd w:id="0"/>
    <w:p w14:paraId="1285FFEB">
      <w:pPr>
        <w:adjustRightInd w:val="0"/>
        <w:snapToGrid w:val="0"/>
        <w:spacing w:line="360" w:lineRule="auto"/>
        <w:ind w:firstLine="420" w:firstLineChars="200"/>
        <w:rPr>
          <w:rFonts w:ascii="宋体" w:hAnsi="宋体" w:cs="宋体"/>
          <w:color w:val="auto"/>
          <w:szCs w:val="21"/>
          <w:highlight w:val="none"/>
        </w:rPr>
      </w:pPr>
      <w:bookmarkStart w:id="1" w:name="OLE_LINK34"/>
      <w:r>
        <w:rPr>
          <w:rFonts w:hint="eastAsia" w:ascii="宋体" w:hAnsi="宋体" w:cs="宋体"/>
          <w:color w:val="auto"/>
          <w:szCs w:val="21"/>
          <w:highlight w:val="none"/>
        </w:rPr>
        <w:t>地址：嘉兴市南湖区中环南路花园路616号</w:t>
      </w:r>
    </w:p>
    <w:p w14:paraId="39B7A5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经办联系人：刘先生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联系电话：0573-89990651</w:t>
      </w:r>
    </w:p>
    <w:p w14:paraId="5AC64C9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质疑联系人：沈先生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联系电话：0573-82872121</w:t>
      </w:r>
    </w:p>
    <w:p w14:paraId="712452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采购代理机构：浙江中惠工程管理有限公司</w:t>
      </w:r>
    </w:p>
    <w:p w14:paraId="196C6A2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地址：嘉兴市中山西路299号兴业大厦521室</w:t>
      </w:r>
    </w:p>
    <w:p w14:paraId="6F3050D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经办联系人：万先生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联系电话：0573-82725567</w:t>
      </w:r>
    </w:p>
    <w:p w14:paraId="2B998A8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质疑联系人：曾先生            联系电话：15305739986</w:t>
      </w:r>
    </w:p>
    <w:bookmarkEnd w:id="1"/>
    <w:p w14:paraId="3C63B81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同级政府采购监督管理部门：嘉兴市财政局    联系电话：</w:t>
      </w:r>
      <w:r>
        <w:rPr>
          <w:rFonts w:ascii="宋体" w:hAnsi="宋体" w:cs="宋体"/>
          <w:color w:val="auto"/>
          <w:kern w:val="0"/>
          <w:szCs w:val="20"/>
          <w:highlight w:val="none"/>
        </w:rPr>
        <w:t>0573-82031217</w:t>
      </w:r>
    </w:p>
    <w:p w14:paraId="589AA897">
      <w:pPr>
        <w:spacing w:line="400" w:lineRule="exact"/>
        <w:jc w:val="center"/>
        <w:rPr>
          <w:rFonts w:ascii="宋体" w:hAnsi="宋体" w:cs="宋体"/>
          <w:bCs/>
          <w:color w:val="auto"/>
          <w:szCs w:val="21"/>
          <w:highlight w:val="none"/>
        </w:rPr>
      </w:pPr>
      <w:r>
        <w:rPr>
          <w:rFonts w:hint="eastAsia" w:ascii="宋体" w:hAnsi="宋体" w:cs="宋体"/>
          <w:b/>
          <w:color w:val="auto"/>
          <w:sz w:val="30"/>
          <w:szCs w:val="30"/>
          <w:highlight w:val="none"/>
        </w:rPr>
        <w:br w:type="page"/>
      </w:r>
      <w:r>
        <w:rPr>
          <w:rFonts w:hint="eastAsia" w:ascii="宋体" w:hAnsi="宋体" w:cs="宋体"/>
          <w:b/>
          <w:color w:val="auto"/>
          <w:sz w:val="32"/>
          <w:szCs w:val="32"/>
          <w:highlight w:val="none"/>
        </w:rPr>
        <w:t xml:space="preserve">第二章  </w:t>
      </w:r>
      <w:r>
        <w:rPr>
          <w:rFonts w:hint="eastAsia" w:ascii="宋体" w:hAnsi="宋体" w:cs="宋体"/>
          <w:b/>
          <w:bCs/>
          <w:color w:val="auto"/>
          <w:sz w:val="32"/>
          <w:szCs w:val="32"/>
          <w:highlight w:val="none"/>
        </w:rPr>
        <w:t>采购</w:t>
      </w:r>
      <w:r>
        <w:rPr>
          <w:rFonts w:hint="eastAsia" w:ascii="宋体" w:hAnsi="宋体" w:cs="宋体"/>
          <w:b/>
          <w:color w:val="auto"/>
          <w:sz w:val="32"/>
          <w:szCs w:val="32"/>
          <w:highlight w:val="none"/>
        </w:rPr>
        <w:t>需求</w:t>
      </w:r>
    </w:p>
    <w:p w14:paraId="5927B47C">
      <w:pPr>
        <w:widowControl/>
        <w:spacing w:line="360" w:lineRule="auto"/>
        <w:ind w:firstLine="420" w:firstLineChars="200"/>
        <w:jc w:val="left"/>
        <w:rPr>
          <w:rFonts w:ascii="宋体" w:hAnsi="宋体"/>
          <w:color w:val="auto"/>
          <w:szCs w:val="21"/>
          <w:highlight w:val="none"/>
        </w:rPr>
      </w:pPr>
      <w:bookmarkStart w:id="2" w:name="_Toc71033410"/>
      <w:bookmarkStart w:id="3" w:name="_Toc72069792"/>
      <w:bookmarkStart w:id="4" w:name="_Toc119481961"/>
      <w:bookmarkStart w:id="5" w:name="_Toc170792779"/>
      <w:r>
        <w:rPr>
          <w:rFonts w:hint="eastAsia" w:ascii="宋体" w:hAnsi="宋体"/>
          <w:color w:val="auto"/>
          <w:szCs w:val="21"/>
          <w:highlight w:val="none"/>
        </w:rPr>
        <w:t>（一）服务内容</w:t>
      </w:r>
    </w:p>
    <w:p w14:paraId="2C13394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为贯彻党的二十大关于“实施城市更新行动”的要求，科学有序推进嘉兴市城市更新工作，拟聘请高水平的专业技术团队为嘉兴市城市更新工作提供技术咨询服务，服务期至2026年6月。主要服务内容包括：</w:t>
      </w:r>
    </w:p>
    <w:p w14:paraId="7D748B5E">
      <w:pPr>
        <w:widowControl/>
        <w:numPr>
          <w:ilvl w:val="0"/>
          <w:numId w:val="5"/>
        </w:num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研究嘉兴市城市更新现状及问题。围绕供水、燃气、排水等城市地下管网更新改造，城市污水管网全覆盖样板区建设，市政基础设施补短板，老旧片区更新改造等城市更新重点方向进行现状调研，识别存在的主要问题。</w:t>
      </w:r>
    </w:p>
    <w:p w14:paraId="3701675B">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2.研究嘉兴城市更新目标与思路。对标对表城市更新先进地区和国家城市更新示范城市的要求，查找差距和短板弱项，研究确定究嘉兴市城市更新的目标和总体思路。</w:t>
      </w:r>
    </w:p>
    <w:p w14:paraId="393CE1B0">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3.研究嘉兴城市更新的重点实施内容。包括供水、燃气、排水等城市地下管网更新改造，城市污水管网全覆盖样板区建设，市政基础设施补短板，老旧片区更新改造等四个专题研究。</w:t>
      </w:r>
    </w:p>
    <w:p w14:paraId="4C00E261">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4.研究形成城市更新建设项目库，制定项目实施计划。</w:t>
      </w:r>
    </w:p>
    <w:p w14:paraId="049A90BE">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5.协助编制国家城市更新示范城市申报材料和竞争性答辩材料。</w:t>
      </w:r>
    </w:p>
    <w:p w14:paraId="2F2F95E8">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（二）服务范围</w:t>
      </w:r>
    </w:p>
    <w:p w14:paraId="0644646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嘉兴市中心城区。</w:t>
      </w:r>
    </w:p>
    <w:p w14:paraId="4F1CD611">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（三）服务及人员要求</w:t>
      </w:r>
    </w:p>
    <w:p w14:paraId="28F59B05">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1.成交供应商应负责做好相应的技术咨询服务，按采购人要求按时开展有关工作。须按采购人要求和进度需要派专人做好对接工作。</w:t>
      </w:r>
    </w:p>
    <w:p w14:paraId="42FE0A7F">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2.成交供应商应为本项目配备：</w:t>
      </w:r>
    </w:p>
    <w:p w14:paraId="6827BC9F">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（1）项目负责人1名，为城市（乡）规划（或市政类或给排水类或水文水资源类或园林景观类）专业人员；</w:t>
      </w:r>
    </w:p>
    <w:p w14:paraId="33C2F020">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（2）项目组人员（除项目负责人外）：满足本项目需求的现场调查人员、资料收集整理人员和方案编制人员等，其中包含城市（乡）规划、市政工程、给排水、城市设计、景观等专业人员不少于9人。</w:t>
      </w:r>
    </w:p>
    <w:p w14:paraId="3B0D23C7">
      <w:pPr>
        <w:widowControl/>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（四）成果要求</w:t>
      </w:r>
    </w:p>
    <w:p w14:paraId="5475DE1C">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1.成果应符合当年最新的国家文件要求，且符合国家、地方相关法规及技术文件的有关规定，包括但不限于《住房城乡建设部关于扎实有序推进城市更新工作的通知》（建科〔2023〕30号）等。</w:t>
      </w:r>
    </w:p>
    <w:p w14:paraId="4E9AA0A8">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2.成果提交节点严格执行当年最新的城市更新示范城市申报要求。</w:t>
      </w:r>
    </w:p>
    <w:p w14:paraId="40BC32AE">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3.需提供成果的文本不少于2套，电子光盘不少于1套（包括但不限于文本、图纸、电脑汇报文件）。</w:t>
      </w:r>
    </w:p>
    <w:p w14:paraId="37E0A597">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（五）付款方式</w:t>
      </w:r>
    </w:p>
    <w:p w14:paraId="2007EC9E">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1、签订合同后，支付合同价的50%；</w:t>
      </w:r>
    </w:p>
    <w:p w14:paraId="4B2001A6">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2、2025年</w:t>
      </w:r>
      <w:r>
        <w:rPr>
          <w:rFonts w:ascii="宋体" w:hAnsi="宋体"/>
          <w:color w:val="auto"/>
          <w:szCs w:val="21"/>
          <w:highlight w:val="none"/>
        </w:rPr>
        <w:t>5</w:t>
      </w:r>
      <w:r>
        <w:rPr>
          <w:rFonts w:hint="eastAsia" w:ascii="宋体" w:hAnsi="宋体"/>
          <w:color w:val="auto"/>
          <w:szCs w:val="21"/>
          <w:highlight w:val="none"/>
        </w:rPr>
        <w:t>月30日前，支付合同价的30%；</w:t>
      </w:r>
    </w:p>
    <w:p w14:paraId="157CDB6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3、2026年</w:t>
      </w:r>
      <w:r>
        <w:rPr>
          <w:rFonts w:ascii="宋体" w:hAnsi="宋体"/>
          <w:color w:val="auto"/>
          <w:szCs w:val="21"/>
          <w:highlight w:val="none"/>
        </w:rPr>
        <w:t>5</w:t>
      </w:r>
      <w:r>
        <w:rPr>
          <w:rFonts w:hint="eastAsia" w:ascii="宋体" w:hAnsi="宋体"/>
          <w:color w:val="auto"/>
          <w:szCs w:val="21"/>
          <w:highlight w:val="none"/>
        </w:rPr>
        <w:t>月30日前，支付合同价的20%。</w:t>
      </w:r>
    </w:p>
    <w:p w14:paraId="5B1014D8">
      <w:pPr>
        <w:widowControl/>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（六）项目商务要求</w:t>
      </w:r>
    </w:p>
    <w:tbl>
      <w:tblPr>
        <w:tblStyle w:val="29"/>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7860"/>
      </w:tblGrid>
      <w:tr w14:paraId="192E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9" w:type="dxa"/>
            <w:vAlign w:val="center"/>
          </w:tcPr>
          <w:p w14:paraId="06D48766">
            <w:pPr>
              <w:widowControl/>
              <w:jc w:val="center"/>
              <w:rPr>
                <w:rFonts w:ascii="宋体" w:hAnsi="宋体" w:cs="宋体"/>
                <w:color w:val="auto"/>
                <w:kern w:val="0"/>
                <w:sz w:val="24"/>
                <w:highlight w:val="none"/>
              </w:rPr>
            </w:pPr>
            <w:r>
              <w:rPr>
                <w:rFonts w:hint="eastAsia" w:ascii="宋体" w:hAnsi="宋体"/>
                <w:color w:val="auto"/>
                <w:kern w:val="0"/>
                <w:sz w:val="24"/>
                <w:szCs w:val="21"/>
                <w:highlight w:val="none"/>
              </w:rPr>
              <w:t>服务期限</w:t>
            </w:r>
          </w:p>
        </w:tc>
        <w:tc>
          <w:tcPr>
            <w:tcW w:w="7860" w:type="dxa"/>
            <w:vAlign w:val="center"/>
          </w:tcPr>
          <w:p w14:paraId="225B0728">
            <w:pPr>
              <w:widowControl/>
              <w:snapToGrid w:val="0"/>
              <w:spacing w:line="48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合同签订之日起至2026年6月</w:t>
            </w:r>
          </w:p>
        </w:tc>
      </w:tr>
      <w:tr w14:paraId="2088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9" w:type="dxa"/>
            <w:vAlign w:val="center"/>
          </w:tcPr>
          <w:p w14:paraId="22F4CD3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服务地点</w:t>
            </w:r>
          </w:p>
        </w:tc>
        <w:tc>
          <w:tcPr>
            <w:tcW w:w="7860" w:type="dxa"/>
          </w:tcPr>
          <w:p w14:paraId="2471103F">
            <w:pPr>
              <w:widowControl/>
              <w:snapToGrid w:val="0"/>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采购人指定的地点</w:t>
            </w:r>
          </w:p>
        </w:tc>
      </w:tr>
      <w:tr w14:paraId="576C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9" w:type="dxa"/>
            <w:vAlign w:val="center"/>
          </w:tcPr>
          <w:p w14:paraId="419A7F6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履约保证金</w:t>
            </w:r>
          </w:p>
        </w:tc>
        <w:tc>
          <w:tcPr>
            <w:tcW w:w="7860" w:type="dxa"/>
          </w:tcPr>
          <w:p w14:paraId="5F1583C1">
            <w:pPr>
              <w:widowControl/>
              <w:snapToGrid w:val="0"/>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本项目不要求递交</w:t>
            </w:r>
          </w:p>
        </w:tc>
      </w:tr>
      <w:tr w14:paraId="0009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9" w:type="dxa"/>
            <w:vAlign w:val="center"/>
          </w:tcPr>
          <w:p w14:paraId="1104854E">
            <w:pPr>
              <w:widowControl/>
              <w:snapToGrid w:val="0"/>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质量要求</w:t>
            </w:r>
          </w:p>
        </w:tc>
        <w:tc>
          <w:tcPr>
            <w:tcW w:w="7860" w:type="dxa"/>
            <w:vAlign w:val="center"/>
          </w:tcPr>
          <w:p w14:paraId="757AB8A1">
            <w:pPr>
              <w:widowControl/>
              <w:snapToGrid w:val="0"/>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符合采购文件及相关规范、标准要求。</w:t>
            </w:r>
          </w:p>
        </w:tc>
      </w:tr>
      <w:tr w14:paraId="63D5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9" w:type="dxa"/>
            <w:vAlign w:val="center"/>
          </w:tcPr>
          <w:p w14:paraId="19E12CB0">
            <w:pPr>
              <w:widowControl/>
              <w:snapToGrid w:val="0"/>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报价要求</w:t>
            </w:r>
          </w:p>
        </w:tc>
        <w:tc>
          <w:tcPr>
            <w:tcW w:w="7860" w:type="dxa"/>
            <w:vAlign w:val="center"/>
          </w:tcPr>
          <w:p w14:paraId="2A92FBE1">
            <w:pPr>
              <w:adjustRightInd w:val="0"/>
              <w:snapToGrid w:val="0"/>
              <w:spacing w:line="400" w:lineRule="exact"/>
              <w:rPr>
                <w:color w:val="auto"/>
                <w:highlight w:val="none"/>
              </w:rPr>
            </w:pPr>
            <w:r>
              <w:rPr>
                <w:rFonts w:hint="eastAsia" w:ascii="宋体" w:hAnsi="宋体" w:cs="宋体"/>
                <w:color w:val="auto"/>
                <w:kern w:val="0"/>
                <w:sz w:val="24"/>
                <w:highlight w:val="none"/>
              </w:rPr>
              <w:t>有关本项目实施所需的所有费用（含税费）均计入报价。开标一览表（报价表）是报价的唯一载体。投标文件中价格全部采用人民币报价。招标文件未列明，而投标人认为必需的费用也需列入报价。</w:t>
            </w:r>
          </w:p>
        </w:tc>
      </w:tr>
      <w:tr w14:paraId="1873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69" w:type="dxa"/>
            <w:vAlign w:val="center"/>
          </w:tcPr>
          <w:p w14:paraId="1530BA28">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责任认定</w:t>
            </w:r>
          </w:p>
        </w:tc>
        <w:tc>
          <w:tcPr>
            <w:tcW w:w="7860" w:type="dxa"/>
            <w:vAlign w:val="center"/>
          </w:tcPr>
          <w:p w14:paraId="09623AB8">
            <w:pPr>
              <w:rPr>
                <w:rFonts w:ascii="宋体" w:hAnsi="宋体" w:cs="宋体"/>
                <w:color w:val="auto"/>
                <w:sz w:val="24"/>
                <w:highlight w:val="none"/>
              </w:rPr>
            </w:pPr>
            <w:r>
              <w:rPr>
                <w:rFonts w:hint="eastAsia" w:ascii="宋体" w:hAnsi="宋体" w:cs="宋体"/>
                <w:color w:val="auto"/>
                <w:kern w:val="0"/>
                <w:sz w:val="24"/>
                <w:highlight w:val="none"/>
              </w:rPr>
              <w:t>在服务期内，因中标供应商的原因，未能完全履行服务承诺，采购人有权追究中标供应商的责任。</w:t>
            </w:r>
          </w:p>
        </w:tc>
      </w:tr>
      <w:tr w14:paraId="6964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9" w:type="dxa"/>
            <w:vAlign w:val="center"/>
          </w:tcPr>
          <w:p w14:paraId="1D942201">
            <w:pPr>
              <w:widowControl/>
              <w:snapToGrid w:val="0"/>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招标代理费</w:t>
            </w:r>
          </w:p>
        </w:tc>
        <w:tc>
          <w:tcPr>
            <w:tcW w:w="7860" w:type="dxa"/>
            <w:vAlign w:val="center"/>
          </w:tcPr>
          <w:p w14:paraId="56E9467F">
            <w:pPr>
              <w:widowControl/>
              <w:snapToGrid w:val="0"/>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由中标单位在领取中标通知书时向招标代理机构支付招标代理费。招标代理费按浙价服〔2003〕77号文规定的70%计取。</w:t>
            </w:r>
          </w:p>
          <w:p w14:paraId="4E425093">
            <w:pPr>
              <w:widowControl/>
              <w:snapToGrid w:val="0"/>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收款单位（户名）:浙江中惠工程管理有限公司</w:t>
            </w:r>
          </w:p>
          <w:p w14:paraId="6119FA75">
            <w:pPr>
              <w:widowControl/>
              <w:snapToGrid w:val="0"/>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开户行：嘉兴银行秀洲支行</w:t>
            </w:r>
          </w:p>
          <w:p w14:paraId="3CAA394A">
            <w:pPr>
              <w:widowControl/>
              <w:snapToGrid w:val="0"/>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帐号：</w:t>
            </w:r>
            <w:r>
              <w:rPr>
                <w:rFonts w:ascii="宋体" w:hAnsi="宋体" w:cs="宋体"/>
                <w:color w:val="auto"/>
                <w:kern w:val="0"/>
                <w:sz w:val="24"/>
                <w:highlight w:val="none"/>
              </w:rPr>
              <w:t>802101201900030989</w:t>
            </w:r>
          </w:p>
        </w:tc>
      </w:tr>
      <w:bookmarkEnd w:id="2"/>
      <w:bookmarkEnd w:id="3"/>
      <w:bookmarkEnd w:id="4"/>
      <w:bookmarkEnd w:id="5"/>
    </w:tbl>
    <w:p w14:paraId="45F10755">
      <w:pPr>
        <w:widowControl/>
        <w:spacing w:line="360" w:lineRule="auto"/>
        <w:jc w:val="left"/>
        <w:rPr>
          <w:color w:val="auto"/>
          <w:sz w:val="24"/>
          <w:highlight w:val="none"/>
        </w:rPr>
      </w:pPr>
    </w:p>
    <w:p w14:paraId="1C99A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auto"/>
          <w:szCs w:val="21"/>
          <w:highlight w:val="none"/>
        </w:rPr>
      </w:pPr>
    </w:p>
    <w:p w14:paraId="4ECFF8E5">
      <w:pPr>
        <w:pStyle w:val="48"/>
        <w:numPr>
          <w:ilvl w:val="1"/>
          <w:numId w:val="0"/>
        </w:numPr>
        <w:spacing w:line="440" w:lineRule="exact"/>
        <w:jc w:val="center"/>
        <w:rPr>
          <w:rFonts w:cs="宋体"/>
          <w:b w:val="0"/>
          <w:color w:val="auto"/>
          <w:sz w:val="30"/>
          <w:szCs w:val="30"/>
          <w:highlight w:val="none"/>
        </w:rPr>
      </w:pPr>
      <w:r>
        <w:rPr>
          <w:rFonts w:hint="eastAsia" w:cs="宋体"/>
          <w:b w:val="0"/>
          <w:color w:val="auto"/>
          <w:sz w:val="32"/>
          <w:szCs w:val="32"/>
          <w:highlight w:val="none"/>
        </w:rPr>
        <w:br w:type="page"/>
      </w:r>
      <w:r>
        <w:rPr>
          <w:rFonts w:hint="eastAsia" w:cs="宋体"/>
          <w:bCs/>
          <w:color w:val="auto"/>
          <w:sz w:val="32"/>
          <w:szCs w:val="32"/>
          <w:highlight w:val="none"/>
        </w:rPr>
        <w:t>第三章  供应商须知</w:t>
      </w:r>
    </w:p>
    <w:p w14:paraId="1B8C4A4D">
      <w:pPr>
        <w:snapToGrid w:val="0"/>
        <w:spacing w:line="360" w:lineRule="auto"/>
        <w:ind w:left="238"/>
        <w:jc w:val="center"/>
        <w:outlineLvl w:val="1"/>
        <w:rPr>
          <w:rFonts w:ascii="宋体" w:hAnsi="宋体" w:cs="宋体"/>
          <w:b/>
          <w:color w:val="auto"/>
          <w:szCs w:val="21"/>
          <w:highlight w:val="none"/>
        </w:rPr>
      </w:pPr>
      <w:bookmarkStart w:id="6" w:name="_Toc33535345"/>
      <w:r>
        <w:rPr>
          <w:rFonts w:hint="eastAsia" w:ascii="宋体" w:hAnsi="宋体" w:cs="宋体"/>
          <w:b/>
          <w:color w:val="auto"/>
          <w:szCs w:val="21"/>
          <w:highlight w:val="none"/>
        </w:rPr>
        <w:t>前附表</w:t>
      </w:r>
      <w:bookmarkEnd w:id="6"/>
    </w:p>
    <w:tbl>
      <w:tblPr>
        <w:tblStyle w:val="29"/>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652"/>
      </w:tblGrid>
      <w:tr w14:paraId="53CB2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00B2F0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noWrap/>
            <w:vAlign w:val="center"/>
          </w:tcPr>
          <w:p w14:paraId="7818358C">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14:paraId="1DDFE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4C69AD7">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652" w:type="dxa"/>
            <w:tcBorders>
              <w:top w:val="single" w:color="auto" w:sz="4" w:space="0"/>
              <w:left w:val="single" w:color="auto" w:sz="4" w:space="0"/>
              <w:bottom w:val="single" w:color="auto" w:sz="4" w:space="0"/>
              <w:right w:val="single" w:color="auto" w:sz="4" w:space="0"/>
            </w:tcBorders>
            <w:noWrap/>
            <w:vAlign w:val="center"/>
          </w:tcPr>
          <w:p w14:paraId="422EF0FD">
            <w:pPr>
              <w:snapToGrid w:val="0"/>
              <w:spacing w:line="380" w:lineRule="exact"/>
              <w:ind w:left="1050" w:hanging="1050" w:hangingChars="500"/>
              <w:rPr>
                <w:rFonts w:ascii="宋体" w:hAnsi="宋体" w:cs="宋体"/>
                <w:color w:val="auto"/>
                <w:szCs w:val="21"/>
                <w:highlight w:val="none"/>
              </w:rPr>
            </w:pPr>
            <w:r>
              <w:rPr>
                <w:rFonts w:hint="eastAsia" w:ascii="宋体" w:hAnsi="宋体" w:cs="宋体"/>
                <w:color w:val="auto"/>
                <w:szCs w:val="21"/>
                <w:highlight w:val="none"/>
              </w:rPr>
              <w:t>项目名称：嘉兴市城市高质量建设发展项目城市更新咨询服务</w:t>
            </w:r>
          </w:p>
        </w:tc>
      </w:tr>
      <w:tr w14:paraId="2D980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29FA98C">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652" w:type="dxa"/>
            <w:tcBorders>
              <w:top w:val="single" w:color="auto" w:sz="4" w:space="0"/>
              <w:left w:val="single" w:color="auto" w:sz="4" w:space="0"/>
              <w:bottom w:val="single" w:color="auto" w:sz="4" w:space="0"/>
              <w:right w:val="single" w:color="auto" w:sz="4" w:space="0"/>
            </w:tcBorders>
            <w:noWrap/>
            <w:vAlign w:val="center"/>
          </w:tcPr>
          <w:p w14:paraId="32381C07">
            <w:pP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中惠-2024-46号</w:t>
            </w:r>
          </w:p>
        </w:tc>
      </w:tr>
      <w:tr w14:paraId="56854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D3434B7">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52" w:type="dxa"/>
            <w:tcBorders>
              <w:top w:val="single" w:color="auto" w:sz="4" w:space="0"/>
              <w:left w:val="single" w:color="auto" w:sz="4" w:space="0"/>
              <w:bottom w:val="single" w:color="auto" w:sz="4" w:space="0"/>
              <w:right w:val="single" w:color="auto" w:sz="4" w:space="0"/>
            </w:tcBorders>
            <w:noWrap/>
            <w:vAlign w:val="center"/>
          </w:tcPr>
          <w:p w14:paraId="16D723CE">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投标报价及费用：1、本项目投标应以人民币报价；2、不论投标结果如何，投标人均应自行承担所有与投标有关的全部费用。</w:t>
            </w:r>
          </w:p>
        </w:tc>
      </w:tr>
      <w:tr w14:paraId="3A9BA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24354C5">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652" w:type="dxa"/>
            <w:tcBorders>
              <w:top w:val="single" w:color="auto" w:sz="4" w:space="0"/>
              <w:left w:val="single" w:color="auto" w:sz="4" w:space="0"/>
              <w:bottom w:val="single" w:color="auto" w:sz="4" w:space="0"/>
              <w:right w:val="single" w:color="auto" w:sz="4" w:space="0"/>
            </w:tcBorders>
            <w:noWrap/>
            <w:vAlign w:val="center"/>
          </w:tcPr>
          <w:p w14:paraId="7C17DD8F">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投标保证金：无</w:t>
            </w:r>
          </w:p>
        </w:tc>
      </w:tr>
      <w:tr w14:paraId="68522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09D9E10">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652" w:type="dxa"/>
            <w:tcBorders>
              <w:top w:val="single" w:color="auto" w:sz="4" w:space="0"/>
              <w:left w:val="single" w:color="auto" w:sz="4" w:space="0"/>
              <w:bottom w:val="single" w:color="auto" w:sz="4" w:space="0"/>
              <w:right w:val="single" w:color="auto" w:sz="4" w:space="0"/>
            </w:tcBorders>
            <w:noWrap/>
            <w:vAlign w:val="center"/>
          </w:tcPr>
          <w:p w14:paraId="39C57CD1">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现场踏勘：自行踏勘（费用自理）</w:t>
            </w:r>
          </w:p>
        </w:tc>
      </w:tr>
      <w:tr w14:paraId="4C618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401850C">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652" w:type="dxa"/>
            <w:tcBorders>
              <w:top w:val="single" w:color="auto" w:sz="4" w:space="0"/>
              <w:left w:val="single" w:color="auto" w:sz="4" w:space="0"/>
              <w:bottom w:val="single" w:color="auto" w:sz="4" w:space="0"/>
              <w:right w:val="single" w:color="auto" w:sz="4" w:space="0"/>
            </w:tcBorders>
            <w:noWrap/>
            <w:vAlign w:val="center"/>
          </w:tcPr>
          <w:p w14:paraId="3959FD91">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演示时间及地点：无</w:t>
            </w:r>
          </w:p>
        </w:tc>
      </w:tr>
      <w:tr w14:paraId="20842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466739F">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652" w:type="dxa"/>
            <w:tcBorders>
              <w:top w:val="single" w:color="auto" w:sz="4" w:space="0"/>
              <w:left w:val="single" w:color="auto" w:sz="4" w:space="0"/>
              <w:bottom w:val="single" w:color="auto" w:sz="4" w:space="0"/>
              <w:right w:val="single" w:color="auto" w:sz="4" w:space="0"/>
            </w:tcBorders>
            <w:noWrap/>
            <w:vAlign w:val="center"/>
          </w:tcPr>
          <w:p w14:paraId="796E88D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答疑与澄清：无</w:t>
            </w:r>
          </w:p>
        </w:tc>
      </w:tr>
      <w:tr w14:paraId="024E9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8CD7A45">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652" w:type="dxa"/>
            <w:tcBorders>
              <w:top w:val="single" w:color="auto" w:sz="4" w:space="0"/>
              <w:left w:val="single" w:color="auto" w:sz="4" w:space="0"/>
              <w:bottom w:val="single" w:color="auto" w:sz="4" w:space="0"/>
              <w:right w:val="single" w:color="auto" w:sz="4" w:space="0"/>
            </w:tcBorders>
            <w:noWrap/>
            <w:vAlign w:val="center"/>
          </w:tcPr>
          <w:p w14:paraId="4DD8695B">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投标文件组成：</w:t>
            </w:r>
            <w:r>
              <w:rPr>
                <w:rFonts w:hint="eastAsia" w:ascii="宋体" w:hAnsi="宋体" w:cs="宋体"/>
                <w:bCs/>
                <w:color w:val="auto"/>
                <w:szCs w:val="21"/>
                <w:highlight w:val="none"/>
              </w:rPr>
              <w:t>完整的《投标文件》由</w:t>
            </w:r>
            <w:r>
              <w:rPr>
                <w:rFonts w:hint="eastAsia" w:ascii="宋体" w:hAnsi="宋体" w:cs="宋体"/>
                <w:b/>
                <w:color w:val="auto"/>
                <w:szCs w:val="21"/>
                <w:highlight w:val="none"/>
              </w:rPr>
              <w:t>资格文件、商务技术文件及报价文件三部份组成</w:t>
            </w:r>
            <w:r>
              <w:rPr>
                <w:rFonts w:hint="eastAsia" w:ascii="宋体" w:hAnsi="宋体" w:cs="宋体"/>
                <w:bCs/>
                <w:color w:val="auto"/>
                <w:szCs w:val="21"/>
                <w:highlight w:val="none"/>
              </w:rPr>
              <w:t>。</w:t>
            </w:r>
          </w:p>
        </w:tc>
      </w:tr>
      <w:tr w14:paraId="0783B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CC59051">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652" w:type="dxa"/>
            <w:tcBorders>
              <w:top w:val="single" w:color="auto" w:sz="4" w:space="0"/>
              <w:left w:val="single" w:color="auto" w:sz="4" w:space="0"/>
              <w:bottom w:val="single" w:color="auto" w:sz="4" w:space="0"/>
              <w:right w:val="single" w:color="auto" w:sz="4" w:space="0"/>
            </w:tcBorders>
            <w:noWrap/>
            <w:vAlign w:val="center"/>
          </w:tcPr>
          <w:p w14:paraId="623E34FD">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投标文件的编制：供应商应先安装“政采云电子交易客户端”，并按照本采购文件和“政府采购云平台”的要求，通过“政采云电子交易客户端”编制并加密投标文件。</w:t>
            </w:r>
          </w:p>
        </w:tc>
      </w:tr>
      <w:tr w14:paraId="4362D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63DADEFC">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652" w:type="dxa"/>
            <w:tcBorders>
              <w:top w:val="single" w:color="auto" w:sz="4" w:space="0"/>
              <w:left w:val="single" w:color="auto" w:sz="4" w:space="0"/>
              <w:bottom w:val="single" w:color="auto" w:sz="4" w:space="0"/>
              <w:right w:val="single" w:color="auto" w:sz="4" w:space="0"/>
            </w:tcBorders>
            <w:noWrap/>
            <w:vAlign w:val="center"/>
          </w:tcPr>
          <w:p w14:paraId="5EA958AA">
            <w:pPr>
              <w:spacing w:line="380" w:lineRule="exact"/>
              <w:jc w:val="left"/>
              <w:rPr>
                <w:rFonts w:ascii="宋体" w:hAnsi="宋体" w:cs="宋体"/>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Cs/>
                <w:color w:val="auto"/>
                <w:szCs w:val="21"/>
                <w:highlight w:val="none"/>
              </w:rPr>
              <w:t>☑电子投标文件（包括“电子加密投标文件”和“备份投标文件”，在投标文件编制完成后同时生成）；</w:t>
            </w:r>
          </w:p>
          <w:p w14:paraId="21BB59E9">
            <w:pP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（1）“电子加密投标文件”是指通过“政采云电子交易客户端”完成投标文件编制后生成并加密的数据电文形式的投标文件。</w:t>
            </w:r>
          </w:p>
          <w:p w14:paraId="2B75058E">
            <w:pPr>
              <w:spacing w:line="380" w:lineRule="exact"/>
              <w:jc w:val="left"/>
              <w:rPr>
                <w:rFonts w:ascii="宋体" w:hAnsi="宋体" w:cs="宋体"/>
                <w:color w:val="auto"/>
                <w:szCs w:val="21"/>
                <w:highlight w:val="none"/>
              </w:rPr>
            </w:pPr>
            <w:r>
              <w:rPr>
                <w:rFonts w:hint="eastAsia" w:ascii="宋体" w:hAnsi="宋体" w:cs="宋体"/>
                <w:bCs/>
                <w:color w:val="auto"/>
                <w:szCs w:val="21"/>
                <w:highlight w:val="none"/>
              </w:rPr>
              <w:t>（2）“备份投标文件”是指与“电子加密投标文件”同时生成的数据电文形式的电子文件（备份标书），其他方式编制的备份投标文件视为无效备份投标文件。</w:t>
            </w:r>
          </w:p>
        </w:tc>
      </w:tr>
      <w:tr w14:paraId="628F3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2F01451">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52" w:type="dxa"/>
            <w:tcBorders>
              <w:top w:val="single" w:color="auto" w:sz="4" w:space="0"/>
              <w:left w:val="single" w:color="auto" w:sz="4" w:space="0"/>
              <w:bottom w:val="single" w:color="auto" w:sz="4" w:space="0"/>
              <w:right w:val="single" w:color="auto" w:sz="4" w:space="0"/>
            </w:tcBorders>
            <w:noWrap/>
            <w:vAlign w:val="center"/>
          </w:tcPr>
          <w:p w14:paraId="0F484517">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投标文件份数：</w:t>
            </w:r>
            <w:r>
              <w:rPr>
                <w:rFonts w:hint="eastAsia" w:ascii="宋体" w:hAnsi="宋体" w:cs="宋体"/>
                <w:bCs/>
                <w:color w:val="auto"/>
                <w:szCs w:val="21"/>
                <w:highlight w:val="none"/>
              </w:rPr>
              <w:t>（1）“电子加密投标文件”：在线上传递交一份。（2）“备份投标文件”：密封包装后（邮寄形式）投标截止时间前递交一份（邮寄地址：</w:t>
            </w:r>
            <w:r>
              <w:rPr>
                <w:rFonts w:hint="eastAsia" w:ascii="宋体" w:hAnsi="宋体" w:cs="宋体"/>
                <w:color w:val="auto"/>
                <w:szCs w:val="21"/>
                <w:highlight w:val="none"/>
              </w:rPr>
              <w:t>嘉兴市中山西路299号兴业大厦521室</w:t>
            </w:r>
            <w:r>
              <w:rPr>
                <w:rFonts w:hint="eastAsia" w:ascii="宋体" w:hAnsi="宋体" w:cs="宋体"/>
                <w:bCs/>
                <w:color w:val="auto"/>
                <w:szCs w:val="21"/>
                <w:highlight w:val="none"/>
              </w:rPr>
              <w:t>浙江中惠工程管理有限公司（万先生    电话：15356833792）。</w:t>
            </w:r>
          </w:p>
        </w:tc>
      </w:tr>
      <w:tr w14:paraId="0A685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B8217B1">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52" w:type="dxa"/>
            <w:tcBorders>
              <w:top w:val="single" w:color="auto" w:sz="4" w:space="0"/>
              <w:left w:val="single" w:color="auto" w:sz="4" w:space="0"/>
              <w:bottom w:val="single" w:color="auto" w:sz="4" w:space="0"/>
              <w:right w:val="single" w:color="auto" w:sz="4" w:space="0"/>
            </w:tcBorders>
            <w:noWrap/>
            <w:vAlign w:val="center"/>
          </w:tcPr>
          <w:p w14:paraId="38D39C45">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投标文件的上传和递交：</w:t>
            </w:r>
          </w:p>
          <w:p w14:paraId="291EDB09">
            <w:pP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（1）“电子加密投标文件”的上传、递交：</w:t>
            </w:r>
          </w:p>
          <w:p w14:paraId="1FC5A530">
            <w:pP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a.投标供应商应在投标截止时间前将“电子加密投标文件”成功上传递交至“政府采购云平台”，否则投标无效。</w:t>
            </w:r>
          </w:p>
          <w:p w14:paraId="7C5EEFC3">
            <w:pP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b.“电子加密投标文件”成功上传递交后，供应商可自行打印投标文件接收回执。</w:t>
            </w:r>
          </w:p>
          <w:p w14:paraId="6120F70F">
            <w:pP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（2）“备份投标文件”的密封包装、递交：</w:t>
            </w:r>
          </w:p>
          <w:p w14:paraId="48B2F7F4">
            <w:pP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a.投标供应商在“政府采购云平台”完成“电子加密投标文件”的上传递交后，还可以（邮寄形式）在投标截止时间前递交以介质（U盘）存储的“备份投标文件”（一份）；</w:t>
            </w:r>
          </w:p>
          <w:p w14:paraId="14DF2F00">
            <w:pPr>
              <w:spacing w:line="380" w:lineRule="exact"/>
              <w:jc w:val="left"/>
              <w:rPr>
                <w:rFonts w:ascii="宋体" w:hAnsi="宋体" w:cs="宋体"/>
                <w:bCs/>
                <w:color w:val="auto"/>
                <w:szCs w:val="21"/>
                <w:highlight w:val="none"/>
              </w:rPr>
            </w:pPr>
            <w:r>
              <w:rPr>
                <w:rFonts w:hint="eastAsia" w:ascii="宋体" w:hAnsi="宋体" w:cs="宋体"/>
                <w:bCs/>
                <w:color w:val="auto"/>
                <w:szCs w:val="21"/>
                <w:highlight w:val="none"/>
              </w:rPr>
              <w:t>b.“备份投标文件”应当密封包装，并在包装上标注投标项目名称、投标单位名称并加盖公章。没有密封包装或者逾期邮寄送达至上述邮寄地点的“备份投标文件”将不予接收；</w:t>
            </w:r>
          </w:p>
          <w:p w14:paraId="511AC0EE">
            <w:pPr>
              <w:spacing w:line="380" w:lineRule="exact"/>
              <w:jc w:val="left"/>
              <w:rPr>
                <w:rFonts w:ascii="宋体" w:hAnsi="宋体" w:cs="宋体"/>
                <w:color w:val="auto"/>
                <w:szCs w:val="21"/>
                <w:highlight w:val="none"/>
              </w:rPr>
            </w:pPr>
            <w:r>
              <w:rPr>
                <w:rFonts w:hint="eastAsia" w:ascii="宋体" w:hAnsi="宋体" w:cs="宋体"/>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A15F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F0DD8C1">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52" w:type="dxa"/>
            <w:tcBorders>
              <w:top w:val="single" w:color="auto" w:sz="4" w:space="0"/>
              <w:left w:val="single" w:color="auto" w:sz="4" w:space="0"/>
              <w:bottom w:val="single" w:color="auto" w:sz="4" w:space="0"/>
              <w:right w:val="single" w:color="auto" w:sz="4" w:space="0"/>
            </w:tcBorders>
            <w:noWrap/>
            <w:vAlign w:val="center"/>
          </w:tcPr>
          <w:p w14:paraId="31413CFB">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14:paraId="2ECD2CFF">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14:paraId="1043F4E0">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449CC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58DA1F1A">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52" w:type="dxa"/>
            <w:tcBorders>
              <w:top w:val="single" w:color="auto" w:sz="4" w:space="0"/>
              <w:left w:val="single" w:color="auto" w:sz="4" w:space="0"/>
              <w:bottom w:val="single" w:color="auto" w:sz="4" w:space="0"/>
              <w:right w:val="single" w:color="auto" w:sz="4" w:space="0"/>
            </w:tcBorders>
            <w:noWrap/>
            <w:vAlign w:val="center"/>
          </w:tcPr>
          <w:p w14:paraId="42E81A1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投标截止时间及地点：</w:t>
            </w:r>
            <w:r>
              <w:rPr>
                <w:rFonts w:hint="eastAsia" w:ascii="宋体" w:hAnsi="宋体" w:cs="宋体"/>
                <w:b/>
                <w:bCs/>
                <w:color w:val="auto"/>
                <w:szCs w:val="21"/>
                <w:highlight w:val="none"/>
              </w:rPr>
              <w:t>2024年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13</w:t>
            </w:r>
            <w:r>
              <w:rPr>
                <w:rFonts w:hint="eastAsia" w:ascii="宋体" w:hAnsi="宋体" w:cs="宋体"/>
                <w:b/>
                <w:bCs/>
                <w:color w:val="auto"/>
                <w:szCs w:val="21"/>
                <w:highlight w:val="none"/>
              </w:rPr>
              <w:t>日14时00分</w:t>
            </w:r>
          </w:p>
          <w:p w14:paraId="5D3E9310">
            <w:pPr>
              <w:snapToGrid w:val="0"/>
              <w:spacing w:line="380" w:lineRule="exact"/>
              <w:ind w:firstLine="315" w:firstLineChars="150"/>
              <w:rPr>
                <w:rFonts w:ascii="宋体" w:hAnsi="宋体" w:cs="宋体"/>
                <w:color w:val="auto"/>
                <w:szCs w:val="21"/>
                <w:highlight w:val="none"/>
              </w:rPr>
            </w:pPr>
            <w:r>
              <w:rPr>
                <w:rFonts w:hint="eastAsia" w:ascii="宋体" w:hAnsi="宋体" w:cs="宋体"/>
                <w:color w:val="auto"/>
                <w:kern w:val="0"/>
                <w:szCs w:val="21"/>
                <w:highlight w:val="none"/>
              </w:rPr>
              <w:t>政采云平台线上投标</w:t>
            </w:r>
          </w:p>
        </w:tc>
      </w:tr>
      <w:tr w14:paraId="760A4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D74EF81">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52" w:type="dxa"/>
            <w:tcBorders>
              <w:top w:val="single" w:color="auto" w:sz="4" w:space="0"/>
              <w:left w:val="single" w:color="auto" w:sz="4" w:space="0"/>
              <w:bottom w:val="single" w:color="auto" w:sz="4" w:space="0"/>
              <w:right w:val="single" w:color="auto" w:sz="4" w:space="0"/>
            </w:tcBorders>
            <w:noWrap/>
            <w:vAlign w:val="center"/>
          </w:tcPr>
          <w:p w14:paraId="1A1512A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开标时间及地点：</w:t>
            </w:r>
            <w:r>
              <w:rPr>
                <w:rFonts w:hint="eastAsia" w:ascii="宋体" w:hAnsi="宋体" w:cs="宋体"/>
                <w:b/>
                <w:bCs/>
                <w:color w:val="auto"/>
                <w:szCs w:val="21"/>
                <w:highlight w:val="none"/>
              </w:rPr>
              <w:t>2024年</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13</w:t>
            </w:r>
            <w:r>
              <w:rPr>
                <w:rFonts w:hint="eastAsia" w:ascii="宋体" w:hAnsi="宋体" w:cs="宋体"/>
                <w:b/>
                <w:bCs/>
                <w:color w:val="auto"/>
                <w:szCs w:val="21"/>
                <w:highlight w:val="none"/>
              </w:rPr>
              <w:t>日14时00分</w:t>
            </w:r>
          </w:p>
          <w:p w14:paraId="3578CAD6">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浙江中惠工程管理有限公司开标室（嘉兴市中山西路299号兴业大厦428室）</w:t>
            </w:r>
          </w:p>
        </w:tc>
      </w:tr>
      <w:tr w14:paraId="36B38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02A5B1F2">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52" w:type="dxa"/>
            <w:tcBorders>
              <w:top w:val="single" w:color="auto" w:sz="4" w:space="0"/>
              <w:left w:val="single" w:color="auto" w:sz="4" w:space="0"/>
              <w:bottom w:val="single" w:color="auto" w:sz="4" w:space="0"/>
              <w:right w:val="single" w:color="auto" w:sz="4" w:space="0"/>
            </w:tcBorders>
            <w:noWrap/>
            <w:vAlign w:val="center"/>
          </w:tcPr>
          <w:p w14:paraId="29A84032">
            <w:pPr>
              <w:autoSpaceDE w:val="0"/>
              <w:autoSpaceDN w:val="0"/>
              <w:snapToGrid w:val="0"/>
              <w:spacing w:line="380" w:lineRule="exact"/>
              <w:textAlignment w:val="bottom"/>
              <w:rPr>
                <w:rFonts w:ascii="宋体" w:hAnsi="宋体" w:cs="宋体"/>
                <w:b/>
                <w:color w:val="auto"/>
                <w:szCs w:val="21"/>
                <w:highlight w:val="none"/>
              </w:rPr>
            </w:pPr>
            <w:r>
              <w:rPr>
                <w:rFonts w:hint="eastAsia" w:ascii="宋体" w:hAnsi="宋体" w:cs="宋体"/>
                <w:color w:val="auto"/>
                <w:szCs w:val="21"/>
                <w:highlight w:val="none"/>
              </w:rPr>
              <w:t>投标费用：中标单位支付采购代理服务费。（收费标准详见采购文件）</w:t>
            </w:r>
          </w:p>
        </w:tc>
      </w:tr>
      <w:tr w14:paraId="3FFA4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0A50084">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52" w:type="dxa"/>
            <w:tcBorders>
              <w:top w:val="single" w:color="auto" w:sz="4" w:space="0"/>
              <w:left w:val="single" w:color="auto" w:sz="4" w:space="0"/>
              <w:bottom w:val="single" w:color="auto" w:sz="4" w:space="0"/>
              <w:right w:val="single" w:color="auto" w:sz="4" w:space="0"/>
            </w:tcBorders>
            <w:noWrap/>
            <w:vAlign w:val="center"/>
          </w:tcPr>
          <w:p w14:paraId="75119E7E">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14:paraId="2B99E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E7A4138">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52" w:type="dxa"/>
            <w:tcBorders>
              <w:top w:val="single" w:color="auto" w:sz="4" w:space="0"/>
              <w:left w:val="single" w:color="auto" w:sz="4" w:space="0"/>
              <w:bottom w:val="single" w:color="auto" w:sz="4" w:space="0"/>
              <w:right w:val="single" w:color="auto" w:sz="4" w:space="0"/>
            </w:tcBorders>
            <w:noWrap/>
            <w:vAlign w:val="center"/>
          </w:tcPr>
          <w:p w14:paraId="3324F363">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b/>
                <w:bCs/>
                <w:color w:val="auto"/>
                <w:szCs w:val="21"/>
                <w:highlight w:val="none"/>
              </w:rPr>
              <w:t>最高限价：</w:t>
            </w:r>
            <w:r>
              <w:rPr>
                <w:rFonts w:hint="eastAsia" w:ascii="宋体" w:hAnsi="宋体" w:cs="宋体"/>
                <w:b/>
                <w:bCs/>
                <w:color w:val="auto"/>
                <w:szCs w:val="21"/>
                <w:highlight w:val="none"/>
              </w:rPr>
              <w:t>290.5万元，</w:t>
            </w:r>
            <w:r>
              <w:rPr>
                <w:rFonts w:hint="eastAsia" w:ascii="宋体" w:hAnsi="宋体" w:cs="宋体"/>
                <w:b/>
                <w:bCs/>
                <w:color w:val="auto"/>
                <w:szCs w:val="21"/>
                <w:highlight w:val="none"/>
              </w:rPr>
              <w:t>超过最高限价的投标报价按无效标处理。</w:t>
            </w:r>
          </w:p>
        </w:tc>
      </w:tr>
      <w:tr w14:paraId="7E838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4984B234">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52" w:type="dxa"/>
            <w:tcBorders>
              <w:top w:val="single" w:color="auto" w:sz="4" w:space="0"/>
              <w:left w:val="single" w:color="auto" w:sz="4" w:space="0"/>
              <w:bottom w:val="single" w:color="auto" w:sz="4" w:space="0"/>
              <w:right w:val="single" w:color="auto" w:sz="4" w:space="0"/>
            </w:tcBorders>
            <w:noWrap/>
            <w:vAlign w:val="center"/>
          </w:tcPr>
          <w:p w14:paraId="02B540CC">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b/>
                <w:bCs/>
                <w:color w:val="auto"/>
                <w:szCs w:val="21"/>
                <w:highlight w:val="none"/>
              </w:rPr>
              <w:t>履约保证金：</w:t>
            </w:r>
            <w:r>
              <w:rPr>
                <w:rFonts w:hint="eastAsia" w:ascii="宋体" w:hAnsi="宋体" w:cs="宋体"/>
                <w:b/>
                <w:color w:val="auto"/>
                <w:szCs w:val="21"/>
                <w:highlight w:val="none"/>
              </w:rPr>
              <w:t>无</w:t>
            </w:r>
          </w:p>
        </w:tc>
      </w:tr>
      <w:tr w14:paraId="387CD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16AB7D0A">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52" w:type="dxa"/>
            <w:tcBorders>
              <w:top w:val="single" w:color="auto" w:sz="4" w:space="0"/>
              <w:left w:val="single" w:color="auto" w:sz="4" w:space="0"/>
              <w:bottom w:val="single" w:color="auto" w:sz="4" w:space="0"/>
              <w:right w:val="single" w:color="auto" w:sz="4" w:space="0"/>
            </w:tcBorders>
            <w:noWrap/>
            <w:vAlign w:val="center"/>
          </w:tcPr>
          <w:p w14:paraId="4BE8AE8A">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投标文件有效期：</w:t>
            </w:r>
            <w:r>
              <w:rPr>
                <w:rFonts w:hint="eastAsia" w:ascii="宋体" w:hAnsi="宋体" w:cs="宋体"/>
                <w:color w:val="auto"/>
                <w:szCs w:val="21"/>
                <w:highlight w:val="none"/>
                <w:u w:val="single"/>
              </w:rPr>
              <w:t>60</w:t>
            </w:r>
            <w:r>
              <w:rPr>
                <w:rFonts w:hint="eastAsia" w:ascii="宋体" w:hAnsi="宋体" w:cs="宋体"/>
                <w:color w:val="auto"/>
                <w:szCs w:val="21"/>
                <w:highlight w:val="none"/>
              </w:rPr>
              <w:t>天</w:t>
            </w:r>
          </w:p>
        </w:tc>
      </w:tr>
      <w:tr w14:paraId="4019F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27458BF7">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652" w:type="dxa"/>
            <w:tcBorders>
              <w:top w:val="single" w:color="auto" w:sz="4" w:space="0"/>
              <w:left w:val="single" w:color="auto" w:sz="4" w:space="0"/>
              <w:bottom w:val="single" w:color="auto" w:sz="4" w:space="0"/>
              <w:right w:val="single" w:color="auto" w:sz="4" w:space="0"/>
            </w:tcBorders>
            <w:noWrap/>
            <w:vAlign w:val="center"/>
          </w:tcPr>
          <w:p w14:paraId="32173A07">
            <w:pPr>
              <w:spacing w:line="380" w:lineRule="exact"/>
              <w:rPr>
                <w:rFonts w:ascii="宋体" w:hAnsi="宋体" w:cs="宋体"/>
                <w:color w:val="auto"/>
                <w:szCs w:val="21"/>
                <w:highlight w:val="none"/>
              </w:rPr>
            </w:pPr>
            <w:r>
              <w:rPr>
                <w:rFonts w:hint="eastAsia" w:ascii="宋体" w:hAnsi="宋体" w:cs="宋体"/>
                <w:color w:val="auto"/>
                <w:kern w:val="0"/>
                <w:szCs w:val="21"/>
                <w:highlight w:val="none"/>
              </w:rPr>
              <w:t>网上注册：本项目</w:t>
            </w:r>
            <w:r>
              <w:rPr>
                <w:rFonts w:hint="eastAsia" w:ascii="宋体" w:hAnsi="宋体" w:cs="宋体"/>
                <w:color w:val="auto"/>
                <w:szCs w:val="21"/>
                <w:highlight w:val="none"/>
              </w:rPr>
              <w:t>不提供采购文件纸质版</w:t>
            </w:r>
            <w:r>
              <w:rPr>
                <w:rFonts w:hint="eastAsia" w:ascii="宋体" w:hAnsi="宋体" w:cs="宋体"/>
                <w:color w:val="auto"/>
                <w:kern w:val="0"/>
                <w:szCs w:val="21"/>
                <w:highlight w:val="none"/>
              </w:rPr>
              <w:t>，</w:t>
            </w:r>
            <w:r>
              <w:rPr>
                <w:rFonts w:hint="eastAsia" w:ascii="宋体" w:hAnsi="宋体" w:cs="宋体"/>
                <w:color w:val="auto"/>
                <w:szCs w:val="21"/>
                <w:highlight w:val="none"/>
              </w:rPr>
              <w:t>实行“政府采购云平台”在线获取</w:t>
            </w:r>
            <w:r>
              <w:rPr>
                <w:rFonts w:hint="eastAsia" w:ascii="宋体" w:hAnsi="宋体" w:cs="宋体"/>
                <w:color w:val="auto"/>
                <w:kern w:val="0"/>
                <w:szCs w:val="21"/>
                <w:highlight w:val="none"/>
              </w:rPr>
              <w:t>。须在浙江政府采购网进行供应商注册。（详情请见第一章公告及采购文件的获取）</w:t>
            </w:r>
          </w:p>
        </w:tc>
      </w:tr>
      <w:tr w14:paraId="40D9B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3FA555E9">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8652" w:type="dxa"/>
            <w:tcBorders>
              <w:top w:val="single" w:color="auto" w:sz="4" w:space="0"/>
              <w:left w:val="single" w:color="auto" w:sz="4" w:space="0"/>
              <w:bottom w:val="single" w:color="auto" w:sz="4" w:space="0"/>
              <w:right w:val="single" w:color="auto" w:sz="4" w:space="0"/>
            </w:tcBorders>
            <w:noWrap/>
            <w:vAlign w:val="center"/>
          </w:tcPr>
          <w:p w14:paraId="44DDACFA">
            <w:pPr>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一、说明</w:t>
            </w:r>
          </w:p>
          <w:p w14:paraId="0741CACA">
            <w:pPr>
              <w:adjustRightInd w:val="0"/>
              <w:snapToGrid w:val="0"/>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中小企业</w:t>
            </w:r>
          </w:p>
          <w:p w14:paraId="020D644E">
            <w:pPr>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6CDAB4C">
            <w:pPr>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2B316DD6">
            <w:pP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在政府采购活动中，供应商提供的货物、工程或者服务符合下列情形的，享受本办法规定的中小企业扶持政策：</w:t>
            </w:r>
          </w:p>
          <w:p w14:paraId="224F7273">
            <w:pP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(一)在货物采购项目中，货物由中小企业制造，即货物由中小企业生产且使用该中小企业商号或者注册商标；</w:t>
            </w:r>
          </w:p>
          <w:p w14:paraId="5CE67919">
            <w:pP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(二)在工程采购项目中，工程由中小企业承建，即工程施工单位为中小企业；</w:t>
            </w:r>
          </w:p>
          <w:p w14:paraId="10C08D53">
            <w:pP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(三)在服务采购项目中，服务由中小企业承接，即提供服务的人员为中小企业依照《中华人民共和国劳动合同法》订立劳动合同的从业人员。</w:t>
            </w:r>
          </w:p>
          <w:p w14:paraId="45FA6971">
            <w:pP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在货物采购项目中，供应商提供的货物既有中小企业制造货物，也有大型企业制造货物的，不享受本办法规定的中小企业扶持政策。</w:t>
            </w:r>
          </w:p>
          <w:p w14:paraId="32ABE80C">
            <w:pPr>
              <w:adjustRightInd w:val="0"/>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以联合体形式参加政府采购活动，联合体各方均为中小企业的，联合体视同中小企业。其中，联合体各方均为小微企业的，联合体视同小微企业。</w:t>
            </w:r>
          </w:p>
          <w:p w14:paraId="07F1DF97">
            <w:pPr>
              <w:adjustRightInd w:val="0"/>
              <w:snapToGrid w:val="0"/>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残疾人福利性单位</w:t>
            </w:r>
          </w:p>
          <w:p w14:paraId="651B656A">
            <w:pPr>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670E913C">
            <w:pPr>
              <w:adjustRightInd w:val="0"/>
              <w:snapToGrid w:val="0"/>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监狱企业</w:t>
            </w:r>
          </w:p>
          <w:p w14:paraId="34E6A30F">
            <w:pPr>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0F0A3E62">
            <w:pPr>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二、针对本项目的相关规定</w:t>
            </w:r>
          </w:p>
          <w:p w14:paraId="1707F777">
            <w:pPr>
              <w:adjustRightInd w:val="0"/>
              <w:snapToGrid w:val="0"/>
              <w:spacing w:line="3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1.本项目属于非专门面向中小企业采购的项目。</w:t>
            </w:r>
          </w:p>
          <w:p w14:paraId="27AD5D1C">
            <w:pPr>
              <w:adjustRightInd w:val="0"/>
              <w:snapToGrid w:val="0"/>
              <w:spacing w:line="380" w:lineRule="exact"/>
              <w:ind w:firstLine="422" w:firstLineChars="200"/>
              <w:rPr>
                <w:rFonts w:ascii="宋体" w:hAnsi="宋体" w:cs="宋体"/>
                <w:color w:val="auto"/>
                <w:kern w:val="0"/>
                <w:szCs w:val="21"/>
                <w:highlight w:val="none"/>
              </w:rPr>
            </w:pPr>
            <w:r>
              <w:rPr>
                <w:rFonts w:hint="eastAsia" w:ascii="宋体" w:hAnsi="宋体" w:cs="宋体"/>
                <w:b/>
                <w:bCs/>
                <w:color w:val="auto"/>
                <w:szCs w:val="21"/>
                <w:highlight w:val="none"/>
              </w:rPr>
              <w:t>2.本项目采购标的对应的中小企业计划分标准所属行业为：其他未列明行业。</w:t>
            </w:r>
          </w:p>
        </w:tc>
      </w:tr>
      <w:tr w14:paraId="4B239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noWrap/>
            <w:vAlign w:val="center"/>
          </w:tcPr>
          <w:p w14:paraId="7C248FEB">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8652" w:type="dxa"/>
            <w:tcBorders>
              <w:top w:val="single" w:color="auto" w:sz="4" w:space="0"/>
              <w:left w:val="single" w:color="auto" w:sz="4" w:space="0"/>
              <w:bottom w:val="single" w:color="auto" w:sz="4" w:space="0"/>
              <w:right w:val="single" w:color="auto" w:sz="4" w:space="0"/>
            </w:tcBorders>
            <w:noWrap/>
            <w:vAlign w:val="center"/>
          </w:tcPr>
          <w:p w14:paraId="21B22AE0">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解释：本采购文件的解释权属于采购单位。</w:t>
            </w:r>
          </w:p>
        </w:tc>
      </w:tr>
    </w:tbl>
    <w:p w14:paraId="2FF008BA">
      <w:pPr>
        <w:pStyle w:val="14"/>
        <w:snapToGrid w:val="0"/>
        <w:spacing w:line="360" w:lineRule="auto"/>
        <w:jc w:val="center"/>
        <w:rPr>
          <w:rFonts w:hAnsi="宋体"/>
          <w:b/>
          <w:color w:val="auto"/>
          <w:sz w:val="28"/>
          <w:szCs w:val="28"/>
          <w:highlight w:val="none"/>
        </w:rPr>
      </w:pPr>
      <w:r>
        <w:rPr>
          <w:rFonts w:hint="eastAsia" w:hAnsi="宋体"/>
          <w:color w:val="auto"/>
          <w:szCs w:val="21"/>
          <w:highlight w:val="none"/>
        </w:rPr>
        <w:br w:type="page"/>
      </w:r>
      <w:r>
        <w:rPr>
          <w:rFonts w:hint="eastAsia" w:hAnsi="宋体"/>
          <w:b/>
          <w:color w:val="auto"/>
          <w:sz w:val="28"/>
          <w:szCs w:val="28"/>
          <w:highlight w:val="none"/>
        </w:rPr>
        <w:t>一、总  则</w:t>
      </w:r>
    </w:p>
    <w:p w14:paraId="268B932D">
      <w:pPr>
        <w:snapToGrid w:val="0"/>
        <w:spacing w:line="420" w:lineRule="exact"/>
        <w:ind w:firstLine="422" w:firstLineChars="200"/>
        <w:jc w:val="left"/>
        <w:outlineLvl w:val="1"/>
        <w:rPr>
          <w:rFonts w:ascii="宋体" w:hAnsi="宋体" w:cs="宋体"/>
          <w:b/>
          <w:color w:val="auto"/>
          <w:szCs w:val="21"/>
          <w:highlight w:val="none"/>
        </w:rPr>
      </w:pPr>
      <w:bookmarkStart w:id="7" w:name="_Toc33535346"/>
      <w:r>
        <w:rPr>
          <w:rFonts w:hint="eastAsia" w:ascii="宋体" w:hAnsi="宋体" w:cs="宋体"/>
          <w:b/>
          <w:color w:val="auto"/>
          <w:szCs w:val="21"/>
          <w:highlight w:val="none"/>
        </w:rPr>
        <w:t>（一）适用范围</w:t>
      </w:r>
      <w:bookmarkEnd w:id="7"/>
    </w:p>
    <w:p w14:paraId="5399E363">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本采购文件适用于本项目的采购、投标、评标、定标、验收、合同履约、付款等行为（法律、法规另有规定的，从其规定）。</w:t>
      </w:r>
    </w:p>
    <w:p w14:paraId="51B53617">
      <w:pPr>
        <w:snapToGrid w:val="0"/>
        <w:spacing w:line="420" w:lineRule="exact"/>
        <w:ind w:firstLine="422" w:firstLineChars="200"/>
        <w:jc w:val="left"/>
        <w:outlineLvl w:val="1"/>
        <w:rPr>
          <w:rFonts w:ascii="宋体" w:hAnsi="宋体" w:cs="宋体"/>
          <w:b/>
          <w:color w:val="auto"/>
          <w:szCs w:val="21"/>
          <w:highlight w:val="none"/>
        </w:rPr>
      </w:pPr>
      <w:bookmarkStart w:id="8" w:name="_Toc33535347"/>
      <w:r>
        <w:rPr>
          <w:rFonts w:hint="eastAsia" w:ascii="宋体" w:hAnsi="宋体" w:cs="宋体"/>
          <w:b/>
          <w:color w:val="auto"/>
          <w:szCs w:val="21"/>
          <w:highlight w:val="none"/>
        </w:rPr>
        <w:t>（二）定义</w:t>
      </w:r>
      <w:bookmarkEnd w:id="8"/>
    </w:p>
    <w:p w14:paraId="2FE8E42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1、招标采购人：系指组织本次采购的代理机构或采购人。</w:t>
      </w:r>
    </w:p>
    <w:p w14:paraId="14847C5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2、“供应商”系指向采购方提交投标文件的单位或个人。</w:t>
      </w:r>
    </w:p>
    <w:p w14:paraId="39A1D6FD">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3、“产品”系指供方按采购文件规定，须向采购人提供的一切设备、保险、税金、备品备件、工具、手册及其它有关技术资料和材料。</w:t>
      </w:r>
    </w:p>
    <w:p w14:paraId="10C17E28">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4、服务”系指采购文件规定供应商须承担的安装、调试、技术协助、校准、培训、技术指导以及其他类似的义务。</w:t>
      </w:r>
    </w:p>
    <w:p w14:paraId="6A117AA1">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5、“项目”系指供应商按采购文件规定向采购人提供的产品和服务。</w:t>
      </w:r>
    </w:p>
    <w:p w14:paraId="3B9A51DF">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6、书面形式”包括信函、传真、电报等。</w:t>
      </w:r>
    </w:p>
    <w:p w14:paraId="2A43BA9E">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7、“▲”系指实质性要求条款，不满足实质性要求条款的投标文件无效。“★”系指核心产品。</w:t>
      </w:r>
    </w:p>
    <w:p w14:paraId="035B1ABD">
      <w:pPr>
        <w:snapToGrid w:val="0"/>
        <w:spacing w:line="420" w:lineRule="exact"/>
        <w:ind w:firstLine="422" w:firstLineChars="200"/>
        <w:jc w:val="left"/>
        <w:outlineLvl w:val="1"/>
        <w:rPr>
          <w:rFonts w:ascii="宋体" w:hAnsi="宋体" w:cs="宋体"/>
          <w:b/>
          <w:color w:val="auto"/>
          <w:szCs w:val="21"/>
          <w:highlight w:val="none"/>
        </w:rPr>
      </w:pPr>
      <w:bookmarkStart w:id="9" w:name="_Toc33535348"/>
      <w:r>
        <w:rPr>
          <w:rFonts w:hint="eastAsia" w:ascii="宋体" w:hAnsi="宋体" w:cs="宋体"/>
          <w:b/>
          <w:color w:val="auto"/>
          <w:szCs w:val="21"/>
          <w:highlight w:val="none"/>
        </w:rPr>
        <w:t>（三）采购方式</w:t>
      </w:r>
      <w:bookmarkEnd w:id="9"/>
    </w:p>
    <w:p w14:paraId="591D883F">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本次采用</w:t>
      </w:r>
      <w:r>
        <w:rPr>
          <w:rFonts w:hint="eastAsia" w:ascii="宋体" w:hAnsi="宋体" w:cs="宋体"/>
          <w:color w:val="auto"/>
          <w:szCs w:val="21"/>
          <w:highlight w:val="none"/>
          <w:u w:val="single"/>
        </w:rPr>
        <w:t>竞争性磋商</w:t>
      </w:r>
      <w:r>
        <w:rPr>
          <w:rFonts w:hint="eastAsia" w:ascii="宋体" w:hAnsi="宋体" w:cs="宋体"/>
          <w:color w:val="auto"/>
          <w:szCs w:val="21"/>
          <w:highlight w:val="none"/>
        </w:rPr>
        <w:t>方式进行。</w:t>
      </w:r>
    </w:p>
    <w:p w14:paraId="5D00AC95">
      <w:pPr>
        <w:snapToGrid w:val="0"/>
        <w:spacing w:line="420" w:lineRule="exact"/>
        <w:ind w:firstLine="422" w:firstLineChars="200"/>
        <w:jc w:val="left"/>
        <w:outlineLvl w:val="1"/>
        <w:rPr>
          <w:rFonts w:ascii="宋体" w:hAnsi="宋体" w:cs="宋体"/>
          <w:b/>
          <w:color w:val="auto"/>
          <w:szCs w:val="21"/>
          <w:highlight w:val="none"/>
        </w:rPr>
      </w:pPr>
      <w:bookmarkStart w:id="10" w:name="_Toc33535350"/>
      <w:r>
        <w:rPr>
          <w:rFonts w:hint="eastAsia" w:ascii="宋体" w:hAnsi="宋体" w:cs="宋体"/>
          <w:b/>
          <w:color w:val="auto"/>
          <w:szCs w:val="21"/>
          <w:highlight w:val="none"/>
        </w:rPr>
        <w:t>（四）投标费用</w:t>
      </w:r>
      <w:bookmarkEnd w:id="10"/>
    </w:p>
    <w:p w14:paraId="7DE9A5D8">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不论投标结果如何，供应商均应自行承担所有与投标有关的全部费用。（采购文件有相反规定除外）</w:t>
      </w:r>
    </w:p>
    <w:p w14:paraId="078C47E2">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（五）联合体投标</w:t>
      </w:r>
    </w:p>
    <w:p w14:paraId="2BAE58AF">
      <w:pPr>
        <w:snapToGrid w:val="0"/>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本项目允许联合体投标。</w:t>
      </w:r>
    </w:p>
    <w:p w14:paraId="5A8CF229">
      <w:pPr>
        <w:snapToGrid w:val="0"/>
        <w:spacing w:line="420" w:lineRule="exact"/>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（六）</w:t>
      </w:r>
      <w:r>
        <w:rPr>
          <w:rFonts w:hint="eastAsia" w:ascii="宋体" w:hAnsi="宋体" w:cs="宋体"/>
          <w:b/>
          <w:color w:val="auto"/>
          <w:kern w:val="0"/>
          <w:szCs w:val="21"/>
          <w:highlight w:val="none"/>
        </w:rPr>
        <w:t>转包与分包</w:t>
      </w:r>
    </w:p>
    <w:p w14:paraId="6C32FEC3">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14:paraId="7B645FF2">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2.本项目允许合理分包。</w:t>
      </w:r>
    </w:p>
    <w:p w14:paraId="54C1B056">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（七）是否允许采购进口产品</w:t>
      </w:r>
    </w:p>
    <w:p w14:paraId="2596C2F6">
      <w:pPr>
        <w:snapToGrid w:val="0"/>
        <w:spacing w:line="420" w:lineRule="exact"/>
        <w:ind w:firstLine="420" w:firstLineChars="200"/>
        <w:jc w:val="left"/>
        <w:outlineLvl w:val="1"/>
        <w:rPr>
          <w:rFonts w:ascii="宋体" w:hAnsi="宋体" w:cs="宋体"/>
          <w:color w:val="auto"/>
          <w:kern w:val="0"/>
          <w:szCs w:val="21"/>
          <w:highlight w:val="none"/>
        </w:rPr>
      </w:pPr>
      <w:bookmarkStart w:id="11" w:name="_Toc33535351"/>
      <w:r>
        <w:rPr>
          <w:rFonts w:hint="eastAsia" w:ascii="宋体" w:hAnsi="宋体" w:cs="宋体"/>
          <w:color w:val="auto"/>
          <w:kern w:val="0"/>
          <w:szCs w:val="21"/>
          <w:highlight w:val="none"/>
        </w:rPr>
        <w:t>不允许采购进口产品。</w:t>
      </w:r>
      <w:bookmarkEnd w:id="11"/>
    </w:p>
    <w:p w14:paraId="23C22A8A">
      <w:pPr>
        <w:snapToGrid w:val="0"/>
        <w:spacing w:line="420" w:lineRule="exact"/>
        <w:ind w:firstLine="422" w:firstLineChars="200"/>
        <w:jc w:val="left"/>
        <w:outlineLvl w:val="1"/>
        <w:rPr>
          <w:rFonts w:ascii="宋体" w:hAnsi="宋体" w:cs="宋体"/>
          <w:b/>
          <w:color w:val="auto"/>
          <w:szCs w:val="21"/>
          <w:highlight w:val="none"/>
        </w:rPr>
      </w:pPr>
      <w:bookmarkStart w:id="12" w:name="_Toc33535352"/>
      <w:r>
        <w:rPr>
          <w:rFonts w:hint="eastAsia" w:ascii="宋体" w:hAnsi="宋体" w:cs="宋体"/>
          <w:b/>
          <w:color w:val="auto"/>
          <w:szCs w:val="21"/>
          <w:highlight w:val="none"/>
        </w:rPr>
        <w:t>（八）特别说明：</w:t>
      </w:r>
      <w:bookmarkEnd w:id="12"/>
    </w:p>
    <w:p w14:paraId="6AE6BB6F">
      <w:pPr>
        <w:pStyle w:val="26"/>
        <w:shd w:val="clear" w:color="auto" w:fill="FFFFFF"/>
        <w:spacing w:beforeAutospacing="0" w:afterAutospacing="0" w:line="420" w:lineRule="exact"/>
        <w:ind w:firstLine="420"/>
        <w:rPr>
          <w:color w:val="auto"/>
          <w:kern w:val="2"/>
          <w:sz w:val="21"/>
          <w:szCs w:val="21"/>
          <w:highlight w:val="none"/>
        </w:rPr>
      </w:pPr>
      <w:r>
        <w:rPr>
          <w:rFonts w:hint="eastAsia"/>
          <w:color w:val="auto"/>
          <w:kern w:val="2"/>
          <w:sz w:val="21"/>
          <w:szCs w:val="21"/>
          <w:highlight w:val="none"/>
        </w:rPr>
        <w:t>1、多家供应商参加投标，如提供相同品牌产品且通过资格审查、符合性审查的不同投标人参加同一合同项下投标的，按一家投标人计算，评审后得分最高的同品牌投标人获得中标人推荐资格；评审得分相同的，取报价最低的同品牌投标人；当报价也相同时，则取技术标最优的同品牌投标人；均相同时，由采购人代表随机抽取方式确定。其他同品牌投标人不作为中标候选人。</w:t>
      </w:r>
    </w:p>
    <w:p w14:paraId="30B1803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非单一产品采购项目，以带“★”作为核心产品。多家投标人提供的核心产品品牌相同的，按前款规定处理。</w:t>
      </w:r>
    </w:p>
    <w:p w14:paraId="2490B797">
      <w:pPr>
        <w:pStyle w:val="14"/>
        <w:snapToGrid w:val="0"/>
        <w:spacing w:line="440" w:lineRule="exact"/>
        <w:ind w:left="2" w:leftChars="1" w:firstLine="420" w:firstLineChars="200"/>
        <w:rPr>
          <w:rFonts w:hAnsi="宋体"/>
          <w:color w:val="auto"/>
          <w:szCs w:val="21"/>
          <w:highlight w:val="none"/>
        </w:rPr>
      </w:pPr>
      <w:r>
        <w:rPr>
          <w:rFonts w:hint="eastAsia" w:hAnsi="宋体"/>
          <w:color w:val="auto"/>
          <w:szCs w:val="21"/>
          <w:highlight w:val="none"/>
        </w:rPr>
        <w:t>2、供应商投标所使用的资格、信誉、荣誉、业绩与企业认证必须为本法人所拥有。供应商投标所使用的采购项目实施人员必须为本法人员工（或必须为本法人或控股公司正式员工）。</w:t>
      </w:r>
    </w:p>
    <w:p w14:paraId="5EDFEE20">
      <w:pPr>
        <w:pStyle w:val="14"/>
        <w:snapToGrid w:val="0"/>
        <w:spacing w:line="440" w:lineRule="exact"/>
        <w:ind w:left="2" w:leftChars="1" w:firstLine="420" w:firstLineChars="200"/>
        <w:rPr>
          <w:rFonts w:hAnsi="宋体"/>
          <w:color w:val="auto"/>
          <w:szCs w:val="21"/>
          <w:highlight w:val="none"/>
        </w:rPr>
      </w:pPr>
      <w:r>
        <w:rPr>
          <w:rFonts w:hint="eastAsia" w:hAnsi="宋体"/>
          <w:color w:val="auto"/>
          <w:szCs w:val="21"/>
          <w:highlight w:val="none"/>
        </w:rPr>
        <w:t>3、供应商应仔细阅读采购文件的所有内容，按照采购文件的要求提交投标文件，并对所提供的全部资料的真实性承担法律责任。</w:t>
      </w:r>
    </w:p>
    <w:p w14:paraId="4FBF2C66">
      <w:pPr>
        <w:pStyle w:val="14"/>
        <w:snapToGrid w:val="0"/>
        <w:spacing w:line="420" w:lineRule="exact"/>
        <w:ind w:left="2" w:leftChars="1" w:firstLine="420" w:firstLineChars="200"/>
        <w:rPr>
          <w:rFonts w:hAnsi="宋体"/>
          <w:color w:val="auto"/>
          <w:szCs w:val="21"/>
          <w:highlight w:val="none"/>
        </w:rPr>
      </w:pPr>
      <w:r>
        <w:rPr>
          <w:rFonts w:hint="eastAsia" w:hAnsi="宋体"/>
          <w:color w:val="auto"/>
          <w:szCs w:val="21"/>
          <w:highlight w:val="none"/>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741718AC">
      <w:pPr>
        <w:pStyle w:val="14"/>
        <w:snapToGrid w:val="0"/>
        <w:spacing w:line="420" w:lineRule="exact"/>
        <w:ind w:firstLine="422" w:firstLineChars="200"/>
        <w:outlineLvl w:val="1"/>
        <w:rPr>
          <w:rFonts w:hAnsi="宋体"/>
          <w:b/>
          <w:bCs/>
          <w:color w:val="auto"/>
          <w:szCs w:val="21"/>
          <w:highlight w:val="none"/>
        </w:rPr>
      </w:pPr>
      <w:bookmarkStart w:id="13" w:name="_Toc33535353"/>
      <w:r>
        <w:rPr>
          <w:rFonts w:hint="eastAsia" w:hAnsi="宋体"/>
          <w:b/>
          <w:bCs/>
          <w:color w:val="auto"/>
          <w:szCs w:val="21"/>
          <w:highlight w:val="none"/>
        </w:rPr>
        <w:t>（九）质疑和投诉</w:t>
      </w:r>
      <w:bookmarkEnd w:id="13"/>
    </w:p>
    <w:p w14:paraId="351A7399">
      <w:pPr>
        <w:pStyle w:val="14"/>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14:paraId="52D18AD3">
      <w:pPr>
        <w:pStyle w:val="14"/>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2、供应商须在法定质疑期内一次性提出针对同一采购程序环节的质疑.</w:t>
      </w:r>
    </w:p>
    <w:p w14:paraId="4BC79D1D">
      <w:pPr>
        <w:pStyle w:val="14"/>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3、供应商认为采购代理机构在质疑答复程序中启用的调查和复评等程序，在该程序操作过程未明显违反法律禁止性规定时，不得提出疑义。</w:t>
      </w:r>
    </w:p>
    <w:p w14:paraId="43E340EB">
      <w:pPr>
        <w:pStyle w:val="14"/>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4、质疑和投诉应当满足《政府采购质疑和投诉办法》（中华人民共和国财政部令第94号）要求。</w:t>
      </w:r>
    </w:p>
    <w:p w14:paraId="003E59FB">
      <w:pPr>
        <w:pStyle w:val="14"/>
        <w:snapToGrid w:val="0"/>
        <w:spacing w:line="420" w:lineRule="exact"/>
        <w:ind w:firstLine="413" w:firstLineChars="196"/>
        <w:jc w:val="center"/>
        <w:outlineLvl w:val="0"/>
        <w:rPr>
          <w:rFonts w:hAnsi="宋体"/>
          <w:b/>
          <w:color w:val="auto"/>
          <w:szCs w:val="21"/>
          <w:highlight w:val="none"/>
        </w:rPr>
      </w:pPr>
      <w:bookmarkStart w:id="14" w:name="_Toc406402987"/>
      <w:bookmarkStart w:id="15" w:name="_Toc33535354"/>
      <w:bookmarkStart w:id="16" w:name="_Toc406402943"/>
    </w:p>
    <w:p w14:paraId="730EA728">
      <w:pPr>
        <w:pStyle w:val="14"/>
        <w:snapToGrid w:val="0"/>
        <w:spacing w:line="420" w:lineRule="exact"/>
        <w:ind w:firstLine="551" w:firstLineChars="196"/>
        <w:jc w:val="center"/>
        <w:outlineLvl w:val="0"/>
        <w:rPr>
          <w:rFonts w:hAnsi="宋体"/>
          <w:b/>
          <w:color w:val="auto"/>
          <w:sz w:val="28"/>
          <w:szCs w:val="28"/>
          <w:highlight w:val="none"/>
        </w:rPr>
      </w:pPr>
      <w:r>
        <w:rPr>
          <w:rFonts w:hint="eastAsia" w:hAnsi="宋体"/>
          <w:b/>
          <w:color w:val="auto"/>
          <w:sz w:val="28"/>
          <w:szCs w:val="28"/>
          <w:highlight w:val="none"/>
        </w:rPr>
        <w:t>二、采购文件</w:t>
      </w:r>
      <w:bookmarkEnd w:id="14"/>
      <w:bookmarkEnd w:id="15"/>
      <w:bookmarkEnd w:id="16"/>
    </w:p>
    <w:p w14:paraId="142F937C">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（一）采购文件的构成。本采购文件由以下部份组成：</w:t>
      </w:r>
    </w:p>
    <w:p w14:paraId="0039B7C5">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1、采购公告</w:t>
      </w:r>
    </w:p>
    <w:p w14:paraId="414BAB2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2、采购需求</w:t>
      </w:r>
    </w:p>
    <w:p w14:paraId="0EF0CB1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3、供应商须知</w:t>
      </w:r>
    </w:p>
    <w:p w14:paraId="46AADDE8">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4、评标办法及标准</w:t>
      </w:r>
    </w:p>
    <w:p w14:paraId="240FF6DB">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5、合同主要条款</w:t>
      </w:r>
    </w:p>
    <w:p w14:paraId="137E06C7">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64D6C44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7、本项目采购文件的澄清、答复、修改、补充的内容</w:t>
      </w:r>
    </w:p>
    <w:p w14:paraId="1E33C1CA">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（二）供应商的风险</w:t>
      </w:r>
    </w:p>
    <w:p w14:paraId="429E237F">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供应商没有按照采购文件要求提供全部资料，或者供应商没有对采购文件在各方面作出实质性响应是供应商的风险，并可能导致其投标为无效标。</w:t>
      </w:r>
    </w:p>
    <w:p w14:paraId="47C4930E">
      <w:pPr>
        <w:pStyle w:val="6"/>
        <w:numPr>
          <w:ilvl w:val="0"/>
          <w:numId w:val="0"/>
        </w:numPr>
        <w:tabs>
          <w:tab w:val="left" w:pos="720"/>
        </w:tabs>
        <w:snapToGrid w:val="0"/>
        <w:spacing w:line="42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（三）采购文件的澄清与修改 </w:t>
      </w:r>
    </w:p>
    <w:p w14:paraId="5B4A6AB5">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1、</w:t>
      </w:r>
      <w:r>
        <w:rPr>
          <w:rFonts w:hint="eastAsia" w:hAnsi="宋体"/>
          <w:bCs/>
          <w:color w:val="auto"/>
          <w:szCs w:val="21"/>
          <w:highlight w:val="none"/>
        </w:rPr>
        <w:t>供应商应认真阅读本采购文件，发现其中有误或有不合理要求的，可要求采购人澄清</w:t>
      </w:r>
      <w:r>
        <w:rPr>
          <w:rFonts w:hint="eastAsia" w:hAnsi="宋体"/>
          <w:color w:val="auto"/>
          <w:szCs w:val="21"/>
          <w:highlight w:val="none"/>
        </w:rPr>
        <w:t>。采购人对已发出的采购文件进行必要澄清或者修改的，应当在采购文件要求提交投标文件截止五日前，在财政部门指定的政府采购信息发布媒体上发布更正公告，并以书面形式通知所有采购文件获取人。</w:t>
      </w:r>
    </w:p>
    <w:p w14:paraId="50EC8DCD">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2、采购文件澄清或者修改的内容为采购文件的组成部分。当采购文件与澄清或者修改就同一内容的表述不一致时，以最后发出的书面文件为准。</w:t>
      </w:r>
    </w:p>
    <w:p w14:paraId="1E08C878">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3、对采购文件的澄清、答复、修改或补充都应该通过采购代理机构以法定形式发布，采购人非通过本机构，不得擅自澄清、答复、修改或补充采购文件。</w:t>
      </w:r>
    </w:p>
    <w:p w14:paraId="51FF52A6">
      <w:pPr>
        <w:pStyle w:val="14"/>
        <w:snapToGrid w:val="0"/>
        <w:spacing w:line="420" w:lineRule="exact"/>
        <w:ind w:firstLine="420" w:firstLineChars="200"/>
        <w:rPr>
          <w:rFonts w:hAnsi="宋体"/>
          <w:color w:val="auto"/>
          <w:szCs w:val="21"/>
          <w:highlight w:val="none"/>
        </w:rPr>
      </w:pPr>
    </w:p>
    <w:p w14:paraId="4B1286D7">
      <w:pPr>
        <w:pStyle w:val="14"/>
        <w:snapToGrid w:val="0"/>
        <w:spacing w:line="420" w:lineRule="exact"/>
        <w:ind w:firstLine="551" w:firstLineChars="196"/>
        <w:jc w:val="center"/>
        <w:outlineLvl w:val="0"/>
        <w:rPr>
          <w:rFonts w:hAnsi="宋体"/>
          <w:b/>
          <w:color w:val="auto"/>
          <w:sz w:val="28"/>
          <w:szCs w:val="28"/>
          <w:highlight w:val="none"/>
        </w:rPr>
      </w:pPr>
      <w:bookmarkStart w:id="17" w:name="_Toc33535355"/>
      <w:r>
        <w:rPr>
          <w:rFonts w:hint="eastAsia" w:hAnsi="宋体"/>
          <w:b/>
          <w:color w:val="auto"/>
          <w:sz w:val="28"/>
          <w:szCs w:val="28"/>
          <w:highlight w:val="none"/>
        </w:rPr>
        <w:t>三、投标文件的编制</w:t>
      </w:r>
      <w:bookmarkEnd w:id="17"/>
    </w:p>
    <w:p w14:paraId="20CBCC76">
      <w:pPr>
        <w:pStyle w:val="14"/>
        <w:snapToGrid w:val="0"/>
        <w:spacing w:line="420" w:lineRule="exact"/>
        <w:ind w:firstLine="422" w:firstLineChars="200"/>
        <w:outlineLvl w:val="1"/>
        <w:rPr>
          <w:rFonts w:hAnsi="宋体"/>
          <w:b/>
          <w:color w:val="auto"/>
          <w:szCs w:val="21"/>
          <w:highlight w:val="none"/>
        </w:rPr>
      </w:pPr>
      <w:bookmarkStart w:id="18" w:name="_Toc33535356"/>
      <w:r>
        <w:rPr>
          <w:rFonts w:hint="eastAsia" w:hAnsi="宋体"/>
          <w:b/>
          <w:color w:val="auto"/>
          <w:szCs w:val="21"/>
          <w:highlight w:val="none"/>
        </w:rPr>
        <w:t>本项目所涉投标文件格式请详见第六章，未给出的格式请自拟。</w:t>
      </w:r>
      <w:bookmarkEnd w:id="18"/>
    </w:p>
    <w:p w14:paraId="456F82FD">
      <w:pPr>
        <w:pStyle w:val="14"/>
        <w:snapToGrid w:val="0"/>
        <w:spacing w:line="420" w:lineRule="exact"/>
        <w:ind w:firstLine="422" w:firstLineChars="200"/>
        <w:outlineLvl w:val="1"/>
        <w:rPr>
          <w:rFonts w:hAnsi="宋体"/>
          <w:b/>
          <w:color w:val="auto"/>
          <w:szCs w:val="21"/>
          <w:highlight w:val="none"/>
        </w:rPr>
      </w:pPr>
      <w:bookmarkStart w:id="19" w:name="_Toc33535357"/>
      <w:r>
        <w:rPr>
          <w:rFonts w:hint="eastAsia" w:hAnsi="宋体"/>
          <w:b/>
          <w:color w:val="auto"/>
          <w:szCs w:val="21"/>
          <w:highlight w:val="none"/>
        </w:rPr>
        <w:t>（一）总体要求：</w:t>
      </w:r>
      <w:bookmarkEnd w:id="19"/>
    </w:p>
    <w:p w14:paraId="6200FF9F">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1、供应商应仔细阅读采购文件的所有内容，按本文件的要求提供投标文件，并保证所提供的全部资料的真实性，以使其投标文件对采购文件作出实质性响应，否则，投标文件可能视为无效投标文件。</w:t>
      </w:r>
    </w:p>
    <w:p w14:paraId="5B5B5D30">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2、投标文件及供应商与采购有关的来往通知，函件和文件均应使用中文。</w:t>
      </w:r>
    </w:p>
    <w:p w14:paraId="5B12DFE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3、供应商应按本文件中提供的文件格式、内容和要求制作投标文件。</w:t>
      </w:r>
    </w:p>
    <w:p w14:paraId="7E24056A">
      <w:pPr>
        <w:spacing w:line="420" w:lineRule="exact"/>
        <w:ind w:firstLine="422" w:firstLineChars="200"/>
        <w:jc w:val="left"/>
        <w:rPr>
          <w:rFonts w:ascii="宋体" w:hAnsi="宋体" w:cs="宋体"/>
          <w:bCs/>
          <w:color w:val="auto"/>
          <w:szCs w:val="21"/>
          <w:highlight w:val="none"/>
        </w:rPr>
      </w:pPr>
      <w:r>
        <w:rPr>
          <w:rFonts w:hint="eastAsia" w:ascii="宋体" w:hAnsi="宋体" w:cs="宋体"/>
          <w:b/>
          <w:color w:val="auto"/>
          <w:szCs w:val="21"/>
          <w:highlight w:val="none"/>
        </w:rPr>
        <w:t>4、投标文件的效力：投标文件的启用，按先后顺位分别为电子投标文件、电子备份投标文件。</w:t>
      </w:r>
      <w:r>
        <w:rPr>
          <w:rFonts w:hint="eastAsia" w:ascii="宋体" w:hAnsi="宋体"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6F0C0AC">
      <w:pPr>
        <w:snapToGrid w:val="0"/>
        <w:spacing w:line="420" w:lineRule="exact"/>
        <w:ind w:firstLine="422" w:firstLineChars="200"/>
        <w:jc w:val="left"/>
        <w:outlineLvl w:val="0"/>
        <w:rPr>
          <w:rFonts w:ascii="宋体" w:hAnsi="宋体" w:cs="宋体"/>
          <w:b/>
          <w:color w:val="auto"/>
          <w:szCs w:val="21"/>
          <w:highlight w:val="none"/>
        </w:rPr>
      </w:pPr>
      <w:bookmarkStart w:id="20" w:name="_Toc406402944"/>
      <w:bookmarkStart w:id="21" w:name="_Toc406402988"/>
      <w:bookmarkStart w:id="22" w:name="_Toc33535358"/>
      <w:r>
        <w:rPr>
          <w:rFonts w:hint="eastAsia" w:ascii="宋体" w:hAnsi="宋体" w:cs="宋体"/>
          <w:b/>
          <w:color w:val="auto"/>
          <w:szCs w:val="21"/>
          <w:highlight w:val="none"/>
        </w:rPr>
        <w:t>（二）投标文件的组成</w:t>
      </w:r>
      <w:bookmarkEnd w:id="20"/>
      <w:bookmarkEnd w:id="21"/>
      <w:bookmarkEnd w:id="22"/>
    </w:p>
    <w:p w14:paraId="1D1C686B">
      <w:pPr>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包括电子投标文件和电子备份投标文件（选送），均由资格文件、商务技术文件及报价文件三部份组成。</w:t>
      </w:r>
    </w:p>
    <w:p w14:paraId="65DE93DB">
      <w:pPr>
        <w:snapToGrid w:val="0"/>
        <w:spacing w:line="420" w:lineRule="exact"/>
        <w:ind w:firstLine="422" w:firstLineChars="200"/>
        <w:jc w:val="left"/>
        <w:rPr>
          <w:rFonts w:ascii="宋体" w:hAnsi="宋体" w:cs="宋体"/>
          <w:b/>
          <w:color w:val="auto"/>
          <w:szCs w:val="21"/>
          <w:highlight w:val="none"/>
        </w:rPr>
      </w:pPr>
      <w:bookmarkStart w:id="23" w:name="_Hlk172535218"/>
      <w:r>
        <w:rPr>
          <w:rFonts w:hint="eastAsia" w:ascii="宋体" w:hAnsi="宋体" w:cs="宋体"/>
          <w:b/>
          <w:color w:val="auto"/>
          <w:szCs w:val="21"/>
          <w:highlight w:val="none"/>
        </w:rPr>
        <w:t>1、资格文件：</w:t>
      </w:r>
    </w:p>
    <w:p w14:paraId="26DB213C">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（1）投标声明书(格式见附件)；</w:t>
      </w:r>
    </w:p>
    <w:p w14:paraId="3F96CB1F">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（2）法定代表人授权委托书(格式见附件)；</w:t>
      </w:r>
    </w:p>
    <w:p w14:paraId="16FB3350">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（3）供应商市场行为信誉（信用）情况承诺书(格式见附件)；</w:t>
      </w:r>
    </w:p>
    <w:p w14:paraId="3DEC4FBE">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（4）承诺函(格式见附件)；</w:t>
      </w:r>
    </w:p>
    <w:p w14:paraId="2DBBF109">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（5）提供最近一个月依法缴纳税收和社</w:t>
      </w:r>
      <w:r>
        <w:rPr>
          <w:rFonts w:hint="eastAsia" w:ascii="宋体" w:hAnsi="宋体" w:eastAsia="宋体"/>
          <w:color w:val="auto"/>
          <w:spacing w:val="0"/>
          <w:sz w:val="21"/>
          <w:szCs w:val="21"/>
          <w:highlight w:val="none"/>
        </w:rPr>
        <w:t>会保障资金证明</w:t>
      </w:r>
      <w:r>
        <w:rPr>
          <w:rFonts w:hint="eastAsia" w:ascii="宋体" w:hAnsi="宋体" w:eastAsia="宋体"/>
          <w:color w:val="auto"/>
          <w:sz w:val="21"/>
          <w:szCs w:val="21"/>
          <w:highlight w:val="none"/>
        </w:rPr>
        <w:t>（依法缴纳或依法免缴证明</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，上一年度的财务审计报告；</w:t>
      </w:r>
    </w:p>
    <w:p w14:paraId="1E1AA4E9">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（6）营业执照等资格证明资料；</w:t>
      </w:r>
    </w:p>
    <w:p w14:paraId="7F3552C9">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（7）中小企业声明函（若符合）；</w:t>
      </w:r>
    </w:p>
    <w:p w14:paraId="3BB5E88C">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（8）残疾人福利性单位声明函（格式见附件）；</w:t>
      </w:r>
    </w:p>
    <w:p w14:paraId="4CA722B1">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（9）监狱企业声明函（格式见附件）。</w:t>
      </w:r>
    </w:p>
    <w:p w14:paraId="42EAC65A">
      <w:pPr>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2、商务技术文件：</w:t>
      </w:r>
    </w:p>
    <w:p w14:paraId="43C853AC">
      <w:pPr>
        <w:pStyle w:val="15"/>
        <w:snapToGrid w:val="0"/>
        <w:spacing w:line="412" w:lineRule="exact"/>
        <w:ind w:left="-178" w:leftChars="-85" w:firstLine="575" w:firstLineChars="274"/>
        <w:rPr>
          <w:rFonts w:ascii="宋体" w:hAnsi="宋体" w:eastAsia="宋体"/>
          <w:color w:val="auto"/>
          <w:sz w:val="21"/>
          <w:szCs w:val="21"/>
          <w:highlight w:val="none"/>
        </w:rPr>
      </w:pPr>
      <w:bookmarkStart w:id="24" w:name="_Toc385854100"/>
      <w:bookmarkStart w:id="25" w:name="_Toc406402990"/>
      <w:bookmarkStart w:id="26" w:name="_Toc402963117"/>
      <w:bookmarkStart w:id="27" w:name="_Toc33535360"/>
      <w:bookmarkStart w:id="28" w:name="_Toc406402946"/>
      <w:bookmarkStart w:id="29" w:name="_Toc385854146"/>
      <w:bookmarkStart w:id="30" w:name="_Toc402963084"/>
      <w:r>
        <w:rPr>
          <w:rFonts w:hint="eastAsia" w:ascii="宋体" w:hAnsi="宋体" w:eastAsia="宋体"/>
          <w:color w:val="auto"/>
          <w:sz w:val="21"/>
          <w:szCs w:val="21"/>
          <w:highlight w:val="none"/>
        </w:rPr>
        <w:t>（1）投标人情况介绍；</w:t>
      </w:r>
    </w:p>
    <w:p w14:paraId="773EB351">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（2）项目实施方案等；</w:t>
      </w:r>
    </w:p>
    <w:p w14:paraId="3B720F5B">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（3）拟投入本项目的项目负责人及实施人员；</w:t>
      </w:r>
    </w:p>
    <w:p w14:paraId="21C3E350">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（4）项目业绩；</w:t>
      </w:r>
    </w:p>
    <w:p w14:paraId="72F431F3">
      <w:pPr>
        <w:pStyle w:val="15"/>
        <w:snapToGrid w:val="0"/>
        <w:spacing w:line="412" w:lineRule="exact"/>
        <w:ind w:left="-178" w:leftChars="-85" w:firstLine="575" w:firstLineChars="274"/>
        <w:rPr>
          <w:rFonts w:ascii="宋体" w:hAnsi="宋体" w:eastAsia="宋体"/>
          <w:color w:val="auto"/>
          <w:sz w:val="21"/>
          <w:szCs w:val="21"/>
          <w:highlight w:val="none"/>
        </w:rPr>
      </w:pPr>
      <w:r>
        <w:rPr>
          <w:rFonts w:hint="eastAsia" w:ascii="宋体" w:hAnsi="宋体" w:eastAsia="宋体"/>
          <w:color w:val="auto"/>
          <w:sz w:val="21"/>
          <w:szCs w:val="21"/>
          <w:highlight w:val="none"/>
        </w:rPr>
        <w:t>（5）管理制度，质量保证措施，服务承诺，合理化建议等；</w:t>
      </w:r>
    </w:p>
    <w:p w14:paraId="1D2D38D5">
      <w:pPr>
        <w:pStyle w:val="15"/>
        <w:snapToGrid w:val="0"/>
        <w:spacing w:line="412" w:lineRule="exact"/>
        <w:ind w:left="-178" w:leftChars="-85" w:firstLine="578" w:firstLineChars="274"/>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（6）投标人需要说明的其他内容（未尽事宜可按评分细则部分制作）。</w:t>
      </w:r>
    </w:p>
    <w:p w14:paraId="6AE9F91A">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3、投标报价文件：</w:t>
      </w:r>
    </w:p>
    <w:p w14:paraId="2D063D5A">
      <w:pPr>
        <w:tabs>
          <w:tab w:val="left" w:pos="3870"/>
          <w:tab w:val="left" w:pos="4085"/>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（1）投标函（格式见附件）；</w:t>
      </w:r>
    </w:p>
    <w:p w14:paraId="5B12620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（2）开标一览表（格式见附件）；</w:t>
      </w:r>
    </w:p>
    <w:p w14:paraId="636C768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（3）投标报价明细表（格式自拟）。</w:t>
      </w:r>
    </w:p>
    <w:bookmarkEnd w:id="23"/>
    <w:p w14:paraId="530C8BF6">
      <w:pPr>
        <w:snapToGrid w:val="0"/>
        <w:spacing w:line="420" w:lineRule="exact"/>
        <w:ind w:firstLine="422"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rPr>
        <w:t>（三）投标文件的语言及计量</w:t>
      </w:r>
      <w:bookmarkEnd w:id="24"/>
      <w:bookmarkEnd w:id="25"/>
      <w:bookmarkEnd w:id="26"/>
      <w:bookmarkEnd w:id="27"/>
      <w:bookmarkEnd w:id="28"/>
      <w:bookmarkEnd w:id="29"/>
      <w:bookmarkEnd w:id="30"/>
    </w:p>
    <w:p w14:paraId="2362319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1、投标文件以及投标方与采购方就有关投标事宜的所有来往函电，均应以中文汉语书写。除签名、盖章、专用名称等特殊情形外，以中文汉语以外的文字表述的投标文件视同未提供。</w:t>
      </w:r>
    </w:p>
    <w:p w14:paraId="091428F3">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14:paraId="65739844">
      <w:pPr>
        <w:snapToGrid w:val="0"/>
        <w:spacing w:line="420" w:lineRule="exact"/>
        <w:ind w:firstLine="422" w:firstLineChars="200"/>
        <w:jc w:val="left"/>
        <w:outlineLvl w:val="0"/>
        <w:rPr>
          <w:rFonts w:ascii="宋体" w:hAnsi="宋体" w:cs="宋体"/>
          <w:b/>
          <w:color w:val="auto"/>
          <w:szCs w:val="21"/>
          <w:highlight w:val="none"/>
        </w:rPr>
      </w:pPr>
      <w:bookmarkStart w:id="31" w:name="_Toc402963118"/>
      <w:bookmarkStart w:id="32" w:name="_Toc402963085"/>
      <w:bookmarkStart w:id="33" w:name="_Toc406402947"/>
      <w:bookmarkStart w:id="34" w:name="_Toc33535361"/>
      <w:bookmarkStart w:id="35" w:name="_Toc385854147"/>
      <w:bookmarkStart w:id="36" w:name="_Toc385854101"/>
      <w:bookmarkStart w:id="37" w:name="_Toc406402991"/>
      <w:r>
        <w:rPr>
          <w:rFonts w:hint="eastAsia" w:ascii="宋体" w:hAnsi="宋体" w:cs="宋体"/>
          <w:b/>
          <w:color w:val="auto"/>
          <w:szCs w:val="21"/>
          <w:highlight w:val="none"/>
        </w:rPr>
        <w:t>（四）投标报价</w:t>
      </w:r>
      <w:bookmarkEnd w:id="31"/>
      <w:bookmarkEnd w:id="32"/>
      <w:bookmarkEnd w:id="33"/>
      <w:bookmarkEnd w:id="34"/>
      <w:bookmarkEnd w:id="35"/>
      <w:bookmarkEnd w:id="36"/>
      <w:bookmarkEnd w:id="37"/>
    </w:p>
    <w:p w14:paraId="1EA54611">
      <w:pPr>
        <w:pStyle w:val="14"/>
        <w:snapToGrid w:val="0"/>
        <w:spacing w:line="420" w:lineRule="exact"/>
        <w:ind w:firstLine="420" w:firstLineChars="200"/>
        <w:jc w:val="left"/>
        <w:rPr>
          <w:rFonts w:hAnsi="宋体"/>
          <w:color w:val="auto"/>
          <w:szCs w:val="21"/>
          <w:highlight w:val="none"/>
        </w:rPr>
      </w:pPr>
      <w:r>
        <w:rPr>
          <w:rFonts w:hint="eastAsia" w:hAnsi="宋体"/>
          <w:color w:val="auto"/>
          <w:szCs w:val="21"/>
          <w:highlight w:val="none"/>
        </w:rPr>
        <w:t>1、投标报价应按采购文件中相关附表格式填写。</w:t>
      </w:r>
    </w:p>
    <w:p w14:paraId="457DBA17">
      <w:pPr>
        <w:pStyle w:val="14"/>
        <w:snapToGrid w:val="0"/>
        <w:spacing w:line="420" w:lineRule="exact"/>
        <w:ind w:firstLine="420" w:firstLineChars="200"/>
        <w:jc w:val="left"/>
        <w:rPr>
          <w:rFonts w:hAnsi="宋体"/>
          <w:color w:val="auto"/>
          <w:szCs w:val="21"/>
          <w:highlight w:val="none"/>
        </w:rPr>
      </w:pPr>
      <w:r>
        <w:rPr>
          <w:rFonts w:hint="eastAsia" w:hAnsi="宋体"/>
          <w:color w:val="auto"/>
          <w:szCs w:val="21"/>
          <w:highlight w:val="none"/>
        </w:rPr>
        <w:t>2、投标报价须</w:t>
      </w:r>
      <w:r>
        <w:rPr>
          <w:rFonts w:hint="eastAsia" w:hAnsi="宋体"/>
          <w:b/>
          <w:bCs/>
          <w:color w:val="auto"/>
          <w:kern w:val="0"/>
          <w:szCs w:val="21"/>
          <w:highlight w:val="none"/>
        </w:rPr>
        <w:t>包括提供本项目服务工作所需的设备、人员工资、奖金、加班费、社会保险、管理费用、税费、利润、完成合同所需的一切本身和不可或缺的所有工作开支、政策性文件规定及合同包含的所有风险、责任等各项全部费用。</w:t>
      </w:r>
    </w:p>
    <w:p w14:paraId="0358DBE0">
      <w:pPr>
        <w:pStyle w:val="14"/>
        <w:snapToGrid w:val="0"/>
        <w:spacing w:line="420" w:lineRule="exact"/>
        <w:ind w:firstLine="420" w:firstLineChars="200"/>
        <w:jc w:val="left"/>
        <w:rPr>
          <w:rFonts w:hAnsi="宋体"/>
          <w:color w:val="auto"/>
          <w:szCs w:val="21"/>
          <w:highlight w:val="none"/>
        </w:rPr>
      </w:pPr>
      <w:r>
        <w:rPr>
          <w:rFonts w:hint="eastAsia" w:hAnsi="宋体"/>
          <w:color w:val="auto"/>
          <w:szCs w:val="21"/>
          <w:highlight w:val="none"/>
        </w:rPr>
        <w:t>▲3、投标文件只允许有一个报价，有选择的或有条件的报价将不予接受。</w:t>
      </w:r>
    </w:p>
    <w:p w14:paraId="02F7D9D9">
      <w:pPr>
        <w:snapToGrid w:val="0"/>
        <w:spacing w:line="420" w:lineRule="exact"/>
        <w:ind w:firstLine="422" w:firstLineChars="200"/>
        <w:jc w:val="left"/>
        <w:outlineLvl w:val="0"/>
        <w:rPr>
          <w:rFonts w:ascii="宋体" w:hAnsi="宋体" w:cs="宋体"/>
          <w:b/>
          <w:color w:val="auto"/>
          <w:szCs w:val="21"/>
          <w:highlight w:val="none"/>
        </w:rPr>
      </w:pPr>
      <w:r>
        <w:rPr>
          <w:rFonts w:hint="eastAsia" w:ascii="宋体" w:hAnsi="宋体" w:cs="宋体"/>
          <w:b/>
          <w:color w:val="auto"/>
          <w:szCs w:val="21"/>
          <w:highlight w:val="none"/>
        </w:rPr>
        <w:t>（五）投标文件的有效期</w:t>
      </w:r>
    </w:p>
    <w:p w14:paraId="796D1985">
      <w:pPr>
        <w:snapToGrid w:val="0"/>
        <w:spacing w:line="42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1、自投标截止日起60天投标文件应保持有效。有效期不足的投标文件将被拒绝。</w:t>
      </w:r>
    </w:p>
    <w:p w14:paraId="6978EC4B">
      <w:pPr>
        <w:snapToGrid w:val="0"/>
        <w:spacing w:line="420" w:lineRule="exact"/>
        <w:ind w:firstLine="420" w:firstLineChars="200"/>
        <w:jc w:val="left"/>
        <w:outlineLvl w:val="0"/>
        <w:rPr>
          <w:rFonts w:ascii="宋体" w:hAnsi="宋体" w:cs="宋体"/>
          <w:color w:val="auto"/>
          <w:szCs w:val="21"/>
          <w:highlight w:val="none"/>
        </w:rPr>
      </w:pPr>
      <w:r>
        <w:rPr>
          <w:rFonts w:hint="eastAsia" w:ascii="宋体" w:hAnsi="宋体" w:cs="宋体"/>
          <w:color w:val="auto"/>
          <w:szCs w:val="21"/>
          <w:highlight w:val="none"/>
        </w:rPr>
        <w:t>2、在特殊情况下，采购人可与供应商协商延长投标书的有效期，这种要求和答复均以书面形式进行。</w:t>
      </w:r>
    </w:p>
    <w:p w14:paraId="5F0DD615">
      <w:pPr>
        <w:snapToGrid w:val="0"/>
        <w:spacing w:line="420" w:lineRule="exact"/>
        <w:ind w:firstLine="420" w:firstLineChars="200"/>
        <w:jc w:val="left"/>
        <w:outlineLvl w:val="0"/>
        <w:rPr>
          <w:rFonts w:ascii="宋体" w:hAnsi="宋体" w:cs="宋体"/>
          <w:b/>
          <w:color w:val="auto"/>
          <w:szCs w:val="21"/>
          <w:highlight w:val="none"/>
        </w:rPr>
      </w:pPr>
      <w:bookmarkStart w:id="38" w:name="_Toc406402948"/>
      <w:bookmarkStart w:id="39" w:name="_Toc385854102"/>
      <w:bookmarkStart w:id="40" w:name="_Toc33535362"/>
      <w:bookmarkStart w:id="41" w:name="_Toc402963119"/>
      <w:bookmarkStart w:id="42" w:name="_Toc385854148"/>
      <w:bookmarkStart w:id="43" w:name="_Toc402963086"/>
      <w:bookmarkStart w:id="44" w:name="_Toc406402992"/>
      <w:r>
        <w:rPr>
          <w:rFonts w:hint="eastAsia" w:ascii="宋体" w:hAnsi="宋体" w:cs="宋体"/>
          <w:color w:val="auto"/>
          <w:szCs w:val="21"/>
          <w:highlight w:val="none"/>
        </w:rPr>
        <w:t>3、供应商可拒绝接受延期要求。同意延长有效期的供应商不能修改投标文件。</w:t>
      </w:r>
      <w:bookmarkEnd w:id="38"/>
      <w:bookmarkEnd w:id="39"/>
      <w:bookmarkEnd w:id="40"/>
      <w:bookmarkEnd w:id="41"/>
      <w:bookmarkEnd w:id="42"/>
      <w:bookmarkEnd w:id="43"/>
      <w:bookmarkEnd w:id="44"/>
    </w:p>
    <w:p w14:paraId="30DABF7E">
      <w:pPr>
        <w:snapToGrid w:val="0"/>
        <w:spacing w:line="420" w:lineRule="exact"/>
        <w:ind w:firstLine="420" w:firstLineChars="200"/>
        <w:jc w:val="left"/>
        <w:outlineLvl w:val="0"/>
        <w:rPr>
          <w:rFonts w:ascii="宋体" w:hAnsi="宋体" w:cs="宋体"/>
          <w:b/>
          <w:color w:val="auto"/>
          <w:szCs w:val="21"/>
          <w:highlight w:val="none"/>
        </w:rPr>
      </w:pPr>
      <w:bookmarkStart w:id="45" w:name="_Toc406402949"/>
      <w:bookmarkStart w:id="46" w:name="_Toc385854103"/>
      <w:bookmarkStart w:id="47" w:name="_Toc402963087"/>
      <w:bookmarkStart w:id="48" w:name="_Toc385854149"/>
      <w:bookmarkStart w:id="49" w:name="_Toc406402993"/>
      <w:bookmarkStart w:id="50" w:name="_Toc402963120"/>
      <w:bookmarkStart w:id="51" w:name="_Toc33535363"/>
      <w:r>
        <w:rPr>
          <w:rFonts w:hint="eastAsia" w:ascii="宋体" w:hAnsi="宋体" w:cs="宋体"/>
          <w:color w:val="auto"/>
          <w:szCs w:val="21"/>
          <w:highlight w:val="none"/>
        </w:rPr>
        <w:t>4、中标人的投标文件自开标之日起至合同履行完毕止均应保持有效。</w:t>
      </w:r>
      <w:bookmarkEnd w:id="45"/>
      <w:bookmarkEnd w:id="46"/>
      <w:bookmarkEnd w:id="47"/>
      <w:bookmarkEnd w:id="48"/>
      <w:bookmarkEnd w:id="49"/>
      <w:bookmarkEnd w:id="50"/>
      <w:bookmarkEnd w:id="51"/>
    </w:p>
    <w:p w14:paraId="52F112C6">
      <w:pPr>
        <w:snapToGrid w:val="0"/>
        <w:spacing w:line="420" w:lineRule="exact"/>
        <w:ind w:firstLine="422" w:firstLineChars="200"/>
        <w:jc w:val="left"/>
        <w:outlineLvl w:val="0"/>
        <w:rPr>
          <w:rFonts w:ascii="宋体" w:hAnsi="宋体" w:cs="宋体"/>
          <w:b/>
          <w:color w:val="auto"/>
          <w:szCs w:val="21"/>
          <w:highlight w:val="none"/>
        </w:rPr>
      </w:pPr>
      <w:bookmarkStart w:id="52" w:name="_Toc385854105"/>
      <w:bookmarkStart w:id="53" w:name="_Toc406402995"/>
      <w:bookmarkStart w:id="54" w:name="_Toc33535364"/>
      <w:bookmarkStart w:id="55" w:name="_Toc402963089"/>
      <w:bookmarkStart w:id="56" w:name="_Toc385854151"/>
      <w:bookmarkStart w:id="57" w:name="_Toc406402951"/>
      <w:bookmarkStart w:id="58" w:name="_Toc402963122"/>
      <w:r>
        <w:rPr>
          <w:rFonts w:hint="eastAsia" w:ascii="宋体" w:hAnsi="宋体" w:cs="宋体"/>
          <w:b/>
          <w:color w:val="auto"/>
          <w:szCs w:val="21"/>
          <w:highlight w:val="none"/>
        </w:rPr>
        <w:t>（六）投标文件的签署和份数</w:t>
      </w:r>
      <w:bookmarkEnd w:id="52"/>
      <w:bookmarkEnd w:id="53"/>
      <w:bookmarkEnd w:id="54"/>
      <w:bookmarkEnd w:id="55"/>
      <w:bookmarkEnd w:id="56"/>
      <w:bookmarkEnd w:id="57"/>
      <w:bookmarkEnd w:id="58"/>
    </w:p>
    <w:p w14:paraId="056A1325">
      <w:pPr>
        <w:snapToGrid w:val="0"/>
        <w:spacing w:line="420" w:lineRule="exact"/>
        <w:ind w:firstLine="420" w:firstLineChars="200"/>
        <w:jc w:val="left"/>
        <w:outlineLvl w:val="0"/>
        <w:rPr>
          <w:rFonts w:ascii="宋体" w:hAnsi="宋体" w:cs="宋体"/>
          <w:b/>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14:paraId="516D246B">
      <w:pPr>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14:paraId="631AFCA1">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p w14:paraId="1D5A8B93">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（七）</w:t>
      </w:r>
      <w:bookmarkStart w:id="59" w:name="_Toc33535368"/>
      <w:r>
        <w:rPr>
          <w:rFonts w:hint="eastAsia" w:ascii="宋体" w:hAnsi="宋体" w:cs="宋体"/>
          <w:b/>
          <w:bCs/>
          <w:color w:val="auto"/>
          <w:szCs w:val="21"/>
          <w:highlight w:val="none"/>
        </w:rPr>
        <w:t>投标文件的上传和递交：</w:t>
      </w:r>
    </w:p>
    <w:p w14:paraId="35A94D23">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14:paraId="3B00FD2D">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a.投标供应商应在投标截止时间前将“电子加密投标文件”成功上传递交至“政府采购云平台”，否则投标无效。</w:t>
      </w:r>
    </w:p>
    <w:p w14:paraId="2FFD6970">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14:paraId="27C2A91C">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a.投标供应商在“政府采购云平台”完成“电子加密投标文件”的上传递交后，还可以（邮寄形式）在投标截止时间前递交以介质（U盘）存储的“备份投标文件”（一份）；</w:t>
      </w:r>
    </w:p>
    <w:p w14:paraId="71DE4C38">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b.“备份投标文件”应当密封包装，并在包装上标注投标项目名称、投标单位名称并加盖公章。没有密封包装或者逾期邮寄送达至邮寄接收地点的“备份投标文件”将不予接收；</w:t>
      </w:r>
    </w:p>
    <w:p w14:paraId="781EF142">
      <w:pPr>
        <w:snapToGrid w:val="0"/>
        <w:spacing w:line="420" w:lineRule="exac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61A66FD">
      <w:pPr>
        <w:snapToGrid w:val="0"/>
        <w:spacing w:line="420" w:lineRule="exact"/>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（八）投标无效的情形</w:t>
      </w:r>
      <w:bookmarkEnd w:id="59"/>
    </w:p>
    <w:p w14:paraId="4DEDD50C">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根据《政府采购货物和服务招标投标管理办法》有下列情形之一的，视为供应商串通投标，其投标无效：</w:t>
      </w:r>
    </w:p>
    <w:p w14:paraId="3812FEBB">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1、不同供应商的投标文件由同一单位或者个人编制。</w:t>
      </w:r>
    </w:p>
    <w:p w14:paraId="4BC32FD0">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14:paraId="1A0E1D46">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3、不同供应商的投标文件载明的项目管理成员或者联系人员为同一人。</w:t>
      </w:r>
    </w:p>
    <w:p w14:paraId="2A85D0AF">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4、不同供应商的投标文件异常一致或者投标报价呈规律性差异。</w:t>
      </w:r>
    </w:p>
    <w:p w14:paraId="6AA3A3A3">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5、不同供应商的投标文件相互混装。</w:t>
      </w:r>
    </w:p>
    <w:p w14:paraId="22C98ACB">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实质上没有响应采购文件要求的投标将被视为无效投标：</w:t>
      </w:r>
    </w:p>
    <w:p w14:paraId="28DE5AC6">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1、电子投标文件解密失败的，且未在规定时间内提交备份投标文件的。</w:t>
      </w:r>
    </w:p>
    <w:p w14:paraId="754D2D47">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2、没有通过资格审查的，投标文件将被视为无效。</w:t>
      </w:r>
    </w:p>
    <w:p w14:paraId="2CCEE458">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3、在符合性审查和商务评审时，如发现下列情形之一的，投标文件将被视为无效：</w:t>
      </w:r>
    </w:p>
    <w:p w14:paraId="181ADF02">
      <w:pPr>
        <w:snapToGrid w:val="0"/>
        <w:spacing w:line="420" w:lineRule="exact"/>
        <w:ind w:firstLine="420" w:firstLineChars="200"/>
        <w:jc w:val="left"/>
        <w:rPr>
          <w:rFonts w:ascii="宋体" w:hAnsi="宋体" w:cs="宋体"/>
          <w:color w:val="auto"/>
          <w:szCs w:val="21"/>
          <w:highlight w:val="none"/>
        </w:rPr>
      </w:pPr>
      <w:bookmarkStart w:id="60" w:name="_Toc33535369"/>
      <w:r>
        <w:rPr>
          <w:rFonts w:hint="eastAsia" w:ascii="宋体" w:hAnsi="宋体" w:cs="宋体"/>
          <w:color w:val="auto"/>
          <w:szCs w:val="21"/>
          <w:highlight w:val="none"/>
        </w:rPr>
        <w:t>（1）未按采购文件规定签字、盖章的；</w:t>
      </w:r>
    </w:p>
    <w:p w14:paraId="59EA1DCD">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（2）单位负责人为同一人或者存在直接控股、管理关系的不同供应商参加同一合同项下的政府采购活动；</w:t>
      </w:r>
    </w:p>
    <w:p w14:paraId="058625A8">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（3）投标文件内容虚假的；</w:t>
      </w:r>
    </w:p>
    <w:p w14:paraId="065F4BE4">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（4）投标文件的实质性内容未使用中文表述、意思表述不明确、前后矛盾或者使用计量单位不符合采购文件要求的（经评标委员会认定并允许更正的笔误除外）；</w:t>
      </w:r>
    </w:p>
    <w:p w14:paraId="10EF239A">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（5）未实质性响应采购文件要求或者投标文件有采购方不能接受的附加条件的；</w:t>
      </w:r>
    </w:p>
    <w:p w14:paraId="41358025">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（6）不符合法律法规的相关规定。</w:t>
      </w:r>
    </w:p>
    <w:p w14:paraId="3C81E3EF">
      <w:pPr>
        <w:pStyle w:val="12"/>
        <w:snapToGrid w:val="0"/>
        <w:spacing w:line="420" w:lineRule="exact"/>
        <w:ind w:firstLine="422"/>
        <w:rPr>
          <w:rFonts w:ascii="宋体" w:hAnsi="宋体"/>
          <w:b/>
          <w:bCs/>
          <w:color w:val="auto"/>
          <w:sz w:val="21"/>
          <w:szCs w:val="21"/>
          <w:highlight w:val="none"/>
        </w:rPr>
      </w:pPr>
      <w:r>
        <w:rPr>
          <w:rFonts w:hint="eastAsia" w:ascii="宋体" w:hAnsi="宋体"/>
          <w:b/>
          <w:bCs/>
          <w:color w:val="auto"/>
          <w:sz w:val="21"/>
          <w:szCs w:val="21"/>
          <w:highlight w:val="none"/>
        </w:rPr>
        <w:t>4、在技术评审时，如发现下列情形之一的，投标文件将被视为无效：</w:t>
      </w:r>
    </w:p>
    <w:p w14:paraId="5E120F28">
      <w:pPr>
        <w:pStyle w:val="12"/>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（1）未提供或未如实提供投标货物的技术参数，或者投标文件标明的响应或偏离与事实不符或虚假投标的；</w:t>
      </w:r>
    </w:p>
    <w:p w14:paraId="75DC485F">
      <w:pPr>
        <w:pStyle w:val="12"/>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snapToGrid w:val="0"/>
          <w:color w:val="auto"/>
          <w:sz w:val="21"/>
          <w:szCs w:val="21"/>
          <w:highlight w:val="none"/>
        </w:rPr>
        <w:t>明显不符合采购文件要求的规格型号、质量标准，或者与</w:t>
      </w:r>
      <w:r>
        <w:rPr>
          <w:rFonts w:hint="eastAsia" w:ascii="宋体" w:hAnsi="宋体"/>
          <w:color w:val="auto"/>
          <w:sz w:val="21"/>
          <w:szCs w:val="21"/>
          <w:highlight w:val="none"/>
        </w:rPr>
        <w:t>采购文件中标“▲”的技术指标、主要功能项目发生实质性偏离的；</w:t>
      </w:r>
    </w:p>
    <w:p w14:paraId="1ED1525C">
      <w:pPr>
        <w:pStyle w:val="12"/>
        <w:snapToGrid w:val="0"/>
        <w:spacing w:line="420" w:lineRule="exact"/>
        <w:ind w:firstLine="420"/>
        <w:rPr>
          <w:rFonts w:ascii="宋体" w:hAnsi="宋体"/>
          <w:color w:val="auto"/>
          <w:sz w:val="21"/>
          <w:szCs w:val="21"/>
          <w:highlight w:val="none"/>
        </w:rPr>
      </w:pPr>
      <w:r>
        <w:rPr>
          <w:rFonts w:hint="eastAsia" w:ascii="宋体" w:hAnsi="宋体"/>
          <w:snapToGrid w:val="0"/>
          <w:color w:val="auto"/>
          <w:sz w:val="21"/>
          <w:szCs w:val="21"/>
          <w:highlight w:val="none"/>
        </w:rPr>
        <w:t>（3）</w:t>
      </w:r>
      <w:r>
        <w:rPr>
          <w:rFonts w:hint="eastAsia" w:ascii="宋体" w:hAnsi="宋体"/>
          <w:color w:val="auto"/>
          <w:sz w:val="21"/>
          <w:szCs w:val="21"/>
          <w:highlight w:val="none"/>
        </w:rPr>
        <w:t>投标技术方案不明确，存在一个或一个以上备选（替代）投标方案的；</w:t>
      </w:r>
    </w:p>
    <w:p w14:paraId="5F5151FC">
      <w:pPr>
        <w:pStyle w:val="12"/>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snapToGrid w:val="0"/>
          <w:color w:val="auto"/>
          <w:sz w:val="21"/>
          <w:szCs w:val="21"/>
          <w:highlight w:val="none"/>
        </w:rPr>
        <w:t>4）</w:t>
      </w:r>
      <w:r>
        <w:rPr>
          <w:rFonts w:hint="eastAsia" w:ascii="宋体" w:hAnsi="宋体"/>
          <w:color w:val="auto"/>
          <w:sz w:val="21"/>
          <w:szCs w:val="21"/>
          <w:highlight w:val="none"/>
        </w:rPr>
        <w:t>未实质性响应采购文件要求或者投标文件有采购方不能接受的附加条件的。</w:t>
      </w:r>
    </w:p>
    <w:p w14:paraId="4DC32416">
      <w:pPr>
        <w:pStyle w:val="12"/>
        <w:snapToGrid w:val="0"/>
        <w:spacing w:line="420" w:lineRule="exact"/>
        <w:ind w:firstLine="422"/>
        <w:rPr>
          <w:rFonts w:ascii="宋体" w:hAnsi="宋体"/>
          <w:b/>
          <w:bCs/>
          <w:color w:val="auto"/>
          <w:sz w:val="21"/>
          <w:szCs w:val="21"/>
          <w:highlight w:val="none"/>
        </w:rPr>
      </w:pPr>
      <w:r>
        <w:rPr>
          <w:rFonts w:hint="eastAsia" w:ascii="宋体" w:hAnsi="宋体"/>
          <w:b/>
          <w:bCs/>
          <w:color w:val="auto"/>
          <w:sz w:val="21"/>
          <w:szCs w:val="21"/>
          <w:highlight w:val="none"/>
        </w:rPr>
        <w:t>5、在报价评审时，如发现下列情形之一的，投标文件将被视为无效：</w:t>
      </w:r>
    </w:p>
    <w:p w14:paraId="524C3D47">
      <w:pPr>
        <w:pStyle w:val="12"/>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（1）未采用人民币报价或者未按照采购文件标明的币种报价的；</w:t>
      </w:r>
    </w:p>
    <w:p w14:paraId="51D7AC1A">
      <w:pPr>
        <w:pStyle w:val="12"/>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（2）报价超出最高限价的；</w:t>
      </w:r>
    </w:p>
    <w:p w14:paraId="59F23D15">
      <w:pPr>
        <w:pStyle w:val="12"/>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（3）投标报价具有选择性，或者开标价格与投标文件承诺的优惠（折扣）价格不一致的；</w:t>
      </w:r>
    </w:p>
    <w:p w14:paraId="3D1E2E17">
      <w:pPr>
        <w:pStyle w:val="12"/>
        <w:snapToGrid w:val="0"/>
        <w:spacing w:line="420" w:lineRule="exact"/>
        <w:ind w:firstLine="42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snapToGrid w:val="0"/>
          <w:color w:val="auto"/>
          <w:sz w:val="21"/>
          <w:szCs w:val="21"/>
          <w:highlight w:val="none"/>
        </w:rPr>
        <w:t>4）</w:t>
      </w:r>
      <w:r>
        <w:rPr>
          <w:rFonts w:hint="eastAsia" w:ascii="宋体" w:hAnsi="宋体"/>
          <w:color w:val="auto"/>
          <w:sz w:val="21"/>
          <w:szCs w:val="21"/>
          <w:highlight w:val="none"/>
        </w:rPr>
        <w:t>未实质性响应采购文件要求或者投标文件有采购方不能接受的附加条件的。</w:t>
      </w:r>
    </w:p>
    <w:p w14:paraId="49DAEB91">
      <w:pPr>
        <w:pStyle w:val="12"/>
        <w:snapToGrid w:val="0"/>
        <w:spacing w:line="420" w:lineRule="exact"/>
        <w:ind w:firstLine="422"/>
        <w:rPr>
          <w:rFonts w:ascii="宋体" w:hAnsi="宋体"/>
          <w:b/>
          <w:snapToGrid w:val="0"/>
          <w:color w:val="auto"/>
          <w:sz w:val="21"/>
          <w:szCs w:val="21"/>
          <w:highlight w:val="none"/>
        </w:rPr>
      </w:pPr>
      <w:r>
        <w:rPr>
          <w:rFonts w:hint="eastAsia" w:ascii="宋体" w:hAnsi="宋体"/>
          <w:b/>
          <w:color w:val="auto"/>
          <w:sz w:val="21"/>
          <w:szCs w:val="21"/>
          <w:highlight w:val="none"/>
        </w:rPr>
        <w:t>6、被拒绝的投标文件为无效。</w:t>
      </w:r>
    </w:p>
    <w:p w14:paraId="6E8BF0E4">
      <w:pPr>
        <w:pStyle w:val="12"/>
        <w:snapToGrid w:val="0"/>
        <w:spacing w:line="420" w:lineRule="exact"/>
        <w:ind w:firstLine="413" w:firstLineChars="196"/>
        <w:jc w:val="center"/>
        <w:outlineLvl w:val="1"/>
        <w:rPr>
          <w:rFonts w:ascii="宋体" w:hAnsi="宋体"/>
          <w:b/>
          <w:color w:val="auto"/>
          <w:sz w:val="21"/>
          <w:szCs w:val="21"/>
          <w:highlight w:val="none"/>
        </w:rPr>
      </w:pPr>
    </w:p>
    <w:p w14:paraId="09A54528">
      <w:pPr>
        <w:pStyle w:val="12"/>
        <w:snapToGrid w:val="0"/>
        <w:spacing w:line="420" w:lineRule="exact"/>
        <w:ind w:firstLine="551" w:firstLineChars="196"/>
        <w:jc w:val="center"/>
        <w:outlineLvl w:val="1"/>
        <w:rPr>
          <w:rFonts w:ascii="宋体" w:hAnsi="宋体"/>
          <w:b/>
          <w:snapToGrid w:val="0"/>
          <w:color w:val="auto"/>
          <w:szCs w:val="28"/>
          <w:highlight w:val="none"/>
        </w:rPr>
      </w:pPr>
      <w:r>
        <w:rPr>
          <w:rFonts w:hint="eastAsia" w:ascii="宋体" w:hAnsi="宋体"/>
          <w:b/>
          <w:color w:val="auto"/>
          <w:szCs w:val="28"/>
          <w:highlight w:val="none"/>
        </w:rPr>
        <w:t>四、开标</w:t>
      </w:r>
      <w:bookmarkEnd w:id="60"/>
    </w:p>
    <w:p w14:paraId="245AB96B">
      <w:pPr>
        <w:pStyle w:val="14"/>
        <w:snapToGrid w:val="0"/>
        <w:spacing w:line="440" w:lineRule="exact"/>
        <w:ind w:firstLine="422" w:firstLineChars="200"/>
        <w:rPr>
          <w:rFonts w:hAnsi="宋体"/>
          <w:b/>
          <w:bCs/>
          <w:color w:val="auto"/>
          <w:szCs w:val="21"/>
          <w:highlight w:val="none"/>
        </w:rPr>
      </w:pPr>
      <w:r>
        <w:rPr>
          <w:rFonts w:hint="eastAsia" w:hAnsi="宋体"/>
          <w:b/>
          <w:bCs/>
          <w:color w:val="auto"/>
          <w:szCs w:val="21"/>
          <w:highlight w:val="none"/>
        </w:rPr>
        <w:t>（一）开标准备</w:t>
      </w:r>
    </w:p>
    <w:p w14:paraId="478805F4">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1、开标的准备工作由采购组织机构负责落实。</w:t>
      </w:r>
    </w:p>
    <w:p w14:paraId="48593170">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2、采购组织机构将按照采购文件规定的时间通过“政府采购云平台”组织开标、开启投标文件，所有供应商均</w:t>
      </w:r>
      <w:r>
        <w:rPr>
          <w:rFonts w:hint="eastAsia" w:hAnsi="宋体"/>
          <w:b/>
          <w:color w:val="auto"/>
          <w:szCs w:val="21"/>
          <w:highlight w:val="none"/>
        </w:rPr>
        <w:t>应当准时在线参加</w:t>
      </w:r>
      <w:r>
        <w:rPr>
          <w:rFonts w:hint="eastAsia" w:hAnsi="宋体"/>
          <w:bCs/>
          <w:color w:val="auto"/>
          <w:szCs w:val="21"/>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0CA80B0">
      <w:pPr>
        <w:pStyle w:val="14"/>
        <w:snapToGrid w:val="0"/>
        <w:spacing w:line="440" w:lineRule="exact"/>
        <w:ind w:firstLine="422" w:firstLineChars="200"/>
        <w:rPr>
          <w:rFonts w:hAnsi="宋体"/>
          <w:b/>
          <w:color w:val="auto"/>
          <w:szCs w:val="21"/>
          <w:highlight w:val="none"/>
        </w:rPr>
      </w:pPr>
      <w:r>
        <w:rPr>
          <w:rFonts w:hint="eastAsia" w:hAnsi="宋体"/>
          <w:b/>
          <w:bCs/>
          <w:color w:val="auto"/>
          <w:szCs w:val="21"/>
          <w:highlight w:val="none"/>
        </w:rPr>
        <w:t>（二）</w:t>
      </w:r>
      <w:r>
        <w:rPr>
          <w:rFonts w:hint="eastAsia" w:hAnsi="宋体"/>
          <w:b/>
          <w:color w:val="auto"/>
          <w:szCs w:val="21"/>
          <w:highlight w:val="none"/>
        </w:rPr>
        <w:t>采购人或者采购代理机构职责</w:t>
      </w:r>
    </w:p>
    <w:p w14:paraId="13B7A21A">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采购人或者采购代理机构负责组织评标工作，并履行下列职责：</w:t>
      </w:r>
    </w:p>
    <w:p w14:paraId="06D281D6">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1、核对评审专家身份和采购人代表授权函，对评审专家在政府采购活动中的职责履行情况予以记录，并及时将有关违法违规行为向财政部门报告；</w:t>
      </w:r>
    </w:p>
    <w:p w14:paraId="54CB9FAB">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2、宣布评标纪律；</w:t>
      </w:r>
    </w:p>
    <w:p w14:paraId="22B9546A">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3、公布供应商名单，告知评审专家应当回避的情形；</w:t>
      </w:r>
    </w:p>
    <w:p w14:paraId="3AE83290">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4、组织评标委员会推选评标组长，采购人代表不得担任组长；</w:t>
      </w:r>
    </w:p>
    <w:p w14:paraId="78E87FCC">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5、在评标期间采取必要的通讯管理措施，保证评标活动不受外界干扰；</w:t>
      </w:r>
    </w:p>
    <w:p w14:paraId="0A7BABE0">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6、根据评标委员会的要求介绍政府采购相关政策法规、采购文件；</w:t>
      </w:r>
    </w:p>
    <w:p w14:paraId="457D601B">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7、维护评标秩序，监督评标委员会依照采购文件规定的评标程序、方法和标准进行独立评审，及时制止和纠正采购人代表、评审专家的倾向性言论或者违法违规行为；</w:t>
      </w:r>
    </w:p>
    <w:p w14:paraId="75DCBA55">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2FE53682">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9、评审工作完成后，按照规定向评审专家支付劳务报酬和异地评审差旅费；</w:t>
      </w:r>
    </w:p>
    <w:p w14:paraId="0768D4CC">
      <w:pPr>
        <w:pStyle w:val="14"/>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10、处理与评标有关的其他事项。</w:t>
      </w:r>
    </w:p>
    <w:p w14:paraId="5BB85918">
      <w:pPr>
        <w:pStyle w:val="14"/>
        <w:snapToGrid w:val="0"/>
        <w:spacing w:line="440" w:lineRule="exact"/>
        <w:ind w:firstLine="422" w:firstLineChars="200"/>
        <w:rPr>
          <w:rFonts w:hAnsi="宋体"/>
          <w:b/>
          <w:bCs/>
          <w:color w:val="auto"/>
          <w:szCs w:val="21"/>
          <w:highlight w:val="none"/>
        </w:rPr>
      </w:pPr>
      <w:r>
        <w:rPr>
          <w:rFonts w:hint="eastAsia" w:hAnsi="宋体"/>
          <w:b/>
          <w:bCs/>
          <w:color w:val="auto"/>
          <w:szCs w:val="21"/>
          <w:highlight w:val="none"/>
        </w:rPr>
        <w:t>（三）开标流程（两阶段）</w:t>
      </w:r>
    </w:p>
    <w:p w14:paraId="4A3ED665">
      <w:pPr>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1、开标第一阶段</w:t>
      </w:r>
    </w:p>
    <w:p w14:paraId="67B3B103">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39AB580">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（2）开启投标文件，进入资格审查；</w:t>
      </w:r>
    </w:p>
    <w:p w14:paraId="1131E18B">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（3）开启资格审查通过的投标供应商的商务技术文件进入符合性审查、商务技术评审。</w:t>
      </w:r>
    </w:p>
    <w:p w14:paraId="41A656A8">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（4）第一阶段开标结束。</w:t>
      </w:r>
    </w:p>
    <w:p w14:paraId="2557379C">
      <w:pPr>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备注：首先依法对投标供应商的资格进行审查，资格审查结束后进入符合性审查和商务技术的评审工作，具体见本章节“投标供应商资格审查”相关规定。</w:t>
      </w:r>
    </w:p>
    <w:p w14:paraId="1DFD2794">
      <w:pPr>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2、开标大会第二阶段</w:t>
      </w:r>
    </w:p>
    <w:p w14:paraId="13E40C52">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（1）符合性审查、商务技术评审结束后，举行开标大会第二阶段会议。</w:t>
      </w:r>
    </w:p>
    <w:p w14:paraId="2EB95811">
      <w:pPr>
        <w:pStyle w:val="14"/>
        <w:spacing w:line="440" w:lineRule="exact"/>
        <w:ind w:firstLine="415" w:firstLineChars="198"/>
        <w:rPr>
          <w:rFonts w:hAnsi="宋体"/>
          <w:color w:val="auto"/>
          <w:szCs w:val="21"/>
          <w:highlight w:val="none"/>
        </w:rPr>
      </w:pPr>
      <w:r>
        <w:rPr>
          <w:rFonts w:hint="eastAsia" w:hAnsi="宋体"/>
          <w:color w:val="auto"/>
          <w:kern w:val="0"/>
          <w:szCs w:val="21"/>
          <w:highlight w:val="none"/>
        </w:rPr>
        <w:t>（2）</w:t>
      </w:r>
      <w:r>
        <w:rPr>
          <w:rFonts w:hint="eastAsia" w:hAnsi="宋体"/>
          <w:color w:val="auto"/>
          <w:szCs w:val="21"/>
          <w:highlight w:val="none"/>
        </w:rPr>
        <w:t>磋商小组通过</w:t>
      </w:r>
      <w:r>
        <w:rPr>
          <w:rFonts w:hint="eastAsia" w:hAnsi="宋体"/>
          <w:b/>
          <w:bCs/>
          <w:color w:val="auto"/>
          <w:szCs w:val="21"/>
          <w:highlight w:val="none"/>
        </w:rPr>
        <w:t>远程视频或政采云系统发起磋商</w:t>
      </w:r>
      <w:r>
        <w:rPr>
          <w:rFonts w:hint="eastAsia" w:hAnsi="宋体"/>
          <w:color w:val="auto"/>
          <w:szCs w:val="21"/>
          <w:highlight w:val="none"/>
        </w:rPr>
        <w:t>，按标项与各磋商响应方就公司情况、项目需求、项目方案、价格构成、付款方式等要素分别进行逐家磋商。</w:t>
      </w:r>
    </w:p>
    <w:p w14:paraId="17745972">
      <w:pPr>
        <w:pStyle w:val="14"/>
        <w:spacing w:line="440" w:lineRule="exact"/>
        <w:ind w:firstLine="415" w:firstLineChars="198"/>
        <w:rPr>
          <w:rFonts w:hAnsi="宋体"/>
          <w:color w:val="auto"/>
          <w:szCs w:val="21"/>
          <w:highlight w:val="none"/>
        </w:rPr>
      </w:pPr>
      <w:r>
        <w:rPr>
          <w:rFonts w:hint="eastAsia" w:hAnsi="宋体"/>
          <w:color w:val="auto"/>
          <w:kern w:val="0"/>
          <w:szCs w:val="21"/>
          <w:highlight w:val="none"/>
        </w:rPr>
        <w:t>（3）</w:t>
      </w:r>
      <w:r>
        <w:rPr>
          <w:rFonts w:hint="eastAsia" w:hAnsi="宋体"/>
          <w:color w:val="auto"/>
          <w:szCs w:val="21"/>
          <w:highlight w:val="none"/>
        </w:rPr>
        <w:t>在磋商过程中，采购人和磋商对象可就合同内容进行磋商，技术服务需求如双方都认为有必要的情况可作相应微调，但评分标准不作调整。</w:t>
      </w:r>
    </w:p>
    <w:p w14:paraId="65983903">
      <w:pPr>
        <w:pStyle w:val="14"/>
        <w:spacing w:line="440" w:lineRule="exact"/>
        <w:ind w:firstLine="415" w:firstLineChars="198"/>
        <w:rPr>
          <w:rFonts w:hAnsi="宋体"/>
          <w:color w:val="auto"/>
          <w:szCs w:val="21"/>
          <w:highlight w:val="none"/>
        </w:rPr>
      </w:pPr>
      <w:r>
        <w:rPr>
          <w:rFonts w:hint="eastAsia" w:hAnsi="宋体"/>
          <w:color w:val="auto"/>
          <w:kern w:val="0"/>
          <w:szCs w:val="21"/>
          <w:highlight w:val="none"/>
        </w:rPr>
        <w:t>（4）</w:t>
      </w:r>
      <w:r>
        <w:rPr>
          <w:rFonts w:hint="eastAsia" w:hAnsi="宋体"/>
          <w:color w:val="auto"/>
          <w:szCs w:val="21"/>
          <w:highlight w:val="none"/>
        </w:rPr>
        <w:t>如磋商过程中有调整的内容，在最后一轮报价前，代理机构和采购人将根据磋商内容将调整的部分发给符合参与最后一轮报价的供应商，以便其在最后一轮报价中调整报价。</w:t>
      </w:r>
    </w:p>
    <w:p w14:paraId="1BD016B0">
      <w:pPr>
        <w:pStyle w:val="14"/>
        <w:spacing w:line="440" w:lineRule="exact"/>
        <w:ind w:firstLine="415" w:firstLineChars="198"/>
        <w:rPr>
          <w:rFonts w:hAnsi="宋体"/>
          <w:color w:val="auto"/>
          <w:szCs w:val="21"/>
          <w:highlight w:val="none"/>
        </w:rPr>
      </w:pPr>
      <w:r>
        <w:rPr>
          <w:rFonts w:hint="eastAsia" w:hAnsi="宋体"/>
          <w:color w:val="auto"/>
          <w:kern w:val="0"/>
          <w:szCs w:val="21"/>
          <w:highlight w:val="none"/>
        </w:rPr>
        <w:t>（5）</w:t>
      </w:r>
      <w:r>
        <w:rPr>
          <w:rFonts w:hint="eastAsia" w:hAnsi="宋体"/>
          <w:color w:val="auto"/>
          <w:szCs w:val="21"/>
          <w:highlight w:val="none"/>
        </w:rPr>
        <w:t>标项磋商结束后，磋商小组根据本磋商文件的评审方法对各供应商的商务资信技术服务情况进行评审打分，然后对各供应商的初次报价进行审核。</w:t>
      </w:r>
    </w:p>
    <w:p w14:paraId="19031550">
      <w:pPr>
        <w:pStyle w:val="14"/>
        <w:spacing w:line="440" w:lineRule="exact"/>
        <w:ind w:firstLine="415" w:firstLineChars="198"/>
        <w:rPr>
          <w:rFonts w:hAnsi="宋体"/>
          <w:color w:val="auto"/>
          <w:szCs w:val="21"/>
          <w:highlight w:val="none"/>
        </w:rPr>
      </w:pPr>
      <w:r>
        <w:rPr>
          <w:rFonts w:hint="eastAsia" w:hAnsi="宋体"/>
          <w:color w:val="auto"/>
          <w:kern w:val="0"/>
          <w:szCs w:val="21"/>
          <w:highlight w:val="none"/>
        </w:rPr>
        <w:t>（6）报价评审后</w:t>
      </w:r>
      <w:r>
        <w:rPr>
          <w:rFonts w:hint="eastAsia" w:hAnsi="宋体"/>
          <w:color w:val="auto"/>
          <w:szCs w:val="21"/>
          <w:highlight w:val="none"/>
        </w:rPr>
        <w:t>，代理机构在政采云系统开启最终报价（最终报价的最高限价默认为采购文件规定的最高限价），要求各供应商在规定时间（默认30分钟）内在政采云系统里进行最终报价。在规定时间内没有提交最终报价的供应商，视为退出磋商。</w:t>
      </w:r>
    </w:p>
    <w:p w14:paraId="26555A75">
      <w:pPr>
        <w:pStyle w:val="14"/>
        <w:spacing w:line="440" w:lineRule="exact"/>
        <w:ind w:firstLine="415" w:firstLineChars="198"/>
        <w:rPr>
          <w:rFonts w:hAnsi="宋体"/>
          <w:color w:val="auto"/>
          <w:szCs w:val="21"/>
          <w:highlight w:val="none"/>
        </w:rPr>
      </w:pPr>
      <w:r>
        <w:rPr>
          <w:rFonts w:hint="eastAsia" w:hAnsi="宋体"/>
          <w:color w:val="auto"/>
          <w:kern w:val="0"/>
          <w:szCs w:val="21"/>
          <w:highlight w:val="none"/>
        </w:rPr>
        <w:t>（7）</w:t>
      </w:r>
      <w:r>
        <w:rPr>
          <w:rFonts w:hint="eastAsia" w:hAnsi="宋体"/>
          <w:color w:val="auto"/>
          <w:szCs w:val="21"/>
          <w:highlight w:val="none"/>
        </w:rPr>
        <w:t>在规定时间内供应商全部提交最终报价后，磋商小组对最终报价的合理性进行审核，决定是否结束磋商。若报价合理，磋商小组则根据第四章评标方法推荐中标</w:t>
      </w:r>
      <w:r>
        <w:rPr>
          <w:rFonts w:hint="eastAsia" w:hAnsi="宋体"/>
          <w:color w:val="auto"/>
          <w:kern w:val="0"/>
          <w:szCs w:val="21"/>
          <w:highlight w:val="none"/>
        </w:rPr>
        <w:t>（成交）</w:t>
      </w:r>
      <w:r>
        <w:rPr>
          <w:rFonts w:hint="eastAsia" w:hAnsi="宋体"/>
          <w:color w:val="auto"/>
          <w:szCs w:val="21"/>
          <w:highlight w:val="none"/>
        </w:rPr>
        <w:t>候选供应商。</w:t>
      </w:r>
    </w:p>
    <w:p w14:paraId="337BFD6A">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（8）最后</w:t>
      </w:r>
      <w:r>
        <w:rPr>
          <w:rFonts w:hint="eastAsia" w:ascii="宋体" w:hAnsi="宋体" w:cs="宋体"/>
          <w:color w:val="auto"/>
          <w:kern w:val="0"/>
          <w:szCs w:val="21"/>
          <w:highlight w:val="none"/>
        </w:rPr>
        <w:t>代理机构在政采云系统进行结果公布。</w:t>
      </w:r>
    </w:p>
    <w:p w14:paraId="36B5AD37">
      <w:pPr>
        <w:spacing w:line="44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特别说明：如遇“政府采购云平台”电子化开标或评审程序调整的，按调整后程序执行。</w:t>
      </w:r>
    </w:p>
    <w:p w14:paraId="72C2EB6C">
      <w:pPr>
        <w:pStyle w:val="14"/>
        <w:snapToGrid w:val="0"/>
        <w:spacing w:line="440" w:lineRule="exact"/>
        <w:ind w:firstLine="422" w:firstLineChars="200"/>
        <w:rPr>
          <w:rFonts w:hAnsi="宋体"/>
          <w:b/>
          <w:bCs/>
          <w:color w:val="auto"/>
          <w:szCs w:val="21"/>
          <w:highlight w:val="none"/>
        </w:rPr>
      </w:pPr>
      <w:bookmarkStart w:id="61" w:name="_Toc33194393"/>
      <w:bookmarkStart w:id="62" w:name="_Toc24550037"/>
      <w:r>
        <w:rPr>
          <w:rFonts w:hint="eastAsia" w:hAnsi="宋体"/>
          <w:b/>
          <w:bCs/>
          <w:color w:val="auto"/>
          <w:szCs w:val="21"/>
          <w:highlight w:val="none"/>
        </w:rPr>
        <w:t>（四）投标供应商资格审查</w:t>
      </w:r>
      <w:bookmarkEnd w:id="61"/>
      <w:bookmarkEnd w:id="62"/>
    </w:p>
    <w:p w14:paraId="3ACE8346">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1、开标大会第一阶段结束后，首先依法对各投标供应商的资格进行审查，审查各投标供应商的资格是否满足采购文件的要求。</w:t>
      </w:r>
      <w:r>
        <w:rPr>
          <w:rFonts w:hint="eastAsia" w:ascii="宋体" w:hAnsi="宋体" w:cs="宋体"/>
          <w:color w:val="auto"/>
          <w:szCs w:val="21"/>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1F8EE3C8">
      <w:pPr>
        <w:spacing w:line="440" w:lineRule="exact"/>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2、投标供应商提交的资格证明材料无法证明其符合采购文件规定的“投标供应商资格要求”的，采购人或采购代理机构</w:t>
      </w:r>
      <w:r>
        <w:rPr>
          <w:rFonts w:hint="eastAsia" w:ascii="宋体" w:hAnsi="宋体" w:cs="宋体"/>
          <w:b/>
          <w:color w:val="auto"/>
          <w:kern w:val="0"/>
          <w:szCs w:val="21"/>
          <w:highlight w:val="none"/>
        </w:rPr>
        <w:t>将对其作资格审查不通过处理（无效投标），并不再将其投标提交评标委员会进行后续评审。</w:t>
      </w:r>
    </w:p>
    <w:p w14:paraId="47C530D8">
      <w:pPr>
        <w:pStyle w:val="14"/>
        <w:snapToGrid w:val="0"/>
        <w:spacing w:line="420" w:lineRule="exact"/>
        <w:rPr>
          <w:rFonts w:hAnsi="宋体"/>
          <w:color w:val="auto"/>
          <w:szCs w:val="21"/>
          <w:highlight w:val="none"/>
        </w:rPr>
      </w:pPr>
    </w:p>
    <w:p w14:paraId="72EFA95B">
      <w:pPr>
        <w:pStyle w:val="14"/>
        <w:snapToGrid w:val="0"/>
        <w:spacing w:line="420" w:lineRule="exact"/>
        <w:ind w:left="842" w:leftChars="267" w:hanging="281" w:hangingChars="100"/>
        <w:jc w:val="center"/>
        <w:outlineLvl w:val="1"/>
        <w:rPr>
          <w:rFonts w:hAnsi="宋体"/>
          <w:b/>
          <w:color w:val="auto"/>
          <w:sz w:val="28"/>
          <w:szCs w:val="28"/>
          <w:highlight w:val="none"/>
        </w:rPr>
      </w:pPr>
      <w:bookmarkStart w:id="63" w:name="_Toc33535370"/>
      <w:r>
        <w:rPr>
          <w:rFonts w:hint="eastAsia" w:hAnsi="宋体"/>
          <w:b/>
          <w:color w:val="auto"/>
          <w:sz w:val="28"/>
          <w:szCs w:val="28"/>
          <w:highlight w:val="none"/>
        </w:rPr>
        <w:t>五、评标</w:t>
      </w:r>
      <w:bookmarkEnd w:id="63"/>
    </w:p>
    <w:p w14:paraId="6F40EE8F">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（一）组建评标委员会</w:t>
      </w:r>
    </w:p>
    <w:p w14:paraId="290CD05F">
      <w:pPr>
        <w:pStyle w:val="14"/>
        <w:snapToGrid w:val="0"/>
        <w:spacing w:line="420" w:lineRule="exact"/>
        <w:ind w:firstLine="420" w:firstLineChars="200"/>
        <w:rPr>
          <w:rFonts w:hAnsi="宋体"/>
          <w:color w:val="auto"/>
          <w:szCs w:val="21"/>
          <w:highlight w:val="none"/>
        </w:rPr>
      </w:pPr>
      <w:r>
        <w:rPr>
          <w:rFonts w:hint="eastAsia" w:hAnsi="宋体"/>
          <w:color w:val="auto"/>
          <w:kern w:val="0"/>
          <w:szCs w:val="21"/>
          <w:highlight w:val="none"/>
        </w:rPr>
        <w:t>评标委员会由</w:t>
      </w:r>
      <w:r>
        <w:rPr>
          <w:rFonts w:hint="eastAsia" w:hAnsi="宋体"/>
          <w:color w:val="auto"/>
          <w:szCs w:val="21"/>
          <w:highlight w:val="none"/>
        </w:rPr>
        <w:t>政府采购评审专家</w:t>
      </w:r>
      <w:r>
        <w:rPr>
          <w:rFonts w:hint="eastAsia" w:hAnsi="宋体"/>
          <w:color w:val="auto"/>
          <w:szCs w:val="21"/>
          <w:highlight w:val="none"/>
          <w:u w:val="single"/>
        </w:rPr>
        <w:t>2</w:t>
      </w:r>
      <w:r>
        <w:rPr>
          <w:rFonts w:hint="eastAsia" w:hAnsi="宋体"/>
          <w:color w:val="auto"/>
          <w:szCs w:val="21"/>
          <w:highlight w:val="none"/>
        </w:rPr>
        <w:t>人和采购人代表</w:t>
      </w:r>
      <w:r>
        <w:rPr>
          <w:rFonts w:hint="eastAsia" w:hAnsi="宋体"/>
          <w:color w:val="auto"/>
          <w:szCs w:val="21"/>
          <w:highlight w:val="none"/>
          <w:u w:val="single"/>
        </w:rPr>
        <w:t>1</w:t>
      </w:r>
      <w:r>
        <w:rPr>
          <w:rFonts w:hint="eastAsia" w:hAnsi="宋体"/>
          <w:color w:val="auto"/>
          <w:szCs w:val="21"/>
          <w:highlight w:val="none"/>
        </w:rPr>
        <w:t>人，共</w:t>
      </w:r>
      <w:r>
        <w:rPr>
          <w:rFonts w:hint="eastAsia" w:hAnsi="宋体"/>
          <w:color w:val="auto"/>
          <w:szCs w:val="21"/>
          <w:highlight w:val="none"/>
          <w:u w:val="single"/>
        </w:rPr>
        <w:t>3</w:t>
      </w:r>
      <w:r>
        <w:rPr>
          <w:rFonts w:hint="eastAsia" w:hAnsi="宋体"/>
          <w:color w:val="auto"/>
          <w:szCs w:val="21"/>
          <w:highlight w:val="none"/>
        </w:rPr>
        <w:t>人组成。</w:t>
      </w:r>
    </w:p>
    <w:p w14:paraId="6BA2A00E">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评标委员会负责具体评标事务，并独立履行下列职责：</w:t>
      </w:r>
    </w:p>
    <w:p w14:paraId="58E3273B">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1、审查、评价投标文件是否符合采购文件的商务技术等实质性要求；</w:t>
      </w:r>
    </w:p>
    <w:p w14:paraId="1D64DCE0">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2、要求供应商对投标文件有关事项作出澄清或者说明；</w:t>
      </w:r>
    </w:p>
    <w:p w14:paraId="417A3A11">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3、对投标文件进行比较和评价；</w:t>
      </w:r>
    </w:p>
    <w:p w14:paraId="09127CF7">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4、确定中标候选人名单，以及根据采购人委托直接确定中标人；</w:t>
      </w:r>
    </w:p>
    <w:p w14:paraId="2550BA97">
      <w:pPr>
        <w:widowControl/>
        <w:shd w:val="clear" w:color="auto" w:fill="FFFFFF"/>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5、向采购人、采购代理机构或者有关部门报告评标中发现的违法行为。</w:t>
      </w:r>
    </w:p>
    <w:p w14:paraId="251308CD">
      <w:pPr>
        <w:widowControl/>
        <w:shd w:val="clear" w:color="auto" w:fill="FFFFFF"/>
        <w:spacing w:line="42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除采购人代表、评标现场组织人员外，采购人的其他工作人员以及与评标工作无关的人员不得进入评标现场。</w:t>
      </w:r>
    </w:p>
    <w:p w14:paraId="6645610F">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（二）评标的方式</w:t>
      </w:r>
    </w:p>
    <w:p w14:paraId="0EA96C52">
      <w:pPr>
        <w:pStyle w:val="14"/>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本项目采用不公开方式评标，评标的依据为采购文件和投标文件。</w:t>
      </w:r>
    </w:p>
    <w:p w14:paraId="14AD4089">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（三）评标程序</w:t>
      </w:r>
    </w:p>
    <w:p w14:paraId="55918AD4">
      <w:pPr>
        <w:pStyle w:val="14"/>
        <w:snapToGrid w:val="0"/>
        <w:spacing w:line="420" w:lineRule="exact"/>
        <w:ind w:firstLine="420" w:firstLineChars="200"/>
        <w:rPr>
          <w:rFonts w:hAnsi="宋体"/>
          <w:bCs/>
          <w:color w:val="auto"/>
          <w:szCs w:val="21"/>
          <w:highlight w:val="none"/>
        </w:rPr>
      </w:pPr>
      <w:r>
        <w:rPr>
          <w:rFonts w:hint="eastAsia" w:hAnsi="宋体"/>
          <w:bCs/>
          <w:color w:val="auto"/>
          <w:szCs w:val="21"/>
          <w:highlight w:val="none"/>
        </w:rPr>
        <w:t>采购人可以在评标前说明项目背景和采购需求，说明内容不得含有歧视性、倾向性意见，不得超出采购文件所述范围。说明应当提交书面材料，并随采购文件一并存档。</w:t>
      </w:r>
    </w:p>
    <w:p w14:paraId="4B87D6A9">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1、形式审查</w:t>
      </w:r>
    </w:p>
    <w:p w14:paraId="3542DD99">
      <w:pPr>
        <w:snapToGrid w:val="0"/>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形式审查包括资格审查和符合性审查，即对供应商的资格和投标文件的完整性、合法性等进行审查。投标文件形式审查未通过的供应商，其投标文件将不再评审。</w:t>
      </w:r>
    </w:p>
    <w:p w14:paraId="613C0601">
      <w:pPr>
        <w:snapToGrid w:val="0"/>
        <w:spacing w:line="42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2、实质审查与比较</w:t>
      </w:r>
    </w:p>
    <w:p w14:paraId="56BF42E2">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（1）评标委员会审查投标文件的实质性内容是否符合采购文件的实质性要求。</w:t>
      </w:r>
    </w:p>
    <w:p w14:paraId="0275AEDF">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（2）评标委员会将根据供应商的投标文件进行审查、核对，如有疑问，将对供应商进行询标，供应商要向评标委员会澄清有关问题，并最终以书面形式进行答复。</w:t>
      </w:r>
    </w:p>
    <w:p w14:paraId="77C26186">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询标时，供应商代表未在线或者拒绝澄清或者澄清的内容改变了投标文件的实质性内容的，评标委员会有权对该投标文件作出不利于供应商的评判。</w:t>
      </w:r>
    </w:p>
    <w:p w14:paraId="77243A94">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（3）各供应商的商务资信技术分按照评标委员会成员的独立评分结果汇总后的算术平均分计算。</w:t>
      </w:r>
    </w:p>
    <w:p w14:paraId="43E83C12">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（4）采购代理机构工作人员协助评标委员会根据本项目的评分标准操作政府采购业务系统，由系统计算各供应商的报价得分。</w:t>
      </w:r>
    </w:p>
    <w:p w14:paraId="3F556591">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（5）评标委员会完成评标后，评委对各部分得分汇总，计算出本项目最终得分、性价比、评标价等。评标委员会按评标原则推荐中标候选人同时起草评标报告。</w:t>
      </w:r>
    </w:p>
    <w:p w14:paraId="4A263C26">
      <w:pPr>
        <w:snapToGrid w:val="0"/>
        <w:spacing w:line="4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（四）澄清问题的形式</w:t>
      </w:r>
    </w:p>
    <w:p w14:paraId="37DE5ACB">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684DE12E">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0EC48DD6">
      <w:pPr>
        <w:pStyle w:val="14"/>
        <w:tabs>
          <w:tab w:val="left" w:pos="630"/>
        </w:tabs>
        <w:snapToGrid w:val="0"/>
        <w:spacing w:line="420" w:lineRule="exact"/>
        <w:ind w:firstLine="422" w:firstLineChars="200"/>
        <w:rPr>
          <w:rFonts w:hAnsi="宋体"/>
          <w:b/>
          <w:color w:val="auto"/>
          <w:szCs w:val="21"/>
          <w:highlight w:val="none"/>
        </w:rPr>
      </w:pPr>
      <w:r>
        <w:rPr>
          <w:rFonts w:hint="eastAsia" w:hAnsi="宋体"/>
          <w:b/>
          <w:color w:val="auto"/>
          <w:szCs w:val="21"/>
          <w:highlight w:val="none"/>
        </w:rPr>
        <w:t>（五）错误修正</w:t>
      </w:r>
    </w:p>
    <w:p w14:paraId="25820257">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投标文件如果出现计算或表达上的错误，修正错误的原则如下：</w:t>
      </w:r>
    </w:p>
    <w:p w14:paraId="07A094E8">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1、开标一览表总价与投标报价明细表汇总数不一致的，</w:t>
      </w:r>
      <w:r>
        <w:rPr>
          <w:rFonts w:hint="eastAsia" w:ascii="宋体" w:hAnsi="宋体" w:cs="宋体"/>
          <w:color w:val="auto"/>
          <w:kern w:val="0"/>
          <w:szCs w:val="21"/>
          <w:highlight w:val="none"/>
        </w:rPr>
        <w:t>以开标一览表为准；</w:t>
      </w:r>
    </w:p>
    <w:p w14:paraId="367D3ED4">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2、投标文件的大写金额和小写金额不一致的，以大写金额为准；</w:t>
      </w:r>
    </w:p>
    <w:p w14:paraId="7DE02DD8">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3、总价金额与按单价汇总金额不一致的，以单价金额计算结果为准；</w:t>
      </w:r>
    </w:p>
    <w:p w14:paraId="1C4BA7B7">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4、对不同文字文本投标文件的解释发生异议的，以中文文本为准；</w:t>
      </w:r>
    </w:p>
    <w:p w14:paraId="1D6DCEDB">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5、</w:t>
      </w:r>
      <w:r>
        <w:rPr>
          <w:rFonts w:hint="eastAsia" w:hAnsi="宋体"/>
          <w:color w:val="auto"/>
          <w:highlight w:val="none"/>
        </w:rPr>
        <w:t>政采云平台填报的开标一览表中的价格与上传的报价文件中开标一览表的报价不一致的，以上传的报价文件为准</w:t>
      </w:r>
      <w:r>
        <w:rPr>
          <w:rFonts w:hint="eastAsia" w:hAnsi="宋体"/>
          <w:color w:val="auto"/>
          <w:szCs w:val="21"/>
          <w:highlight w:val="none"/>
        </w:rPr>
        <w:t>。</w:t>
      </w:r>
    </w:p>
    <w:p w14:paraId="18A563F4">
      <w:pPr>
        <w:pStyle w:val="14"/>
        <w:snapToGrid w:val="0"/>
        <w:spacing w:line="420" w:lineRule="exact"/>
        <w:ind w:firstLine="422" w:firstLineChars="200"/>
        <w:rPr>
          <w:rFonts w:hAnsi="宋体"/>
          <w:b/>
          <w:bCs/>
          <w:color w:val="auto"/>
          <w:szCs w:val="21"/>
          <w:highlight w:val="none"/>
        </w:rPr>
      </w:pPr>
      <w:r>
        <w:rPr>
          <w:rFonts w:hint="eastAsia" w:hAnsi="宋体"/>
          <w:b/>
          <w:bCs/>
          <w:color w:val="auto"/>
          <w:szCs w:val="21"/>
          <w:highlight w:val="none"/>
        </w:rPr>
        <w:t>同时出现两种及以上不一致的，按照前款规定的顺序修正。修正后的报价经投标人确认后产生约束力，投标人不确认的，其投标无效。</w:t>
      </w:r>
    </w:p>
    <w:p w14:paraId="1BF84A8E">
      <w:pPr>
        <w:pStyle w:val="14"/>
        <w:tabs>
          <w:tab w:val="left" w:pos="630"/>
        </w:tabs>
        <w:snapToGrid w:val="0"/>
        <w:spacing w:line="420" w:lineRule="exact"/>
        <w:ind w:firstLine="422" w:firstLineChars="200"/>
        <w:rPr>
          <w:rFonts w:hAnsi="宋体"/>
          <w:b/>
          <w:color w:val="auto"/>
          <w:szCs w:val="21"/>
          <w:highlight w:val="none"/>
        </w:rPr>
      </w:pPr>
      <w:r>
        <w:rPr>
          <w:rFonts w:hint="eastAsia" w:hAnsi="宋体"/>
          <w:b/>
          <w:color w:val="auto"/>
          <w:szCs w:val="21"/>
          <w:highlight w:val="none"/>
        </w:rPr>
        <w:t>（六）评标原则和评标办法</w:t>
      </w:r>
    </w:p>
    <w:p w14:paraId="1F50E4EE">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D6B52E7">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2、评标办法。本项目评标办法是 综合评分法 ，具体评标内容及评分标准等详见《第四章：评标办法及评分标准》。</w:t>
      </w:r>
    </w:p>
    <w:p w14:paraId="19585CF5">
      <w:pPr>
        <w:pStyle w:val="14"/>
        <w:snapToGrid w:val="0"/>
        <w:spacing w:line="420" w:lineRule="exact"/>
        <w:ind w:firstLine="422" w:firstLineChars="200"/>
        <w:rPr>
          <w:rFonts w:hAnsi="宋体"/>
          <w:b/>
          <w:color w:val="auto"/>
          <w:szCs w:val="21"/>
          <w:highlight w:val="none"/>
        </w:rPr>
      </w:pPr>
      <w:r>
        <w:rPr>
          <w:rFonts w:hint="eastAsia" w:hAnsi="宋体"/>
          <w:b/>
          <w:color w:val="auto"/>
          <w:szCs w:val="21"/>
          <w:highlight w:val="none"/>
        </w:rPr>
        <w:t>（七）评标过程的监控</w:t>
      </w:r>
    </w:p>
    <w:p w14:paraId="6DF2F25A">
      <w:pPr>
        <w:pStyle w:val="14"/>
        <w:snapToGrid w:val="0"/>
        <w:spacing w:line="420" w:lineRule="exact"/>
        <w:ind w:firstLine="420" w:firstLineChars="200"/>
        <w:rPr>
          <w:rFonts w:hAnsi="宋体"/>
          <w:color w:val="auto"/>
          <w:szCs w:val="21"/>
          <w:highlight w:val="none"/>
        </w:rPr>
      </w:pPr>
      <w:r>
        <w:rPr>
          <w:rFonts w:hint="eastAsia" w:hAnsi="宋体"/>
          <w:color w:val="auto"/>
          <w:szCs w:val="21"/>
          <w:highlight w:val="none"/>
        </w:rPr>
        <w:t>本项目评标过程实行全程录音、录像监控。供应商在评标过程中所进行的试图影响评标结果的不公正活动，可能导致其投标被拒绝。</w:t>
      </w:r>
    </w:p>
    <w:p w14:paraId="1C484E40">
      <w:pPr>
        <w:pStyle w:val="14"/>
        <w:snapToGrid w:val="0"/>
        <w:spacing w:line="420" w:lineRule="exact"/>
        <w:ind w:firstLine="413" w:firstLineChars="196"/>
        <w:jc w:val="center"/>
        <w:outlineLvl w:val="1"/>
        <w:rPr>
          <w:rFonts w:hAnsi="宋体"/>
          <w:b/>
          <w:color w:val="auto"/>
          <w:szCs w:val="21"/>
          <w:highlight w:val="none"/>
        </w:rPr>
      </w:pPr>
      <w:bookmarkStart w:id="64" w:name="_Toc33535371"/>
    </w:p>
    <w:p w14:paraId="1CEEA1ED">
      <w:pPr>
        <w:pStyle w:val="14"/>
        <w:snapToGrid w:val="0"/>
        <w:spacing w:line="420" w:lineRule="exact"/>
        <w:ind w:firstLine="551" w:firstLineChars="196"/>
        <w:jc w:val="center"/>
        <w:outlineLvl w:val="1"/>
        <w:rPr>
          <w:rFonts w:hAnsi="宋体"/>
          <w:b/>
          <w:color w:val="auto"/>
          <w:sz w:val="28"/>
          <w:szCs w:val="28"/>
          <w:highlight w:val="none"/>
        </w:rPr>
      </w:pPr>
      <w:r>
        <w:rPr>
          <w:rFonts w:hint="eastAsia" w:hAnsi="宋体"/>
          <w:b/>
          <w:color w:val="auto"/>
          <w:sz w:val="28"/>
          <w:szCs w:val="28"/>
          <w:highlight w:val="none"/>
        </w:rPr>
        <w:t>六、定标</w:t>
      </w:r>
      <w:bookmarkEnd w:id="64"/>
    </w:p>
    <w:p w14:paraId="09C6CF2D">
      <w:pPr>
        <w:pStyle w:val="14"/>
        <w:snapToGrid w:val="0"/>
        <w:spacing w:line="420" w:lineRule="exact"/>
        <w:ind w:firstLine="413" w:firstLineChars="196"/>
        <w:rPr>
          <w:rFonts w:hAnsi="宋体"/>
          <w:b/>
          <w:bCs/>
          <w:color w:val="auto"/>
          <w:szCs w:val="21"/>
          <w:highlight w:val="none"/>
        </w:rPr>
      </w:pPr>
      <w:r>
        <w:rPr>
          <w:rFonts w:hint="eastAsia" w:hAnsi="宋体"/>
          <w:b/>
          <w:bCs/>
          <w:color w:val="auto"/>
          <w:szCs w:val="21"/>
          <w:highlight w:val="none"/>
        </w:rPr>
        <w:t>（一）确定中标人。</w:t>
      </w:r>
    </w:p>
    <w:p w14:paraId="2B06AF2A">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1、采购代理机构在评标结束后2个工作日内将评标报告交采购人确认，同时在发布采购公告的网站上对评标结果进行公告。</w:t>
      </w:r>
    </w:p>
    <w:p w14:paraId="3A7AB27A">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14:paraId="101DD275">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3.在公告中标结果的同时，采购代理机构向中标人发出中标通知书。</w:t>
      </w:r>
    </w:p>
    <w:p w14:paraId="631F87B4">
      <w:pPr>
        <w:pStyle w:val="14"/>
        <w:snapToGrid w:val="0"/>
        <w:spacing w:line="420" w:lineRule="exact"/>
        <w:ind w:firstLine="413" w:firstLineChars="196"/>
        <w:jc w:val="center"/>
        <w:outlineLvl w:val="1"/>
        <w:rPr>
          <w:rFonts w:hAnsi="宋体"/>
          <w:b/>
          <w:color w:val="auto"/>
          <w:szCs w:val="21"/>
          <w:highlight w:val="none"/>
        </w:rPr>
      </w:pPr>
      <w:bookmarkStart w:id="65" w:name="_Toc33535372"/>
    </w:p>
    <w:p w14:paraId="4BA5DCE1">
      <w:pPr>
        <w:pStyle w:val="14"/>
        <w:snapToGrid w:val="0"/>
        <w:spacing w:line="420" w:lineRule="exact"/>
        <w:ind w:firstLine="551" w:firstLineChars="196"/>
        <w:jc w:val="center"/>
        <w:outlineLvl w:val="1"/>
        <w:rPr>
          <w:rFonts w:hAnsi="宋体"/>
          <w:b/>
          <w:color w:val="auto"/>
          <w:sz w:val="28"/>
          <w:szCs w:val="28"/>
          <w:highlight w:val="none"/>
        </w:rPr>
      </w:pPr>
      <w:r>
        <w:rPr>
          <w:rFonts w:hint="eastAsia" w:hAnsi="宋体"/>
          <w:b/>
          <w:color w:val="auto"/>
          <w:sz w:val="28"/>
          <w:szCs w:val="28"/>
          <w:highlight w:val="none"/>
        </w:rPr>
        <w:t>七、合同授予</w:t>
      </w:r>
      <w:bookmarkEnd w:id="65"/>
    </w:p>
    <w:p w14:paraId="3517916F">
      <w:pPr>
        <w:snapToGrid w:val="0"/>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（一）签订合同</w:t>
      </w:r>
    </w:p>
    <w:p w14:paraId="6433262A">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1、采购人与中标人应当在《中标通知书》发出之日起30日内签订政府采购合同。同时，采购机构对合同内容进行审查，如发现与采购结果和投标承诺内容不一致的，将予以纠正。</w:t>
      </w:r>
    </w:p>
    <w:p w14:paraId="194C071B">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2、中标人拖延、拒签合同的，将被取消中标资格，并报监督管理部门。采购人可以按照评审报告推荐的中标或者成交候选人名单排序，确定下一候选人为中标或者成交供应商，也可以重新开展政府采购活动。</w:t>
      </w:r>
    </w:p>
    <w:p w14:paraId="14B9553A">
      <w:pPr>
        <w:pStyle w:val="14"/>
        <w:snapToGrid w:val="0"/>
        <w:spacing w:line="420" w:lineRule="exact"/>
        <w:ind w:firstLine="420" w:firstLineChars="200"/>
        <w:rPr>
          <w:rFonts w:hAnsi="宋体"/>
          <w:color w:val="auto"/>
          <w:szCs w:val="21"/>
          <w:highlight w:val="none"/>
        </w:rPr>
      </w:pPr>
    </w:p>
    <w:p w14:paraId="25075150">
      <w:pPr>
        <w:pStyle w:val="14"/>
        <w:snapToGrid w:val="0"/>
        <w:spacing w:line="420" w:lineRule="exact"/>
        <w:ind w:firstLine="551" w:firstLineChars="196"/>
        <w:jc w:val="center"/>
        <w:outlineLvl w:val="1"/>
        <w:rPr>
          <w:rFonts w:hAnsi="宋体"/>
          <w:b/>
          <w:color w:val="auto"/>
          <w:sz w:val="28"/>
          <w:szCs w:val="28"/>
          <w:highlight w:val="none"/>
        </w:rPr>
      </w:pPr>
      <w:r>
        <w:rPr>
          <w:rFonts w:hint="eastAsia" w:hAnsi="宋体"/>
          <w:b/>
          <w:color w:val="auto"/>
          <w:sz w:val="28"/>
          <w:szCs w:val="28"/>
          <w:highlight w:val="none"/>
        </w:rPr>
        <w:t>八、采购代理费</w:t>
      </w:r>
    </w:p>
    <w:p w14:paraId="24C7293B">
      <w:pPr>
        <w:pStyle w:val="7"/>
        <w:rPr>
          <w:color w:val="auto"/>
          <w:highlight w:val="none"/>
        </w:rPr>
      </w:pPr>
    </w:p>
    <w:p w14:paraId="078574A2">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本项目招标代理服务费按浙价服〔2003〕77号文规定的70%计取，由中标供应商支付。</w:t>
      </w:r>
    </w:p>
    <w:p w14:paraId="25D8272C">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2、服务费的货币为人民币。</w:t>
      </w:r>
    </w:p>
    <w:p w14:paraId="70637EED">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3、服务费支付方式：一次性以银行划账、电汇、汇票或支票的形式支付。</w:t>
      </w:r>
    </w:p>
    <w:p w14:paraId="34092FED">
      <w:pPr>
        <w:snapToGrid w:val="0"/>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4、服务费以银行划账方式按下列要求提交：</w:t>
      </w:r>
    </w:p>
    <w:p w14:paraId="5F806B3E">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户名：浙江中惠工程管理有限公司</w:t>
      </w:r>
    </w:p>
    <w:p w14:paraId="5C9F02B0">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开户银行：嘉兴银行秀洲支行</w:t>
      </w:r>
    </w:p>
    <w:p w14:paraId="5B36F99F">
      <w:pPr>
        <w:widowControl/>
        <w:tabs>
          <w:tab w:val="left" w:pos="848"/>
        </w:tabs>
        <w:snapToGrid w:val="0"/>
        <w:spacing w:line="420" w:lineRule="exact"/>
        <w:ind w:firstLine="843" w:firstLineChars="400"/>
        <w:jc w:val="left"/>
        <w:rPr>
          <w:rFonts w:ascii="宋体" w:hAnsi="宋体" w:cs="宋体"/>
          <w:b/>
          <w:bCs/>
          <w:color w:val="auto"/>
          <w:szCs w:val="21"/>
          <w:highlight w:val="none"/>
        </w:rPr>
      </w:pPr>
      <w:r>
        <w:rPr>
          <w:rFonts w:hint="eastAsia" w:ascii="宋体" w:hAnsi="宋体" w:cs="宋体"/>
          <w:b/>
          <w:bCs/>
          <w:color w:val="auto"/>
          <w:szCs w:val="21"/>
          <w:highlight w:val="none"/>
        </w:rPr>
        <w:t>账号：</w:t>
      </w:r>
      <w:r>
        <w:rPr>
          <w:rFonts w:ascii="宋体" w:hAnsi="宋体" w:cs="宋体"/>
          <w:b/>
          <w:bCs/>
          <w:color w:val="auto"/>
          <w:szCs w:val="21"/>
          <w:highlight w:val="none"/>
        </w:rPr>
        <w:t>802101201900030989</w:t>
      </w:r>
    </w:p>
    <w:p w14:paraId="671320E0">
      <w:pPr>
        <w:snapToGrid w:val="0"/>
        <w:spacing w:line="420" w:lineRule="exact"/>
        <w:ind w:firstLine="420" w:firstLineChars="200"/>
        <w:jc w:val="left"/>
        <w:rPr>
          <w:rFonts w:ascii="宋体" w:hAnsi="宋体" w:cs="宋体"/>
          <w:b/>
          <w:color w:val="auto"/>
          <w:sz w:val="30"/>
          <w:szCs w:val="30"/>
          <w:highlight w:val="none"/>
        </w:rPr>
      </w:pPr>
      <w:r>
        <w:rPr>
          <w:rFonts w:hint="eastAsia" w:ascii="宋体" w:hAnsi="宋体" w:cs="宋体"/>
          <w:color w:val="auto"/>
          <w:szCs w:val="21"/>
          <w:highlight w:val="none"/>
        </w:rPr>
        <w:t>5、服务费不在投标报价中单列。</w:t>
      </w:r>
    </w:p>
    <w:p w14:paraId="63E12297">
      <w:pPr>
        <w:pStyle w:val="14"/>
        <w:spacing w:before="120" w:after="120" w:line="400" w:lineRule="exact"/>
        <w:jc w:val="center"/>
        <w:rPr>
          <w:rFonts w:hAnsi="宋体"/>
          <w:b/>
          <w:color w:val="auto"/>
          <w:sz w:val="30"/>
          <w:szCs w:val="30"/>
          <w:highlight w:val="none"/>
        </w:rPr>
      </w:pPr>
      <w:r>
        <w:rPr>
          <w:rFonts w:hint="eastAsia" w:hAnsi="宋体"/>
          <w:b/>
          <w:color w:val="auto"/>
          <w:sz w:val="30"/>
          <w:szCs w:val="30"/>
          <w:highlight w:val="none"/>
        </w:rPr>
        <w:br w:type="page"/>
      </w:r>
      <w:r>
        <w:rPr>
          <w:rFonts w:hint="eastAsia" w:hAnsi="宋体"/>
          <w:b/>
          <w:color w:val="auto"/>
          <w:sz w:val="32"/>
          <w:szCs w:val="32"/>
          <w:highlight w:val="none"/>
        </w:rPr>
        <w:t>第四章  评标办法及评分标准</w:t>
      </w:r>
    </w:p>
    <w:p w14:paraId="5E545E69">
      <w:pPr>
        <w:adjustRightInd w:val="0"/>
        <w:snapToGrid w:val="0"/>
        <w:spacing w:line="360" w:lineRule="auto"/>
        <w:ind w:firstLine="420" w:firstLineChars="200"/>
        <w:rPr>
          <w:rFonts w:ascii="宋体" w:hAnsi="宋体" w:cs="宋体"/>
          <w:color w:val="auto"/>
          <w:szCs w:val="21"/>
          <w:highlight w:val="none"/>
        </w:rPr>
      </w:pPr>
      <w:bookmarkStart w:id="66" w:name="_Toc19362"/>
      <w:bookmarkEnd w:id="66"/>
    </w:p>
    <w:p w14:paraId="7EFAB4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为公正、公平、科学地选择中标人，根据《中华人民共和国政府采购法》等有关法律法规的规定，并结合本项目的实际，制定本办法。</w:t>
      </w:r>
    </w:p>
    <w:p w14:paraId="1B203116">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一、总则</w:t>
      </w:r>
    </w:p>
    <w:p w14:paraId="7902E0E8">
      <w:pPr>
        <w:adjustRightInd w:val="0"/>
        <w:snapToGrid w:val="0"/>
        <w:spacing w:line="360" w:lineRule="auto"/>
        <w:rPr>
          <w:rFonts w:ascii="宋体" w:hAnsi="宋体" w:cs="宋体"/>
          <w:bCs/>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hAnsi="宋体" w:cs="宋体"/>
          <w:bCs/>
          <w:color w:val="auto"/>
          <w:szCs w:val="21"/>
          <w:highlight w:val="none"/>
        </w:rPr>
        <w:t>评分过程中采用四舍五入法，并保留小数2位。</w:t>
      </w:r>
    </w:p>
    <w:p w14:paraId="257B4CA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投标人评标</w:t>
      </w:r>
      <w:r>
        <w:rPr>
          <w:rFonts w:hint="eastAsia" w:ascii="宋体" w:hAnsi="宋体" w:cs="宋体"/>
          <w:bCs/>
          <w:color w:val="auto"/>
          <w:szCs w:val="21"/>
          <w:highlight w:val="none"/>
        </w:rPr>
        <w:t>综合得分=价格分+(技术分+资信、商务及其他分)</w:t>
      </w:r>
    </w:p>
    <w:p w14:paraId="4FF857D6">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二、评标内容及标准</w:t>
      </w:r>
    </w:p>
    <w:p w14:paraId="6714C900">
      <w:pPr>
        <w:pStyle w:val="14"/>
        <w:tabs>
          <w:tab w:val="left" w:pos="630"/>
        </w:tabs>
        <w:adjustRightInd w:val="0"/>
        <w:snapToGrid w:val="0"/>
        <w:spacing w:line="360" w:lineRule="auto"/>
        <w:rPr>
          <w:rFonts w:hAnsi="宋体"/>
          <w:b/>
          <w:color w:val="auto"/>
          <w:szCs w:val="21"/>
          <w:highlight w:val="none"/>
        </w:rPr>
      </w:pPr>
      <w:r>
        <w:rPr>
          <w:rFonts w:hint="eastAsia" w:hAnsi="宋体"/>
          <w:b/>
          <w:color w:val="auto"/>
          <w:szCs w:val="21"/>
          <w:highlight w:val="none"/>
        </w:rPr>
        <w:t>（一）价格分（10分）</w:t>
      </w:r>
    </w:p>
    <w:p w14:paraId="35F0B9AA">
      <w:pPr>
        <w:pStyle w:val="14"/>
        <w:adjustRightInd w:val="0"/>
        <w:snapToGrid w:val="0"/>
        <w:spacing w:line="360" w:lineRule="auto"/>
        <w:rPr>
          <w:rFonts w:hAnsi="宋体"/>
          <w:color w:val="auto"/>
          <w:szCs w:val="21"/>
          <w:highlight w:val="none"/>
        </w:rPr>
      </w:pPr>
      <w:r>
        <w:rPr>
          <w:rFonts w:hint="eastAsia" w:hAnsi="宋体"/>
          <w:color w:val="auto"/>
          <w:szCs w:val="21"/>
          <w:highlight w:val="none"/>
        </w:rPr>
        <w:tab/>
      </w:r>
      <w:r>
        <w:rPr>
          <w:rFonts w:hint="eastAsia" w:hAnsi="宋体"/>
          <w:color w:val="auto"/>
          <w:szCs w:val="21"/>
          <w:highlight w:val="none"/>
        </w:rPr>
        <w:t>1、价格分采用低价优先法计算，即满足招标文件要求且投标价格最低的投标报价为评标基准价，其他投标人的价格分按照下列公式计算：</w:t>
      </w:r>
    </w:p>
    <w:p w14:paraId="1B09E2A4">
      <w:pPr>
        <w:pStyle w:val="14"/>
        <w:adjustRightInd w:val="0"/>
        <w:snapToGrid w:val="0"/>
        <w:spacing w:line="360" w:lineRule="auto"/>
        <w:rPr>
          <w:rFonts w:hAnsi="宋体"/>
          <w:color w:val="auto"/>
          <w:szCs w:val="21"/>
          <w:highlight w:val="none"/>
        </w:rPr>
      </w:pPr>
      <w:r>
        <w:rPr>
          <w:rFonts w:hint="eastAsia" w:hAnsi="宋体"/>
          <w:color w:val="auto"/>
          <w:szCs w:val="21"/>
          <w:highlight w:val="none"/>
        </w:rPr>
        <w:tab/>
      </w:r>
      <w:r>
        <w:rPr>
          <w:rFonts w:hint="eastAsia" w:hAnsi="宋体"/>
          <w:color w:val="auto"/>
          <w:szCs w:val="21"/>
          <w:highlight w:val="none"/>
        </w:rPr>
        <w:t>价格分=（评标基准价/投标报价）×10%×100</w:t>
      </w:r>
    </w:p>
    <w:p w14:paraId="643A6EE4">
      <w:pPr>
        <w:pStyle w:val="12"/>
        <w:adjustRightInd w:val="0"/>
        <w:snapToGrid w:val="0"/>
        <w:spacing w:line="360" w:lineRule="auto"/>
        <w:ind w:firstLine="420"/>
        <w:rPr>
          <w:rFonts w:hAnsi="宋体"/>
          <w:color w:val="auto"/>
          <w:sz w:val="21"/>
          <w:szCs w:val="21"/>
          <w:highlight w:val="none"/>
        </w:rPr>
      </w:pPr>
      <w:r>
        <w:rPr>
          <w:rFonts w:hint="eastAsia" w:hAnsi="宋体"/>
          <w:color w:val="auto"/>
          <w:sz w:val="21"/>
          <w:szCs w:val="21"/>
          <w:highlight w:val="none"/>
        </w:rPr>
        <w:t>2、投标人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16A8FE7">
      <w:pPr>
        <w:pStyle w:val="14"/>
        <w:adjustRightInd w:val="0"/>
        <w:snapToGrid w:val="0"/>
        <w:spacing w:line="360" w:lineRule="auto"/>
        <w:ind w:firstLine="420" w:firstLineChars="200"/>
        <w:rPr>
          <w:rFonts w:hAnsi="宋体"/>
          <w:bCs/>
          <w:color w:val="auto"/>
          <w:szCs w:val="21"/>
          <w:highlight w:val="none"/>
        </w:rPr>
      </w:pPr>
      <w:r>
        <w:rPr>
          <w:rFonts w:hint="eastAsia" w:hAnsi="宋体"/>
          <w:bCs/>
          <w:color w:val="auto"/>
          <w:szCs w:val="21"/>
          <w:highlight w:val="none"/>
        </w:rPr>
        <w:t>3、</w:t>
      </w:r>
      <w:r>
        <w:rPr>
          <w:rFonts w:hAnsi="宋体"/>
          <w:bCs/>
          <w:color w:val="auto"/>
          <w:szCs w:val="21"/>
          <w:highlight w:val="none"/>
        </w:rPr>
        <w:t>促进中小企业发展</w:t>
      </w:r>
    </w:p>
    <w:p w14:paraId="125A22DD">
      <w:pPr>
        <w:adjustRightInd w:val="0"/>
        <w:snapToGrid w:val="0"/>
        <w:spacing w:line="360" w:lineRule="auto"/>
        <w:ind w:firstLine="424" w:firstLineChars="202"/>
        <w:jc w:val="left"/>
        <w:rPr>
          <w:rFonts w:ascii="宋体" w:hAnsi="宋体"/>
          <w:bCs/>
          <w:color w:val="auto"/>
          <w:szCs w:val="21"/>
          <w:highlight w:val="none"/>
        </w:rPr>
      </w:pPr>
      <w:r>
        <w:rPr>
          <w:rFonts w:hint="eastAsia" w:ascii="宋体" w:hAnsi="宋体"/>
          <w:bCs/>
          <w:color w:val="auto"/>
          <w:szCs w:val="21"/>
          <w:highlight w:val="none"/>
        </w:rPr>
        <w:t>1）本次采购为非专门面向中小企业预留采购份额的采购项目。</w:t>
      </w:r>
    </w:p>
    <w:p w14:paraId="0E644CCF">
      <w:pPr>
        <w:adjustRightInd w:val="0"/>
        <w:snapToGrid w:val="0"/>
        <w:spacing w:line="360" w:lineRule="auto"/>
        <w:ind w:firstLine="424" w:firstLineChars="202"/>
        <w:jc w:val="left"/>
        <w:rPr>
          <w:rFonts w:ascii="宋体" w:hAnsi="宋体"/>
          <w:bCs/>
          <w:color w:val="auto"/>
          <w:szCs w:val="21"/>
          <w:highlight w:val="none"/>
        </w:rPr>
      </w:pPr>
      <w:r>
        <w:rPr>
          <w:rFonts w:hint="eastAsia" w:ascii="宋体" w:hAnsi="宋体"/>
          <w:bCs/>
          <w:color w:val="auto"/>
          <w:szCs w:val="21"/>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57AADEA">
      <w:pPr>
        <w:adjustRightInd w:val="0"/>
        <w:snapToGrid w:val="0"/>
        <w:spacing w:line="360" w:lineRule="auto"/>
        <w:ind w:firstLine="424" w:firstLineChars="202"/>
        <w:jc w:val="left"/>
        <w:rPr>
          <w:rFonts w:ascii="宋体" w:hAnsi="宋体"/>
          <w:bCs/>
          <w:color w:val="auto"/>
          <w:szCs w:val="21"/>
          <w:highlight w:val="none"/>
        </w:rPr>
      </w:pPr>
      <w:r>
        <w:rPr>
          <w:rFonts w:hint="eastAsia" w:ascii="宋体" w:hAnsi="宋体"/>
          <w:bCs/>
          <w:color w:val="auto"/>
          <w:szCs w:val="21"/>
          <w:highlight w:val="none"/>
        </w:rPr>
        <w:t>3）本次采购标的为服务，对应的中小企业划分标准所属行业是：</w:t>
      </w:r>
      <w:r>
        <w:rPr>
          <w:rFonts w:hint="eastAsia" w:ascii="宋体" w:hAnsi="宋体"/>
          <w:b/>
          <w:bCs/>
          <w:color w:val="auto"/>
          <w:szCs w:val="21"/>
          <w:highlight w:val="none"/>
        </w:rPr>
        <w:t>其他未列明行业</w:t>
      </w:r>
      <w:r>
        <w:rPr>
          <w:rFonts w:hint="eastAsia" w:ascii="宋体" w:hAnsi="宋体"/>
          <w:bCs/>
          <w:color w:val="auto"/>
          <w:szCs w:val="21"/>
          <w:highlight w:val="none"/>
        </w:rPr>
        <w:t>。</w:t>
      </w:r>
    </w:p>
    <w:p w14:paraId="42EE2C58">
      <w:pPr>
        <w:adjustRightInd w:val="0"/>
        <w:snapToGrid w:val="0"/>
        <w:spacing w:line="360" w:lineRule="auto"/>
        <w:ind w:firstLine="424" w:firstLineChars="202"/>
        <w:jc w:val="left"/>
        <w:rPr>
          <w:rFonts w:ascii="宋体" w:hAnsi="宋体"/>
          <w:bCs/>
          <w:color w:val="auto"/>
          <w:szCs w:val="21"/>
          <w:highlight w:val="none"/>
        </w:rPr>
      </w:pPr>
      <w:r>
        <w:rPr>
          <w:rFonts w:hint="eastAsia" w:ascii="宋体" w:hAnsi="宋体"/>
          <w:bCs/>
          <w:color w:val="auto"/>
          <w:szCs w:val="21"/>
          <w:highlight w:val="none"/>
        </w:rPr>
        <w:t>4）以联合体形式参加政府采购活动，联合体各方均为小微企业的，联合体视同小微企业。（本项目接受联合体）</w:t>
      </w:r>
    </w:p>
    <w:p w14:paraId="02F4B4E2">
      <w:pPr>
        <w:adjustRightInd w:val="0"/>
        <w:snapToGrid w:val="0"/>
        <w:spacing w:line="360" w:lineRule="auto"/>
        <w:ind w:firstLine="424" w:firstLineChars="202"/>
        <w:jc w:val="left"/>
        <w:rPr>
          <w:rFonts w:ascii="宋体" w:hAnsi="宋体"/>
          <w:bCs/>
          <w:color w:val="auto"/>
          <w:szCs w:val="21"/>
          <w:highlight w:val="none"/>
        </w:rPr>
      </w:pPr>
      <w:r>
        <w:rPr>
          <w:rFonts w:hint="eastAsia" w:ascii="宋体" w:hAnsi="宋体"/>
          <w:bCs/>
          <w:color w:val="auto"/>
          <w:szCs w:val="21"/>
          <w:highlight w:val="none"/>
        </w:rPr>
        <w:t>5）对于未预留份额专门面向中小企业的政府采购货物或服务项目，以及预留份额政府采购货物或服务项目中的非预留部分标项，对小型和微型企业的投标报价给予</w:t>
      </w:r>
      <w:r>
        <w:rPr>
          <w:rFonts w:hint="eastAsia" w:ascii="宋体" w:hAnsi="宋体"/>
          <w:bCs/>
          <w:color w:val="auto"/>
          <w:szCs w:val="21"/>
          <w:highlight w:val="none"/>
          <w:lang w:val="en-US" w:eastAsia="zh-CN"/>
        </w:rPr>
        <w:t>10</w:t>
      </w:r>
      <w:r>
        <w:rPr>
          <w:rFonts w:hint="eastAsia" w:ascii="宋体" w:hAnsi="宋体"/>
          <w:bCs/>
          <w:color w:val="auto"/>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%的扣除，用扣除后的价格参加评审。组成联合体或者接受分包的小微企业与联合体内其他企业、分包企业之间存在直接控股、管理关系的，不享受价格扣除优惠政策。</w:t>
      </w:r>
    </w:p>
    <w:p w14:paraId="66C8E5E0">
      <w:pPr>
        <w:adjustRightInd w:val="0"/>
        <w:snapToGrid w:val="0"/>
        <w:spacing w:line="360" w:lineRule="auto"/>
        <w:ind w:firstLine="424" w:firstLineChars="202"/>
        <w:jc w:val="left"/>
        <w:rPr>
          <w:rFonts w:ascii="宋体" w:hAnsi="宋体"/>
          <w:bCs/>
          <w:color w:val="auto"/>
          <w:szCs w:val="21"/>
          <w:highlight w:val="none"/>
        </w:rPr>
      </w:pPr>
      <w:r>
        <w:rPr>
          <w:rFonts w:hint="eastAsia" w:ascii="宋体" w:hAnsi="宋体"/>
          <w:bCs/>
          <w:color w:val="auto"/>
          <w:szCs w:val="21"/>
          <w:highlight w:val="none"/>
        </w:rPr>
        <w:t>6）符合小微企业划分标准的个体工商户，视同小微企业。</w:t>
      </w:r>
    </w:p>
    <w:p w14:paraId="4CD62AAE">
      <w:pPr>
        <w:adjustRightInd w:val="0"/>
        <w:snapToGrid w:val="0"/>
        <w:spacing w:line="360" w:lineRule="auto"/>
        <w:ind w:firstLine="424" w:firstLineChars="202"/>
        <w:jc w:val="left"/>
        <w:rPr>
          <w:rFonts w:ascii="宋体" w:hAnsi="宋体"/>
          <w:bCs/>
          <w:color w:val="auto"/>
          <w:szCs w:val="21"/>
          <w:highlight w:val="none"/>
        </w:rPr>
      </w:pPr>
      <w:r>
        <w:rPr>
          <w:rFonts w:hint="eastAsia" w:ascii="宋体" w:hAnsi="宋体"/>
          <w:bCs/>
          <w:color w:val="auto"/>
          <w:szCs w:val="21"/>
          <w:highlight w:val="none"/>
        </w:rPr>
        <w:t>7）小微企业（包括联合体内的小微企业和接受分包的小微企业）参加政府采购活动，应当出具《中小企业声明函》，否则其报价不予扣除。</w:t>
      </w:r>
    </w:p>
    <w:p w14:paraId="086C4F58">
      <w:pPr>
        <w:pStyle w:val="14"/>
        <w:adjustRightInd w:val="0"/>
        <w:snapToGrid w:val="0"/>
        <w:spacing w:line="360" w:lineRule="auto"/>
        <w:ind w:left="29" w:firstLine="424" w:firstLineChars="202"/>
        <w:rPr>
          <w:rFonts w:hAnsi="宋体"/>
          <w:bCs/>
          <w:color w:val="auto"/>
          <w:szCs w:val="21"/>
          <w:highlight w:val="none"/>
        </w:rPr>
      </w:pPr>
      <w:r>
        <w:rPr>
          <w:rFonts w:hint="eastAsia" w:hAnsi="宋体"/>
          <w:bCs/>
          <w:color w:val="auto"/>
          <w:szCs w:val="21"/>
          <w:highlight w:val="none"/>
        </w:rPr>
        <w:t>8）监狱企业和残疾人福利性单位视同小型、微型企业，按《财政部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28CD2F4C">
      <w:pPr>
        <w:pStyle w:val="14"/>
        <w:adjustRightInd w:val="0"/>
        <w:snapToGrid w:val="0"/>
        <w:spacing w:line="360" w:lineRule="auto"/>
        <w:rPr>
          <w:rFonts w:hAnsi="宋体"/>
          <w:b/>
          <w:color w:val="auto"/>
          <w:szCs w:val="21"/>
          <w:highlight w:val="none"/>
        </w:rPr>
      </w:pPr>
      <w:r>
        <w:rPr>
          <w:rFonts w:hint="eastAsia" w:hAnsi="宋体"/>
          <w:b/>
          <w:color w:val="auto"/>
          <w:szCs w:val="21"/>
          <w:highlight w:val="none"/>
        </w:rPr>
        <w:t>（二）资信商务分（</w:t>
      </w:r>
      <w:r>
        <w:rPr>
          <w:rFonts w:hAnsi="宋体"/>
          <w:b/>
          <w:color w:val="auto"/>
          <w:szCs w:val="21"/>
          <w:highlight w:val="none"/>
        </w:rPr>
        <w:t>90</w:t>
      </w:r>
      <w:r>
        <w:rPr>
          <w:rFonts w:hint="eastAsia" w:hAnsi="宋体"/>
          <w:b/>
          <w:color w:val="auto"/>
          <w:szCs w:val="21"/>
          <w:highlight w:val="none"/>
        </w:rPr>
        <w:t>分）</w:t>
      </w:r>
    </w:p>
    <w:tbl>
      <w:tblPr>
        <w:tblStyle w:val="29"/>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7060"/>
        <w:gridCol w:w="931"/>
      </w:tblGrid>
      <w:tr w14:paraId="7D25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40" w:type="dxa"/>
            <w:shd w:val="clear" w:color="auto" w:fill="auto"/>
            <w:vAlign w:val="center"/>
          </w:tcPr>
          <w:p w14:paraId="318518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评审分</w:t>
            </w:r>
          </w:p>
          <w:p w14:paraId="7768CC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项名称</w:t>
            </w:r>
          </w:p>
        </w:tc>
        <w:tc>
          <w:tcPr>
            <w:tcW w:w="7060" w:type="dxa"/>
            <w:shd w:val="clear" w:color="auto" w:fill="auto"/>
            <w:vAlign w:val="center"/>
          </w:tcPr>
          <w:p w14:paraId="46CD8C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931" w:type="dxa"/>
            <w:shd w:val="clear" w:color="auto" w:fill="auto"/>
            <w:vAlign w:val="center"/>
          </w:tcPr>
          <w:p w14:paraId="3DE1B8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r>
      <w:tr w14:paraId="7BE4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0" w:type="dxa"/>
            <w:shd w:val="clear" w:color="auto" w:fill="auto"/>
            <w:vAlign w:val="center"/>
          </w:tcPr>
          <w:p w14:paraId="76D14B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投标单位</w:t>
            </w:r>
          </w:p>
          <w:p w14:paraId="7B4CAB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业绩</w:t>
            </w:r>
          </w:p>
        </w:tc>
        <w:tc>
          <w:tcPr>
            <w:tcW w:w="7060" w:type="dxa"/>
            <w:shd w:val="clear" w:color="auto" w:fill="auto"/>
            <w:vAlign w:val="center"/>
          </w:tcPr>
          <w:p w14:paraId="68BF0084">
            <w:pPr>
              <w:widowControl/>
              <w:rPr>
                <w:rFonts w:ascii="宋体" w:hAnsi="宋体" w:cs="宋体"/>
                <w:color w:val="auto"/>
                <w:kern w:val="0"/>
                <w:szCs w:val="21"/>
                <w:highlight w:val="none"/>
              </w:rPr>
            </w:pPr>
            <w:r>
              <w:rPr>
                <w:rFonts w:hint="eastAsia" w:ascii="宋体" w:hAnsi="宋体" w:cs="宋体"/>
                <w:color w:val="auto"/>
                <w:kern w:val="0"/>
                <w:szCs w:val="21"/>
                <w:highlight w:val="none"/>
              </w:rPr>
              <w:t>投标单位自2021年1月1日起具有同类项目业绩的，每个项目得0.5分，此项最多得</w:t>
            </w:r>
            <w:r>
              <w:rPr>
                <w:rFonts w:ascii="宋体" w:hAnsi="宋体" w:cs="宋体"/>
                <w:color w:val="auto"/>
                <w:kern w:val="0"/>
                <w:szCs w:val="21"/>
                <w:highlight w:val="none"/>
              </w:rPr>
              <w:t>1</w:t>
            </w:r>
            <w:r>
              <w:rPr>
                <w:rFonts w:hint="eastAsia" w:ascii="宋体" w:hAnsi="宋体" w:cs="宋体"/>
                <w:color w:val="auto"/>
                <w:kern w:val="0"/>
                <w:szCs w:val="21"/>
                <w:highlight w:val="none"/>
              </w:rPr>
              <w:t>分。（提供合同封面、盖章页复印件并加盖公章，否则不得分，时间以合同签订时间为准）</w:t>
            </w:r>
          </w:p>
        </w:tc>
        <w:tc>
          <w:tcPr>
            <w:tcW w:w="931" w:type="dxa"/>
            <w:shd w:val="clear" w:color="auto" w:fill="auto"/>
            <w:vAlign w:val="center"/>
          </w:tcPr>
          <w:p w14:paraId="0BB4DE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r>
              <w:rPr>
                <w:rFonts w:ascii="宋体" w:hAnsi="宋体" w:cs="宋体"/>
                <w:color w:val="auto"/>
                <w:kern w:val="0"/>
                <w:szCs w:val="21"/>
                <w:highlight w:val="none"/>
              </w:rPr>
              <w:t>1</w:t>
            </w:r>
          </w:p>
        </w:tc>
      </w:tr>
      <w:tr w14:paraId="7018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40" w:type="dxa"/>
            <w:shd w:val="clear" w:color="auto" w:fill="auto"/>
            <w:vAlign w:val="center"/>
          </w:tcPr>
          <w:p w14:paraId="1F3148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项目负责人资质</w:t>
            </w:r>
          </w:p>
        </w:tc>
        <w:tc>
          <w:tcPr>
            <w:tcW w:w="7060" w:type="dxa"/>
            <w:shd w:val="clear" w:color="auto" w:fill="auto"/>
            <w:vAlign w:val="center"/>
          </w:tcPr>
          <w:p w14:paraId="26495A6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具有高级工程师技术职称得1.5分，同时具有高级工程师技术职称、注册城乡规划师证书得3分。（项目负责人需为投标人的正式员工，投标文件中提供职称证书、注册证书、证明材料、近三个月内的社保证明的复印件并加盖投标人公章）</w:t>
            </w:r>
          </w:p>
        </w:tc>
        <w:tc>
          <w:tcPr>
            <w:tcW w:w="931" w:type="dxa"/>
            <w:shd w:val="clear" w:color="auto" w:fill="auto"/>
            <w:vAlign w:val="center"/>
          </w:tcPr>
          <w:p w14:paraId="2817AD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0-3</w:t>
            </w:r>
          </w:p>
        </w:tc>
      </w:tr>
      <w:tr w14:paraId="20F5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340" w:type="dxa"/>
            <w:shd w:val="clear" w:color="auto" w:fill="auto"/>
            <w:vAlign w:val="center"/>
          </w:tcPr>
          <w:p w14:paraId="526352E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项目组成员实力</w:t>
            </w:r>
          </w:p>
        </w:tc>
        <w:tc>
          <w:tcPr>
            <w:tcW w:w="7060" w:type="dxa"/>
            <w:shd w:val="clear" w:color="auto" w:fill="auto"/>
            <w:vAlign w:val="center"/>
          </w:tcPr>
          <w:p w14:paraId="015D4E23">
            <w:pPr>
              <w:ind w:left="50" w:leftChars="24" w:right="174" w:rightChars="83" w:firstLine="1"/>
              <w:contextualSpacing/>
              <w:rPr>
                <w:rFonts w:ascii="宋体" w:hAnsi="宋体" w:cs="宋体"/>
                <w:color w:val="auto"/>
                <w:kern w:val="0"/>
                <w:szCs w:val="21"/>
                <w:highlight w:val="none"/>
              </w:rPr>
            </w:pPr>
            <w:r>
              <w:rPr>
                <w:rFonts w:hint="eastAsia" w:ascii="宋体" w:hAnsi="宋体" w:cs="宋体"/>
                <w:color w:val="auto"/>
                <w:kern w:val="0"/>
                <w:szCs w:val="21"/>
                <w:highlight w:val="none"/>
              </w:rPr>
              <w:t>投标单位拟派的项目组成员（不含项目负责人）具有</w:t>
            </w:r>
            <w:r>
              <w:rPr>
                <w:rFonts w:hint="eastAsia" w:ascii="宋体" w:hAnsi="宋体" w:cs="宋体"/>
                <w:color w:val="auto"/>
                <w:kern w:val="0"/>
                <w:szCs w:val="21"/>
                <w:highlight w:val="none"/>
              </w:rPr>
              <w:t>规划专业高级职称，</w:t>
            </w:r>
            <w:r>
              <w:rPr>
                <w:rFonts w:hint="eastAsia" w:ascii="宋体" w:hAnsi="宋体" w:cs="宋体"/>
                <w:color w:val="auto"/>
                <w:kern w:val="0"/>
                <w:szCs w:val="21"/>
                <w:highlight w:val="none"/>
              </w:rPr>
              <w:t>每有一个得1分，最高得5分。（项目组成员需为投标人的正式员工，投标文件中提供注册证书、近三个月内的社保证明的复印件并加盖投标人公章）</w:t>
            </w:r>
          </w:p>
        </w:tc>
        <w:tc>
          <w:tcPr>
            <w:tcW w:w="931" w:type="dxa"/>
            <w:shd w:val="clear" w:color="auto" w:fill="auto"/>
            <w:vAlign w:val="center"/>
          </w:tcPr>
          <w:p w14:paraId="65492988">
            <w:pPr>
              <w:contextualSpacing/>
              <w:jc w:val="center"/>
              <w:rPr>
                <w:rFonts w:ascii="宋体" w:hAnsi="宋体" w:cs="宋体"/>
                <w:color w:val="auto"/>
                <w:kern w:val="0"/>
                <w:szCs w:val="21"/>
                <w:highlight w:val="none"/>
              </w:rPr>
            </w:pPr>
            <w:r>
              <w:rPr>
                <w:rFonts w:hint="eastAsia" w:ascii="宋体" w:hAnsi="宋体" w:cs="宋体"/>
                <w:color w:val="auto"/>
                <w:kern w:val="0"/>
                <w:szCs w:val="21"/>
                <w:highlight w:val="none"/>
              </w:rPr>
              <w:t>0-</w:t>
            </w:r>
            <w:r>
              <w:rPr>
                <w:rFonts w:ascii="宋体" w:hAnsi="宋体" w:cs="宋体"/>
                <w:color w:val="auto"/>
                <w:kern w:val="0"/>
                <w:szCs w:val="21"/>
                <w:highlight w:val="none"/>
              </w:rPr>
              <w:t>5</w:t>
            </w:r>
          </w:p>
        </w:tc>
      </w:tr>
      <w:tr w14:paraId="10BE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40" w:type="dxa"/>
            <w:vMerge w:val="restart"/>
            <w:shd w:val="clear" w:color="auto" w:fill="auto"/>
            <w:vAlign w:val="center"/>
          </w:tcPr>
          <w:p w14:paraId="4B4A39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技术方案</w:t>
            </w:r>
          </w:p>
        </w:tc>
        <w:tc>
          <w:tcPr>
            <w:tcW w:w="7060" w:type="dxa"/>
            <w:shd w:val="clear" w:color="auto" w:fill="auto"/>
            <w:vAlign w:val="center"/>
          </w:tcPr>
          <w:p w14:paraId="5CFCBB5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1、基本情况：包括示范方案摘要、城市总体概况、主要问题分析、以往工作基础。编制内容详尽明确，问题分析到位的得6.1-9分，编制内容一般，问题分析一般的得3.1-6分，编制内容及问题分析较差的得0-3分。</w:t>
            </w:r>
          </w:p>
        </w:tc>
        <w:tc>
          <w:tcPr>
            <w:tcW w:w="931" w:type="dxa"/>
            <w:shd w:val="clear" w:color="auto" w:fill="auto"/>
            <w:vAlign w:val="center"/>
          </w:tcPr>
          <w:p w14:paraId="36FD44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0-9</w:t>
            </w:r>
          </w:p>
        </w:tc>
      </w:tr>
      <w:tr w14:paraId="301B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340" w:type="dxa"/>
            <w:vMerge w:val="continue"/>
            <w:vAlign w:val="center"/>
          </w:tcPr>
          <w:p w14:paraId="612E51A0">
            <w:pPr>
              <w:widowControl/>
              <w:jc w:val="left"/>
              <w:rPr>
                <w:rFonts w:ascii="宋体" w:hAnsi="宋体" w:cs="宋体"/>
                <w:color w:val="auto"/>
                <w:kern w:val="0"/>
                <w:szCs w:val="21"/>
                <w:highlight w:val="none"/>
              </w:rPr>
            </w:pPr>
          </w:p>
        </w:tc>
        <w:tc>
          <w:tcPr>
            <w:tcW w:w="7060" w:type="dxa"/>
            <w:shd w:val="clear" w:color="auto" w:fill="auto"/>
            <w:vAlign w:val="center"/>
          </w:tcPr>
          <w:p w14:paraId="3261B7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主要工作内容：总体思路、基本原则、主要目标、实施内容。编制总体思路、基本原则、主要目标、实施内容详尽明确的得6.1-9分，编制总体思路、基本原则、主要目标、实施内容一般的得3.1-6分，编制总体思路、基本原则、主要目标、实施内容较差的得0-3分。</w:t>
            </w:r>
          </w:p>
        </w:tc>
        <w:tc>
          <w:tcPr>
            <w:tcW w:w="931" w:type="dxa"/>
            <w:shd w:val="clear" w:color="auto" w:fill="auto"/>
            <w:vAlign w:val="center"/>
          </w:tcPr>
          <w:p w14:paraId="7A714F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0-9</w:t>
            </w:r>
          </w:p>
        </w:tc>
      </w:tr>
      <w:tr w14:paraId="3CE2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340" w:type="dxa"/>
            <w:vMerge w:val="continue"/>
            <w:vAlign w:val="center"/>
          </w:tcPr>
          <w:p w14:paraId="5EC447AA">
            <w:pPr>
              <w:widowControl/>
              <w:jc w:val="left"/>
              <w:rPr>
                <w:rFonts w:ascii="宋体" w:hAnsi="宋体" w:cs="宋体"/>
                <w:color w:val="auto"/>
                <w:kern w:val="0"/>
                <w:szCs w:val="21"/>
                <w:highlight w:val="none"/>
              </w:rPr>
            </w:pPr>
          </w:p>
        </w:tc>
        <w:tc>
          <w:tcPr>
            <w:tcW w:w="7060" w:type="dxa"/>
            <w:shd w:val="clear" w:color="auto" w:fill="auto"/>
            <w:vAlign w:val="center"/>
          </w:tcPr>
          <w:p w14:paraId="79C32D14">
            <w:pPr>
              <w:widowControl/>
              <w:rPr>
                <w:rFonts w:ascii="宋体" w:hAnsi="宋体" w:cs="宋体"/>
                <w:color w:val="auto"/>
                <w:kern w:val="0"/>
                <w:szCs w:val="21"/>
                <w:highlight w:val="none"/>
              </w:rPr>
            </w:pPr>
            <w:r>
              <w:rPr>
                <w:rFonts w:hint="eastAsia" w:ascii="宋体" w:hAnsi="宋体" w:cs="宋体"/>
                <w:color w:val="auto"/>
                <w:kern w:val="0"/>
                <w:szCs w:val="21"/>
                <w:highlight w:val="none"/>
              </w:rPr>
              <w:t>3、城市地下管网更新改造方案：地下管网普查、风险隐患排查、设施建设协调机制、燃气管网更新改造、供水管网更新改造、排水燃气管网更新改造。编制地下管网更新改造方案详尽明确的得6.1-9分，编制地下管网更新改造方案一般的得3.1-6分，编制地下管网更新改造方案较差的得0-3分。</w:t>
            </w:r>
          </w:p>
        </w:tc>
        <w:tc>
          <w:tcPr>
            <w:tcW w:w="931" w:type="dxa"/>
            <w:shd w:val="clear" w:color="auto" w:fill="auto"/>
            <w:vAlign w:val="center"/>
          </w:tcPr>
          <w:p w14:paraId="399E1A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0-9</w:t>
            </w:r>
          </w:p>
        </w:tc>
      </w:tr>
      <w:tr w14:paraId="29C0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340" w:type="dxa"/>
            <w:vMerge w:val="continue"/>
            <w:vAlign w:val="center"/>
          </w:tcPr>
          <w:p w14:paraId="3BAD0E94">
            <w:pPr>
              <w:widowControl/>
              <w:jc w:val="left"/>
              <w:rPr>
                <w:rFonts w:ascii="宋体" w:hAnsi="宋体" w:cs="宋体"/>
                <w:color w:val="auto"/>
                <w:kern w:val="0"/>
                <w:szCs w:val="21"/>
                <w:highlight w:val="none"/>
              </w:rPr>
            </w:pPr>
          </w:p>
        </w:tc>
        <w:tc>
          <w:tcPr>
            <w:tcW w:w="7060" w:type="dxa"/>
            <w:shd w:val="clear" w:color="auto" w:fill="auto"/>
            <w:vAlign w:val="center"/>
          </w:tcPr>
          <w:p w14:paraId="57047901">
            <w:pPr>
              <w:widowControl/>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、城市污水管网更新改造方案：污水系统优化提升、污水管网更新改造、污水厂网一体专业化运维、加强排水户监管、城市污水管网全覆盖样板区打造。编制城市污水管网更新改造方案详尽明确的得</w:t>
            </w:r>
            <w:r>
              <w:rPr>
                <w:rFonts w:ascii="宋体" w:hAnsi="宋体" w:cs="宋体"/>
                <w:color w:val="auto"/>
                <w:kern w:val="0"/>
                <w:szCs w:val="21"/>
                <w:highlight w:val="none"/>
              </w:rPr>
              <w:t>6.1-9</w:t>
            </w:r>
            <w:r>
              <w:rPr>
                <w:rFonts w:hint="eastAsia" w:ascii="宋体" w:hAnsi="宋体" w:cs="宋体"/>
                <w:color w:val="auto"/>
                <w:kern w:val="0"/>
                <w:szCs w:val="21"/>
                <w:highlight w:val="none"/>
              </w:rPr>
              <w:t>分，编制城市污水管网更新改造方案一般的得</w:t>
            </w:r>
            <w:r>
              <w:rPr>
                <w:rFonts w:ascii="宋体" w:hAnsi="宋体" w:cs="宋体"/>
                <w:color w:val="auto"/>
                <w:kern w:val="0"/>
                <w:szCs w:val="21"/>
                <w:highlight w:val="none"/>
              </w:rPr>
              <w:t>3.1-6</w:t>
            </w:r>
            <w:r>
              <w:rPr>
                <w:rFonts w:hint="eastAsia" w:ascii="宋体" w:hAnsi="宋体" w:cs="宋体"/>
                <w:color w:val="auto"/>
                <w:kern w:val="0"/>
                <w:szCs w:val="21"/>
                <w:highlight w:val="none"/>
              </w:rPr>
              <w:t>分，编制城市污水管网更新改造方案较差的得</w:t>
            </w:r>
            <w:r>
              <w:rPr>
                <w:rFonts w:ascii="宋体" w:hAnsi="宋体" w:cs="宋体"/>
                <w:color w:val="auto"/>
                <w:kern w:val="0"/>
                <w:szCs w:val="21"/>
                <w:highlight w:val="none"/>
              </w:rPr>
              <w:t>0-3</w:t>
            </w:r>
            <w:r>
              <w:rPr>
                <w:rFonts w:hint="eastAsia" w:ascii="宋体" w:hAnsi="宋体" w:cs="宋体"/>
                <w:color w:val="auto"/>
                <w:kern w:val="0"/>
                <w:szCs w:val="21"/>
                <w:highlight w:val="none"/>
              </w:rPr>
              <w:t>分。</w:t>
            </w:r>
          </w:p>
        </w:tc>
        <w:tc>
          <w:tcPr>
            <w:tcW w:w="931" w:type="dxa"/>
            <w:shd w:val="clear" w:color="auto" w:fill="auto"/>
            <w:vAlign w:val="center"/>
          </w:tcPr>
          <w:p w14:paraId="33C43E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0-9</w:t>
            </w:r>
          </w:p>
        </w:tc>
      </w:tr>
      <w:tr w14:paraId="7CD7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40" w:type="dxa"/>
            <w:vMerge w:val="continue"/>
            <w:vAlign w:val="center"/>
          </w:tcPr>
          <w:p w14:paraId="5A6F107C">
            <w:pPr>
              <w:widowControl/>
              <w:jc w:val="left"/>
              <w:rPr>
                <w:rFonts w:ascii="宋体" w:hAnsi="宋体" w:cs="宋体"/>
                <w:color w:val="auto"/>
                <w:kern w:val="0"/>
                <w:szCs w:val="21"/>
                <w:highlight w:val="none"/>
              </w:rPr>
            </w:pPr>
          </w:p>
        </w:tc>
        <w:tc>
          <w:tcPr>
            <w:tcW w:w="7060" w:type="dxa"/>
            <w:shd w:val="clear" w:color="auto" w:fill="auto"/>
            <w:vAlign w:val="center"/>
          </w:tcPr>
          <w:p w14:paraId="1752544D">
            <w:pPr>
              <w:widowControl/>
              <w:rPr>
                <w:rFonts w:ascii="宋体" w:hAnsi="宋体" w:cs="宋体"/>
                <w:color w:val="auto"/>
                <w:kern w:val="0"/>
                <w:szCs w:val="21"/>
                <w:highlight w:val="none"/>
              </w:rPr>
            </w:pPr>
            <w:r>
              <w:rPr>
                <w:rFonts w:hint="eastAsia" w:ascii="宋体" w:hAnsi="宋体" w:cs="宋体"/>
                <w:color w:val="auto"/>
                <w:kern w:val="0"/>
                <w:szCs w:val="21"/>
                <w:highlight w:val="none"/>
              </w:rPr>
              <w:t>5、市政基础设施补短板方案：城市生命线工程、城市排水防涝工程、市政公共设施工程、城市环卫工程、城市绿化工程。编制市政基础设施补短板方案详尽明确的得6.1-9分，编制市政基础设施补短板方案一般的得3.1-6分，编制市政基础设施补短板方案较差的得0-3分。</w:t>
            </w:r>
          </w:p>
        </w:tc>
        <w:tc>
          <w:tcPr>
            <w:tcW w:w="931" w:type="dxa"/>
            <w:shd w:val="clear" w:color="auto" w:fill="auto"/>
            <w:vAlign w:val="center"/>
          </w:tcPr>
          <w:p w14:paraId="16DA4D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0-9</w:t>
            </w:r>
          </w:p>
        </w:tc>
      </w:tr>
      <w:tr w14:paraId="172A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40" w:type="dxa"/>
            <w:vMerge w:val="continue"/>
            <w:vAlign w:val="center"/>
          </w:tcPr>
          <w:p w14:paraId="66CEEA7A">
            <w:pPr>
              <w:widowControl/>
              <w:jc w:val="left"/>
              <w:rPr>
                <w:rFonts w:ascii="宋体" w:hAnsi="宋体" w:cs="宋体"/>
                <w:color w:val="auto"/>
                <w:kern w:val="0"/>
                <w:szCs w:val="21"/>
                <w:highlight w:val="none"/>
              </w:rPr>
            </w:pPr>
          </w:p>
        </w:tc>
        <w:tc>
          <w:tcPr>
            <w:tcW w:w="7060" w:type="dxa"/>
            <w:shd w:val="clear" w:color="auto" w:fill="auto"/>
            <w:vAlign w:val="center"/>
          </w:tcPr>
          <w:p w14:paraId="5A0E1276">
            <w:pPr>
              <w:widowControl/>
              <w:rPr>
                <w:rFonts w:ascii="宋体" w:hAnsi="宋体" w:cs="宋体"/>
                <w:color w:val="auto"/>
                <w:kern w:val="0"/>
                <w:szCs w:val="21"/>
                <w:highlight w:val="none"/>
              </w:rPr>
            </w:pPr>
            <w:r>
              <w:rPr>
                <w:rFonts w:hint="eastAsia" w:ascii="宋体" w:hAnsi="宋体" w:cs="宋体"/>
                <w:color w:val="auto"/>
                <w:kern w:val="0"/>
                <w:szCs w:val="21"/>
                <w:highlight w:val="none"/>
              </w:rPr>
              <w:t>6、老旧片区更新改造方案：老旧片区示范建设、“嵌入式”服务设施建设、“一老一小”设施建设、无障碍环境建设和适老化改造。编制老旧片区更新改造方案详尽明确的得6.1-9分，编制老旧片区更新改造方案一般的得3.1-6分，编制老旧片区更新改造方案较差的得0-3分。</w:t>
            </w:r>
          </w:p>
        </w:tc>
        <w:tc>
          <w:tcPr>
            <w:tcW w:w="931" w:type="dxa"/>
            <w:shd w:val="clear" w:color="auto" w:fill="auto"/>
            <w:vAlign w:val="center"/>
          </w:tcPr>
          <w:p w14:paraId="37D14C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0-9</w:t>
            </w:r>
          </w:p>
        </w:tc>
      </w:tr>
      <w:tr w14:paraId="6681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40" w:type="dxa"/>
            <w:vMerge w:val="continue"/>
            <w:vAlign w:val="center"/>
          </w:tcPr>
          <w:p w14:paraId="0735A1EF">
            <w:pPr>
              <w:widowControl/>
              <w:jc w:val="left"/>
              <w:rPr>
                <w:rFonts w:ascii="宋体" w:hAnsi="宋体" w:cs="宋体"/>
                <w:color w:val="auto"/>
                <w:kern w:val="0"/>
                <w:szCs w:val="21"/>
                <w:highlight w:val="none"/>
              </w:rPr>
            </w:pPr>
          </w:p>
        </w:tc>
        <w:tc>
          <w:tcPr>
            <w:tcW w:w="7060" w:type="dxa"/>
            <w:shd w:val="clear" w:color="auto" w:fill="auto"/>
            <w:vAlign w:val="center"/>
          </w:tcPr>
          <w:p w14:paraId="47D94C62">
            <w:pPr>
              <w:widowControl/>
              <w:rPr>
                <w:rFonts w:ascii="宋体" w:hAnsi="宋体" w:cs="宋体"/>
                <w:color w:val="auto"/>
                <w:kern w:val="0"/>
                <w:szCs w:val="21"/>
                <w:highlight w:val="none"/>
              </w:rPr>
            </w:pPr>
            <w:r>
              <w:rPr>
                <w:rFonts w:hint="eastAsia" w:ascii="宋体" w:hAnsi="宋体" w:cs="宋体"/>
                <w:color w:val="auto"/>
                <w:kern w:val="0"/>
                <w:szCs w:val="21"/>
                <w:highlight w:val="none"/>
              </w:rPr>
              <w:t>7、工作机制和实施保障：工作机制模式、组织实施和监督管理、效益分析。编制工作机制和实施保障方案详尽明确的得6.1-9分，编制工作机制和实施保障方案一般的得3.1-6分，编制工作机制和实施保障方案较差的得0-3分。</w:t>
            </w:r>
          </w:p>
        </w:tc>
        <w:tc>
          <w:tcPr>
            <w:tcW w:w="931" w:type="dxa"/>
            <w:shd w:val="clear" w:color="auto" w:fill="auto"/>
            <w:vAlign w:val="center"/>
          </w:tcPr>
          <w:p w14:paraId="756F16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0-9</w:t>
            </w:r>
          </w:p>
        </w:tc>
      </w:tr>
      <w:tr w14:paraId="31B7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40" w:type="dxa"/>
            <w:vAlign w:val="center"/>
          </w:tcPr>
          <w:p w14:paraId="5479E5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质量保证措施</w:t>
            </w:r>
          </w:p>
        </w:tc>
        <w:tc>
          <w:tcPr>
            <w:tcW w:w="7060" w:type="dxa"/>
            <w:shd w:val="clear" w:color="auto" w:fill="auto"/>
            <w:vAlign w:val="center"/>
          </w:tcPr>
          <w:p w14:paraId="64B08320">
            <w:pPr>
              <w:widowControl/>
              <w:rPr>
                <w:rFonts w:ascii="宋体" w:hAnsi="宋体" w:cs="宋体"/>
                <w:color w:val="auto"/>
                <w:kern w:val="0"/>
                <w:szCs w:val="21"/>
                <w:highlight w:val="none"/>
              </w:rPr>
            </w:pPr>
            <w:r>
              <w:rPr>
                <w:rFonts w:hint="eastAsia" w:ascii="宋体" w:hAnsi="宋体" w:cs="宋体"/>
                <w:color w:val="auto"/>
                <w:kern w:val="0"/>
                <w:szCs w:val="21"/>
                <w:highlight w:val="none"/>
              </w:rPr>
              <w:t>评审小组根据供应商提供的响应文件，对其针对本项目的质量保证措施情况进行比较后评审。编制的质量保证措施方案详尽明确的得5.1-8分，编制的质量保证措施方案一般的得3.1-5分，编制的质量保证措施方案较差的得0-3分。</w:t>
            </w:r>
          </w:p>
        </w:tc>
        <w:tc>
          <w:tcPr>
            <w:tcW w:w="931" w:type="dxa"/>
            <w:shd w:val="clear" w:color="auto" w:fill="auto"/>
            <w:vAlign w:val="center"/>
          </w:tcPr>
          <w:p w14:paraId="19AE3A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w:t>
            </w:r>
          </w:p>
        </w:tc>
      </w:tr>
      <w:tr w14:paraId="557E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340" w:type="dxa"/>
            <w:vAlign w:val="center"/>
          </w:tcPr>
          <w:p w14:paraId="6712C7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服务承诺</w:t>
            </w:r>
          </w:p>
        </w:tc>
        <w:tc>
          <w:tcPr>
            <w:tcW w:w="7060" w:type="dxa"/>
            <w:shd w:val="clear" w:color="auto" w:fill="auto"/>
            <w:vAlign w:val="center"/>
          </w:tcPr>
          <w:p w14:paraId="7D0137D5">
            <w:pPr>
              <w:widowControl/>
              <w:rPr>
                <w:rFonts w:ascii="宋体" w:hAnsi="宋体" w:cs="宋体"/>
                <w:color w:val="auto"/>
                <w:kern w:val="0"/>
                <w:szCs w:val="21"/>
                <w:highlight w:val="none"/>
              </w:rPr>
            </w:pPr>
            <w:r>
              <w:rPr>
                <w:rFonts w:hint="eastAsia" w:ascii="宋体" w:hAnsi="宋体" w:cs="宋体"/>
                <w:color w:val="auto"/>
                <w:kern w:val="0"/>
                <w:szCs w:val="21"/>
                <w:highlight w:val="none"/>
              </w:rPr>
              <w:t>评审小组根据供应商提供的响应文件，对其针对本项目制定的服务承诺（包括服务时效性承诺、技术支持等内容）进行综合评定，服务承诺内容齐全、科学合理的得</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分，服务承诺内容一般的得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分，服务承诺内容较差的得0-</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tc>
        <w:tc>
          <w:tcPr>
            <w:tcW w:w="931" w:type="dxa"/>
            <w:shd w:val="clear" w:color="auto" w:fill="auto"/>
            <w:vAlign w:val="center"/>
          </w:tcPr>
          <w:p w14:paraId="2B252F74">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10</w:t>
            </w:r>
          </w:p>
        </w:tc>
      </w:tr>
    </w:tbl>
    <w:p w14:paraId="3FDDAE03">
      <w:pPr>
        <w:pStyle w:val="7"/>
        <w:rPr>
          <w:rFonts w:hAnsi="宋体"/>
          <w:b/>
          <w:bCs/>
          <w:snapToGrid/>
          <w:color w:val="auto"/>
          <w:kern w:val="2"/>
          <w:sz w:val="21"/>
          <w:szCs w:val="21"/>
          <w:highlight w:val="none"/>
        </w:rPr>
      </w:pPr>
    </w:p>
    <w:p w14:paraId="41C6A03F">
      <w:pPr>
        <w:widowControl/>
        <w:adjustRightInd w:val="0"/>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36"/>
          <w:szCs w:val="36"/>
          <w:highlight w:val="none"/>
        </w:rPr>
        <w:br w:type="page"/>
      </w:r>
      <w:r>
        <w:rPr>
          <w:rFonts w:hint="eastAsia" w:ascii="宋体" w:hAnsi="宋体" w:cs="宋体"/>
          <w:b/>
          <w:color w:val="auto"/>
          <w:sz w:val="32"/>
          <w:szCs w:val="32"/>
          <w:highlight w:val="none"/>
        </w:rPr>
        <w:t>第五章  政府采购合同主要条款</w:t>
      </w:r>
    </w:p>
    <w:p w14:paraId="71F641AB">
      <w:pPr>
        <w:spacing w:line="440" w:lineRule="exact"/>
        <w:ind w:firstLine="831" w:firstLineChars="345"/>
        <w:jc w:val="center"/>
        <w:rPr>
          <w:rFonts w:ascii="宋体" w:hAnsi="宋体" w:cs="宋体"/>
          <w:b/>
          <w:color w:val="auto"/>
          <w:sz w:val="24"/>
          <w:highlight w:val="none"/>
        </w:rPr>
      </w:pPr>
      <w:r>
        <w:rPr>
          <w:rFonts w:hint="eastAsia" w:ascii="宋体" w:hAnsi="宋体" w:cs="宋体"/>
          <w:b/>
          <w:color w:val="auto"/>
          <w:sz w:val="24"/>
          <w:highlight w:val="none"/>
        </w:rPr>
        <w:t>（以最终合同为准）</w:t>
      </w:r>
    </w:p>
    <w:p w14:paraId="48B6C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一、通用必备条款部分</w:t>
      </w:r>
    </w:p>
    <w:p w14:paraId="6EEA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b/>
          <w:color w:val="auto"/>
          <w:kern w:val="0"/>
          <w:sz w:val="24"/>
          <w:highlight w:val="none"/>
        </w:rPr>
      </w:pPr>
    </w:p>
    <w:p w14:paraId="4BF4D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rPr>
        <w:t>合同编号：</w:t>
      </w:r>
      <w:r>
        <w:rPr>
          <w:rFonts w:hint="eastAsia" w:ascii="宋体" w:hAnsi="宋体" w:cs="宋体"/>
          <w:color w:val="auto"/>
          <w:kern w:val="0"/>
          <w:sz w:val="24"/>
          <w:highlight w:val="none"/>
          <w:u w:val="single"/>
          <w:lang w:eastAsia="zh-CN"/>
        </w:rPr>
        <w:t>中惠-2024-46号</w:t>
      </w:r>
    </w:p>
    <w:p w14:paraId="26C9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w:t>
      </w:r>
      <w:r>
        <w:rPr>
          <w:rFonts w:hint="eastAsia" w:ascii="宋体" w:hAnsi="宋体" w:cs="宋体"/>
          <w:color w:val="auto"/>
          <w:kern w:val="0"/>
          <w:sz w:val="24"/>
          <w:highlight w:val="none"/>
          <w:lang w:val="zh-CN"/>
        </w:rPr>
        <w:t>文号</w:t>
      </w:r>
      <w:r>
        <w:rPr>
          <w:rFonts w:hint="eastAsia" w:ascii="宋体" w:hAnsi="宋体" w:cs="宋体"/>
          <w:color w:val="auto"/>
          <w:kern w:val="0"/>
          <w:sz w:val="24"/>
          <w:highlight w:val="none"/>
        </w:rPr>
        <w:t>：</w:t>
      </w:r>
      <w:r>
        <w:rPr>
          <w:color w:val="auto"/>
          <w:highlight w:val="none"/>
        </w:rPr>
        <w:fldChar w:fldCharType="begin"/>
      </w:r>
      <w:r>
        <w:rPr>
          <w:color w:val="auto"/>
          <w:highlight w:val="none"/>
        </w:rPr>
        <w:instrText xml:space="preserve"> HYPERLINK "https://pay.zcygov.cn/purchaseplan_front/" \l "/purchasePlans/_blank" \t "https://www.zcygov.cn/bidding-entrust/" </w:instrText>
      </w:r>
      <w:r>
        <w:rPr>
          <w:color w:val="auto"/>
          <w:highlight w:val="none"/>
        </w:rPr>
        <w:fldChar w:fldCharType="separate"/>
      </w:r>
      <w:r>
        <w:rPr>
          <w:color w:val="auto"/>
          <w:highlight w:val="none"/>
        </w:rPr>
        <w:fldChar w:fldCharType="end"/>
      </w:r>
    </w:p>
    <w:p w14:paraId="732BB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color w:val="auto"/>
          <w:kern w:val="0"/>
          <w:sz w:val="24"/>
          <w:highlight w:val="none"/>
          <w:u w:val="singl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u w:val="single"/>
        </w:rPr>
        <w:t>290.5</w:t>
      </w:r>
      <w:r>
        <w:rPr>
          <w:rFonts w:hint="eastAsia" w:ascii="宋体" w:hAnsi="宋体" w:cs="宋体"/>
          <w:color w:val="auto"/>
          <w:kern w:val="0"/>
          <w:sz w:val="24"/>
          <w:highlight w:val="none"/>
          <w:u w:val="single"/>
        </w:rPr>
        <w:t>万元</w:t>
      </w:r>
    </w:p>
    <w:p w14:paraId="1B736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color w:val="auto"/>
          <w:kern w:val="0"/>
          <w:sz w:val="24"/>
          <w:highlight w:val="none"/>
          <w:u w:val="single"/>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u w:val="single"/>
        </w:rPr>
        <w:t xml:space="preserve">嘉兴市住房和城乡建设局 </w:t>
      </w:r>
    </w:p>
    <w:p w14:paraId="2CCC5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color w:val="auto"/>
          <w:kern w:val="0"/>
          <w:sz w:val="24"/>
          <w:highlight w:val="none"/>
          <w:u w:val="single"/>
        </w:rPr>
      </w:pPr>
      <w:r>
        <w:rPr>
          <w:rFonts w:hint="eastAsia" w:ascii="宋体" w:hAnsi="宋体" w:cs="宋体"/>
          <w:color w:val="auto"/>
          <w:kern w:val="0"/>
          <w:sz w:val="24"/>
          <w:highlight w:val="none"/>
        </w:rPr>
        <w:t>供应商（以下称乙方）：</w:t>
      </w:r>
    </w:p>
    <w:p w14:paraId="60AF2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color w:val="auto"/>
          <w:kern w:val="0"/>
          <w:sz w:val="24"/>
          <w:highlight w:val="none"/>
          <w:u w:val="single"/>
        </w:rPr>
      </w:pPr>
      <w:r>
        <w:rPr>
          <w:rFonts w:hint="eastAsia" w:ascii="宋体" w:hAnsi="宋体" w:cs="宋体"/>
          <w:color w:val="auto"/>
          <w:kern w:val="0"/>
          <w:sz w:val="24"/>
          <w:highlight w:val="none"/>
        </w:rPr>
        <w:t>采购代理机构：</w:t>
      </w:r>
      <w:r>
        <w:rPr>
          <w:rFonts w:hint="eastAsia" w:ascii="宋体" w:hAnsi="宋体" w:cs="宋体"/>
          <w:color w:val="auto"/>
          <w:kern w:val="0"/>
          <w:sz w:val="24"/>
          <w:highlight w:val="none"/>
          <w:u w:val="single"/>
        </w:rPr>
        <w:t>浙江中惠工程管理有限公司</w:t>
      </w:r>
    </w:p>
    <w:p w14:paraId="10861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color w:val="auto"/>
          <w:kern w:val="0"/>
          <w:sz w:val="24"/>
          <w:highlight w:val="none"/>
          <w:u w:val="single"/>
        </w:rPr>
      </w:pPr>
      <w:r>
        <w:rPr>
          <w:rFonts w:hint="eastAsia" w:ascii="宋体" w:hAnsi="宋体" w:cs="宋体"/>
          <w:color w:val="auto"/>
          <w:kern w:val="0"/>
          <w:sz w:val="24"/>
          <w:highlight w:val="none"/>
        </w:rPr>
        <w:t>采购方式：</w:t>
      </w:r>
      <w:r>
        <w:rPr>
          <w:rFonts w:hint="eastAsia" w:ascii="宋体" w:hAnsi="宋体" w:cs="宋体"/>
          <w:color w:val="auto"/>
          <w:kern w:val="0"/>
          <w:sz w:val="24"/>
          <w:highlight w:val="none"/>
          <w:u w:val="single"/>
        </w:rPr>
        <w:t xml:space="preserve"> 竞争性磋商招标 </w:t>
      </w:r>
    </w:p>
    <w:p w14:paraId="12295D02">
      <w:pPr>
        <w:spacing w:line="44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嘉兴市城市高质量建设发展项目城市更新咨询服务</w:t>
      </w:r>
      <w:r>
        <w:rPr>
          <w:rFonts w:hint="eastAsia" w:ascii="宋体" w:hAnsi="宋体" w:cs="宋体"/>
          <w:color w:val="auto"/>
          <w:kern w:val="0"/>
          <w:sz w:val="24"/>
          <w:highlight w:val="none"/>
        </w:rPr>
        <w:t>采购结果签订本合同。</w:t>
      </w:r>
    </w:p>
    <w:p w14:paraId="117E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0A81D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0B1CE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5665E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（2）采购文件与采购响应文件；</w:t>
      </w:r>
    </w:p>
    <w:p w14:paraId="6561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1F1FD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281EA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1F75EB56">
      <w:pPr>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嘉兴市城市高质量建设发展项目城市更新咨询服务。</w:t>
      </w:r>
    </w:p>
    <w:p w14:paraId="0C219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是□否</w:t>
      </w:r>
    </w:p>
    <w:p w14:paraId="7F94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6BB5A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70DDB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1、本合同项下总价款为（大写）人民币，分项价款见“价格清单”（如有）”。</w:t>
      </w:r>
    </w:p>
    <w:p w14:paraId="7CD9F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2、本合同总价款含所有税费(包括货款、标准附件、备品备件、专用工具、包装、运输、装卸、保险、税金、货到就位以及安装、调试、培训、保修等一切税金和费用。)</w:t>
      </w:r>
    </w:p>
    <w:p w14:paraId="0403F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3、本合同付款方式为以下</w:t>
      </w:r>
      <w:r>
        <w:rPr>
          <w:rFonts w:hint="eastAsia" w:ascii="宋体" w:hAnsi="宋体" w:cs="宋体"/>
          <w:color w:val="auto"/>
          <w:kern w:val="0"/>
          <w:sz w:val="24"/>
          <w:highlight w:val="none"/>
          <w:u w:val="single"/>
        </w:rPr>
        <w:t xml:space="preserve">第 </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 xml:space="preserve"> 项</w:t>
      </w:r>
      <w:r>
        <w:rPr>
          <w:rFonts w:hint="eastAsia" w:ascii="宋体" w:hAnsi="宋体" w:cs="宋体"/>
          <w:color w:val="auto"/>
          <w:kern w:val="0"/>
          <w:sz w:val="24"/>
          <w:highlight w:val="none"/>
        </w:rPr>
        <w:t>：</w:t>
      </w:r>
    </w:p>
    <w:p w14:paraId="45C8C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w:t>
      </w:r>
      <w:r>
        <w:rPr>
          <w:rFonts w:hint="eastAsia" w:ascii="宋体" w:hAnsi="宋体" w:cs="宋体"/>
          <w:color w:val="auto"/>
          <w:kern w:val="0"/>
          <w:sz w:val="24"/>
          <w:highlight w:val="none"/>
          <w:u w:val="single"/>
        </w:rPr>
        <w:t>行    支付</w:t>
      </w:r>
      <w:r>
        <w:rPr>
          <w:rFonts w:hint="eastAsia" w:ascii="宋体" w:hAnsi="宋体" w:cs="宋体"/>
          <w:color w:val="auto"/>
          <w:kern w:val="0"/>
          <w:sz w:val="24"/>
          <w:highlight w:val="none"/>
        </w:rPr>
        <w:t>，付款程序为；</w:t>
      </w:r>
    </w:p>
    <w:p w14:paraId="115A4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（2）本合同项下的采购资金须财政直</w:t>
      </w:r>
      <w:r>
        <w:rPr>
          <w:rFonts w:hint="eastAsia" w:ascii="宋体" w:hAnsi="宋体" w:cs="宋体"/>
          <w:color w:val="auto"/>
          <w:kern w:val="0"/>
          <w:sz w:val="24"/>
          <w:highlight w:val="none"/>
          <w:u w:val="single"/>
        </w:rPr>
        <w:t>接    支付</w:t>
      </w:r>
      <w:r>
        <w:rPr>
          <w:rFonts w:hint="eastAsia" w:ascii="宋体" w:hAnsi="宋体" w:cs="宋体"/>
          <w:color w:val="auto"/>
          <w:kern w:val="0"/>
          <w:sz w:val="24"/>
          <w:highlight w:val="none"/>
        </w:rPr>
        <w:t>，付款程序</w:t>
      </w:r>
      <w:r>
        <w:rPr>
          <w:rFonts w:hint="eastAsia" w:ascii="宋体" w:hAnsi="宋体" w:cs="宋体"/>
          <w:color w:val="auto"/>
          <w:kern w:val="0"/>
          <w:sz w:val="24"/>
          <w:highlight w:val="none"/>
          <w:u w:val="single"/>
        </w:rPr>
        <w:t xml:space="preserve">为     </w:t>
      </w:r>
      <w:r>
        <w:rPr>
          <w:rFonts w:hint="eastAsia" w:ascii="宋体" w:hAnsi="宋体" w:cs="宋体"/>
          <w:color w:val="auto"/>
          <w:kern w:val="0"/>
          <w:sz w:val="24"/>
          <w:highlight w:val="none"/>
        </w:rPr>
        <w:t>；</w:t>
      </w:r>
    </w:p>
    <w:p w14:paraId="52D5A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（3）其他方式：</w:t>
      </w:r>
    </w:p>
    <w:p w14:paraId="75BCB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36" w:leftChars="303" w:firstLine="201" w:firstLineChars="84"/>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1、签订合同后，支付合同价的50%；</w:t>
      </w:r>
    </w:p>
    <w:p w14:paraId="333D9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36" w:leftChars="303" w:firstLine="201" w:firstLineChars="84"/>
        <w:jc w:val="left"/>
        <w:rPr>
          <w:rFonts w:hint="eastAsia" w:ascii="宋体" w:hAnsi="宋体" w:cs="宋体"/>
          <w:color w:val="auto"/>
          <w:kern w:val="0"/>
          <w:sz w:val="24"/>
          <w:highlight w:val="none"/>
        </w:rPr>
      </w:pPr>
      <w:r>
        <w:rPr>
          <w:rFonts w:hint="eastAsia" w:ascii="宋体" w:hAnsi="宋体" w:cs="宋体"/>
          <w:color w:val="auto"/>
          <w:kern w:val="0"/>
          <w:sz w:val="24"/>
          <w:highlight w:val="none"/>
        </w:rPr>
        <w:t>2、2025年5月30日前，支付合同价的30%；</w:t>
      </w:r>
    </w:p>
    <w:p w14:paraId="48A1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36" w:leftChars="303" w:firstLine="201" w:firstLineChars="84"/>
        <w:jc w:val="left"/>
        <w:rPr>
          <w:rFonts w:ascii="宋体" w:hAnsi="宋体" w:cs="宋体"/>
          <w:color w:val="auto"/>
          <w:kern w:val="0"/>
          <w:sz w:val="24"/>
          <w:highlight w:val="none"/>
        </w:rPr>
      </w:pPr>
      <w:r>
        <w:rPr>
          <w:rFonts w:hint="eastAsia" w:ascii="宋体" w:hAnsi="宋体" w:cs="宋体"/>
          <w:color w:val="auto"/>
          <w:kern w:val="0"/>
          <w:sz w:val="24"/>
          <w:highlight w:val="none"/>
        </w:rPr>
        <w:t>3、2026年5月30日前，支付合同价的20%。</w:t>
      </w:r>
    </w:p>
    <w:p w14:paraId="7CC2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4、本合同项下的采购资金付款进度按招投标文件规定，未规定时按以下第项支付：</w:t>
      </w:r>
    </w:p>
    <w:p w14:paraId="3A224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（1）一次性付款：乙方合同履行达到（条件）时，一次性付款；</w:t>
      </w:r>
    </w:p>
    <w:p w14:paraId="1A327BD8">
      <w:pPr>
        <w:spacing w:line="440" w:lineRule="exact"/>
        <w:ind w:firstLine="480" w:firstLineChars="200"/>
        <w:jc w:val="left"/>
        <w:rPr>
          <w:rFonts w:ascii="宋体" w:hAnsi="宋体" w:cs="宋体"/>
          <w:b/>
          <w:bCs/>
          <w:color w:val="auto"/>
          <w:kern w:val="0"/>
          <w:sz w:val="24"/>
          <w:highlight w:val="none"/>
        </w:rPr>
      </w:pPr>
      <w:r>
        <w:rPr>
          <w:rFonts w:hint="eastAsia" w:ascii="宋体" w:hAnsi="宋体" w:cs="宋体"/>
          <w:color w:val="auto"/>
          <w:kern w:val="0"/>
          <w:sz w:val="24"/>
          <w:highlight w:val="none"/>
        </w:rPr>
        <w:t>（2）分期付款</w:t>
      </w:r>
      <w:r>
        <w:rPr>
          <w:rFonts w:hint="eastAsia" w:ascii="宋体" w:hAnsi="宋体" w:cs="宋体"/>
          <w:b/>
          <w:bCs/>
          <w:color w:val="auto"/>
          <w:kern w:val="0"/>
          <w:sz w:val="24"/>
          <w:highlight w:val="none"/>
        </w:rPr>
        <w:t>：。</w:t>
      </w:r>
    </w:p>
    <w:p w14:paraId="3B136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68657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本项目不设履约保证金。</w:t>
      </w:r>
    </w:p>
    <w:p w14:paraId="1B2C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14:paraId="7189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145E6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14:paraId="34471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乙方不得擅自部分或全部转让其应履行的合同义务。乙方分包的，应经过甲方书面同意。</w:t>
      </w:r>
    </w:p>
    <w:p w14:paraId="243C9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14:paraId="7DB15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1、因履行本合同引起的或与本合同有关的争议，甲、乙双方应首先通过友好协商解决，如果协商不能解决争议，则采取以下第种方式解决争议：</w:t>
      </w:r>
    </w:p>
    <w:p w14:paraId="48C34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235C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（2）向仲裁委员申请仲裁。</w:t>
      </w:r>
    </w:p>
    <w:p w14:paraId="6729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14:paraId="05384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本合同一式份，甲乙双方各执份，1份报送政府采购监督管理部门备案，其余。</w:t>
      </w:r>
    </w:p>
    <w:p w14:paraId="48A505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二、特殊专用条款部分</w:t>
      </w:r>
    </w:p>
    <w:p w14:paraId="31398D5A">
      <w:pPr>
        <w:autoSpaceDE w:val="0"/>
        <w:autoSpaceDN w:val="0"/>
        <w:adjustRightIn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（略，待双方协商确定）</w:t>
      </w:r>
    </w:p>
    <w:p w14:paraId="08CBCCDA">
      <w:pPr>
        <w:autoSpaceDE w:val="0"/>
        <w:autoSpaceDN w:val="0"/>
        <w:adjustRightInd w:val="0"/>
        <w:spacing w:line="440" w:lineRule="exact"/>
        <w:jc w:val="left"/>
        <w:rPr>
          <w:rFonts w:ascii="宋体" w:hAnsi="宋体" w:cs="宋体"/>
          <w:color w:val="auto"/>
          <w:sz w:val="24"/>
          <w:highlight w:val="none"/>
        </w:rPr>
      </w:pPr>
    </w:p>
    <w:p w14:paraId="0326BF65">
      <w:pPr>
        <w:autoSpaceDE w:val="0"/>
        <w:autoSpaceDN w:val="0"/>
        <w:adjustRightIn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甲方：                               乙方： </w:t>
      </w:r>
    </w:p>
    <w:p w14:paraId="723357F2">
      <w:pPr>
        <w:autoSpaceDE w:val="0"/>
        <w:autoSpaceDN w:val="0"/>
        <w:adjustRightIn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地址：                               地址： </w:t>
      </w:r>
    </w:p>
    <w:p w14:paraId="25B3C9E1">
      <w:pPr>
        <w:autoSpaceDE w:val="0"/>
        <w:autoSpaceDN w:val="0"/>
        <w:adjustRightIn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法定代表人或                         法定代表人或</w:t>
      </w:r>
    </w:p>
    <w:p w14:paraId="770D5218">
      <w:pPr>
        <w:autoSpaceDE w:val="0"/>
        <w:autoSpaceDN w:val="0"/>
        <w:adjustRightIn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授权委托代理人：（签字）             授权委托代理人：（签字）</w:t>
      </w:r>
    </w:p>
    <w:p w14:paraId="54E8B92E">
      <w:pPr>
        <w:spacing w:before="156" w:beforeLines="50" w:after="156" w:afterLines="5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第六章  投标文件格式</w:t>
      </w:r>
    </w:p>
    <w:p w14:paraId="7F150EAC">
      <w:pPr>
        <w:snapToGrid w:val="0"/>
        <w:spacing w:before="156" w:beforeLines="50" w:after="50" w:line="440" w:lineRule="exact"/>
        <w:jc w:val="center"/>
        <w:outlineLvl w:val="1"/>
        <w:rPr>
          <w:rFonts w:ascii="宋体" w:hAnsi="宋体" w:cs="宋体"/>
          <w:color w:val="auto"/>
          <w:sz w:val="24"/>
          <w:highlight w:val="none"/>
        </w:rPr>
      </w:pPr>
      <w:r>
        <w:rPr>
          <w:rFonts w:hint="eastAsia" w:ascii="宋体" w:hAnsi="宋体" w:cs="宋体"/>
          <w:b/>
          <w:bCs/>
          <w:color w:val="auto"/>
          <w:sz w:val="24"/>
          <w:highlight w:val="none"/>
        </w:rPr>
        <w:t>一、资格文件格式</w:t>
      </w:r>
    </w:p>
    <w:p w14:paraId="65E0CB14">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·资格文件封面格式：</w:t>
      </w:r>
    </w:p>
    <w:p w14:paraId="7BDB9BFF">
      <w:pPr>
        <w:snapToGrid w:val="0"/>
        <w:spacing w:before="156" w:beforeLines="50" w:after="50" w:line="440" w:lineRule="exact"/>
        <w:rPr>
          <w:rFonts w:ascii="宋体" w:hAnsi="宋体" w:cs="宋体"/>
          <w:b/>
          <w:bCs/>
          <w:color w:val="auto"/>
          <w:sz w:val="32"/>
          <w:highlight w:val="none"/>
        </w:rPr>
      </w:pPr>
    </w:p>
    <w:p w14:paraId="32FC8EC2">
      <w:pPr>
        <w:snapToGrid w:val="0"/>
        <w:spacing w:before="156" w:beforeLines="50" w:after="50" w:line="440" w:lineRule="exact"/>
        <w:rPr>
          <w:rFonts w:ascii="宋体" w:hAnsi="宋体" w:cs="宋体"/>
          <w:color w:val="auto"/>
          <w:sz w:val="24"/>
          <w:highlight w:val="none"/>
        </w:rPr>
      </w:pPr>
    </w:p>
    <w:p w14:paraId="1DFD6B8A">
      <w:pPr>
        <w:snapToGrid w:val="0"/>
        <w:spacing w:before="156" w:beforeLines="50" w:after="50" w:line="440" w:lineRule="exact"/>
        <w:jc w:val="center"/>
        <w:rPr>
          <w:rFonts w:ascii="宋体" w:hAnsi="宋体" w:cs="宋体"/>
          <w:bCs/>
          <w:color w:val="auto"/>
          <w:sz w:val="24"/>
          <w:highlight w:val="none"/>
        </w:rPr>
      </w:pPr>
    </w:p>
    <w:p w14:paraId="1E13566A">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资格</w:t>
      </w:r>
      <w:r>
        <w:rPr>
          <w:rFonts w:hint="eastAsia" w:ascii="宋体" w:hAnsi="宋体" w:cs="宋体"/>
          <w:color w:val="auto"/>
          <w:sz w:val="24"/>
          <w:highlight w:val="none"/>
        </w:rPr>
        <w:t>文件</w:t>
      </w:r>
    </w:p>
    <w:p w14:paraId="66E6ECB5">
      <w:pPr>
        <w:snapToGrid w:val="0"/>
        <w:spacing w:before="156" w:beforeLines="50" w:after="50" w:line="440" w:lineRule="exact"/>
        <w:rPr>
          <w:rFonts w:ascii="宋体" w:hAnsi="宋体" w:cs="宋体"/>
          <w:bCs/>
          <w:color w:val="auto"/>
          <w:sz w:val="24"/>
          <w:highlight w:val="none"/>
        </w:rPr>
      </w:pPr>
    </w:p>
    <w:p w14:paraId="4413D18B">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475A89A7">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775FA26F">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2AE76334">
      <w:pPr>
        <w:pStyle w:val="7"/>
        <w:spacing w:before="50" w:after="50" w:line="440" w:lineRule="exact"/>
        <w:ind w:firstLine="998" w:firstLineChars="416"/>
        <w:rPr>
          <w:rFonts w:hAnsi="宋体"/>
          <w:bCs/>
          <w:color w:val="auto"/>
          <w:sz w:val="24"/>
          <w:szCs w:val="24"/>
          <w:highlight w:val="none"/>
        </w:rPr>
      </w:pPr>
      <w:r>
        <w:rPr>
          <w:rFonts w:hint="eastAsia" w:hAnsi="宋体"/>
          <w:bCs/>
          <w:color w:val="auto"/>
          <w:sz w:val="24"/>
          <w:szCs w:val="24"/>
          <w:highlight w:val="none"/>
        </w:rPr>
        <w:t>投标人地址：</w:t>
      </w:r>
    </w:p>
    <w:p w14:paraId="09D58481">
      <w:pPr>
        <w:snapToGrid w:val="0"/>
        <w:spacing w:before="156" w:beforeLines="50" w:after="50" w:line="440" w:lineRule="exact"/>
        <w:ind w:firstLine="4080" w:firstLineChars="1700"/>
        <w:rPr>
          <w:rFonts w:ascii="宋体" w:hAnsi="宋体" w:cs="宋体"/>
          <w:color w:val="auto"/>
          <w:sz w:val="24"/>
          <w:highlight w:val="none"/>
        </w:rPr>
      </w:pPr>
    </w:p>
    <w:p w14:paraId="5F490EB2">
      <w:pPr>
        <w:snapToGrid w:val="0"/>
        <w:spacing w:before="156" w:beforeLines="50" w:after="50" w:line="440" w:lineRule="exact"/>
        <w:ind w:firstLine="645"/>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10C5A798">
      <w:pPr>
        <w:pStyle w:val="26"/>
        <w:spacing w:beforeAutospacing="0" w:afterAutospacing="0" w:line="420" w:lineRule="exact"/>
        <w:jc w:val="both"/>
        <w:rPr>
          <w:color w:val="auto"/>
          <w:sz w:val="21"/>
          <w:szCs w:val="21"/>
          <w:highlight w:val="none"/>
        </w:rPr>
      </w:pPr>
      <w:bookmarkStart w:id="67" w:name="OLE_LINK9"/>
    </w:p>
    <w:p w14:paraId="09BB3F66">
      <w:pPr>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br w:type="page"/>
      </w:r>
      <w:bookmarkEnd w:id="67"/>
      <w:r>
        <w:rPr>
          <w:rFonts w:hint="eastAsia" w:ascii="宋体" w:hAnsi="宋体" w:cs="宋体"/>
          <w:b/>
          <w:color w:val="auto"/>
          <w:szCs w:val="21"/>
          <w:highlight w:val="none"/>
        </w:rPr>
        <w:t>资格文件、商务技术文件及报价文件目录</w:t>
      </w:r>
      <w:r>
        <w:rPr>
          <w:rFonts w:hint="eastAsia" w:ascii="宋体" w:hAnsi="宋体" w:cs="宋体"/>
          <w:b/>
          <w:bCs/>
          <w:color w:val="auto"/>
          <w:szCs w:val="21"/>
          <w:highlight w:val="none"/>
        </w:rPr>
        <w:t>（请按照“第三章投标人须知，三、投标文件的编制”的顺序、评分内容自行编制目录）</w:t>
      </w:r>
    </w:p>
    <w:p w14:paraId="6F7BE2F9">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例如：</w:t>
      </w:r>
    </w:p>
    <w:p w14:paraId="7EBF7020">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资格文件：</w:t>
      </w:r>
    </w:p>
    <w:p w14:paraId="113D7DA1">
      <w:pPr>
        <w:snapToGrid w:val="0"/>
        <w:spacing w:line="360" w:lineRule="auto"/>
        <w:jc w:val="left"/>
        <w:rPr>
          <w:rFonts w:ascii="宋体" w:hAnsi="宋体" w:cs="宋体"/>
          <w:color w:val="auto"/>
          <w:szCs w:val="21"/>
          <w:highlight w:val="none"/>
        </w:rPr>
      </w:pPr>
      <w:bookmarkStart w:id="68" w:name="OLE_LINK11"/>
      <w:r>
        <w:rPr>
          <w:rFonts w:hint="eastAsia" w:ascii="宋体" w:hAnsi="宋体" w:cs="宋体"/>
          <w:color w:val="auto"/>
          <w:szCs w:val="21"/>
          <w:highlight w:val="none"/>
        </w:rPr>
        <w:t>（1）投标声明书(格式见附件)————————页码</w:t>
      </w:r>
    </w:p>
    <w:p w14:paraId="7F0942A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（2）法定代表人授权委托书(格式见附件)————————</w:t>
      </w:r>
    </w:p>
    <w:p w14:paraId="214F179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w:t>
      </w:r>
    </w:p>
    <w:p w14:paraId="724835A5">
      <w:pPr>
        <w:snapToGrid w:val="0"/>
        <w:spacing w:line="360" w:lineRule="auto"/>
        <w:rPr>
          <w:rFonts w:ascii="宋体" w:hAnsi="宋体" w:cs="宋体"/>
          <w:color w:val="auto"/>
          <w:sz w:val="32"/>
          <w:szCs w:val="32"/>
          <w:highlight w:val="none"/>
        </w:rPr>
      </w:pPr>
    </w:p>
    <w:p w14:paraId="573EF393">
      <w:pPr>
        <w:spacing w:line="460" w:lineRule="exact"/>
        <w:rPr>
          <w:rFonts w:ascii="宋体" w:hAnsi="宋体" w:cs="宋体"/>
          <w:b/>
          <w:color w:val="auto"/>
          <w:sz w:val="24"/>
          <w:highlight w:val="none"/>
        </w:rPr>
      </w:pPr>
      <w:r>
        <w:rPr>
          <w:rFonts w:hint="eastAsia" w:ascii="宋体" w:hAnsi="宋体" w:cs="宋体"/>
          <w:b/>
          <w:color w:val="auto"/>
          <w:sz w:val="24"/>
          <w:highlight w:val="none"/>
        </w:rPr>
        <w:br w:type="page"/>
      </w:r>
      <w:bookmarkEnd w:id="68"/>
      <w:bookmarkStart w:id="69" w:name="OLE_LINK16"/>
      <w:r>
        <w:rPr>
          <w:rFonts w:hint="eastAsia" w:ascii="宋体" w:hAnsi="宋体" w:cs="宋体"/>
          <w:b/>
          <w:color w:val="auto"/>
          <w:sz w:val="24"/>
          <w:highlight w:val="none"/>
        </w:rPr>
        <w:t>1、投标声明书格式：</w:t>
      </w:r>
    </w:p>
    <w:p w14:paraId="25133954">
      <w:pPr>
        <w:snapToGrid w:val="0"/>
        <w:spacing w:before="156" w:beforeLines="50" w:after="50" w:line="440" w:lineRule="exact"/>
        <w:jc w:val="center"/>
        <w:rPr>
          <w:rFonts w:ascii="宋体" w:hAnsi="宋体" w:cs="宋体"/>
          <w:b/>
          <w:bCs/>
          <w:color w:val="auto"/>
          <w:sz w:val="32"/>
          <w:szCs w:val="32"/>
          <w:highlight w:val="none"/>
        </w:rPr>
      </w:pPr>
      <w:bookmarkStart w:id="70" w:name="OLE_LINK12"/>
      <w:r>
        <w:rPr>
          <w:rFonts w:hint="eastAsia" w:ascii="宋体" w:hAnsi="宋体" w:cs="宋体"/>
          <w:b/>
          <w:bCs/>
          <w:color w:val="auto"/>
          <w:sz w:val="32"/>
          <w:szCs w:val="32"/>
          <w:highlight w:val="none"/>
        </w:rPr>
        <w:t>投标声明书</w:t>
      </w:r>
    </w:p>
    <w:p w14:paraId="6D8B06B5">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致：（采购单位名称）：</w:t>
      </w:r>
    </w:p>
    <w:p w14:paraId="098D3AA1">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（投标人名称）系中华人民共和国合法企业，经营地址。</w:t>
      </w:r>
    </w:p>
    <w:p w14:paraId="0A0EE31F">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我（姓名）系（投标人名称）的法定代表人，我方愿意参加贵方组织的项目的投标，为便于贵方公正、择优地确定中标人及服务，我方就本次投标有关事项郑重声明如下：</w:t>
      </w:r>
    </w:p>
    <w:p w14:paraId="782BCB5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4323BEF6">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2.我方不是采购人的附属机构；在获知本项目投标信息后，与采购人聘请的为此项目提供招标代理公司及其附属机构没有任何联系。</w:t>
      </w:r>
    </w:p>
    <w:p w14:paraId="4D61C9C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3.以上事项如有虚假或隐瞒，我方愿意承担一切后果，并不再寻求任何旨在减轻或免除法律责任的辩解。</w:t>
      </w:r>
    </w:p>
    <w:p w14:paraId="3B875633">
      <w:pPr>
        <w:pStyle w:val="13"/>
        <w:tabs>
          <w:tab w:val="left" w:pos="939"/>
        </w:tabs>
        <w:snapToGrid w:val="0"/>
        <w:spacing w:line="440" w:lineRule="exact"/>
        <w:ind w:left="773" w:leftChars="150" w:hanging="458" w:hangingChars="191"/>
        <w:rPr>
          <w:rFonts w:ascii="宋体" w:hAnsi="宋体"/>
          <w:color w:val="auto"/>
          <w:sz w:val="24"/>
          <w:highlight w:val="none"/>
        </w:rPr>
      </w:pPr>
    </w:p>
    <w:p w14:paraId="5202BA1E">
      <w:pPr>
        <w:pStyle w:val="13"/>
        <w:tabs>
          <w:tab w:val="left" w:pos="939"/>
        </w:tabs>
        <w:snapToGrid w:val="0"/>
        <w:spacing w:line="440" w:lineRule="exact"/>
        <w:ind w:left="773" w:leftChars="150" w:hanging="458" w:hangingChars="191"/>
        <w:rPr>
          <w:rFonts w:ascii="宋体" w:hAnsi="宋体"/>
          <w:color w:val="auto"/>
          <w:sz w:val="24"/>
          <w:highlight w:val="none"/>
        </w:rPr>
      </w:pPr>
    </w:p>
    <w:p w14:paraId="4DAAF7B3">
      <w:pPr>
        <w:snapToGrid w:val="0"/>
        <w:spacing w:before="156" w:beforeLines="50" w:line="440" w:lineRule="exact"/>
        <w:rPr>
          <w:rFonts w:ascii="宋体" w:hAnsi="宋体" w:cs="宋体"/>
          <w:color w:val="auto"/>
          <w:sz w:val="24"/>
          <w:highlight w:val="none"/>
          <w:u w:val="single"/>
        </w:rPr>
      </w:pPr>
      <w:r>
        <w:rPr>
          <w:rFonts w:hint="eastAsia" w:ascii="宋体" w:hAnsi="宋体" w:cs="宋体"/>
          <w:color w:val="auto"/>
          <w:sz w:val="24"/>
          <w:highlight w:val="none"/>
        </w:rPr>
        <w:t>法定代表人（签字或盖章）：</w:t>
      </w:r>
    </w:p>
    <w:p w14:paraId="32ED6FF6">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投标人公章：</w:t>
      </w:r>
    </w:p>
    <w:p w14:paraId="59ECF35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年    月    日</w:t>
      </w:r>
    </w:p>
    <w:bookmarkEnd w:id="70"/>
    <w:p w14:paraId="7240AC5E">
      <w:pPr>
        <w:widowControl/>
        <w:spacing w:line="360" w:lineRule="auto"/>
        <w:jc w:val="left"/>
        <w:rPr>
          <w:rFonts w:ascii="宋体" w:hAnsi="宋体" w:cs="宋体"/>
          <w:b/>
          <w:color w:val="auto"/>
          <w:sz w:val="24"/>
          <w:highlight w:val="none"/>
        </w:rPr>
      </w:pPr>
      <w:r>
        <w:rPr>
          <w:rFonts w:hint="eastAsia" w:ascii="宋体" w:hAnsi="宋体" w:cs="宋体"/>
          <w:color w:val="auto"/>
          <w:sz w:val="24"/>
          <w:highlight w:val="none"/>
        </w:rPr>
        <w:br w:type="page"/>
      </w:r>
      <w:bookmarkStart w:id="71" w:name="OLE_LINK15"/>
      <w:r>
        <w:rPr>
          <w:rFonts w:hint="eastAsia" w:ascii="宋体" w:hAnsi="宋体" w:cs="宋体"/>
          <w:b/>
          <w:bCs/>
          <w:color w:val="auto"/>
          <w:sz w:val="24"/>
          <w:highlight w:val="none"/>
        </w:rPr>
        <w:t>2、法定代表人授权委托书格式：</w:t>
      </w:r>
      <w:bookmarkEnd w:id="71"/>
    </w:p>
    <w:p w14:paraId="362188D6">
      <w:pPr>
        <w:snapToGrid w:val="0"/>
        <w:spacing w:before="156" w:beforeLines="50" w:after="50"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3F8B48CB">
      <w:pPr>
        <w:snapToGrid w:val="0"/>
        <w:spacing w:before="156" w:beforeLines="50" w:after="50" w:line="440" w:lineRule="exact"/>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rPr>
        <w:t>（采购单位名称）：</w:t>
      </w:r>
    </w:p>
    <w:p w14:paraId="5D745F6C">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我（姓名）系（投标人名称）的法定代表人，现授权委托本单位在职职工（姓名）以我方的名义参加项目的投标活动，并代表我方全权办理针对上述项目的投标、开标、评标、签约等具体事务和签署相关文件。</w:t>
      </w:r>
    </w:p>
    <w:p w14:paraId="547D9D9B">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7214284F">
      <w:pPr>
        <w:snapToGrid w:val="0"/>
        <w:spacing w:before="156" w:beforeLines="50" w:after="50" w:line="440" w:lineRule="exact"/>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0A5B5936">
      <w:pPr>
        <w:snapToGrid w:val="0"/>
        <w:spacing w:before="156" w:beforeLines="50" w:after="50" w:line="440" w:lineRule="exact"/>
        <w:ind w:firstLine="48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6D7A1F7E">
      <w:pPr>
        <w:snapToGrid w:val="0"/>
        <w:spacing w:before="156" w:beforeLines="50" w:after="50" w:line="440" w:lineRule="exact"/>
        <w:rPr>
          <w:rFonts w:ascii="宋体" w:hAnsi="宋体" w:cs="宋体"/>
          <w:color w:val="auto"/>
          <w:sz w:val="24"/>
          <w:highlight w:val="none"/>
        </w:rPr>
      </w:pPr>
    </w:p>
    <w:p w14:paraId="01170B6E">
      <w:pPr>
        <w:snapToGrid w:val="0"/>
        <w:spacing w:before="156" w:beforeLines="50" w:after="50" w:line="440" w:lineRule="exact"/>
        <w:rPr>
          <w:rFonts w:ascii="宋体" w:hAnsi="宋体" w:cs="宋体"/>
          <w:color w:val="auto"/>
          <w:sz w:val="24"/>
          <w:highlight w:val="none"/>
          <w:u w:val="single"/>
        </w:rPr>
      </w:pPr>
      <w:r>
        <w:rPr>
          <w:rFonts w:hint="eastAsia" w:ascii="宋体" w:hAnsi="宋体" w:cs="宋体"/>
          <w:color w:val="auto"/>
          <w:sz w:val="24"/>
          <w:highlight w:val="none"/>
        </w:rPr>
        <w:t>被授权人：                 法定代表人签名或盖章：</w:t>
      </w:r>
    </w:p>
    <w:p w14:paraId="6C1E28BD">
      <w:pPr>
        <w:snapToGrid w:val="0"/>
        <w:spacing w:before="156" w:beforeLines="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职务：                                职务：</w:t>
      </w:r>
    </w:p>
    <w:p w14:paraId="5C0DDA30">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被授权人身份证号码：</w:t>
      </w:r>
    </w:p>
    <w:p w14:paraId="1A784EAA">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146E8077">
      <w:pPr>
        <w:snapToGrid w:val="0"/>
        <w:spacing w:before="156" w:beforeLines="50" w:after="50" w:line="44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E430B40">
      <w:pPr>
        <w:snapToGrid w:val="0"/>
        <w:spacing w:before="156" w:beforeLines="50"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3、供应商市场行为信誉（信用）情况承诺书格式：</w:t>
      </w:r>
    </w:p>
    <w:p w14:paraId="1D139508">
      <w:pPr>
        <w:pStyle w:val="21"/>
        <w:snapToGrid w:val="0"/>
        <w:spacing w:line="360" w:lineRule="auto"/>
        <w:ind w:left="643" w:hanging="643"/>
        <w:jc w:val="center"/>
        <w:rPr>
          <w:rFonts w:ascii="宋体" w:hAnsi="宋体"/>
          <w:b/>
          <w:color w:val="auto"/>
          <w:sz w:val="32"/>
          <w:szCs w:val="32"/>
          <w:highlight w:val="none"/>
        </w:rPr>
      </w:pPr>
      <w:r>
        <w:rPr>
          <w:rFonts w:hint="eastAsia" w:ascii="宋体" w:hAnsi="宋体"/>
          <w:b/>
          <w:color w:val="auto"/>
          <w:sz w:val="32"/>
          <w:szCs w:val="32"/>
          <w:highlight w:val="none"/>
        </w:rPr>
        <w:t>供应商市场行为信誉（信用）情况承诺书（申明书）</w:t>
      </w:r>
    </w:p>
    <w:tbl>
      <w:tblPr>
        <w:tblStyle w:val="29"/>
        <w:tblW w:w="94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898"/>
        <w:gridCol w:w="196"/>
        <w:gridCol w:w="2685"/>
        <w:gridCol w:w="2112"/>
        <w:gridCol w:w="2340"/>
      </w:tblGrid>
      <w:tr w14:paraId="52FB2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4" w:hRule="atLeast"/>
        </w:trPr>
        <w:tc>
          <w:tcPr>
            <w:tcW w:w="2303" w:type="dxa"/>
            <w:gridSpan w:val="3"/>
            <w:tcBorders>
              <w:top w:val="single" w:color="auto" w:sz="4" w:space="0"/>
              <w:left w:val="single" w:color="auto" w:sz="4" w:space="0"/>
              <w:bottom w:val="dotted" w:color="auto" w:sz="4" w:space="0"/>
              <w:right w:val="dotted" w:color="auto" w:sz="4" w:space="0"/>
            </w:tcBorders>
            <w:noWrap/>
            <w:vAlign w:val="center"/>
          </w:tcPr>
          <w:p w14:paraId="13491446">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投（竞）标</w:t>
            </w:r>
            <w:r>
              <w:rPr>
                <w:rFonts w:hint="eastAsia" w:ascii="宋体" w:hAnsi="宋体" w:cs="宋体"/>
                <w:b/>
                <w:bCs/>
                <w:color w:val="auto"/>
                <w:highlight w:val="none"/>
              </w:rPr>
              <w:t>供应商</w:t>
            </w:r>
            <w:r>
              <w:rPr>
                <w:rFonts w:hint="eastAsia" w:ascii="宋体" w:hAnsi="宋体" w:cs="宋体"/>
                <w:color w:val="auto"/>
                <w:highlight w:val="none"/>
              </w:rPr>
              <w:t xml:space="preserve">名称 </w:t>
            </w:r>
          </w:p>
        </w:tc>
        <w:tc>
          <w:tcPr>
            <w:tcW w:w="2685" w:type="dxa"/>
            <w:tcBorders>
              <w:top w:val="single" w:color="auto" w:sz="4" w:space="0"/>
              <w:left w:val="dotted" w:color="auto" w:sz="4" w:space="0"/>
              <w:bottom w:val="dotted" w:color="auto" w:sz="4" w:space="0"/>
              <w:right w:val="dotted" w:color="auto" w:sz="4" w:space="0"/>
            </w:tcBorders>
            <w:noWrap/>
            <w:vAlign w:val="center"/>
          </w:tcPr>
          <w:p w14:paraId="759B7607">
            <w:pPr>
              <w:spacing w:line="260" w:lineRule="exact"/>
              <w:rPr>
                <w:rFonts w:ascii="宋体" w:hAnsi="宋体" w:cs="宋体"/>
                <w:color w:val="auto"/>
                <w:sz w:val="18"/>
                <w:szCs w:val="18"/>
                <w:highlight w:val="none"/>
              </w:rPr>
            </w:pPr>
          </w:p>
        </w:tc>
        <w:tc>
          <w:tcPr>
            <w:tcW w:w="2112" w:type="dxa"/>
            <w:tcBorders>
              <w:top w:val="single" w:color="auto" w:sz="4" w:space="0"/>
              <w:left w:val="dotted" w:color="auto" w:sz="4" w:space="0"/>
              <w:bottom w:val="dotted" w:color="auto" w:sz="4" w:space="0"/>
              <w:right w:val="dotted" w:color="auto" w:sz="4" w:space="0"/>
            </w:tcBorders>
            <w:noWrap/>
            <w:vAlign w:val="center"/>
          </w:tcPr>
          <w:p w14:paraId="680BD803">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企业资质等级</w:t>
            </w:r>
          </w:p>
          <w:p w14:paraId="296AD377">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（如 有） </w:t>
            </w:r>
          </w:p>
        </w:tc>
        <w:tc>
          <w:tcPr>
            <w:tcW w:w="2340" w:type="dxa"/>
            <w:tcBorders>
              <w:top w:val="single" w:color="auto" w:sz="4" w:space="0"/>
              <w:left w:val="dotted" w:color="auto" w:sz="4" w:space="0"/>
              <w:bottom w:val="dotted" w:color="auto" w:sz="4" w:space="0"/>
              <w:right w:val="single" w:color="auto" w:sz="4" w:space="0"/>
            </w:tcBorders>
            <w:noWrap/>
            <w:vAlign w:val="center"/>
          </w:tcPr>
          <w:p w14:paraId="023F570C">
            <w:pPr>
              <w:spacing w:line="260" w:lineRule="exact"/>
              <w:rPr>
                <w:rFonts w:ascii="宋体" w:hAnsi="宋体" w:cs="宋体"/>
                <w:color w:val="auto"/>
                <w:sz w:val="18"/>
                <w:szCs w:val="18"/>
                <w:highlight w:val="none"/>
              </w:rPr>
            </w:pPr>
          </w:p>
        </w:tc>
      </w:tr>
      <w:tr w14:paraId="1DDD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071BCB97">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企 业 地 址 </w:t>
            </w:r>
          </w:p>
        </w:tc>
        <w:tc>
          <w:tcPr>
            <w:tcW w:w="2685" w:type="dxa"/>
            <w:tcBorders>
              <w:top w:val="dotted" w:color="auto" w:sz="4" w:space="0"/>
              <w:left w:val="dotted" w:color="auto" w:sz="4" w:space="0"/>
              <w:bottom w:val="dotted" w:color="auto" w:sz="4" w:space="0"/>
              <w:right w:val="dotted" w:color="auto" w:sz="4" w:space="0"/>
            </w:tcBorders>
            <w:noWrap/>
            <w:vAlign w:val="center"/>
          </w:tcPr>
          <w:p w14:paraId="505E2397">
            <w:pPr>
              <w:spacing w:line="260" w:lineRule="exact"/>
              <w:rPr>
                <w:rFonts w:ascii="宋体" w:hAnsi="宋体" w:cs="宋体"/>
                <w:color w:val="auto"/>
                <w:sz w:val="18"/>
                <w:szCs w:val="18"/>
                <w:highlight w:val="none"/>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4688397D">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联 系 电 话 </w:t>
            </w:r>
          </w:p>
        </w:tc>
        <w:tc>
          <w:tcPr>
            <w:tcW w:w="2340" w:type="dxa"/>
            <w:tcBorders>
              <w:top w:val="dotted" w:color="auto" w:sz="4" w:space="0"/>
              <w:left w:val="dotted" w:color="auto" w:sz="4" w:space="0"/>
              <w:bottom w:val="dotted" w:color="auto" w:sz="4" w:space="0"/>
              <w:right w:val="single" w:color="auto" w:sz="4" w:space="0"/>
            </w:tcBorders>
            <w:noWrap/>
            <w:vAlign w:val="center"/>
          </w:tcPr>
          <w:p w14:paraId="73123DE2">
            <w:pPr>
              <w:spacing w:line="260" w:lineRule="exact"/>
              <w:rPr>
                <w:rFonts w:ascii="宋体" w:hAnsi="宋体" w:cs="宋体"/>
                <w:color w:val="auto"/>
                <w:sz w:val="18"/>
                <w:szCs w:val="18"/>
                <w:highlight w:val="none"/>
              </w:rPr>
            </w:pPr>
          </w:p>
        </w:tc>
      </w:tr>
      <w:tr w14:paraId="0A74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303" w:type="dxa"/>
            <w:gridSpan w:val="3"/>
            <w:tcBorders>
              <w:top w:val="dotted" w:color="auto" w:sz="4" w:space="0"/>
              <w:left w:val="single" w:color="auto" w:sz="4" w:space="0"/>
              <w:bottom w:val="dotted" w:color="auto" w:sz="4" w:space="0"/>
              <w:right w:val="dotted" w:color="auto" w:sz="4" w:space="0"/>
            </w:tcBorders>
            <w:noWrap/>
            <w:vAlign w:val="center"/>
          </w:tcPr>
          <w:p w14:paraId="425FD93D">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拟投（竞）标项目名称 </w:t>
            </w:r>
          </w:p>
        </w:tc>
        <w:tc>
          <w:tcPr>
            <w:tcW w:w="2685" w:type="dxa"/>
            <w:tcBorders>
              <w:top w:val="dotted" w:color="auto" w:sz="4" w:space="0"/>
              <w:left w:val="dotted" w:color="auto" w:sz="4" w:space="0"/>
              <w:bottom w:val="dotted" w:color="auto" w:sz="4" w:space="0"/>
              <w:right w:val="dotted" w:color="auto" w:sz="4" w:space="0"/>
            </w:tcBorders>
            <w:noWrap/>
            <w:vAlign w:val="center"/>
          </w:tcPr>
          <w:p w14:paraId="721DDD43">
            <w:pPr>
              <w:spacing w:line="260" w:lineRule="exact"/>
              <w:rPr>
                <w:rFonts w:ascii="宋体" w:hAnsi="宋体" w:cs="宋体"/>
                <w:color w:val="auto"/>
                <w:sz w:val="18"/>
                <w:szCs w:val="18"/>
                <w:highlight w:val="none"/>
              </w:rPr>
            </w:pPr>
          </w:p>
        </w:tc>
        <w:tc>
          <w:tcPr>
            <w:tcW w:w="2112" w:type="dxa"/>
            <w:tcBorders>
              <w:top w:val="dotted" w:color="auto" w:sz="4" w:space="0"/>
              <w:left w:val="dotted" w:color="auto" w:sz="4" w:space="0"/>
              <w:bottom w:val="dotted" w:color="auto" w:sz="4" w:space="0"/>
              <w:right w:val="dotted" w:color="auto" w:sz="4" w:space="0"/>
            </w:tcBorders>
            <w:noWrap/>
            <w:vAlign w:val="center"/>
          </w:tcPr>
          <w:p w14:paraId="7EBE46F3">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拟投标项目负责人姓名及资质 </w:t>
            </w:r>
          </w:p>
        </w:tc>
        <w:tc>
          <w:tcPr>
            <w:tcW w:w="2340" w:type="dxa"/>
            <w:tcBorders>
              <w:top w:val="dotted" w:color="auto" w:sz="4" w:space="0"/>
              <w:left w:val="dotted" w:color="auto" w:sz="4" w:space="0"/>
              <w:bottom w:val="dotted" w:color="auto" w:sz="4" w:space="0"/>
              <w:right w:val="single" w:color="auto" w:sz="4" w:space="0"/>
            </w:tcBorders>
            <w:noWrap/>
          </w:tcPr>
          <w:p w14:paraId="64B4E2F8">
            <w:pPr>
              <w:spacing w:line="260" w:lineRule="exact"/>
              <w:rPr>
                <w:rFonts w:ascii="宋体" w:hAnsi="宋体" w:cs="宋体"/>
                <w:color w:val="auto"/>
                <w:sz w:val="18"/>
                <w:szCs w:val="18"/>
                <w:highlight w:val="none"/>
              </w:rPr>
            </w:pPr>
          </w:p>
        </w:tc>
      </w:tr>
      <w:tr w14:paraId="7C0EC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8" w:hRule="atLeast"/>
        </w:trPr>
        <w:tc>
          <w:tcPr>
            <w:tcW w:w="1209" w:type="dxa"/>
            <w:vMerge w:val="restart"/>
            <w:tcBorders>
              <w:top w:val="single" w:color="auto" w:sz="4" w:space="0"/>
              <w:left w:val="single" w:color="auto" w:sz="4" w:space="0"/>
              <w:right w:val="dotted" w:color="auto" w:sz="4" w:space="0"/>
            </w:tcBorders>
            <w:noWrap/>
            <w:vAlign w:val="center"/>
          </w:tcPr>
          <w:p w14:paraId="24EF1D03">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供应商</w:t>
            </w:r>
          </w:p>
          <w:p w14:paraId="0438D449">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市场</w:t>
            </w:r>
          </w:p>
          <w:p w14:paraId="13349FFB">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行为</w:t>
            </w:r>
          </w:p>
          <w:p w14:paraId="64EA2125">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信誉</w:t>
            </w:r>
          </w:p>
          <w:p w14:paraId="050674CB">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情况</w:t>
            </w: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63BB35E2">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有无受到财政监管部门处理、公告的不良行为。（未注明公告期限的）</w:t>
            </w:r>
          </w:p>
        </w:tc>
        <w:tc>
          <w:tcPr>
            <w:tcW w:w="4452" w:type="dxa"/>
            <w:gridSpan w:val="2"/>
            <w:tcBorders>
              <w:top w:val="single" w:color="auto" w:sz="4" w:space="0"/>
              <w:left w:val="dotted" w:color="auto" w:sz="4" w:space="0"/>
              <w:bottom w:val="dotted" w:color="auto" w:sz="4" w:space="0"/>
              <w:right w:val="single" w:color="auto" w:sz="4" w:space="0"/>
            </w:tcBorders>
            <w:noWrap/>
          </w:tcPr>
          <w:p w14:paraId="200F0A67">
            <w:pPr>
              <w:spacing w:line="260" w:lineRule="exact"/>
              <w:rPr>
                <w:rFonts w:ascii="宋体" w:hAnsi="宋体" w:cs="宋体"/>
                <w:color w:val="auto"/>
                <w:sz w:val="18"/>
                <w:szCs w:val="18"/>
                <w:highlight w:val="none"/>
              </w:rPr>
            </w:pPr>
          </w:p>
        </w:tc>
      </w:tr>
      <w:tr w14:paraId="30772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209" w:type="dxa"/>
            <w:vMerge w:val="continue"/>
            <w:tcBorders>
              <w:top w:val="single" w:color="auto" w:sz="4" w:space="0"/>
              <w:left w:val="single" w:color="auto" w:sz="4" w:space="0"/>
              <w:right w:val="dotted" w:color="auto" w:sz="4" w:space="0"/>
            </w:tcBorders>
            <w:noWrap/>
            <w:vAlign w:val="center"/>
          </w:tcPr>
          <w:p w14:paraId="5E454F9F">
            <w:pPr>
              <w:spacing w:before="100" w:beforeAutospacing="1" w:after="100" w:afterAutospacing="1" w:line="260" w:lineRule="exact"/>
              <w:jc w:val="center"/>
              <w:rPr>
                <w:rFonts w:ascii="宋体" w:hAnsi="宋体" w:cs="宋体"/>
                <w:color w:val="auto"/>
                <w:highlight w:val="none"/>
              </w:rPr>
            </w:pPr>
          </w:p>
        </w:tc>
        <w:tc>
          <w:tcPr>
            <w:tcW w:w="3779" w:type="dxa"/>
            <w:gridSpan w:val="3"/>
            <w:tcBorders>
              <w:top w:val="single" w:color="auto" w:sz="4" w:space="0"/>
              <w:left w:val="dotted" w:color="auto" w:sz="4" w:space="0"/>
              <w:bottom w:val="dotted" w:color="auto" w:sz="4" w:space="0"/>
              <w:right w:val="dotted" w:color="auto" w:sz="4" w:space="0"/>
            </w:tcBorders>
            <w:noWrap/>
            <w:vAlign w:val="center"/>
          </w:tcPr>
          <w:p w14:paraId="240C5FB4">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有无受到财政监管部门处理、公告的不良行为（在公告期内）。</w:t>
            </w:r>
          </w:p>
        </w:tc>
        <w:tc>
          <w:tcPr>
            <w:tcW w:w="4452" w:type="dxa"/>
            <w:gridSpan w:val="2"/>
            <w:tcBorders>
              <w:top w:val="single" w:color="auto" w:sz="4" w:space="0"/>
              <w:left w:val="dotted" w:color="auto" w:sz="4" w:space="0"/>
              <w:bottom w:val="dotted" w:color="auto" w:sz="4" w:space="0"/>
              <w:right w:val="single" w:color="auto" w:sz="4" w:space="0"/>
            </w:tcBorders>
            <w:noWrap/>
          </w:tcPr>
          <w:p w14:paraId="09C0472C">
            <w:pPr>
              <w:spacing w:line="260" w:lineRule="exact"/>
              <w:rPr>
                <w:rFonts w:ascii="宋体" w:hAnsi="宋体" w:cs="宋体"/>
                <w:color w:val="auto"/>
                <w:sz w:val="18"/>
                <w:szCs w:val="18"/>
                <w:highlight w:val="none"/>
              </w:rPr>
            </w:pPr>
          </w:p>
        </w:tc>
      </w:tr>
      <w:tr w14:paraId="628E9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1209" w:type="dxa"/>
            <w:vMerge w:val="continue"/>
            <w:tcBorders>
              <w:left w:val="single" w:color="auto" w:sz="4" w:space="0"/>
              <w:right w:val="dotted" w:color="auto" w:sz="4" w:space="0"/>
            </w:tcBorders>
            <w:noWrap/>
            <w:vAlign w:val="center"/>
          </w:tcPr>
          <w:p w14:paraId="653DAC2C">
            <w:pPr>
              <w:spacing w:line="260" w:lineRule="exact"/>
              <w:rPr>
                <w:rFonts w:ascii="宋体" w:hAnsi="宋体" w:cs="宋体"/>
                <w:color w:val="auto"/>
                <w:sz w:val="24"/>
                <w:highlight w:val="none"/>
              </w:rPr>
            </w:pPr>
          </w:p>
        </w:tc>
        <w:tc>
          <w:tcPr>
            <w:tcW w:w="3779" w:type="dxa"/>
            <w:gridSpan w:val="3"/>
            <w:tcBorders>
              <w:top w:val="dotted" w:color="auto" w:sz="4" w:space="0"/>
              <w:left w:val="dotted" w:color="auto" w:sz="4" w:space="0"/>
              <w:right w:val="dotted" w:color="auto" w:sz="4" w:space="0"/>
            </w:tcBorders>
            <w:noWrap/>
            <w:vAlign w:val="center"/>
          </w:tcPr>
          <w:p w14:paraId="0A030A00">
            <w:pPr>
              <w:spacing w:before="100" w:beforeAutospacing="1" w:after="100" w:afterAutospacing="1" w:line="260" w:lineRule="exact"/>
              <w:rPr>
                <w:rFonts w:ascii="宋体" w:hAnsi="宋体" w:cs="宋体"/>
                <w:color w:val="auto"/>
                <w:sz w:val="24"/>
                <w:highlight w:val="none"/>
              </w:rPr>
            </w:pPr>
            <w:r>
              <w:rPr>
                <w:rFonts w:hint="eastAsia" w:ascii="宋体" w:hAnsi="宋体" w:cs="宋体"/>
                <w:color w:val="auto"/>
                <w:highlight w:val="none"/>
              </w:rPr>
              <w:t>有无受到财政监管部门处理、公告的不良行为（不在公告期但在三年内）。</w:t>
            </w:r>
          </w:p>
        </w:tc>
        <w:tc>
          <w:tcPr>
            <w:tcW w:w="4452" w:type="dxa"/>
            <w:gridSpan w:val="2"/>
            <w:tcBorders>
              <w:top w:val="dotted" w:color="auto" w:sz="4" w:space="0"/>
              <w:left w:val="dotted" w:color="auto" w:sz="4" w:space="0"/>
              <w:right w:val="single" w:color="auto" w:sz="4" w:space="0"/>
            </w:tcBorders>
            <w:noWrap/>
          </w:tcPr>
          <w:p w14:paraId="31A358B3">
            <w:pPr>
              <w:spacing w:line="260" w:lineRule="exact"/>
              <w:rPr>
                <w:rFonts w:ascii="宋体" w:hAnsi="宋体" w:cs="宋体"/>
                <w:color w:val="auto"/>
                <w:sz w:val="18"/>
                <w:szCs w:val="18"/>
                <w:highlight w:val="none"/>
              </w:rPr>
            </w:pPr>
          </w:p>
        </w:tc>
      </w:tr>
      <w:tr w14:paraId="0070E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5" w:hRule="atLeast"/>
        </w:trPr>
        <w:tc>
          <w:tcPr>
            <w:tcW w:w="1209" w:type="dxa"/>
            <w:vMerge w:val="continue"/>
            <w:tcBorders>
              <w:left w:val="single" w:color="auto" w:sz="4" w:space="0"/>
              <w:bottom w:val="dotted" w:color="auto" w:sz="4" w:space="0"/>
              <w:right w:val="dotted" w:color="auto" w:sz="4" w:space="0"/>
            </w:tcBorders>
            <w:noWrap/>
            <w:vAlign w:val="center"/>
          </w:tcPr>
          <w:p w14:paraId="130784F7">
            <w:pPr>
              <w:spacing w:line="260" w:lineRule="exact"/>
              <w:rPr>
                <w:rFonts w:ascii="宋体" w:hAnsi="宋体" w:cs="宋体"/>
                <w:color w:val="auto"/>
                <w:sz w:val="24"/>
                <w:highlight w:val="none"/>
              </w:rPr>
            </w:pP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2284AFB4">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申请报名前三年内，在经营活动中有无重大违法记录（重大违法记录包括：（一）县级以上行政机关对供应商或其法定代表人、董事、监事、高级管理人员在经营活动中的违法行为作出的行政处罚决定，但警告和罚款额在人民币200万元以下的行政处罚决定除外。（二）各级司法机关对供应商或其法定代表人、董事、监事、高级管理人员在经营活动中的违法行为作出的刑事判决。）</w:t>
            </w:r>
          </w:p>
        </w:tc>
        <w:tc>
          <w:tcPr>
            <w:tcW w:w="4452" w:type="dxa"/>
            <w:gridSpan w:val="2"/>
            <w:tcBorders>
              <w:top w:val="dotted" w:color="auto" w:sz="4" w:space="0"/>
              <w:left w:val="dotted" w:color="auto" w:sz="4" w:space="0"/>
              <w:bottom w:val="dotted" w:color="auto" w:sz="4" w:space="0"/>
              <w:right w:val="single" w:color="auto" w:sz="4" w:space="0"/>
            </w:tcBorders>
            <w:noWrap/>
          </w:tcPr>
          <w:p w14:paraId="57555A2A">
            <w:pPr>
              <w:spacing w:line="260" w:lineRule="exact"/>
              <w:rPr>
                <w:rFonts w:ascii="宋体" w:hAnsi="宋体" w:cs="宋体"/>
                <w:color w:val="auto"/>
                <w:sz w:val="18"/>
                <w:szCs w:val="18"/>
                <w:highlight w:val="none"/>
              </w:rPr>
            </w:pPr>
          </w:p>
        </w:tc>
      </w:tr>
      <w:tr w14:paraId="3D40E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2" w:hRule="atLeast"/>
        </w:trPr>
        <w:tc>
          <w:tcPr>
            <w:tcW w:w="1209" w:type="dxa"/>
            <w:tcBorders>
              <w:left w:val="single" w:color="auto" w:sz="4" w:space="0"/>
              <w:bottom w:val="dotted" w:color="auto" w:sz="4" w:space="0"/>
              <w:right w:val="dotted" w:color="auto" w:sz="4" w:space="0"/>
            </w:tcBorders>
            <w:noWrap/>
            <w:vAlign w:val="center"/>
          </w:tcPr>
          <w:p w14:paraId="0717C7CE">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供应商</w:t>
            </w:r>
          </w:p>
          <w:p w14:paraId="3658E21C">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信用</w:t>
            </w:r>
          </w:p>
          <w:p w14:paraId="0AE71AF6">
            <w:pPr>
              <w:spacing w:line="260" w:lineRule="exact"/>
              <w:jc w:val="center"/>
              <w:rPr>
                <w:rFonts w:ascii="宋体" w:hAnsi="宋体" w:cs="宋体"/>
                <w:color w:val="auto"/>
                <w:sz w:val="24"/>
                <w:highlight w:val="none"/>
              </w:rPr>
            </w:pPr>
            <w:r>
              <w:rPr>
                <w:rFonts w:hint="eastAsia" w:ascii="宋体" w:hAnsi="宋体" w:cs="宋体"/>
                <w:color w:val="auto"/>
                <w:highlight w:val="none"/>
              </w:rPr>
              <w:t>情况</w:t>
            </w:r>
          </w:p>
        </w:tc>
        <w:tc>
          <w:tcPr>
            <w:tcW w:w="3779" w:type="dxa"/>
            <w:gridSpan w:val="3"/>
            <w:tcBorders>
              <w:top w:val="dotted" w:color="auto" w:sz="4" w:space="0"/>
              <w:left w:val="dotted" w:color="auto" w:sz="4" w:space="0"/>
              <w:bottom w:val="dotted" w:color="auto" w:sz="4" w:space="0"/>
              <w:right w:val="dotted" w:color="auto" w:sz="4" w:space="0"/>
            </w:tcBorders>
            <w:noWrap/>
            <w:vAlign w:val="center"/>
          </w:tcPr>
          <w:p w14:paraId="5F0215CC">
            <w:pPr>
              <w:spacing w:before="100" w:beforeAutospacing="1" w:after="100" w:afterAutospacing="1" w:line="260" w:lineRule="exact"/>
              <w:rPr>
                <w:rFonts w:ascii="宋体" w:hAnsi="宋体" w:cs="宋体"/>
                <w:color w:val="auto"/>
                <w:highlight w:val="none"/>
              </w:rPr>
            </w:pPr>
            <w:r>
              <w:rPr>
                <w:rFonts w:hint="eastAsia" w:ascii="宋体" w:hAnsi="宋体" w:cs="宋体"/>
                <w:color w:val="auto"/>
                <w:highlight w:val="none"/>
              </w:rPr>
              <w:t>是否列入失信被执行人、重大税收违法案件当事人名单、政府采购严重违法失信行为记录名单及其他不符合《中华人民共和国政府采购法》第二十二条规定条件。</w:t>
            </w:r>
          </w:p>
        </w:tc>
        <w:tc>
          <w:tcPr>
            <w:tcW w:w="4452" w:type="dxa"/>
            <w:gridSpan w:val="2"/>
            <w:tcBorders>
              <w:top w:val="dotted" w:color="auto" w:sz="4" w:space="0"/>
              <w:left w:val="dotted" w:color="auto" w:sz="4" w:space="0"/>
              <w:bottom w:val="dotted" w:color="auto" w:sz="4" w:space="0"/>
              <w:right w:val="single" w:color="auto" w:sz="4" w:space="0"/>
            </w:tcBorders>
            <w:noWrap/>
          </w:tcPr>
          <w:p w14:paraId="6E0B296B">
            <w:pPr>
              <w:spacing w:line="260" w:lineRule="exact"/>
              <w:rPr>
                <w:rFonts w:ascii="宋体" w:hAnsi="宋体" w:cs="宋体"/>
                <w:color w:val="auto"/>
                <w:sz w:val="18"/>
                <w:szCs w:val="18"/>
                <w:highlight w:val="none"/>
              </w:rPr>
            </w:pPr>
          </w:p>
        </w:tc>
      </w:tr>
      <w:tr w14:paraId="6D430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2107" w:type="dxa"/>
            <w:gridSpan w:val="2"/>
            <w:tcBorders>
              <w:top w:val="dotted" w:color="auto" w:sz="4" w:space="0"/>
              <w:left w:val="single" w:color="auto" w:sz="4" w:space="0"/>
              <w:bottom w:val="single" w:color="auto" w:sz="4" w:space="0"/>
              <w:right w:val="dotted" w:color="auto" w:sz="4" w:space="0"/>
            </w:tcBorders>
            <w:noWrap/>
            <w:vAlign w:val="center"/>
          </w:tcPr>
          <w:p w14:paraId="7DE34D44">
            <w:pPr>
              <w:spacing w:before="100" w:beforeAutospacing="1" w:after="100" w:afterAutospacing="1" w:line="260" w:lineRule="exact"/>
              <w:jc w:val="center"/>
              <w:rPr>
                <w:rFonts w:ascii="宋体" w:hAnsi="宋体" w:cs="宋体"/>
                <w:color w:val="auto"/>
                <w:highlight w:val="none"/>
              </w:rPr>
            </w:pPr>
            <w:r>
              <w:rPr>
                <w:rFonts w:hint="eastAsia" w:ascii="宋体" w:hAnsi="宋体" w:cs="宋体"/>
                <w:color w:val="auto"/>
                <w:highlight w:val="none"/>
              </w:rPr>
              <w:t>投标供应商</w:t>
            </w:r>
          </w:p>
          <w:p w14:paraId="14182124">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声 明 </w:t>
            </w:r>
          </w:p>
        </w:tc>
        <w:tc>
          <w:tcPr>
            <w:tcW w:w="7333" w:type="dxa"/>
            <w:gridSpan w:val="4"/>
            <w:tcBorders>
              <w:top w:val="dotted" w:color="auto" w:sz="4" w:space="0"/>
              <w:left w:val="dotted" w:color="auto" w:sz="4" w:space="0"/>
              <w:bottom w:val="single" w:color="auto" w:sz="4" w:space="0"/>
              <w:right w:val="single" w:color="auto" w:sz="4" w:space="0"/>
            </w:tcBorders>
            <w:noWrap/>
          </w:tcPr>
          <w:p w14:paraId="7CBC2A3B">
            <w:pPr>
              <w:pStyle w:val="12"/>
              <w:spacing w:line="260" w:lineRule="exact"/>
              <w:ind w:firstLine="411" w:firstLineChars="196"/>
              <w:rPr>
                <w:rFonts w:ascii="宋体" w:hAnsi="宋体"/>
                <w:color w:val="auto"/>
                <w:sz w:val="21"/>
                <w:szCs w:val="18"/>
                <w:highlight w:val="none"/>
              </w:rPr>
            </w:pPr>
            <w:r>
              <w:rPr>
                <w:rFonts w:hint="eastAsia" w:ascii="宋体" w:hAnsi="宋体"/>
                <w:color w:val="auto"/>
                <w:sz w:val="21"/>
                <w:szCs w:val="18"/>
                <w:highlight w:val="none"/>
              </w:rPr>
              <w:t>以上内容是本企业市场行为信誉（信用）的真实反映，如有不实，愿取消本项目投标资格。</w:t>
            </w:r>
          </w:p>
          <w:p w14:paraId="59AD1690">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法定代表人签名或盖章： </w:t>
            </w:r>
          </w:p>
          <w:p w14:paraId="60477956">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(单位公章) </w:t>
            </w:r>
          </w:p>
          <w:p w14:paraId="3106CF14">
            <w:pPr>
              <w:spacing w:before="100" w:beforeAutospacing="1" w:after="100" w:afterAutospacing="1" w:line="260" w:lineRule="exact"/>
              <w:jc w:val="center"/>
              <w:rPr>
                <w:rFonts w:ascii="宋体" w:hAnsi="宋体" w:cs="宋体"/>
                <w:color w:val="auto"/>
                <w:sz w:val="24"/>
                <w:highlight w:val="none"/>
              </w:rPr>
            </w:pPr>
            <w:r>
              <w:rPr>
                <w:rFonts w:hint="eastAsia" w:ascii="宋体" w:hAnsi="宋体" w:cs="宋体"/>
                <w:color w:val="auto"/>
                <w:highlight w:val="none"/>
              </w:rPr>
              <w:t xml:space="preserve">               日 期：    年  月   日 </w:t>
            </w:r>
          </w:p>
        </w:tc>
      </w:tr>
    </w:tbl>
    <w:p w14:paraId="40ACF40D">
      <w:pPr>
        <w:rPr>
          <w:rFonts w:ascii="宋体" w:hAnsi="宋体" w:cs="宋体"/>
          <w:color w:val="auto"/>
          <w:highlight w:val="none"/>
        </w:rPr>
      </w:pPr>
      <w:r>
        <w:rPr>
          <w:rFonts w:hint="eastAsia" w:ascii="宋体" w:hAnsi="宋体" w:cs="宋体"/>
          <w:color w:val="auto"/>
          <w:highlight w:val="none"/>
        </w:rPr>
        <w:t>注：1、本表格内容须如实填写；</w:t>
      </w:r>
    </w:p>
    <w:p w14:paraId="461B5C7B">
      <w:pPr>
        <w:ind w:firstLine="420" w:firstLineChars="200"/>
        <w:rPr>
          <w:rFonts w:ascii="宋体" w:hAnsi="宋体" w:cs="宋体"/>
          <w:color w:val="auto"/>
          <w:highlight w:val="none"/>
        </w:rPr>
      </w:pPr>
      <w:r>
        <w:rPr>
          <w:rFonts w:hint="eastAsia" w:ascii="宋体" w:hAnsi="宋体" w:cs="宋体"/>
          <w:color w:val="auto"/>
          <w:highlight w:val="none"/>
        </w:rPr>
        <w:t>2、本表格由供应商自己填写，若无表中所列情况，则在相应栏中写“无”，若有，须按具体次数分别说明（包括处罚时间、事由、处罚主体等）；</w:t>
      </w:r>
    </w:p>
    <w:p w14:paraId="22B7B8A5">
      <w:pPr>
        <w:ind w:firstLine="435"/>
        <w:rPr>
          <w:rFonts w:ascii="宋体" w:hAnsi="宋体" w:cs="宋体"/>
          <w:color w:val="auto"/>
          <w:highlight w:val="none"/>
        </w:rPr>
      </w:pPr>
      <w:r>
        <w:rPr>
          <w:rFonts w:hint="eastAsia" w:ascii="宋体" w:hAnsi="宋体" w:cs="宋体"/>
          <w:color w:val="auto"/>
          <w:highlight w:val="none"/>
        </w:rPr>
        <w:t>3、联合体成员存在不良信用记录的，视同联合体存在不良信用记录。</w:t>
      </w:r>
    </w:p>
    <w:p w14:paraId="7D33633C">
      <w:pPr>
        <w:wordWrap w:val="0"/>
        <w:snapToGrid w:val="0"/>
        <w:spacing w:after="156" w:afterLines="50" w:line="360" w:lineRule="auto"/>
        <w:jc w:val="left"/>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4、承诺函格式</w:t>
      </w:r>
    </w:p>
    <w:p w14:paraId="3772F812">
      <w:pPr>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承诺函</w:t>
      </w:r>
    </w:p>
    <w:p w14:paraId="50A3AD5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致：（采购单位名称）：</w:t>
      </w:r>
    </w:p>
    <w:p w14:paraId="323EDF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我方在参加贵单位的政府采购项目的招投标活动中，郑重承诺如下：</w:t>
      </w:r>
    </w:p>
    <w:p w14:paraId="310CDC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5583D1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3D157D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3、我方未处于被各级行政主管部门作出停止市场行为处罚的期限内；</w:t>
      </w:r>
    </w:p>
    <w:p w14:paraId="7C6FBB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657BF840">
      <w:pPr>
        <w:pStyle w:val="12"/>
        <w:ind w:firstLine="480"/>
        <w:rPr>
          <w:rFonts w:ascii="宋体" w:hAnsi="宋体"/>
          <w:color w:val="auto"/>
          <w:sz w:val="24"/>
          <w:highlight w:val="none"/>
        </w:rPr>
      </w:pPr>
      <w:r>
        <w:rPr>
          <w:rFonts w:hint="eastAsia" w:ascii="宋体" w:hAnsi="宋体"/>
          <w:color w:val="auto"/>
          <w:sz w:val="24"/>
          <w:highlight w:val="none"/>
        </w:rPr>
        <w:t>5、我方在参加本项目消防竣工评定期间，不向项目推销产品；</w:t>
      </w:r>
    </w:p>
    <w:p w14:paraId="5FEFA7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6、若我方中标，将严格按照规定及时与采购人签订合同；</w:t>
      </w:r>
    </w:p>
    <w:p w14:paraId="07EE95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7、若我方中标，将严格按照招标文件要求及投标文件承诺的报价、质量、工期、投标方案、项目负责人等内容组织实施；</w:t>
      </w:r>
    </w:p>
    <w:p w14:paraId="66D872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8BFD2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11FDADD1">
      <w:pPr>
        <w:spacing w:line="360" w:lineRule="auto"/>
        <w:ind w:firstLine="480" w:firstLineChars="200"/>
        <w:rPr>
          <w:rFonts w:ascii="宋体" w:hAnsi="宋体" w:cs="宋体"/>
          <w:color w:val="auto"/>
          <w:sz w:val="24"/>
          <w:highlight w:val="none"/>
        </w:rPr>
      </w:pPr>
    </w:p>
    <w:p w14:paraId="4C01D3B0">
      <w:pPr>
        <w:pStyle w:val="2"/>
        <w:rPr>
          <w:rFonts w:ascii="宋体" w:hAnsi="宋体" w:eastAsia="宋体"/>
          <w:color w:val="auto"/>
          <w:highlight w:val="none"/>
        </w:rPr>
      </w:pPr>
    </w:p>
    <w:p w14:paraId="7D22D9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供应商（加盖公章）：</w:t>
      </w:r>
    </w:p>
    <w:p w14:paraId="3D021061">
      <w:pPr>
        <w:pStyle w:val="2"/>
        <w:spacing w:line="360" w:lineRule="auto"/>
        <w:ind w:firstLine="480" w:firstLineChars="200"/>
        <w:rPr>
          <w:rFonts w:ascii="宋体" w:hAnsi="宋体" w:eastAsia="宋体"/>
          <w:color w:val="auto"/>
          <w:kern w:val="2"/>
          <w:highlight w:val="none"/>
        </w:rPr>
      </w:pPr>
      <w:r>
        <w:rPr>
          <w:rFonts w:hint="eastAsia" w:ascii="宋体" w:hAnsi="宋体" w:eastAsia="宋体"/>
          <w:color w:val="auto"/>
          <w:kern w:val="2"/>
          <w:highlight w:val="none"/>
        </w:rPr>
        <w:t>时间：</w:t>
      </w:r>
      <w:r>
        <w:rPr>
          <w:rFonts w:hint="eastAsia" w:ascii="宋体" w:hAnsi="宋体" w:eastAsia="宋体"/>
          <w:color w:val="auto"/>
          <w:highlight w:val="none"/>
        </w:rPr>
        <w:t xml:space="preserve">    年  月   日 </w:t>
      </w:r>
    </w:p>
    <w:p w14:paraId="133B3EC5">
      <w:pPr>
        <w:snapToGrid w:val="0"/>
        <w:spacing w:before="156" w:beforeLines="50" w:after="50" w:line="440" w:lineRule="exact"/>
        <w:rPr>
          <w:rFonts w:ascii="宋体" w:hAnsi="宋体" w:cs="宋体"/>
          <w:b/>
          <w:bCs/>
          <w:color w:val="auto"/>
          <w:sz w:val="24"/>
          <w:highlight w:val="none"/>
        </w:rPr>
      </w:pPr>
      <w:r>
        <w:rPr>
          <w:rFonts w:hint="eastAsia" w:ascii="宋体" w:hAnsi="宋体" w:cs="宋体"/>
          <w:color w:val="auto"/>
          <w:sz w:val="24"/>
          <w:highlight w:val="none"/>
        </w:rPr>
        <w:br w:type="page"/>
      </w:r>
      <w:r>
        <w:rPr>
          <w:rFonts w:ascii="宋体" w:hAnsi="宋体" w:cs="宋体"/>
          <w:color w:val="auto"/>
          <w:sz w:val="24"/>
          <w:highlight w:val="none"/>
        </w:rPr>
        <w:t>5</w:t>
      </w:r>
      <w:r>
        <w:rPr>
          <w:rFonts w:hint="eastAsia" w:ascii="宋体" w:hAnsi="宋体" w:cs="宋体"/>
          <w:color w:val="auto"/>
          <w:sz w:val="24"/>
          <w:highlight w:val="none"/>
        </w:rPr>
        <w:t>、提供最近一个月</w:t>
      </w:r>
      <w:r>
        <w:rPr>
          <w:rFonts w:hint="eastAsia"/>
          <w:color w:val="auto"/>
          <w:sz w:val="24"/>
          <w:highlight w:val="none"/>
        </w:rPr>
        <w:t>依法缴纳税收和社</w:t>
      </w:r>
      <w:r>
        <w:rPr>
          <w:rFonts w:hint="eastAsia"/>
          <w:color w:val="auto"/>
          <w:spacing w:val="3"/>
          <w:sz w:val="24"/>
          <w:highlight w:val="none"/>
        </w:rPr>
        <w:t>会保障资金证明（</w:t>
      </w:r>
      <w:r>
        <w:rPr>
          <w:rFonts w:hint="eastAsia" w:ascii="宋体" w:hAnsi="宋体" w:cs="宋体"/>
          <w:color w:val="auto"/>
          <w:sz w:val="24"/>
          <w:highlight w:val="none"/>
        </w:rPr>
        <w:t>依法缴纳或依法免缴证明），上一年度的财务审计报告</w:t>
      </w:r>
    </w:p>
    <w:p w14:paraId="62E3C3C3">
      <w:pPr>
        <w:snapToGrid w:val="0"/>
        <w:spacing w:before="156" w:beforeLines="50" w:after="50" w:line="440" w:lineRule="exact"/>
        <w:rPr>
          <w:rFonts w:ascii="宋体" w:hAnsi="宋体" w:cs="宋体"/>
          <w:b/>
          <w:bCs/>
          <w:color w:val="auto"/>
          <w:sz w:val="24"/>
          <w:highlight w:val="none"/>
        </w:rPr>
      </w:pPr>
    </w:p>
    <w:p w14:paraId="56D9F285">
      <w:pPr>
        <w:snapToGrid w:val="0"/>
        <w:spacing w:before="156" w:beforeLines="50" w:after="50" w:line="440" w:lineRule="exact"/>
        <w:rPr>
          <w:rFonts w:ascii="宋体" w:hAnsi="宋体" w:cs="宋体"/>
          <w:color w:val="auto"/>
          <w:sz w:val="24"/>
          <w:highlight w:val="none"/>
        </w:rPr>
      </w:pPr>
    </w:p>
    <w:p w14:paraId="0239BAA0">
      <w:pPr>
        <w:snapToGrid w:val="0"/>
        <w:spacing w:before="156" w:beforeLines="50" w:after="50" w:line="440" w:lineRule="exact"/>
        <w:rPr>
          <w:rFonts w:ascii="宋体" w:hAnsi="宋体" w:cs="宋体"/>
          <w:color w:val="auto"/>
          <w:sz w:val="24"/>
          <w:highlight w:val="none"/>
        </w:rPr>
      </w:pPr>
    </w:p>
    <w:p w14:paraId="7BB94B96">
      <w:pPr>
        <w:snapToGrid w:val="0"/>
        <w:spacing w:before="156" w:beforeLines="50" w:after="50" w:line="440" w:lineRule="exact"/>
        <w:rPr>
          <w:rFonts w:ascii="宋体" w:hAnsi="宋体" w:cs="宋体"/>
          <w:color w:val="auto"/>
          <w:sz w:val="24"/>
          <w:highlight w:val="none"/>
        </w:rPr>
      </w:pPr>
    </w:p>
    <w:p w14:paraId="0E95B3EE">
      <w:pPr>
        <w:snapToGrid w:val="0"/>
        <w:spacing w:line="460" w:lineRule="atLeast"/>
        <w:jc w:val="left"/>
        <w:rPr>
          <w:rFonts w:ascii="宋体" w:hAnsi="宋体" w:cs="宋体"/>
          <w:color w:val="auto"/>
          <w:sz w:val="24"/>
          <w:highlight w:val="none"/>
        </w:rPr>
      </w:pPr>
    </w:p>
    <w:p w14:paraId="20247460">
      <w:pPr>
        <w:snapToGrid w:val="0"/>
        <w:spacing w:line="460" w:lineRule="atLeast"/>
        <w:jc w:val="left"/>
        <w:rPr>
          <w:rFonts w:ascii="宋体" w:hAnsi="宋体" w:cs="宋体"/>
          <w:color w:val="auto"/>
          <w:sz w:val="24"/>
          <w:highlight w:val="none"/>
        </w:rPr>
      </w:pPr>
    </w:p>
    <w:p w14:paraId="31914238">
      <w:pPr>
        <w:snapToGrid w:val="0"/>
        <w:spacing w:line="460" w:lineRule="atLeast"/>
        <w:jc w:val="left"/>
        <w:rPr>
          <w:rFonts w:ascii="宋体" w:hAnsi="宋体" w:cs="宋体"/>
          <w:color w:val="auto"/>
          <w:sz w:val="24"/>
          <w:highlight w:val="none"/>
        </w:rPr>
      </w:pPr>
    </w:p>
    <w:p w14:paraId="2CA632CA">
      <w:pPr>
        <w:snapToGrid w:val="0"/>
        <w:spacing w:line="460" w:lineRule="atLeast"/>
        <w:jc w:val="left"/>
        <w:rPr>
          <w:rFonts w:ascii="宋体" w:hAnsi="宋体" w:cs="宋体"/>
          <w:color w:val="auto"/>
          <w:sz w:val="24"/>
          <w:highlight w:val="none"/>
        </w:rPr>
      </w:pPr>
    </w:p>
    <w:p w14:paraId="7EF73E0E">
      <w:pPr>
        <w:snapToGrid w:val="0"/>
        <w:spacing w:line="460" w:lineRule="atLeast"/>
        <w:jc w:val="left"/>
        <w:rPr>
          <w:rFonts w:ascii="宋体" w:hAnsi="宋体" w:cs="宋体"/>
          <w:color w:val="auto"/>
          <w:sz w:val="24"/>
          <w:highlight w:val="none"/>
        </w:rPr>
      </w:pPr>
    </w:p>
    <w:p w14:paraId="6E1494A5">
      <w:pPr>
        <w:snapToGrid w:val="0"/>
        <w:spacing w:line="460" w:lineRule="atLeast"/>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6、营业执照等资格证明资料。</w:t>
      </w:r>
    </w:p>
    <w:p w14:paraId="26977DFF">
      <w:pPr>
        <w:pStyle w:val="26"/>
        <w:jc w:val="both"/>
        <w:rPr>
          <w:b/>
          <w:color w:val="auto"/>
          <w:highlight w:val="none"/>
        </w:rPr>
      </w:pPr>
      <w:r>
        <w:rPr>
          <w:rFonts w:hint="eastAsia"/>
          <w:color w:val="auto"/>
          <w:highlight w:val="none"/>
        </w:rPr>
        <w:br w:type="page"/>
      </w:r>
      <w:r>
        <w:rPr>
          <w:rFonts w:hint="eastAsia"/>
          <w:b/>
          <w:color w:val="auto"/>
          <w:highlight w:val="none"/>
        </w:rPr>
        <w:t>7、中小企业声明函格式</w:t>
      </w:r>
    </w:p>
    <w:p w14:paraId="1CC96373">
      <w:pPr>
        <w:pStyle w:val="26"/>
        <w:jc w:val="center"/>
        <w:rPr>
          <w:b/>
          <w:color w:val="auto"/>
          <w:kern w:val="2"/>
          <w:sz w:val="32"/>
          <w:szCs w:val="32"/>
          <w:highlight w:val="none"/>
        </w:rPr>
      </w:pPr>
      <w:r>
        <w:rPr>
          <w:rFonts w:hint="eastAsia"/>
          <w:b/>
          <w:color w:val="auto"/>
          <w:kern w:val="2"/>
          <w:sz w:val="32"/>
          <w:szCs w:val="32"/>
          <w:highlight w:val="none"/>
        </w:rPr>
        <w:t>中小企业声明函</w:t>
      </w:r>
    </w:p>
    <w:p w14:paraId="74F8F5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DDC63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嘉兴市城市高质量建设发展项目城市更新咨询服务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bookmarkStart w:id="74" w:name="_GoBack"/>
      <w:bookmarkEnd w:id="74"/>
    </w:p>
    <w:p w14:paraId="5AEDCF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03C1AA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以上企业，不属于大企业的分支机构，不存在控股股东为大企业的情形，也不存在与大企业的负责人为同一人的情形。</w:t>
      </w:r>
    </w:p>
    <w:p w14:paraId="4CD8965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本企业对上述声明内容的真实性负责。如有虚假，将依法承担相应责任。</w:t>
      </w:r>
    </w:p>
    <w:p w14:paraId="2C0CA807">
      <w:pPr>
        <w:spacing w:line="360" w:lineRule="auto"/>
        <w:ind w:firstLine="480" w:firstLineChars="200"/>
        <w:rPr>
          <w:rFonts w:ascii="宋体" w:hAnsi="宋体" w:cs="宋体"/>
          <w:color w:val="auto"/>
          <w:sz w:val="24"/>
          <w:highlight w:val="none"/>
        </w:rPr>
      </w:pPr>
    </w:p>
    <w:p w14:paraId="7C96EA42">
      <w:pPr>
        <w:spacing w:line="360" w:lineRule="auto"/>
        <w:ind w:firstLine="5527" w:firstLineChars="2303"/>
        <w:rPr>
          <w:rFonts w:ascii="宋体" w:hAnsi="宋体" w:cs="宋体"/>
          <w:color w:val="auto"/>
          <w:sz w:val="24"/>
          <w:highlight w:val="none"/>
        </w:rPr>
      </w:pPr>
      <w:r>
        <w:rPr>
          <w:rFonts w:ascii="宋体" w:hAnsi="宋体" w:cs="宋体"/>
          <w:color w:val="auto"/>
          <w:sz w:val="24"/>
          <w:highlight w:val="none"/>
        </w:rPr>
        <w:t>企业名称（盖章）：</w:t>
      </w:r>
    </w:p>
    <w:p w14:paraId="44A5DE63">
      <w:pPr>
        <w:spacing w:line="360" w:lineRule="auto"/>
        <w:ind w:firstLine="5527" w:firstLineChars="2303"/>
        <w:rPr>
          <w:rFonts w:ascii="宋体" w:hAnsi="宋体" w:cs="宋体"/>
          <w:color w:val="auto"/>
          <w:sz w:val="24"/>
          <w:highlight w:val="none"/>
        </w:rPr>
      </w:pPr>
      <w:r>
        <w:rPr>
          <w:rFonts w:ascii="宋体" w:hAnsi="宋体" w:cs="宋体"/>
          <w:color w:val="auto"/>
          <w:sz w:val="24"/>
          <w:highlight w:val="none"/>
        </w:rPr>
        <w:t>日期：</w:t>
      </w:r>
    </w:p>
    <w:p w14:paraId="2A5151E9">
      <w:pPr>
        <w:spacing w:line="360" w:lineRule="auto"/>
        <w:ind w:firstLine="480" w:firstLineChars="200"/>
        <w:rPr>
          <w:rFonts w:ascii="宋体" w:hAnsi="宋体" w:cs="宋体"/>
          <w:color w:val="auto"/>
          <w:sz w:val="24"/>
          <w:highlight w:val="none"/>
        </w:rPr>
      </w:pPr>
    </w:p>
    <w:p w14:paraId="0CC0183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1从业人员、营业收入、资产总额填报上一年度数据，无上一年度数据的新成立企业可不填报。</w:t>
      </w:r>
    </w:p>
    <w:p w14:paraId="406E7F4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p>
    <w:p w14:paraId="6A168E1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7E557EB0">
      <w:pPr>
        <w:pStyle w:val="26"/>
        <w:jc w:val="both"/>
        <w:rPr>
          <w:b/>
          <w:color w:val="auto"/>
          <w:highlight w:val="none"/>
        </w:rPr>
      </w:pPr>
      <w:r>
        <w:rPr>
          <w:rFonts w:hint="eastAsia"/>
          <w:b/>
          <w:color w:val="auto"/>
          <w:highlight w:val="none"/>
        </w:rPr>
        <w:br w:type="page"/>
      </w:r>
      <w:r>
        <w:rPr>
          <w:rFonts w:hint="eastAsia"/>
          <w:b/>
          <w:color w:val="auto"/>
          <w:highlight w:val="none"/>
        </w:rPr>
        <w:t>8、残疾人福利性单位声明函格式</w:t>
      </w:r>
    </w:p>
    <w:p w14:paraId="30EA1595">
      <w:pPr>
        <w:pStyle w:val="14"/>
        <w:snapToGrid w:val="0"/>
        <w:spacing w:before="31" w:beforeLines="10" w:after="31" w:afterLines="10" w:line="360" w:lineRule="auto"/>
        <w:jc w:val="center"/>
        <w:rPr>
          <w:rFonts w:hAnsi="宋体"/>
          <w:b/>
          <w:color w:val="auto"/>
          <w:sz w:val="32"/>
          <w:szCs w:val="32"/>
          <w:highlight w:val="none"/>
        </w:rPr>
      </w:pPr>
      <w:r>
        <w:rPr>
          <w:rFonts w:hint="eastAsia" w:hAnsi="宋体"/>
          <w:b/>
          <w:color w:val="auto"/>
          <w:sz w:val="32"/>
          <w:szCs w:val="32"/>
          <w:highlight w:val="none"/>
        </w:rPr>
        <w:t>残疾人福利性单位声明函</w:t>
      </w:r>
    </w:p>
    <w:p w14:paraId="1F4AC17C">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1ED690C">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本单位对上述声明的真实性负责。如有虚假，将依法承担相应责任。</w:t>
      </w:r>
    </w:p>
    <w:p w14:paraId="5BE3B146">
      <w:pPr>
        <w:pStyle w:val="14"/>
        <w:snapToGrid w:val="0"/>
        <w:spacing w:before="31" w:beforeLines="10" w:after="31" w:afterLines="10" w:line="360" w:lineRule="auto"/>
        <w:rPr>
          <w:rFonts w:hAnsi="宋体"/>
          <w:color w:val="auto"/>
          <w:sz w:val="24"/>
          <w:highlight w:val="none"/>
        </w:rPr>
      </w:pPr>
    </w:p>
    <w:p w14:paraId="4914A1F2">
      <w:pPr>
        <w:pStyle w:val="14"/>
        <w:snapToGrid w:val="0"/>
        <w:spacing w:before="31" w:beforeLines="10" w:after="31" w:afterLines="10" w:line="360" w:lineRule="auto"/>
        <w:rPr>
          <w:rFonts w:hAnsi="宋体"/>
          <w:color w:val="auto"/>
          <w:sz w:val="24"/>
          <w:highlight w:val="none"/>
        </w:rPr>
      </w:pPr>
    </w:p>
    <w:p w14:paraId="3795A0C0">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投标人（盖章）</w:t>
      </w:r>
    </w:p>
    <w:p w14:paraId="0244A571">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日期：    年   月   日</w:t>
      </w:r>
    </w:p>
    <w:p w14:paraId="1E8BA2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6DEC1997">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1、联合体主办方和各成员单位分别提供此函。</w:t>
      </w:r>
    </w:p>
    <w:p w14:paraId="159EB1CA">
      <w:pPr>
        <w:pStyle w:val="14"/>
        <w:snapToGrid w:val="0"/>
        <w:spacing w:before="31" w:beforeLines="10" w:after="31" w:afterLines="10" w:line="360" w:lineRule="auto"/>
        <w:rPr>
          <w:rFonts w:hAnsi="宋体"/>
          <w:b/>
          <w:color w:val="auto"/>
          <w:highlight w:val="none"/>
        </w:rPr>
      </w:pPr>
      <w:r>
        <w:rPr>
          <w:rFonts w:hint="eastAsia" w:hAnsi="宋体"/>
          <w:b/>
          <w:color w:val="auto"/>
          <w:sz w:val="24"/>
          <w:highlight w:val="none"/>
        </w:rPr>
        <w:br w:type="page"/>
      </w:r>
      <w:r>
        <w:rPr>
          <w:rFonts w:hint="eastAsia" w:hAnsi="宋体"/>
          <w:b/>
          <w:color w:val="auto"/>
          <w:sz w:val="24"/>
          <w:highlight w:val="none"/>
        </w:rPr>
        <w:t>9、监狱企业声明函格式</w:t>
      </w:r>
    </w:p>
    <w:p w14:paraId="041756A5">
      <w:pPr>
        <w:pStyle w:val="14"/>
        <w:snapToGrid w:val="0"/>
        <w:spacing w:before="31" w:beforeLines="10" w:after="31" w:afterLines="10" w:line="360" w:lineRule="auto"/>
        <w:jc w:val="center"/>
        <w:rPr>
          <w:rFonts w:hAnsi="宋体"/>
          <w:b/>
          <w:color w:val="auto"/>
          <w:sz w:val="32"/>
          <w:szCs w:val="32"/>
          <w:highlight w:val="none"/>
        </w:rPr>
      </w:pPr>
      <w:r>
        <w:rPr>
          <w:rFonts w:hint="eastAsia" w:hAnsi="宋体"/>
          <w:b/>
          <w:color w:val="auto"/>
          <w:sz w:val="32"/>
          <w:szCs w:val="32"/>
          <w:highlight w:val="none"/>
        </w:rPr>
        <w:t>监狱企业声明函</w:t>
      </w:r>
    </w:p>
    <w:p w14:paraId="0E63BD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本单位郑重声明，根据《关于政府采购支持监狱企业发展有关问题的通知》（财库[2014]68号）的规定，本单位为监狱企业。</w:t>
      </w:r>
    </w:p>
    <w:p w14:paraId="236E7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根据上述标准，我单位属于监狱企业的理由为：。</w:t>
      </w:r>
    </w:p>
    <w:p w14:paraId="604FA651">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本单位参加</w:t>
      </w:r>
      <w:r>
        <w:rPr>
          <w:rFonts w:hint="eastAsia" w:hAnsi="宋体"/>
          <w:color w:val="auto"/>
          <w:sz w:val="24"/>
          <w:highlight w:val="none"/>
          <w:u w:val="single"/>
        </w:rPr>
        <w:t xml:space="preserve">（采购人名称）       </w:t>
      </w:r>
      <w:r>
        <w:rPr>
          <w:rFonts w:hint="eastAsia" w:hAnsi="宋体"/>
          <w:color w:val="auto"/>
          <w:sz w:val="24"/>
          <w:highlight w:val="none"/>
        </w:rPr>
        <w:t>单位的</w:t>
      </w:r>
      <w:r>
        <w:rPr>
          <w:rFonts w:hint="eastAsia" w:hAnsi="宋体"/>
          <w:color w:val="auto"/>
          <w:sz w:val="24"/>
          <w:highlight w:val="none"/>
          <w:u w:val="single"/>
        </w:rPr>
        <w:t xml:space="preserve"> （项目名称）         </w:t>
      </w:r>
      <w:r>
        <w:rPr>
          <w:rFonts w:hint="eastAsia" w:hAnsi="宋体"/>
          <w:color w:val="auto"/>
          <w:sz w:val="24"/>
          <w:highlight w:val="none"/>
        </w:rPr>
        <w:t>项目的采购活动，并由本单位为本项目提供货物。</w:t>
      </w:r>
    </w:p>
    <w:p w14:paraId="6AAC4DF6">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本单位对上述声明的真实性负责。如有虚假，将依法承担相应责任。</w:t>
      </w:r>
    </w:p>
    <w:p w14:paraId="6F37BCB7">
      <w:pPr>
        <w:pStyle w:val="14"/>
        <w:snapToGrid w:val="0"/>
        <w:spacing w:before="31" w:beforeLines="10" w:after="31" w:afterLines="10" w:line="360" w:lineRule="auto"/>
        <w:rPr>
          <w:rFonts w:hAnsi="宋体"/>
          <w:color w:val="auto"/>
          <w:sz w:val="24"/>
          <w:highlight w:val="none"/>
        </w:rPr>
      </w:pPr>
    </w:p>
    <w:p w14:paraId="484FBD54">
      <w:pPr>
        <w:pStyle w:val="14"/>
        <w:snapToGrid w:val="0"/>
        <w:spacing w:before="31" w:beforeLines="10" w:after="31" w:afterLines="10" w:line="360" w:lineRule="auto"/>
        <w:rPr>
          <w:rFonts w:hAnsi="宋体"/>
          <w:color w:val="auto"/>
          <w:sz w:val="24"/>
          <w:highlight w:val="none"/>
        </w:rPr>
      </w:pPr>
    </w:p>
    <w:p w14:paraId="361F1B4E">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投标人（盖章）</w:t>
      </w:r>
    </w:p>
    <w:p w14:paraId="6267465E">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 xml:space="preserve">                                              日期：    年   月   日</w:t>
      </w:r>
    </w:p>
    <w:p w14:paraId="2F036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3058F7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1、监狱企业参加采购活动时，应当提供由省级以上监狱管理局、戒毒管理局（含新疆生产建设兵团）出具的属于监狱企业的证明文件。</w:t>
      </w:r>
    </w:p>
    <w:p w14:paraId="60217E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020DD3">
      <w:pPr>
        <w:pStyle w:val="14"/>
        <w:snapToGrid w:val="0"/>
        <w:spacing w:before="31" w:beforeLines="10" w:after="31" w:afterLines="10" w:line="360" w:lineRule="auto"/>
        <w:ind w:firstLine="480" w:firstLineChars="200"/>
        <w:rPr>
          <w:rFonts w:hAnsi="宋体"/>
          <w:color w:val="auto"/>
          <w:sz w:val="24"/>
          <w:highlight w:val="none"/>
        </w:rPr>
      </w:pPr>
      <w:r>
        <w:rPr>
          <w:rFonts w:hint="eastAsia" w:hAnsi="宋体"/>
          <w:color w:val="auto"/>
          <w:sz w:val="24"/>
          <w:highlight w:val="none"/>
        </w:rPr>
        <w:t>3、联合体主办方和各成员单位分别提供此函。</w:t>
      </w:r>
    </w:p>
    <w:p w14:paraId="69D8F625">
      <w:pPr>
        <w:snapToGrid w:val="0"/>
        <w:spacing w:before="156" w:beforeLines="50" w:after="50" w:line="440" w:lineRule="exact"/>
        <w:jc w:val="center"/>
        <w:outlineLvl w:val="1"/>
        <w:rPr>
          <w:rFonts w:ascii="宋体" w:hAnsi="宋体" w:cs="宋体"/>
          <w:color w:val="auto"/>
          <w:sz w:val="24"/>
          <w:highlight w:val="none"/>
        </w:rPr>
      </w:pPr>
    </w:p>
    <w:p w14:paraId="4367E6DF">
      <w:pPr>
        <w:snapToGrid w:val="0"/>
        <w:spacing w:before="156" w:beforeLines="50" w:after="50" w:line="440" w:lineRule="exact"/>
        <w:jc w:val="center"/>
        <w:outlineLvl w:val="1"/>
        <w:rPr>
          <w:rFonts w:ascii="宋体" w:hAnsi="宋体" w:cs="宋体"/>
          <w:color w:val="auto"/>
          <w:sz w:val="24"/>
          <w:highlight w:val="none"/>
        </w:rPr>
      </w:pPr>
    </w:p>
    <w:p w14:paraId="0410E344">
      <w:pPr>
        <w:snapToGrid w:val="0"/>
        <w:spacing w:before="156" w:beforeLines="50" w:after="50" w:line="440" w:lineRule="exact"/>
        <w:jc w:val="center"/>
        <w:outlineLvl w:val="1"/>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二、商务技术文件格式</w:t>
      </w:r>
    </w:p>
    <w:p w14:paraId="16EB4A8C">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·商务技术文件封面格式：</w:t>
      </w:r>
    </w:p>
    <w:p w14:paraId="5B97A217">
      <w:pPr>
        <w:snapToGrid w:val="0"/>
        <w:spacing w:before="156" w:beforeLines="50" w:after="50" w:line="440" w:lineRule="exact"/>
        <w:rPr>
          <w:rFonts w:ascii="宋体" w:hAnsi="宋体" w:cs="宋体"/>
          <w:b/>
          <w:bCs/>
          <w:color w:val="auto"/>
          <w:sz w:val="32"/>
          <w:highlight w:val="none"/>
        </w:rPr>
      </w:pPr>
    </w:p>
    <w:p w14:paraId="63324643">
      <w:pPr>
        <w:snapToGrid w:val="0"/>
        <w:spacing w:before="156" w:beforeLines="50" w:after="50" w:line="440" w:lineRule="exact"/>
        <w:rPr>
          <w:rFonts w:ascii="宋体" w:hAnsi="宋体" w:cs="宋体"/>
          <w:color w:val="auto"/>
          <w:sz w:val="24"/>
          <w:highlight w:val="none"/>
        </w:rPr>
      </w:pPr>
    </w:p>
    <w:p w14:paraId="1ABE667D">
      <w:pPr>
        <w:snapToGrid w:val="0"/>
        <w:spacing w:before="156" w:beforeLines="50" w:after="50" w:line="440" w:lineRule="exact"/>
        <w:jc w:val="center"/>
        <w:rPr>
          <w:rFonts w:ascii="宋体" w:hAnsi="宋体" w:cs="宋体"/>
          <w:bCs/>
          <w:color w:val="auto"/>
          <w:sz w:val="24"/>
          <w:highlight w:val="none"/>
        </w:rPr>
      </w:pPr>
    </w:p>
    <w:p w14:paraId="156E7D57">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商务技术</w:t>
      </w:r>
      <w:r>
        <w:rPr>
          <w:rFonts w:hint="eastAsia" w:ascii="宋体" w:hAnsi="宋体" w:cs="宋体"/>
          <w:color w:val="auto"/>
          <w:sz w:val="24"/>
          <w:highlight w:val="none"/>
        </w:rPr>
        <w:t>文件</w:t>
      </w:r>
    </w:p>
    <w:p w14:paraId="4ACB215C">
      <w:pPr>
        <w:snapToGrid w:val="0"/>
        <w:spacing w:before="156" w:beforeLines="50" w:after="50" w:line="440" w:lineRule="exact"/>
        <w:rPr>
          <w:rFonts w:ascii="宋体" w:hAnsi="宋体" w:cs="宋体"/>
          <w:bCs/>
          <w:color w:val="auto"/>
          <w:sz w:val="24"/>
          <w:highlight w:val="none"/>
        </w:rPr>
      </w:pPr>
    </w:p>
    <w:p w14:paraId="6DCBAD72">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39C9E540">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116CA564">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10119857">
      <w:pPr>
        <w:pStyle w:val="7"/>
        <w:spacing w:before="50" w:after="50" w:line="440" w:lineRule="exact"/>
        <w:ind w:firstLine="998" w:firstLineChars="416"/>
        <w:rPr>
          <w:rFonts w:hAnsi="宋体"/>
          <w:bCs/>
          <w:color w:val="auto"/>
          <w:sz w:val="24"/>
          <w:szCs w:val="24"/>
          <w:highlight w:val="none"/>
        </w:rPr>
      </w:pPr>
      <w:r>
        <w:rPr>
          <w:rFonts w:hint="eastAsia" w:hAnsi="宋体"/>
          <w:bCs/>
          <w:color w:val="auto"/>
          <w:sz w:val="24"/>
          <w:szCs w:val="24"/>
          <w:highlight w:val="none"/>
        </w:rPr>
        <w:t>投标人地址：</w:t>
      </w:r>
    </w:p>
    <w:p w14:paraId="0E0DFF20">
      <w:pPr>
        <w:snapToGrid w:val="0"/>
        <w:spacing w:before="156" w:beforeLines="50" w:after="50" w:line="440" w:lineRule="exact"/>
        <w:ind w:firstLine="4080" w:firstLineChars="1700"/>
        <w:rPr>
          <w:rFonts w:ascii="宋体" w:hAnsi="宋体" w:cs="宋体"/>
          <w:color w:val="auto"/>
          <w:sz w:val="24"/>
          <w:highlight w:val="none"/>
        </w:rPr>
      </w:pPr>
    </w:p>
    <w:p w14:paraId="4A0126F9">
      <w:pPr>
        <w:snapToGrid w:val="0"/>
        <w:spacing w:before="156" w:beforeLines="50" w:after="50" w:line="440" w:lineRule="exact"/>
        <w:ind w:firstLine="645"/>
        <w:jc w:val="center"/>
        <w:rPr>
          <w:rFonts w:ascii="宋体" w:hAnsi="宋体" w:cs="宋体"/>
          <w:b/>
          <w:color w:val="auto"/>
          <w:szCs w:val="21"/>
          <w:highlight w:val="none"/>
        </w:rPr>
      </w:pPr>
      <w:r>
        <w:rPr>
          <w:rFonts w:hint="eastAsia" w:ascii="宋体" w:hAnsi="宋体" w:cs="宋体"/>
          <w:color w:val="auto"/>
          <w:sz w:val="24"/>
          <w:highlight w:val="none"/>
        </w:rPr>
        <w:t xml:space="preserve">                        年  月  日</w:t>
      </w:r>
    </w:p>
    <w:p w14:paraId="2940E8B6">
      <w:pPr>
        <w:pStyle w:val="52"/>
        <w:spacing w:line="360" w:lineRule="auto"/>
        <w:jc w:val="right"/>
        <w:rPr>
          <w:rFonts w:hAnsi="宋体" w:eastAsia="宋体"/>
          <w:color w:val="auto"/>
          <w:szCs w:val="21"/>
          <w:highlight w:val="none"/>
        </w:rPr>
      </w:pPr>
    </w:p>
    <w:p w14:paraId="3A2C682F">
      <w:pPr>
        <w:snapToGrid w:val="0"/>
        <w:spacing w:before="50" w:after="156" w:afterLines="50" w:line="440" w:lineRule="exact"/>
        <w:jc w:val="left"/>
        <w:rPr>
          <w:rFonts w:ascii="宋体" w:hAnsi="宋体" w:cs="宋体"/>
          <w:b/>
          <w:bCs/>
          <w:color w:val="auto"/>
          <w:sz w:val="24"/>
          <w:highlight w:val="none"/>
        </w:rPr>
      </w:pPr>
      <w:r>
        <w:rPr>
          <w:rFonts w:hint="eastAsia" w:ascii="宋体" w:hAnsi="宋体" w:cs="宋体"/>
          <w:color w:val="auto"/>
          <w:szCs w:val="21"/>
          <w:highlight w:val="none"/>
        </w:rPr>
        <w:br w:type="page"/>
      </w:r>
      <w:bookmarkEnd w:id="69"/>
      <w:bookmarkStart w:id="72" w:name="OLE_LINK17"/>
      <w:r>
        <w:rPr>
          <w:rFonts w:hint="eastAsia" w:ascii="宋体" w:hAnsi="宋体" w:cs="宋体"/>
          <w:b/>
          <w:bCs/>
          <w:color w:val="auto"/>
          <w:sz w:val="24"/>
          <w:highlight w:val="none"/>
        </w:rPr>
        <w:t>1、投标人情况介绍</w:t>
      </w:r>
    </w:p>
    <w:p w14:paraId="54A59349">
      <w:pPr>
        <w:spacing w:before="72"/>
        <w:ind w:left="65" w:right="6"/>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tbl>
      <w:tblPr>
        <w:tblStyle w:val="29"/>
        <w:tblW w:w="924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14:paraId="3873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noWrap/>
            <w:vAlign w:val="center"/>
          </w:tcPr>
          <w:p w14:paraId="6F104AE8">
            <w:pPr>
              <w:rPr>
                <w:rFonts w:ascii="宋体" w:hAnsi="宋体" w:cs="宋体"/>
                <w:color w:val="auto"/>
                <w:sz w:val="24"/>
                <w:highlight w:val="none"/>
              </w:rPr>
            </w:pPr>
          </w:p>
          <w:p w14:paraId="5F169BFE">
            <w:pPr>
              <w:jc w:val="center"/>
              <w:rPr>
                <w:rFonts w:ascii="宋体" w:hAnsi="宋体" w:cs="宋体"/>
                <w:color w:val="auto"/>
                <w:sz w:val="24"/>
                <w:highlight w:val="none"/>
              </w:rPr>
            </w:pPr>
            <w:r>
              <w:rPr>
                <w:rFonts w:hint="eastAsia" w:ascii="宋体" w:hAnsi="宋体" w:cs="宋体"/>
                <w:color w:val="auto"/>
                <w:sz w:val="24"/>
                <w:highlight w:val="none"/>
              </w:rPr>
              <w:t>投</w:t>
            </w:r>
          </w:p>
          <w:p w14:paraId="016B46E7">
            <w:pPr>
              <w:jc w:val="center"/>
              <w:rPr>
                <w:rFonts w:ascii="宋体" w:hAnsi="宋体" w:cs="宋体"/>
                <w:color w:val="auto"/>
                <w:sz w:val="24"/>
                <w:highlight w:val="none"/>
              </w:rPr>
            </w:pPr>
          </w:p>
          <w:p w14:paraId="0B8BC76A">
            <w:pPr>
              <w:jc w:val="center"/>
              <w:rPr>
                <w:rFonts w:ascii="宋体" w:hAnsi="宋体" w:cs="宋体"/>
                <w:color w:val="auto"/>
                <w:sz w:val="24"/>
                <w:highlight w:val="none"/>
              </w:rPr>
            </w:pPr>
            <w:r>
              <w:rPr>
                <w:rFonts w:hint="eastAsia" w:ascii="宋体" w:hAnsi="宋体" w:cs="宋体"/>
                <w:color w:val="auto"/>
                <w:sz w:val="24"/>
                <w:highlight w:val="none"/>
              </w:rPr>
              <w:t>标</w:t>
            </w:r>
          </w:p>
          <w:p w14:paraId="0C6DE988">
            <w:pPr>
              <w:jc w:val="center"/>
              <w:rPr>
                <w:rFonts w:ascii="宋体" w:hAnsi="宋体" w:cs="宋体"/>
                <w:color w:val="auto"/>
                <w:sz w:val="24"/>
                <w:highlight w:val="none"/>
              </w:rPr>
            </w:pPr>
          </w:p>
          <w:p w14:paraId="6FA4B1F9">
            <w:pPr>
              <w:jc w:val="center"/>
              <w:rPr>
                <w:rFonts w:ascii="宋体" w:hAnsi="宋体" w:cs="宋体"/>
                <w:color w:val="auto"/>
                <w:sz w:val="24"/>
                <w:highlight w:val="none"/>
              </w:rPr>
            </w:pPr>
            <w:r>
              <w:rPr>
                <w:rFonts w:hint="eastAsia" w:ascii="宋体" w:hAnsi="宋体" w:cs="宋体"/>
                <w:color w:val="auto"/>
                <w:sz w:val="24"/>
                <w:highlight w:val="none"/>
              </w:rPr>
              <w:t>人</w:t>
            </w:r>
          </w:p>
          <w:p w14:paraId="1C4CA26B">
            <w:pPr>
              <w:jc w:val="center"/>
              <w:rPr>
                <w:rFonts w:ascii="宋体" w:hAnsi="宋体" w:cs="宋体"/>
                <w:color w:val="auto"/>
                <w:sz w:val="24"/>
                <w:highlight w:val="none"/>
              </w:rPr>
            </w:pPr>
          </w:p>
          <w:p w14:paraId="42FFB5F7">
            <w:pPr>
              <w:jc w:val="center"/>
              <w:rPr>
                <w:rFonts w:ascii="宋体" w:hAnsi="宋体" w:cs="宋体"/>
                <w:color w:val="auto"/>
                <w:sz w:val="24"/>
                <w:highlight w:val="none"/>
              </w:rPr>
            </w:pPr>
            <w:r>
              <w:rPr>
                <w:rFonts w:hint="eastAsia" w:ascii="宋体" w:hAnsi="宋体" w:cs="宋体"/>
                <w:color w:val="auto"/>
                <w:sz w:val="24"/>
                <w:highlight w:val="none"/>
              </w:rPr>
              <w:t>概</w:t>
            </w:r>
          </w:p>
          <w:p w14:paraId="66F4AF6D">
            <w:pPr>
              <w:jc w:val="center"/>
              <w:rPr>
                <w:rFonts w:ascii="宋体" w:hAnsi="宋体" w:cs="宋体"/>
                <w:color w:val="auto"/>
                <w:sz w:val="24"/>
                <w:highlight w:val="none"/>
              </w:rPr>
            </w:pPr>
          </w:p>
          <w:p w14:paraId="53FADB9D">
            <w:pPr>
              <w:jc w:val="center"/>
              <w:rPr>
                <w:rFonts w:ascii="宋体" w:hAnsi="宋体" w:cs="宋体"/>
                <w:color w:val="auto"/>
                <w:sz w:val="24"/>
                <w:highlight w:val="none"/>
              </w:rPr>
            </w:pPr>
            <w:r>
              <w:rPr>
                <w:rFonts w:hint="eastAsia" w:ascii="宋体" w:hAnsi="宋体" w:cs="宋体"/>
                <w:color w:val="auto"/>
                <w:sz w:val="24"/>
                <w:highlight w:val="none"/>
              </w:rPr>
              <w:t>况</w:t>
            </w:r>
          </w:p>
        </w:tc>
        <w:tc>
          <w:tcPr>
            <w:tcW w:w="2279" w:type="dxa"/>
            <w:noWrap/>
            <w:vAlign w:val="center"/>
          </w:tcPr>
          <w:p w14:paraId="59C7E8E8">
            <w:pPr>
              <w:jc w:val="center"/>
              <w:rPr>
                <w:rFonts w:ascii="宋体" w:hAnsi="宋体" w:cs="宋体"/>
                <w:color w:val="auto"/>
                <w:sz w:val="24"/>
                <w:highlight w:val="none"/>
              </w:rPr>
            </w:pPr>
            <w:r>
              <w:rPr>
                <w:rFonts w:hint="eastAsia" w:ascii="宋体" w:hAnsi="宋体" w:cs="宋体"/>
                <w:color w:val="auto"/>
                <w:sz w:val="24"/>
                <w:highlight w:val="none"/>
              </w:rPr>
              <w:t>公司名称</w:t>
            </w:r>
          </w:p>
        </w:tc>
        <w:tc>
          <w:tcPr>
            <w:tcW w:w="6316" w:type="dxa"/>
            <w:gridSpan w:val="3"/>
            <w:noWrap/>
            <w:vAlign w:val="center"/>
          </w:tcPr>
          <w:p w14:paraId="653EE212">
            <w:pPr>
              <w:jc w:val="center"/>
              <w:rPr>
                <w:rFonts w:ascii="宋体" w:hAnsi="宋体" w:cs="宋体"/>
                <w:color w:val="auto"/>
                <w:sz w:val="24"/>
                <w:highlight w:val="none"/>
              </w:rPr>
            </w:pPr>
          </w:p>
        </w:tc>
      </w:tr>
      <w:tr w14:paraId="4C15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4D62C81E">
            <w:pPr>
              <w:jc w:val="center"/>
              <w:rPr>
                <w:rFonts w:ascii="宋体" w:hAnsi="宋体" w:cs="宋体"/>
                <w:color w:val="auto"/>
                <w:sz w:val="24"/>
                <w:highlight w:val="none"/>
              </w:rPr>
            </w:pPr>
          </w:p>
        </w:tc>
        <w:tc>
          <w:tcPr>
            <w:tcW w:w="2279" w:type="dxa"/>
            <w:noWrap/>
            <w:vAlign w:val="center"/>
          </w:tcPr>
          <w:p w14:paraId="61A40741">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6316" w:type="dxa"/>
            <w:gridSpan w:val="3"/>
            <w:noWrap/>
            <w:vAlign w:val="center"/>
          </w:tcPr>
          <w:p w14:paraId="6CB73914">
            <w:pPr>
              <w:jc w:val="center"/>
              <w:rPr>
                <w:rFonts w:ascii="宋体" w:hAnsi="宋体" w:cs="宋体"/>
                <w:color w:val="auto"/>
                <w:sz w:val="24"/>
                <w:highlight w:val="none"/>
              </w:rPr>
            </w:pPr>
          </w:p>
        </w:tc>
      </w:tr>
      <w:tr w14:paraId="47B4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75AB28EE">
            <w:pPr>
              <w:jc w:val="center"/>
              <w:rPr>
                <w:rFonts w:ascii="宋体" w:hAnsi="宋体" w:cs="宋体"/>
                <w:color w:val="auto"/>
                <w:sz w:val="24"/>
                <w:highlight w:val="none"/>
              </w:rPr>
            </w:pPr>
          </w:p>
        </w:tc>
        <w:tc>
          <w:tcPr>
            <w:tcW w:w="2279" w:type="dxa"/>
            <w:noWrap/>
            <w:vAlign w:val="center"/>
          </w:tcPr>
          <w:p w14:paraId="424E251A">
            <w:pPr>
              <w:jc w:val="center"/>
              <w:rPr>
                <w:rFonts w:ascii="宋体" w:hAnsi="宋体" w:cs="宋体"/>
                <w:color w:val="auto"/>
                <w:sz w:val="24"/>
                <w:highlight w:val="none"/>
              </w:rPr>
            </w:pPr>
            <w:r>
              <w:rPr>
                <w:rFonts w:hint="eastAsia" w:ascii="宋体" w:hAnsi="宋体" w:cs="宋体"/>
                <w:color w:val="auto"/>
                <w:sz w:val="24"/>
                <w:highlight w:val="none"/>
              </w:rPr>
              <w:t>经营范围</w:t>
            </w:r>
          </w:p>
        </w:tc>
        <w:tc>
          <w:tcPr>
            <w:tcW w:w="6316" w:type="dxa"/>
            <w:gridSpan w:val="3"/>
            <w:noWrap/>
            <w:vAlign w:val="center"/>
          </w:tcPr>
          <w:p w14:paraId="4AF22CFD">
            <w:pPr>
              <w:jc w:val="center"/>
              <w:rPr>
                <w:rFonts w:ascii="宋体" w:hAnsi="宋体" w:cs="宋体"/>
                <w:color w:val="auto"/>
                <w:sz w:val="24"/>
                <w:highlight w:val="none"/>
              </w:rPr>
            </w:pPr>
          </w:p>
        </w:tc>
      </w:tr>
      <w:tr w14:paraId="0412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7AFF27FF">
            <w:pPr>
              <w:jc w:val="center"/>
              <w:rPr>
                <w:rFonts w:ascii="宋体" w:hAnsi="宋体" w:cs="宋体"/>
                <w:color w:val="auto"/>
                <w:sz w:val="24"/>
                <w:highlight w:val="none"/>
              </w:rPr>
            </w:pPr>
          </w:p>
        </w:tc>
        <w:tc>
          <w:tcPr>
            <w:tcW w:w="2279" w:type="dxa"/>
            <w:noWrap/>
            <w:vAlign w:val="center"/>
          </w:tcPr>
          <w:p w14:paraId="29AE6C1B">
            <w:pPr>
              <w:jc w:val="center"/>
              <w:rPr>
                <w:rFonts w:ascii="宋体" w:hAnsi="宋体" w:cs="宋体"/>
                <w:color w:val="auto"/>
                <w:sz w:val="24"/>
                <w:highlight w:val="none"/>
              </w:rPr>
            </w:pPr>
            <w:r>
              <w:rPr>
                <w:rFonts w:hint="eastAsia" w:ascii="宋体" w:hAnsi="宋体" w:cs="宋体"/>
                <w:color w:val="auto"/>
                <w:sz w:val="24"/>
                <w:highlight w:val="none"/>
              </w:rPr>
              <w:t>统一社会信用代码</w:t>
            </w:r>
          </w:p>
        </w:tc>
        <w:tc>
          <w:tcPr>
            <w:tcW w:w="6316" w:type="dxa"/>
            <w:gridSpan w:val="3"/>
            <w:noWrap/>
            <w:vAlign w:val="center"/>
          </w:tcPr>
          <w:p w14:paraId="23761510">
            <w:pPr>
              <w:jc w:val="center"/>
              <w:rPr>
                <w:rFonts w:ascii="宋体" w:hAnsi="宋体" w:cs="宋体"/>
                <w:color w:val="auto"/>
                <w:sz w:val="24"/>
                <w:highlight w:val="none"/>
              </w:rPr>
            </w:pPr>
          </w:p>
        </w:tc>
      </w:tr>
      <w:tr w14:paraId="5DB9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5F110894">
            <w:pPr>
              <w:jc w:val="center"/>
              <w:rPr>
                <w:rFonts w:ascii="宋体" w:hAnsi="宋体" w:cs="宋体"/>
                <w:color w:val="auto"/>
                <w:sz w:val="24"/>
                <w:highlight w:val="none"/>
              </w:rPr>
            </w:pPr>
          </w:p>
        </w:tc>
        <w:tc>
          <w:tcPr>
            <w:tcW w:w="2279" w:type="dxa"/>
            <w:noWrap/>
            <w:vAlign w:val="center"/>
          </w:tcPr>
          <w:p w14:paraId="2B82F1C7">
            <w:pPr>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640" w:type="dxa"/>
            <w:noWrap/>
            <w:vAlign w:val="center"/>
          </w:tcPr>
          <w:p w14:paraId="59823B3B">
            <w:pPr>
              <w:jc w:val="center"/>
              <w:rPr>
                <w:rFonts w:ascii="宋体" w:hAnsi="宋体" w:cs="宋体"/>
                <w:color w:val="auto"/>
                <w:sz w:val="24"/>
                <w:highlight w:val="none"/>
              </w:rPr>
            </w:pPr>
          </w:p>
        </w:tc>
        <w:tc>
          <w:tcPr>
            <w:tcW w:w="1920" w:type="dxa"/>
            <w:noWrap/>
            <w:vAlign w:val="center"/>
          </w:tcPr>
          <w:p w14:paraId="74271B66">
            <w:pPr>
              <w:jc w:val="center"/>
              <w:rPr>
                <w:rFonts w:ascii="宋体" w:hAnsi="宋体" w:cs="宋体"/>
                <w:color w:val="auto"/>
                <w:sz w:val="24"/>
                <w:highlight w:val="none"/>
              </w:rPr>
            </w:pPr>
            <w:r>
              <w:rPr>
                <w:rFonts w:hint="eastAsia" w:ascii="宋体" w:hAnsi="宋体" w:cs="宋体"/>
                <w:color w:val="auto"/>
                <w:sz w:val="24"/>
                <w:highlight w:val="none"/>
              </w:rPr>
              <w:t>经济性质</w:t>
            </w:r>
          </w:p>
        </w:tc>
        <w:tc>
          <w:tcPr>
            <w:tcW w:w="2756" w:type="dxa"/>
            <w:noWrap/>
            <w:vAlign w:val="center"/>
          </w:tcPr>
          <w:p w14:paraId="1B531783">
            <w:pPr>
              <w:jc w:val="center"/>
              <w:rPr>
                <w:rFonts w:ascii="宋体" w:hAnsi="宋体" w:cs="宋体"/>
                <w:color w:val="auto"/>
                <w:sz w:val="24"/>
                <w:highlight w:val="none"/>
              </w:rPr>
            </w:pPr>
          </w:p>
        </w:tc>
      </w:tr>
      <w:tr w14:paraId="7BB8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377C0FA9">
            <w:pPr>
              <w:jc w:val="center"/>
              <w:rPr>
                <w:rFonts w:ascii="宋体" w:hAnsi="宋体" w:cs="宋体"/>
                <w:color w:val="auto"/>
                <w:sz w:val="24"/>
                <w:highlight w:val="none"/>
              </w:rPr>
            </w:pPr>
          </w:p>
        </w:tc>
        <w:tc>
          <w:tcPr>
            <w:tcW w:w="2279" w:type="dxa"/>
            <w:noWrap/>
            <w:vAlign w:val="center"/>
          </w:tcPr>
          <w:p w14:paraId="2D718CC1">
            <w:pPr>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640" w:type="dxa"/>
            <w:noWrap/>
            <w:vAlign w:val="center"/>
          </w:tcPr>
          <w:p w14:paraId="78319117">
            <w:pPr>
              <w:jc w:val="center"/>
              <w:rPr>
                <w:rFonts w:ascii="宋体" w:hAnsi="宋体" w:cs="宋体"/>
                <w:color w:val="auto"/>
                <w:sz w:val="24"/>
                <w:highlight w:val="none"/>
              </w:rPr>
            </w:pPr>
          </w:p>
        </w:tc>
        <w:tc>
          <w:tcPr>
            <w:tcW w:w="1920" w:type="dxa"/>
            <w:noWrap/>
            <w:vAlign w:val="center"/>
          </w:tcPr>
          <w:p w14:paraId="20981C6A">
            <w:pPr>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2756" w:type="dxa"/>
            <w:noWrap/>
            <w:vAlign w:val="center"/>
          </w:tcPr>
          <w:p w14:paraId="0686C822">
            <w:pPr>
              <w:jc w:val="center"/>
              <w:rPr>
                <w:rFonts w:ascii="宋体" w:hAnsi="宋体" w:cs="宋体"/>
                <w:color w:val="auto"/>
                <w:sz w:val="24"/>
                <w:highlight w:val="none"/>
              </w:rPr>
            </w:pPr>
          </w:p>
        </w:tc>
      </w:tr>
      <w:tr w14:paraId="5613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6C6BD2C4">
            <w:pPr>
              <w:jc w:val="center"/>
              <w:rPr>
                <w:rFonts w:ascii="宋体" w:hAnsi="宋体" w:cs="宋体"/>
                <w:color w:val="auto"/>
                <w:sz w:val="24"/>
                <w:highlight w:val="none"/>
              </w:rPr>
            </w:pPr>
          </w:p>
        </w:tc>
        <w:tc>
          <w:tcPr>
            <w:tcW w:w="2279" w:type="dxa"/>
            <w:noWrap/>
            <w:vAlign w:val="center"/>
          </w:tcPr>
          <w:p w14:paraId="7F819638">
            <w:pP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1640" w:type="dxa"/>
            <w:noWrap/>
            <w:vAlign w:val="center"/>
          </w:tcPr>
          <w:p w14:paraId="296CEDA3">
            <w:pPr>
              <w:jc w:val="center"/>
              <w:rPr>
                <w:rFonts w:ascii="宋体" w:hAnsi="宋体" w:cs="宋体"/>
                <w:color w:val="auto"/>
                <w:sz w:val="24"/>
                <w:highlight w:val="none"/>
              </w:rPr>
            </w:pPr>
          </w:p>
        </w:tc>
        <w:tc>
          <w:tcPr>
            <w:tcW w:w="1920" w:type="dxa"/>
            <w:noWrap/>
            <w:vAlign w:val="center"/>
          </w:tcPr>
          <w:p w14:paraId="52E55377">
            <w:pPr>
              <w:jc w:val="center"/>
              <w:rPr>
                <w:rFonts w:ascii="宋体" w:hAnsi="宋体" w:cs="宋体"/>
                <w:color w:val="auto"/>
                <w:sz w:val="24"/>
                <w:highlight w:val="none"/>
              </w:rPr>
            </w:pPr>
            <w:r>
              <w:rPr>
                <w:rFonts w:hint="eastAsia" w:ascii="宋体" w:hAnsi="宋体" w:cs="宋体"/>
                <w:color w:val="auto"/>
                <w:sz w:val="24"/>
                <w:highlight w:val="none"/>
              </w:rPr>
              <w:t>技术人员数</w:t>
            </w:r>
          </w:p>
        </w:tc>
        <w:tc>
          <w:tcPr>
            <w:tcW w:w="2756" w:type="dxa"/>
            <w:noWrap/>
            <w:vAlign w:val="center"/>
          </w:tcPr>
          <w:p w14:paraId="42BFE07C">
            <w:pPr>
              <w:jc w:val="center"/>
              <w:rPr>
                <w:rFonts w:ascii="宋体" w:hAnsi="宋体" w:cs="宋体"/>
                <w:color w:val="auto"/>
                <w:sz w:val="24"/>
                <w:highlight w:val="none"/>
              </w:rPr>
            </w:pPr>
          </w:p>
        </w:tc>
      </w:tr>
      <w:tr w14:paraId="333F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512869CF">
            <w:pPr>
              <w:jc w:val="center"/>
              <w:rPr>
                <w:rFonts w:ascii="宋体" w:hAnsi="宋体" w:cs="宋体"/>
                <w:color w:val="auto"/>
                <w:sz w:val="24"/>
                <w:highlight w:val="none"/>
              </w:rPr>
            </w:pPr>
          </w:p>
        </w:tc>
        <w:tc>
          <w:tcPr>
            <w:tcW w:w="2279" w:type="dxa"/>
            <w:noWrap/>
            <w:vAlign w:val="center"/>
          </w:tcPr>
          <w:p w14:paraId="16700624">
            <w:pPr>
              <w:jc w:val="center"/>
              <w:rPr>
                <w:rFonts w:ascii="宋体" w:hAnsi="宋体" w:cs="宋体"/>
                <w:color w:val="auto"/>
                <w:sz w:val="24"/>
                <w:highlight w:val="none"/>
              </w:rPr>
            </w:pPr>
            <w:r>
              <w:rPr>
                <w:rFonts w:hint="eastAsia" w:ascii="宋体" w:hAnsi="宋体" w:cs="宋体"/>
                <w:color w:val="auto"/>
                <w:sz w:val="24"/>
                <w:highlight w:val="none"/>
              </w:rPr>
              <w:t>资产总额</w:t>
            </w:r>
          </w:p>
        </w:tc>
        <w:tc>
          <w:tcPr>
            <w:tcW w:w="1640" w:type="dxa"/>
            <w:noWrap/>
            <w:vAlign w:val="center"/>
          </w:tcPr>
          <w:p w14:paraId="62A841AF">
            <w:pPr>
              <w:jc w:val="center"/>
              <w:rPr>
                <w:rFonts w:ascii="宋体" w:hAnsi="宋体" w:cs="宋体"/>
                <w:color w:val="auto"/>
                <w:sz w:val="24"/>
                <w:highlight w:val="none"/>
              </w:rPr>
            </w:pPr>
          </w:p>
        </w:tc>
        <w:tc>
          <w:tcPr>
            <w:tcW w:w="1920" w:type="dxa"/>
            <w:noWrap/>
            <w:vAlign w:val="center"/>
          </w:tcPr>
          <w:p w14:paraId="6BECAFA9">
            <w:pPr>
              <w:jc w:val="center"/>
              <w:rPr>
                <w:rFonts w:ascii="宋体" w:hAnsi="宋体" w:cs="宋体"/>
                <w:color w:val="auto"/>
                <w:sz w:val="24"/>
                <w:highlight w:val="none"/>
              </w:rPr>
            </w:pPr>
            <w:r>
              <w:rPr>
                <w:rFonts w:hint="eastAsia" w:ascii="宋体" w:hAnsi="宋体" w:cs="宋体"/>
                <w:color w:val="auto"/>
                <w:sz w:val="24"/>
                <w:highlight w:val="none"/>
              </w:rPr>
              <w:t>净资产</w:t>
            </w:r>
          </w:p>
        </w:tc>
        <w:tc>
          <w:tcPr>
            <w:tcW w:w="2756" w:type="dxa"/>
            <w:noWrap/>
            <w:vAlign w:val="center"/>
          </w:tcPr>
          <w:p w14:paraId="721BE578">
            <w:pPr>
              <w:jc w:val="center"/>
              <w:rPr>
                <w:rFonts w:ascii="宋体" w:hAnsi="宋体" w:cs="宋体"/>
                <w:color w:val="auto"/>
                <w:sz w:val="24"/>
                <w:highlight w:val="none"/>
              </w:rPr>
            </w:pPr>
          </w:p>
        </w:tc>
      </w:tr>
      <w:tr w14:paraId="025E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noWrap/>
            <w:vAlign w:val="center"/>
          </w:tcPr>
          <w:p w14:paraId="1A025BB8">
            <w:pPr>
              <w:jc w:val="center"/>
              <w:rPr>
                <w:rFonts w:ascii="宋体" w:hAnsi="宋体" w:cs="宋体"/>
                <w:color w:val="auto"/>
                <w:sz w:val="24"/>
                <w:highlight w:val="none"/>
              </w:rPr>
            </w:pPr>
          </w:p>
        </w:tc>
        <w:tc>
          <w:tcPr>
            <w:tcW w:w="2279" w:type="dxa"/>
            <w:noWrap/>
            <w:vAlign w:val="center"/>
          </w:tcPr>
          <w:p w14:paraId="6785716A">
            <w:pPr>
              <w:jc w:val="center"/>
              <w:rPr>
                <w:rFonts w:ascii="宋体" w:hAnsi="宋体" w:cs="宋体"/>
                <w:color w:val="auto"/>
                <w:sz w:val="24"/>
                <w:highlight w:val="none"/>
              </w:rPr>
            </w:pPr>
            <w:r>
              <w:rPr>
                <w:rFonts w:hint="eastAsia" w:ascii="宋体" w:hAnsi="宋体" w:cs="宋体"/>
                <w:color w:val="auto"/>
                <w:sz w:val="24"/>
                <w:highlight w:val="none"/>
              </w:rPr>
              <w:t>是否依法纳税</w:t>
            </w:r>
          </w:p>
        </w:tc>
        <w:tc>
          <w:tcPr>
            <w:tcW w:w="1640" w:type="dxa"/>
            <w:noWrap/>
            <w:vAlign w:val="center"/>
          </w:tcPr>
          <w:p w14:paraId="055CEBF8">
            <w:pPr>
              <w:jc w:val="center"/>
              <w:rPr>
                <w:rFonts w:ascii="宋体" w:hAnsi="宋体" w:cs="宋体"/>
                <w:color w:val="auto"/>
                <w:sz w:val="24"/>
                <w:highlight w:val="none"/>
              </w:rPr>
            </w:pPr>
          </w:p>
        </w:tc>
        <w:tc>
          <w:tcPr>
            <w:tcW w:w="1920" w:type="dxa"/>
            <w:noWrap/>
            <w:vAlign w:val="center"/>
          </w:tcPr>
          <w:p w14:paraId="58D53141">
            <w:pPr>
              <w:jc w:val="center"/>
              <w:rPr>
                <w:rFonts w:ascii="宋体" w:hAnsi="宋体" w:cs="宋体"/>
                <w:color w:val="auto"/>
                <w:sz w:val="24"/>
                <w:highlight w:val="none"/>
              </w:rPr>
            </w:pPr>
            <w:r>
              <w:rPr>
                <w:rFonts w:hint="eastAsia" w:ascii="宋体" w:hAnsi="宋体" w:cs="宋体"/>
                <w:color w:val="auto"/>
                <w:sz w:val="24"/>
                <w:highlight w:val="none"/>
              </w:rPr>
              <w:t>是否参加社保</w:t>
            </w:r>
          </w:p>
        </w:tc>
        <w:tc>
          <w:tcPr>
            <w:tcW w:w="2756" w:type="dxa"/>
            <w:noWrap/>
            <w:vAlign w:val="center"/>
          </w:tcPr>
          <w:p w14:paraId="05CF723E">
            <w:pPr>
              <w:jc w:val="center"/>
              <w:rPr>
                <w:rFonts w:ascii="宋体" w:hAnsi="宋体" w:cs="宋体"/>
                <w:color w:val="auto"/>
                <w:sz w:val="24"/>
                <w:highlight w:val="none"/>
              </w:rPr>
            </w:pPr>
          </w:p>
        </w:tc>
      </w:tr>
      <w:tr w14:paraId="0D07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noWrap/>
            <w:vAlign w:val="center"/>
          </w:tcPr>
          <w:p w14:paraId="7BFC2BD5">
            <w:pPr>
              <w:jc w:val="center"/>
              <w:rPr>
                <w:rFonts w:ascii="宋体" w:hAnsi="宋体" w:cs="宋体"/>
                <w:color w:val="auto"/>
                <w:sz w:val="24"/>
                <w:highlight w:val="none"/>
              </w:rPr>
            </w:pPr>
          </w:p>
        </w:tc>
        <w:tc>
          <w:tcPr>
            <w:tcW w:w="2279" w:type="dxa"/>
            <w:noWrap/>
            <w:vAlign w:val="center"/>
          </w:tcPr>
          <w:p w14:paraId="142A772E">
            <w:pPr>
              <w:jc w:val="center"/>
              <w:rPr>
                <w:rFonts w:ascii="宋体" w:hAnsi="宋体" w:cs="宋体"/>
                <w:color w:val="auto"/>
                <w:sz w:val="24"/>
                <w:highlight w:val="none"/>
              </w:rPr>
            </w:pPr>
            <w:r>
              <w:rPr>
                <w:rFonts w:hint="eastAsia" w:ascii="宋体" w:hAnsi="宋体" w:cs="宋体"/>
                <w:color w:val="auto"/>
                <w:sz w:val="24"/>
                <w:highlight w:val="none"/>
              </w:rPr>
              <w:t>近三年</w:t>
            </w:r>
            <w:r>
              <w:rPr>
                <w:rFonts w:hint="eastAsia" w:ascii="宋体" w:hAnsi="宋体" w:cs="宋体"/>
                <w:strike w:val="0"/>
                <w:color w:val="auto"/>
                <w:sz w:val="24"/>
                <w:highlight w:val="none"/>
              </w:rPr>
              <w:t>投标人的</w:t>
            </w:r>
          </w:p>
          <w:p w14:paraId="3C2AE060">
            <w:pPr>
              <w:jc w:val="center"/>
              <w:rPr>
                <w:rFonts w:ascii="宋体" w:hAnsi="宋体" w:cs="宋体"/>
                <w:color w:val="auto"/>
                <w:sz w:val="24"/>
                <w:highlight w:val="none"/>
              </w:rPr>
            </w:pPr>
            <w:r>
              <w:rPr>
                <w:rFonts w:hint="eastAsia" w:ascii="宋体" w:hAnsi="宋体" w:cs="宋体"/>
                <w:color w:val="auto"/>
                <w:sz w:val="24"/>
                <w:highlight w:val="none"/>
              </w:rPr>
              <w:t>业绩、信誉</w:t>
            </w:r>
          </w:p>
        </w:tc>
        <w:tc>
          <w:tcPr>
            <w:tcW w:w="6316" w:type="dxa"/>
            <w:gridSpan w:val="3"/>
            <w:noWrap/>
            <w:vAlign w:val="center"/>
          </w:tcPr>
          <w:p w14:paraId="53EE9359">
            <w:pPr>
              <w:jc w:val="center"/>
              <w:rPr>
                <w:rFonts w:ascii="宋体" w:hAnsi="宋体" w:cs="宋体"/>
                <w:color w:val="auto"/>
                <w:sz w:val="24"/>
                <w:highlight w:val="none"/>
              </w:rPr>
            </w:pPr>
          </w:p>
          <w:p w14:paraId="02979A52">
            <w:pPr>
              <w:rPr>
                <w:rFonts w:ascii="宋体" w:hAnsi="宋体" w:cs="宋体"/>
                <w:color w:val="auto"/>
                <w:sz w:val="24"/>
                <w:highlight w:val="none"/>
              </w:rPr>
            </w:pPr>
          </w:p>
        </w:tc>
      </w:tr>
      <w:tr w14:paraId="713E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noWrap/>
            <w:vAlign w:val="center"/>
          </w:tcPr>
          <w:p w14:paraId="06D719D6">
            <w:pPr>
              <w:jc w:val="center"/>
              <w:rPr>
                <w:rFonts w:ascii="宋体" w:hAnsi="宋体" w:cs="宋体"/>
                <w:color w:val="auto"/>
                <w:sz w:val="24"/>
                <w:highlight w:val="none"/>
              </w:rPr>
            </w:pPr>
          </w:p>
        </w:tc>
        <w:tc>
          <w:tcPr>
            <w:tcW w:w="8595" w:type="dxa"/>
            <w:gridSpan w:val="4"/>
            <w:noWrap/>
          </w:tcPr>
          <w:p w14:paraId="0506CEF9">
            <w:pPr>
              <w:rPr>
                <w:rFonts w:ascii="宋体" w:hAnsi="宋体" w:cs="宋体"/>
                <w:color w:val="auto"/>
                <w:sz w:val="24"/>
                <w:highlight w:val="none"/>
              </w:rPr>
            </w:pPr>
            <w:r>
              <w:rPr>
                <w:rFonts w:hint="eastAsia" w:ascii="宋体" w:hAnsi="宋体" w:cs="宋体"/>
                <w:color w:val="auto"/>
                <w:sz w:val="24"/>
                <w:highlight w:val="none"/>
              </w:rPr>
              <w:t>单位优势及特点：</w:t>
            </w:r>
          </w:p>
        </w:tc>
      </w:tr>
    </w:tbl>
    <w:p w14:paraId="140E6203">
      <w:pPr>
        <w:pStyle w:val="26"/>
        <w:spacing w:beforeAutospacing="0" w:afterAutospacing="0"/>
        <w:rPr>
          <w:snapToGrid w:val="0"/>
          <w:color w:val="auto"/>
          <w:highlight w:val="none"/>
        </w:rPr>
      </w:pPr>
      <w:r>
        <w:rPr>
          <w:rFonts w:hint="eastAsia"/>
          <w:snapToGrid w:val="0"/>
          <w:color w:val="auto"/>
          <w:highlight w:val="none"/>
        </w:rPr>
        <w:t>说明：本表后应附有单位简介。</w:t>
      </w:r>
    </w:p>
    <w:p w14:paraId="06D2B661">
      <w:pPr>
        <w:snapToGrid w:val="0"/>
        <w:spacing w:before="50" w:after="50" w:line="360" w:lineRule="auto"/>
        <w:rPr>
          <w:rFonts w:ascii="宋体" w:hAnsi="宋体" w:cs="宋体"/>
          <w:color w:val="auto"/>
          <w:sz w:val="24"/>
          <w:highlight w:val="none"/>
        </w:rPr>
      </w:pPr>
    </w:p>
    <w:p w14:paraId="5CAB5DEF">
      <w:pPr>
        <w:pStyle w:val="2"/>
        <w:rPr>
          <w:rFonts w:ascii="宋体" w:hAnsi="宋体" w:eastAsia="宋体"/>
          <w:color w:val="auto"/>
          <w:highlight w:val="none"/>
        </w:rPr>
      </w:pPr>
    </w:p>
    <w:p w14:paraId="353F8A98">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法定代表人或其委托代理人签字或盖章</w:t>
      </w:r>
      <w:r>
        <w:rPr>
          <w:rFonts w:hint="eastAsia" w:ascii="宋体" w:hAnsi="宋体" w:cs="宋体"/>
          <w:color w:val="auto"/>
          <w:spacing w:val="20"/>
          <w:sz w:val="24"/>
          <w:highlight w:val="none"/>
        </w:rPr>
        <w:t>：</w:t>
      </w:r>
    </w:p>
    <w:p w14:paraId="61B4AADB">
      <w:pPr>
        <w:pStyle w:val="52"/>
        <w:spacing w:line="360" w:lineRule="auto"/>
        <w:ind w:right="480"/>
        <w:rPr>
          <w:rFonts w:hAnsi="宋体" w:eastAsia="宋体"/>
          <w:b/>
          <w:color w:val="auto"/>
          <w:szCs w:val="21"/>
          <w:highlight w:val="none"/>
        </w:rPr>
      </w:pPr>
      <w:r>
        <w:rPr>
          <w:rFonts w:hint="eastAsia" w:hAnsi="宋体" w:eastAsia="宋体"/>
          <w:color w:val="auto"/>
          <w:sz w:val="24"/>
          <w:highlight w:val="none"/>
        </w:rPr>
        <w:t>投标人公章：                           年    月    日</w:t>
      </w:r>
    </w:p>
    <w:p w14:paraId="6B0B71E4">
      <w:pPr>
        <w:snapToGrid w:val="0"/>
        <w:spacing w:before="50" w:after="156" w:afterLines="50"/>
        <w:jc w:val="left"/>
        <w:rPr>
          <w:rFonts w:ascii="宋体" w:hAnsi="宋体" w:cs="宋体"/>
          <w:b/>
          <w:bCs/>
          <w:color w:val="auto"/>
          <w:sz w:val="24"/>
          <w:highlight w:val="none"/>
        </w:rPr>
      </w:pPr>
      <w:r>
        <w:rPr>
          <w:rFonts w:hint="eastAsia" w:ascii="宋体" w:hAnsi="宋体" w:cs="宋体"/>
          <w:b/>
          <w:color w:val="auto"/>
          <w:szCs w:val="21"/>
          <w:highlight w:val="none"/>
        </w:rPr>
        <w:br w:type="page"/>
      </w:r>
      <w:bookmarkEnd w:id="72"/>
      <w:r>
        <w:rPr>
          <w:rFonts w:hint="eastAsia" w:ascii="宋体" w:hAnsi="宋体" w:cs="宋体"/>
          <w:b/>
          <w:bCs/>
          <w:color w:val="auto"/>
          <w:sz w:val="24"/>
          <w:szCs w:val="22"/>
          <w:highlight w:val="none"/>
        </w:rPr>
        <w:t>2、</w:t>
      </w:r>
      <w:r>
        <w:rPr>
          <w:rFonts w:hint="eastAsia" w:ascii="宋体" w:hAnsi="宋体" w:cs="宋体"/>
          <w:b/>
          <w:bCs/>
          <w:color w:val="auto"/>
          <w:sz w:val="24"/>
          <w:highlight w:val="none"/>
        </w:rPr>
        <w:t>本项目的具体实施方案</w:t>
      </w:r>
    </w:p>
    <w:p w14:paraId="311D2BF8">
      <w:pPr>
        <w:snapToGrid w:val="0"/>
        <w:spacing w:before="50" w:after="156" w:afterLines="50"/>
        <w:jc w:val="left"/>
        <w:rPr>
          <w:rFonts w:ascii="宋体" w:hAnsi="宋体" w:cs="宋体"/>
          <w:b/>
          <w:bCs/>
          <w:color w:val="auto"/>
          <w:sz w:val="24"/>
          <w:highlight w:val="none"/>
        </w:rPr>
      </w:pPr>
    </w:p>
    <w:p w14:paraId="472C918D">
      <w:pPr>
        <w:snapToGrid w:val="0"/>
        <w:spacing w:before="50" w:after="156" w:afterLines="50"/>
        <w:jc w:val="left"/>
        <w:rPr>
          <w:rFonts w:ascii="宋体" w:hAnsi="宋体" w:cs="宋体"/>
          <w:b/>
          <w:bCs/>
          <w:color w:val="auto"/>
          <w:sz w:val="24"/>
          <w:highlight w:val="none"/>
        </w:rPr>
      </w:pPr>
    </w:p>
    <w:p w14:paraId="13D89A81">
      <w:pPr>
        <w:snapToGrid w:val="0"/>
        <w:spacing w:before="50" w:after="156" w:afterLines="50"/>
        <w:jc w:val="left"/>
        <w:rPr>
          <w:rFonts w:ascii="宋体" w:hAnsi="宋体" w:cs="宋体"/>
          <w:b/>
          <w:bCs/>
          <w:color w:val="auto"/>
          <w:sz w:val="24"/>
          <w:highlight w:val="none"/>
        </w:rPr>
      </w:pPr>
    </w:p>
    <w:p w14:paraId="77ABF6E4">
      <w:pPr>
        <w:snapToGrid w:val="0"/>
        <w:spacing w:before="50" w:after="156" w:afterLines="50"/>
        <w:jc w:val="left"/>
        <w:rPr>
          <w:rFonts w:ascii="宋体" w:hAnsi="宋体" w:cs="宋体"/>
          <w:b/>
          <w:bCs/>
          <w:color w:val="auto"/>
          <w:sz w:val="24"/>
          <w:highlight w:val="none"/>
        </w:rPr>
      </w:pPr>
    </w:p>
    <w:p w14:paraId="1B2B733B">
      <w:pPr>
        <w:snapToGrid w:val="0"/>
        <w:spacing w:before="50" w:after="156" w:afterLines="50"/>
        <w:jc w:val="left"/>
        <w:rPr>
          <w:rFonts w:ascii="宋体" w:hAnsi="宋体" w:cs="宋体"/>
          <w:b/>
          <w:bCs/>
          <w:color w:val="auto"/>
          <w:sz w:val="24"/>
          <w:highlight w:val="none"/>
        </w:rPr>
      </w:pPr>
    </w:p>
    <w:p w14:paraId="6CF04F36">
      <w:pPr>
        <w:snapToGrid w:val="0"/>
        <w:spacing w:before="50" w:after="156" w:afterLines="50"/>
        <w:jc w:val="left"/>
        <w:rPr>
          <w:rFonts w:ascii="宋体" w:hAnsi="宋体" w:cs="宋体"/>
          <w:b/>
          <w:bCs/>
          <w:color w:val="auto"/>
          <w:sz w:val="24"/>
          <w:highlight w:val="none"/>
        </w:rPr>
      </w:pPr>
    </w:p>
    <w:p w14:paraId="5A1BADF9">
      <w:pPr>
        <w:snapToGrid w:val="0"/>
        <w:spacing w:before="50" w:after="156" w:afterLines="50"/>
        <w:jc w:val="left"/>
        <w:rPr>
          <w:rFonts w:ascii="宋体" w:hAnsi="宋体" w:cs="宋体"/>
          <w:b/>
          <w:bCs/>
          <w:color w:val="auto"/>
          <w:sz w:val="24"/>
          <w:highlight w:val="none"/>
        </w:rPr>
      </w:pPr>
    </w:p>
    <w:p w14:paraId="72EDFDE6">
      <w:pPr>
        <w:snapToGrid w:val="0"/>
        <w:spacing w:before="50" w:after="156" w:afterLines="50"/>
        <w:jc w:val="left"/>
        <w:rPr>
          <w:rFonts w:ascii="宋体" w:hAnsi="宋体" w:cs="宋体"/>
          <w:b/>
          <w:bCs/>
          <w:color w:val="auto"/>
          <w:sz w:val="24"/>
          <w:highlight w:val="none"/>
        </w:rPr>
      </w:pPr>
    </w:p>
    <w:p w14:paraId="2F325598">
      <w:pPr>
        <w:snapToGrid w:val="0"/>
        <w:spacing w:before="50" w:after="156" w:afterLines="50"/>
        <w:jc w:val="left"/>
        <w:rPr>
          <w:rFonts w:ascii="宋体" w:hAnsi="宋体" w:cs="宋体"/>
          <w:b/>
          <w:bCs/>
          <w:color w:val="auto"/>
          <w:sz w:val="24"/>
          <w:highlight w:val="none"/>
        </w:rPr>
      </w:pPr>
    </w:p>
    <w:p w14:paraId="390A7792">
      <w:pPr>
        <w:snapToGrid w:val="0"/>
        <w:spacing w:before="50" w:after="156" w:afterLines="50"/>
        <w:jc w:val="left"/>
        <w:rPr>
          <w:rFonts w:ascii="宋体" w:hAnsi="宋体" w:cs="宋体"/>
          <w:b/>
          <w:bCs/>
          <w:color w:val="auto"/>
          <w:sz w:val="24"/>
          <w:highlight w:val="none"/>
        </w:rPr>
      </w:pPr>
    </w:p>
    <w:p w14:paraId="6199DD3A">
      <w:pPr>
        <w:snapToGrid w:val="0"/>
        <w:spacing w:before="50" w:after="156" w:afterLines="50"/>
        <w:jc w:val="left"/>
        <w:rPr>
          <w:rFonts w:ascii="宋体" w:hAnsi="宋体" w:cs="宋体"/>
          <w:b/>
          <w:bCs/>
          <w:color w:val="auto"/>
          <w:sz w:val="24"/>
          <w:highlight w:val="none"/>
        </w:rPr>
      </w:pPr>
    </w:p>
    <w:p w14:paraId="66C8D4F5">
      <w:pPr>
        <w:snapToGrid w:val="0"/>
        <w:spacing w:before="50" w:after="156" w:afterLines="50"/>
        <w:jc w:val="left"/>
        <w:rPr>
          <w:rFonts w:ascii="宋体" w:hAnsi="宋体" w:cs="宋体"/>
          <w:b/>
          <w:bCs/>
          <w:color w:val="auto"/>
          <w:sz w:val="24"/>
          <w:highlight w:val="none"/>
        </w:rPr>
      </w:pPr>
    </w:p>
    <w:p w14:paraId="419EA182">
      <w:pPr>
        <w:snapToGrid w:val="0"/>
        <w:spacing w:before="50" w:after="156" w:afterLines="50"/>
        <w:jc w:val="left"/>
        <w:rPr>
          <w:rFonts w:ascii="宋体" w:hAnsi="宋体" w:cs="宋体"/>
          <w:b/>
          <w:bCs/>
          <w:color w:val="auto"/>
          <w:sz w:val="24"/>
          <w:highlight w:val="none"/>
        </w:rPr>
      </w:pPr>
    </w:p>
    <w:p w14:paraId="7DA6BE48">
      <w:pPr>
        <w:snapToGrid w:val="0"/>
        <w:spacing w:before="50" w:after="156" w:afterLines="50"/>
        <w:jc w:val="left"/>
        <w:rPr>
          <w:rFonts w:ascii="宋体" w:hAnsi="宋体" w:cs="宋体"/>
          <w:b/>
          <w:bCs/>
          <w:color w:val="auto"/>
          <w:sz w:val="24"/>
          <w:highlight w:val="none"/>
        </w:rPr>
      </w:pPr>
    </w:p>
    <w:p w14:paraId="00DEC9FE">
      <w:pPr>
        <w:rPr>
          <w:rFonts w:ascii="宋体" w:hAnsi="宋体" w:cs="宋体"/>
          <w:b/>
          <w:bCs/>
          <w:color w:val="auto"/>
          <w:sz w:val="24"/>
          <w:highlight w:val="none"/>
        </w:rPr>
      </w:pPr>
      <w:r>
        <w:rPr>
          <w:rFonts w:hint="eastAsia" w:ascii="宋体" w:hAnsi="宋体" w:cs="宋体"/>
          <w:color w:val="auto"/>
          <w:highlight w:val="none"/>
        </w:rPr>
        <w:br w:type="page"/>
      </w:r>
      <w:bookmarkStart w:id="73" w:name="OLE_LINK21"/>
      <w:r>
        <w:rPr>
          <w:rFonts w:hint="eastAsia" w:ascii="宋体" w:hAnsi="宋体" w:cs="宋体"/>
          <w:b/>
          <w:bCs/>
          <w:color w:val="auto"/>
          <w:sz w:val="24"/>
          <w:highlight w:val="none"/>
        </w:rPr>
        <w:t>3、项目实施人员</w:t>
      </w:r>
    </w:p>
    <w:p w14:paraId="7DF7D63C">
      <w:pPr>
        <w:pStyle w:val="14"/>
        <w:adjustRightInd w:val="0"/>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项目实施人员一览表</w:t>
      </w:r>
    </w:p>
    <w:tbl>
      <w:tblPr>
        <w:tblStyle w:val="29"/>
        <w:tblW w:w="91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
        <w:gridCol w:w="1342"/>
        <w:gridCol w:w="915"/>
        <w:gridCol w:w="928"/>
        <w:gridCol w:w="1134"/>
        <w:gridCol w:w="1134"/>
        <w:gridCol w:w="976"/>
        <w:gridCol w:w="1727"/>
      </w:tblGrid>
      <w:tr w14:paraId="1D872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27E2A825">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342" w:type="dxa"/>
            <w:tcBorders>
              <w:top w:val="single" w:color="auto" w:sz="4" w:space="0"/>
              <w:left w:val="single" w:color="auto" w:sz="4" w:space="0"/>
              <w:bottom w:val="single" w:color="auto" w:sz="4" w:space="0"/>
              <w:right w:val="single" w:color="auto" w:sz="4" w:space="0"/>
            </w:tcBorders>
            <w:noWrap/>
            <w:vAlign w:val="center"/>
          </w:tcPr>
          <w:p w14:paraId="3D596B7C">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项目组所任职务</w:t>
            </w:r>
          </w:p>
        </w:tc>
        <w:tc>
          <w:tcPr>
            <w:tcW w:w="915" w:type="dxa"/>
            <w:tcBorders>
              <w:top w:val="single" w:color="auto" w:sz="4" w:space="0"/>
              <w:left w:val="single" w:color="auto" w:sz="4" w:space="0"/>
              <w:bottom w:val="single" w:color="auto" w:sz="4" w:space="0"/>
              <w:right w:val="single" w:color="auto" w:sz="4" w:space="0"/>
            </w:tcBorders>
            <w:noWrap/>
            <w:vAlign w:val="center"/>
          </w:tcPr>
          <w:p w14:paraId="2A7D37EF">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姓名</w:t>
            </w:r>
          </w:p>
        </w:tc>
        <w:tc>
          <w:tcPr>
            <w:tcW w:w="928" w:type="dxa"/>
            <w:tcBorders>
              <w:top w:val="single" w:color="auto" w:sz="4" w:space="0"/>
              <w:left w:val="single" w:color="auto" w:sz="4" w:space="0"/>
              <w:bottom w:val="single" w:color="auto" w:sz="4" w:space="0"/>
              <w:right w:val="single" w:color="auto" w:sz="4" w:space="0"/>
            </w:tcBorders>
            <w:noWrap/>
            <w:vAlign w:val="center"/>
          </w:tcPr>
          <w:p w14:paraId="20D79508">
            <w:pPr>
              <w:jc w:val="center"/>
              <w:rPr>
                <w:rFonts w:ascii="宋体" w:hAnsi="宋体" w:cs="宋体"/>
                <w:color w:val="auto"/>
                <w:highlight w:val="none"/>
              </w:rPr>
            </w:pPr>
            <w:r>
              <w:rPr>
                <w:rFonts w:hint="eastAsia" w:ascii="宋体" w:hAnsi="宋体" w:cs="宋体"/>
                <w:color w:val="auto"/>
                <w:highlight w:val="none"/>
              </w:rPr>
              <w:t>性别</w:t>
            </w:r>
          </w:p>
        </w:tc>
        <w:tc>
          <w:tcPr>
            <w:tcW w:w="1134" w:type="dxa"/>
            <w:tcBorders>
              <w:top w:val="single" w:color="auto" w:sz="4" w:space="0"/>
              <w:left w:val="single" w:color="auto" w:sz="4" w:space="0"/>
              <w:bottom w:val="single" w:color="auto" w:sz="4" w:space="0"/>
              <w:right w:val="single" w:color="auto" w:sz="4" w:space="0"/>
            </w:tcBorders>
            <w:noWrap/>
            <w:vAlign w:val="center"/>
          </w:tcPr>
          <w:p w14:paraId="097D1925">
            <w:pPr>
              <w:jc w:val="center"/>
              <w:rPr>
                <w:rFonts w:ascii="宋体" w:hAnsi="宋体" w:cs="宋体"/>
                <w:color w:val="auto"/>
                <w:highlight w:val="none"/>
              </w:rPr>
            </w:pPr>
            <w:r>
              <w:rPr>
                <w:rFonts w:hint="eastAsia" w:ascii="宋体" w:hAnsi="宋体" w:cs="宋体"/>
                <w:color w:val="auto"/>
                <w:highlight w:val="none"/>
              </w:rPr>
              <w:t>年龄</w:t>
            </w:r>
          </w:p>
        </w:tc>
        <w:tc>
          <w:tcPr>
            <w:tcW w:w="1134" w:type="dxa"/>
            <w:tcBorders>
              <w:top w:val="single" w:color="auto" w:sz="4" w:space="0"/>
              <w:left w:val="single" w:color="auto" w:sz="4" w:space="0"/>
              <w:bottom w:val="single" w:color="auto" w:sz="4" w:space="0"/>
              <w:right w:val="single" w:color="auto" w:sz="4" w:space="0"/>
            </w:tcBorders>
            <w:noWrap/>
            <w:vAlign w:val="center"/>
          </w:tcPr>
          <w:p w14:paraId="1F3A4DA0">
            <w:pPr>
              <w:jc w:val="center"/>
              <w:rPr>
                <w:rFonts w:ascii="宋体" w:hAnsi="宋体" w:cs="宋体"/>
                <w:color w:val="auto"/>
                <w:highlight w:val="none"/>
              </w:rPr>
            </w:pPr>
            <w:r>
              <w:rPr>
                <w:rFonts w:hint="eastAsia" w:ascii="宋体" w:hAnsi="宋体" w:cs="宋体"/>
                <w:color w:val="auto"/>
                <w:highlight w:val="none"/>
              </w:rPr>
              <w:t>职称</w:t>
            </w:r>
          </w:p>
        </w:tc>
        <w:tc>
          <w:tcPr>
            <w:tcW w:w="976" w:type="dxa"/>
            <w:tcBorders>
              <w:top w:val="single" w:color="auto" w:sz="4" w:space="0"/>
              <w:left w:val="single" w:color="auto" w:sz="4" w:space="0"/>
              <w:bottom w:val="single" w:color="auto" w:sz="4" w:space="0"/>
              <w:right w:val="single" w:color="auto" w:sz="4" w:space="0"/>
            </w:tcBorders>
            <w:noWrap/>
            <w:vAlign w:val="center"/>
          </w:tcPr>
          <w:p w14:paraId="1AC0BAE9">
            <w:pPr>
              <w:jc w:val="center"/>
              <w:rPr>
                <w:rFonts w:ascii="宋体" w:hAnsi="宋体" w:cs="宋体"/>
                <w:color w:val="auto"/>
                <w:highlight w:val="none"/>
              </w:rPr>
            </w:pPr>
            <w:r>
              <w:rPr>
                <w:rFonts w:hint="eastAsia" w:ascii="宋体" w:hAnsi="宋体" w:cs="宋体"/>
                <w:color w:val="auto"/>
                <w:highlight w:val="none"/>
              </w:rPr>
              <w:t>专业</w:t>
            </w:r>
          </w:p>
        </w:tc>
        <w:tc>
          <w:tcPr>
            <w:tcW w:w="1727" w:type="dxa"/>
            <w:tcBorders>
              <w:top w:val="single" w:color="auto" w:sz="4" w:space="0"/>
              <w:left w:val="single" w:color="auto" w:sz="4" w:space="0"/>
              <w:bottom w:val="single" w:color="auto" w:sz="4" w:space="0"/>
              <w:right w:val="single" w:color="auto" w:sz="4" w:space="0"/>
            </w:tcBorders>
            <w:noWrap/>
            <w:vAlign w:val="center"/>
          </w:tcPr>
          <w:p w14:paraId="6ECF3091">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从事本工作时间</w:t>
            </w:r>
          </w:p>
        </w:tc>
      </w:tr>
      <w:tr w14:paraId="7D745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64CFB38E">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342" w:type="dxa"/>
            <w:tcBorders>
              <w:top w:val="single" w:color="auto" w:sz="4" w:space="0"/>
              <w:left w:val="single" w:color="auto" w:sz="4" w:space="0"/>
              <w:bottom w:val="single" w:color="auto" w:sz="4" w:space="0"/>
              <w:right w:val="single" w:color="auto" w:sz="4" w:space="0"/>
            </w:tcBorders>
            <w:noWrap/>
            <w:vAlign w:val="center"/>
          </w:tcPr>
          <w:p w14:paraId="0F28456D">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16FC1D39">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60F9D724">
            <w:pPr>
              <w:jc w:val="center"/>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BBF6C33">
            <w:pPr>
              <w:jc w:val="center"/>
              <w:rPr>
                <w:rFonts w:ascii="宋体" w:hAnsi="宋体" w:cs="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9A6BE7D">
            <w:pPr>
              <w:jc w:val="center"/>
              <w:rPr>
                <w:rFonts w:ascii="宋体" w:hAnsi="宋体" w:cs="宋体"/>
                <w:color w:val="auto"/>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7CE692DB">
            <w:pPr>
              <w:jc w:val="center"/>
              <w:rPr>
                <w:rFonts w:ascii="宋体" w:hAnsi="宋体" w:cs="宋体"/>
                <w:color w:val="auto"/>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349CC668">
            <w:pPr>
              <w:pStyle w:val="17"/>
              <w:jc w:val="center"/>
              <w:rPr>
                <w:rFonts w:ascii="宋体" w:hAnsi="宋体" w:cs="宋体"/>
                <w:color w:val="auto"/>
                <w:sz w:val="21"/>
                <w:szCs w:val="21"/>
                <w:highlight w:val="none"/>
              </w:rPr>
            </w:pPr>
          </w:p>
        </w:tc>
      </w:tr>
      <w:tr w14:paraId="7BAB2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745AECE1">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342" w:type="dxa"/>
            <w:tcBorders>
              <w:top w:val="single" w:color="auto" w:sz="4" w:space="0"/>
              <w:left w:val="single" w:color="auto" w:sz="4" w:space="0"/>
              <w:bottom w:val="single" w:color="auto" w:sz="4" w:space="0"/>
              <w:right w:val="single" w:color="auto" w:sz="4" w:space="0"/>
            </w:tcBorders>
            <w:noWrap/>
            <w:vAlign w:val="center"/>
          </w:tcPr>
          <w:p w14:paraId="5F3E688D">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783DC9F4">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75798295">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1939287">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25691D63">
            <w:pPr>
              <w:pStyle w:val="17"/>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4C99185C">
            <w:pPr>
              <w:pStyle w:val="17"/>
              <w:jc w:val="center"/>
              <w:rPr>
                <w:rFonts w:ascii="宋体" w:hAnsi="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28486082">
            <w:pPr>
              <w:pStyle w:val="17"/>
              <w:jc w:val="center"/>
              <w:rPr>
                <w:rFonts w:ascii="宋体" w:hAnsi="宋体" w:cs="宋体"/>
                <w:color w:val="auto"/>
                <w:sz w:val="21"/>
                <w:szCs w:val="21"/>
                <w:highlight w:val="none"/>
              </w:rPr>
            </w:pPr>
          </w:p>
        </w:tc>
      </w:tr>
      <w:tr w14:paraId="23E81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6F429FD3">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342" w:type="dxa"/>
            <w:tcBorders>
              <w:top w:val="single" w:color="auto" w:sz="4" w:space="0"/>
              <w:left w:val="single" w:color="auto" w:sz="4" w:space="0"/>
              <w:bottom w:val="single" w:color="auto" w:sz="4" w:space="0"/>
              <w:right w:val="single" w:color="auto" w:sz="4" w:space="0"/>
            </w:tcBorders>
            <w:noWrap/>
            <w:vAlign w:val="center"/>
          </w:tcPr>
          <w:p w14:paraId="69FA4A2D">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41FC892C">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10273B3F">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C18A6B2">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68BFC717">
            <w:pPr>
              <w:pStyle w:val="17"/>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2045A1B0">
            <w:pPr>
              <w:pStyle w:val="17"/>
              <w:jc w:val="center"/>
              <w:rPr>
                <w:rFonts w:ascii="宋体" w:hAnsi="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2A5898BB">
            <w:pPr>
              <w:pStyle w:val="17"/>
              <w:jc w:val="center"/>
              <w:rPr>
                <w:rFonts w:ascii="宋体" w:hAnsi="宋体" w:cs="宋体"/>
                <w:color w:val="auto"/>
                <w:sz w:val="21"/>
                <w:szCs w:val="21"/>
                <w:highlight w:val="none"/>
              </w:rPr>
            </w:pPr>
          </w:p>
        </w:tc>
      </w:tr>
      <w:tr w14:paraId="503EB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199A1BF7">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342" w:type="dxa"/>
            <w:tcBorders>
              <w:top w:val="single" w:color="auto" w:sz="4" w:space="0"/>
              <w:left w:val="single" w:color="auto" w:sz="4" w:space="0"/>
              <w:bottom w:val="single" w:color="auto" w:sz="4" w:space="0"/>
              <w:right w:val="single" w:color="auto" w:sz="4" w:space="0"/>
            </w:tcBorders>
            <w:noWrap/>
            <w:vAlign w:val="center"/>
          </w:tcPr>
          <w:p w14:paraId="482FA42D">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66BA3D32">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11CA81C1">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0E093BE">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6290B690">
            <w:pPr>
              <w:pStyle w:val="17"/>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64B8AAA5">
            <w:pPr>
              <w:pStyle w:val="17"/>
              <w:jc w:val="center"/>
              <w:rPr>
                <w:rFonts w:ascii="宋体" w:hAnsi="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1B777135">
            <w:pPr>
              <w:pStyle w:val="17"/>
              <w:jc w:val="center"/>
              <w:rPr>
                <w:rFonts w:ascii="宋体" w:hAnsi="宋体" w:cs="宋体"/>
                <w:color w:val="auto"/>
                <w:sz w:val="21"/>
                <w:szCs w:val="21"/>
                <w:highlight w:val="none"/>
              </w:rPr>
            </w:pPr>
          </w:p>
        </w:tc>
      </w:tr>
      <w:tr w14:paraId="592B9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11BEF2E4">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342" w:type="dxa"/>
            <w:tcBorders>
              <w:top w:val="single" w:color="auto" w:sz="4" w:space="0"/>
              <w:left w:val="single" w:color="auto" w:sz="4" w:space="0"/>
              <w:bottom w:val="single" w:color="auto" w:sz="4" w:space="0"/>
              <w:right w:val="single" w:color="auto" w:sz="4" w:space="0"/>
            </w:tcBorders>
            <w:noWrap/>
            <w:vAlign w:val="center"/>
          </w:tcPr>
          <w:p w14:paraId="6578D2B8">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6738B808">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05F8E6EC">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8BFA14F">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2A9C28AB">
            <w:pPr>
              <w:pStyle w:val="17"/>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43D10136">
            <w:pPr>
              <w:pStyle w:val="17"/>
              <w:jc w:val="center"/>
              <w:rPr>
                <w:rFonts w:ascii="宋体" w:hAnsi="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44284D55">
            <w:pPr>
              <w:pStyle w:val="17"/>
              <w:jc w:val="center"/>
              <w:rPr>
                <w:rFonts w:ascii="宋体" w:hAnsi="宋体" w:cs="宋体"/>
                <w:color w:val="auto"/>
                <w:sz w:val="21"/>
                <w:szCs w:val="21"/>
                <w:highlight w:val="none"/>
              </w:rPr>
            </w:pPr>
          </w:p>
        </w:tc>
      </w:tr>
      <w:tr w14:paraId="7B31F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77915360">
            <w:pPr>
              <w:pStyle w:val="17"/>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342" w:type="dxa"/>
            <w:tcBorders>
              <w:top w:val="single" w:color="auto" w:sz="4" w:space="0"/>
              <w:left w:val="single" w:color="auto" w:sz="4" w:space="0"/>
              <w:bottom w:val="single" w:color="auto" w:sz="4" w:space="0"/>
              <w:right w:val="single" w:color="auto" w:sz="4" w:space="0"/>
            </w:tcBorders>
            <w:noWrap/>
            <w:vAlign w:val="center"/>
          </w:tcPr>
          <w:p w14:paraId="1D3878D9">
            <w:pPr>
              <w:pStyle w:val="17"/>
              <w:jc w:val="center"/>
              <w:rPr>
                <w:rFonts w:ascii="宋体" w:hAnsi="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1A80D0C3">
            <w:pPr>
              <w:pStyle w:val="17"/>
              <w:jc w:val="center"/>
              <w:rPr>
                <w:rFonts w:ascii="宋体" w:hAnsi="宋体" w:cs="宋体"/>
                <w:color w:val="auto"/>
                <w:sz w:val="21"/>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5AD57798">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A59E93F">
            <w:pPr>
              <w:pStyle w:val="17"/>
              <w:jc w:val="center"/>
              <w:rPr>
                <w:rFonts w:ascii="宋体" w:hAnsi="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7655E65B">
            <w:pPr>
              <w:pStyle w:val="17"/>
              <w:jc w:val="center"/>
              <w:rPr>
                <w:rFonts w:ascii="宋体" w:hAnsi="宋体" w:cs="宋体"/>
                <w:color w:val="auto"/>
                <w:sz w:val="21"/>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58733468">
            <w:pPr>
              <w:pStyle w:val="17"/>
              <w:jc w:val="center"/>
              <w:rPr>
                <w:rFonts w:ascii="宋体" w:hAnsi="宋体" w:cs="宋体"/>
                <w:color w:val="auto"/>
                <w:sz w:val="21"/>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56AE63A7">
            <w:pPr>
              <w:pStyle w:val="17"/>
              <w:jc w:val="center"/>
              <w:rPr>
                <w:rFonts w:ascii="宋体" w:hAnsi="宋体" w:cs="宋体"/>
                <w:color w:val="auto"/>
                <w:sz w:val="21"/>
                <w:szCs w:val="21"/>
                <w:highlight w:val="none"/>
              </w:rPr>
            </w:pPr>
          </w:p>
        </w:tc>
      </w:tr>
      <w:tr w14:paraId="42E79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20" w:type="dxa"/>
            <w:tcBorders>
              <w:top w:val="single" w:color="auto" w:sz="4" w:space="0"/>
              <w:left w:val="single" w:color="auto" w:sz="4" w:space="0"/>
              <w:bottom w:val="single" w:color="auto" w:sz="4" w:space="0"/>
              <w:right w:val="single" w:color="auto" w:sz="4" w:space="0"/>
            </w:tcBorders>
            <w:noWrap/>
            <w:vAlign w:val="center"/>
          </w:tcPr>
          <w:p w14:paraId="45EE1C51">
            <w:pPr>
              <w:rPr>
                <w:rFonts w:ascii="宋体" w:hAnsi="宋体" w:cs="宋体"/>
                <w:color w:val="auto"/>
                <w:szCs w:val="21"/>
                <w:highlight w:val="none"/>
              </w:rPr>
            </w:pPr>
            <w:r>
              <w:rPr>
                <w:rFonts w:hint="eastAsia" w:ascii="宋体" w:hAnsi="宋体" w:cs="宋体"/>
                <w:color w:val="auto"/>
                <w:szCs w:val="21"/>
                <w:highlight w:val="none"/>
              </w:rPr>
              <w:t>…</w:t>
            </w:r>
          </w:p>
        </w:tc>
        <w:tc>
          <w:tcPr>
            <w:tcW w:w="1342" w:type="dxa"/>
            <w:tcBorders>
              <w:top w:val="single" w:color="auto" w:sz="4" w:space="0"/>
              <w:left w:val="single" w:color="auto" w:sz="4" w:space="0"/>
              <w:bottom w:val="single" w:color="auto" w:sz="4" w:space="0"/>
              <w:right w:val="single" w:color="auto" w:sz="4" w:space="0"/>
            </w:tcBorders>
            <w:noWrap/>
            <w:vAlign w:val="center"/>
          </w:tcPr>
          <w:p w14:paraId="5AC1212C">
            <w:pPr>
              <w:rPr>
                <w:rFonts w:ascii="宋体" w:hAnsi="宋体" w:cs="宋体"/>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ign w:val="center"/>
          </w:tcPr>
          <w:p w14:paraId="3E227558">
            <w:pPr>
              <w:rPr>
                <w:rFonts w:ascii="宋体" w:hAnsi="宋体" w:cs="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ign w:val="center"/>
          </w:tcPr>
          <w:p w14:paraId="4AFC7B13">
            <w:pP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30A5407">
            <w:pPr>
              <w:rPr>
                <w:rFonts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tcPr>
          <w:p w14:paraId="4E467F5D">
            <w:pPr>
              <w:rPr>
                <w:rFonts w:ascii="宋体" w:hAnsi="宋体" w:cs="宋体"/>
                <w:color w:val="auto"/>
                <w:szCs w:val="21"/>
                <w:highlight w:val="none"/>
              </w:rPr>
            </w:pPr>
          </w:p>
        </w:tc>
        <w:tc>
          <w:tcPr>
            <w:tcW w:w="976" w:type="dxa"/>
            <w:tcBorders>
              <w:top w:val="single" w:color="auto" w:sz="4" w:space="0"/>
              <w:left w:val="single" w:color="auto" w:sz="4" w:space="0"/>
              <w:bottom w:val="single" w:color="auto" w:sz="4" w:space="0"/>
              <w:right w:val="single" w:color="auto" w:sz="4" w:space="0"/>
            </w:tcBorders>
            <w:noWrap/>
            <w:vAlign w:val="center"/>
          </w:tcPr>
          <w:p w14:paraId="0190DF11">
            <w:pPr>
              <w:rPr>
                <w:rFonts w:ascii="宋体" w:hAnsi="宋体" w:cs="宋体"/>
                <w:color w:val="auto"/>
                <w:szCs w:val="21"/>
                <w:highlight w:val="none"/>
              </w:rPr>
            </w:pPr>
          </w:p>
        </w:tc>
        <w:tc>
          <w:tcPr>
            <w:tcW w:w="1727" w:type="dxa"/>
            <w:tcBorders>
              <w:top w:val="single" w:color="auto" w:sz="4" w:space="0"/>
              <w:left w:val="single" w:color="auto" w:sz="4" w:space="0"/>
              <w:bottom w:val="single" w:color="auto" w:sz="4" w:space="0"/>
              <w:right w:val="single" w:color="auto" w:sz="4" w:space="0"/>
            </w:tcBorders>
            <w:noWrap/>
            <w:vAlign w:val="center"/>
          </w:tcPr>
          <w:p w14:paraId="2DCA3F35">
            <w:pPr>
              <w:rPr>
                <w:rFonts w:ascii="宋体" w:hAnsi="宋体" w:cs="宋体"/>
                <w:color w:val="auto"/>
                <w:szCs w:val="21"/>
                <w:highlight w:val="none"/>
              </w:rPr>
            </w:pPr>
          </w:p>
        </w:tc>
      </w:tr>
    </w:tbl>
    <w:p w14:paraId="49CA318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注：1、“项目实施人员”指投标单位针对该项目实施所配备的人员。</w:t>
      </w:r>
    </w:p>
    <w:p w14:paraId="6CDAD3B8">
      <w:pPr>
        <w:spacing w:line="360" w:lineRule="auto"/>
        <w:ind w:firstLine="843" w:firstLineChars="400"/>
        <w:rPr>
          <w:rFonts w:ascii="宋体" w:hAnsi="宋体" w:cs="宋体"/>
          <w:b/>
          <w:color w:val="auto"/>
          <w:szCs w:val="21"/>
          <w:highlight w:val="none"/>
        </w:rPr>
      </w:pPr>
      <w:r>
        <w:rPr>
          <w:rFonts w:hint="eastAsia" w:ascii="宋体" w:hAnsi="宋体" w:cs="宋体"/>
          <w:b/>
          <w:color w:val="auto"/>
          <w:szCs w:val="21"/>
          <w:highlight w:val="none"/>
        </w:rPr>
        <w:t>2、后附各专业人员</w:t>
      </w:r>
      <w:r>
        <w:rPr>
          <w:rFonts w:hint="eastAsia" w:ascii="宋体" w:hAnsi="宋体" w:cs="宋体"/>
          <w:b/>
          <w:color w:val="auto"/>
          <w:highlight w:val="none"/>
        </w:rPr>
        <w:t>身份证、相关证书、社保等证明材料</w:t>
      </w:r>
      <w:r>
        <w:rPr>
          <w:rFonts w:hint="eastAsia" w:ascii="宋体" w:hAnsi="宋体" w:cs="宋体"/>
          <w:b/>
          <w:color w:val="auto"/>
          <w:szCs w:val="21"/>
          <w:highlight w:val="none"/>
        </w:rPr>
        <w:t>复印。</w:t>
      </w:r>
    </w:p>
    <w:p w14:paraId="21F92538">
      <w:pPr>
        <w:spacing w:line="360" w:lineRule="auto"/>
        <w:ind w:firstLine="843" w:firstLineChars="400"/>
        <w:rPr>
          <w:rFonts w:ascii="宋体" w:hAnsi="宋体" w:cs="宋体"/>
          <w:b/>
          <w:color w:val="auto"/>
          <w:szCs w:val="21"/>
          <w:highlight w:val="none"/>
        </w:rPr>
      </w:pPr>
      <w:r>
        <w:rPr>
          <w:rFonts w:hint="eastAsia" w:ascii="宋体" w:hAnsi="宋体" w:cs="宋体"/>
          <w:b/>
          <w:color w:val="auto"/>
          <w:szCs w:val="21"/>
          <w:highlight w:val="none"/>
        </w:rPr>
        <w:t>3、表格不够填写可添加。如本表格不适合投标人的实际情况，可自行制表填写。</w:t>
      </w:r>
    </w:p>
    <w:p w14:paraId="6E15940E">
      <w:pPr>
        <w:spacing w:line="360" w:lineRule="auto"/>
        <w:ind w:firstLine="843" w:firstLineChars="400"/>
        <w:rPr>
          <w:rFonts w:ascii="宋体" w:hAnsi="宋体" w:cs="宋体"/>
          <w:b/>
          <w:color w:val="auto"/>
          <w:szCs w:val="21"/>
          <w:highlight w:val="none"/>
        </w:rPr>
      </w:pPr>
    </w:p>
    <w:p w14:paraId="4CDDDE90">
      <w:pPr>
        <w:spacing w:line="360" w:lineRule="auto"/>
        <w:ind w:firstLine="843" w:firstLineChars="400"/>
        <w:rPr>
          <w:rFonts w:ascii="宋体" w:hAnsi="宋体" w:cs="宋体"/>
          <w:b/>
          <w:color w:val="auto"/>
          <w:szCs w:val="21"/>
          <w:highlight w:val="none"/>
        </w:rPr>
      </w:pPr>
    </w:p>
    <w:p w14:paraId="76B00F5A">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法定代表人或其委托代理人签字或盖章</w:t>
      </w:r>
      <w:r>
        <w:rPr>
          <w:rFonts w:hint="eastAsia" w:ascii="宋体" w:hAnsi="宋体" w:cs="宋体"/>
          <w:color w:val="auto"/>
          <w:spacing w:val="20"/>
          <w:sz w:val="24"/>
          <w:highlight w:val="none"/>
        </w:rPr>
        <w:t>：</w:t>
      </w:r>
    </w:p>
    <w:p w14:paraId="5B49F61E">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投标人公章：                                 年    月    日</w:t>
      </w:r>
    </w:p>
    <w:bookmarkEnd w:id="73"/>
    <w:p w14:paraId="3F73B1A5">
      <w:pPr>
        <w:pStyle w:val="26"/>
        <w:spacing w:beforeAutospacing="0" w:afterAutospacing="0"/>
        <w:jc w:val="both"/>
        <w:rPr>
          <w:color w:val="auto"/>
          <w:highlight w:val="none"/>
        </w:rPr>
      </w:pPr>
    </w:p>
    <w:p w14:paraId="5472CB20">
      <w:pPr>
        <w:pStyle w:val="26"/>
        <w:spacing w:beforeAutospacing="0" w:afterAutospacing="0"/>
        <w:jc w:val="center"/>
        <w:rPr>
          <w:b/>
          <w:snapToGrid w:val="0"/>
          <w:color w:val="auto"/>
          <w:highlight w:val="none"/>
        </w:rPr>
      </w:pPr>
      <w:r>
        <w:rPr>
          <w:rFonts w:hint="eastAsia"/>
          <w:color w:val="auto"/>
          <w:highlight w:val="none"/>
        </w:rPr>
        <w:br w:type="page"/>
      </w:r>
      <w:r>
        <w:rPr>
          <w:rFonts w:hint="eastAsia"/>
          <w:b/>
          <w:color w:val="auto"/>
          <w:sz w:val="28"/>
          <w:szCs w:val="28"/>
          <w:highlight w:val="none"/>
        </w:rPr>
        <w:t>项目负责人简历表</w:t>
      </w:r>
    </w:p>
    <w:tbl>
      <w:tblPr>
        <w:tblStyle w:val="29"/>
        <w:tblW w:w="8919" w:type="dxa"/>
        <w:jc w:val="center"/>
        <w:tblLayout w:type="fixed"/>
        <w:tblCellMar>
          <w:top w:w="57" w:type="dxa"/>
          <w:left w:w="57" w:type="dxa"/>
          <w:bottom w:w="57" w:type="dxa"/>
          <w:right w:w="57" w:type="dxa"/>
        </w:tblCellMar>
      </w:tblPr>
      <w:tblGrid>
        <w:gridCol w:w="2018"/>
        <w:gridCol w:w="205"/>
        <w:gridCol w:w="1951"/>
        <w:gridCol w:w="730"/>
        <w:gridCol w:w="424"/>
        <w:gridCol w:w="296"/>
        <w:gridCol w:w="602"/>
        <w:gridCol w:w="118"/>
        <w:gridCol w:w="180"/>
        <w:gridCol w:w="616"/>
        <w:gridCol w:w="433"/>
        <w:gridCol w:w="181"/>
        <w:gridCol w:w="1165"/>
      </w:tblGrid>
      <w:tr w14:paraId="70855E11">
        <w:tblPrEx>
          <w:tblCellMar>
            <w:top w:w="57" w:type="dxa"/>
            <w:left w:w="57" w:type="dxa"/>
            <w:bottom w:w="57" w:type="dxa"/>
            <w:right w:w="57" w:type="dxa"/>
          </w:tblCellMar>
        </w:tblPrEx>
        <w:trPr>
          <w:trHeight w:val="743"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52E76FB4">
            <w:pPr>
              <w:jc w:val="distribute"/>
              <w:rPr>
                <w:rFonts w:ascii="宋体" w:hAnsi="宋体" w:cs="宋体"/>
                <w:color w:val="auto"/>
                <w:highlight w:val="none"/>
              </w:rPr>
            </w:pPr>
            <w:r>
              <w:rPr>
                <w:rFonts w:hint="eastAsia" w:ascii="宋体" w:hAnsi="宋体" w:cs="宋体"/>
                <w:color w:val="auto"/>
                <w:highlight w:val="none"/>
              </w:rPr>
              <w:t>项目负责</w:t>
            </w:r>
          </w:p>
          <w:p w14:paraId="13B52782">
            <w:pPr>
              <w:jc w:val="distribute"/>
              <w:rPr>
                <w:rFonts w:ascii="宋体" w:hAnsi="宋体" w:cs="宋体"/>
                <w:color w:val="auto"/>
                <w:highlight w:val="none"/>
              </w:rPr>
            </w:pPr>
            <w:r>
              <w:rPr>
                <w:rFonts w:hint="eastAsia" w:ascii="宋体" w:hAnsi="宋体" w:cs="宋体"/>
                <w:color w:val="auto"/>
                <w:highlight w:val="none"/>
              </w:rPr>
              <w:t>人姓名</w:t>
            </w:r>
          </w:p>
        </w:tc>
        <w:tc>
          <w:tcPr>
            <w:tcW w:w="2156" w:type="dxa"/>
            <w:gridSpan w:val="2"/>
            <w:tcBorders>
              <w:top w:val="single" w:color="auto" w:sz="6" w:space="0"/>
              <w:left w:val="single" w:color="auto" w:sz="6" w:space="0"/>
              <w:bottom w:val="single" w:color="auto" w:sz="6" w:space="0"/>
              <w:right w:val="single" w:color="auto" w:sz="6" w:space="0"/>
            </w:tcBorders>
            <w:noWrap/>
            <w:vAlign w:val="center"/>
          </w:tcPr>
          <w:p w14:paraId="27B954E9">
            <w:pPr>
              <w:jc w:val="center"/>
              <w:rPr>
                <w:rFonts w:ascii="宋体" w:hAnsi="宋体" w:cs="宋体"/>
                <w:color w:val="auto"/>
                <w:highlight w:val="none"/>
              </w:rPr>
            </w:pPr>
          </w:p>
        </w:tc>
        <w:tc>
          <w:tcPr>
            <w:tcW w:w="730" w:type="dxa"/>
            <w:tcBorders>
              <w:top w:val="single" w:color="auto" w:sz="6" w:space="0"/>
              <w:left w:val="single" w:color="auto" w:sz="6" w:space="0"/>
              <w:bottom w:val="single" w:color="auto" w:sz="6" w:space="0"/>
              <w:right w:val="single" w:color="auto" w:sz="6" w:space="0"/>
            </w:tcBorders>
            <w:noWrap/>
            <w:vAlign w:val="center"/>
          </w:tcPr>
          <w:p w14:paraId="0BFB2858">
            <w:pPr>
              <w:jc w:val="center"/>
              <w:rPr>
                <w:rFonts w:ascii="宋体" w:hAnsi="宋体" w:cs="宋体"/>
                <w:color w:val="auto"/>
                <w:highlight w:val="none"/>
              </w:rPr>
            </w:pPr>
            <w:r>
              <w:rPr>
                <w:rFonts w:hint="eastAsia" w:ascii="宋体" w:hAnsi="宋体" w:cs="宋体"/>
                <w:color w:val="auto"/>
                <w:highlight w:val="none"/>
              </w:rPr>
              <w:t>性</w:t>
            </w:r>
          </w:p>
          <w:p w14:paraId="3D476633">
            <w:pPr>
              <w:jc w:val="center"/>
              <w:rPr>
                <w:rFonts w:ascii="宋体" w:hAnsi="宋体" w:cs="宋体"/>
                <w:color w:val="auto"/>
                <w:highlight w:val="none"/>
              </w:rPr>
            </w:pPr>
            <w:r>
              <w:rPr>
                <w:rFonts w:hint="eastAsia" w:ascii="宋体" w:hAnsi="宋体" w:cs="宋体"/>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noWrap/>
            <w:vAlign w:val="center"/>
          </w:tcPr>
          <w:p w14:paraId="77288F23">
            <w:pPr>
              <w:jc w:val="center"/>
              <w:rPr>
                <w:rFonts w:ascii="宋体" w:hAnsi="宋体" w:cs="宋体"/>
                <w:color w:val="auto"/>
                <w:highlight w:val="none"/>
              </w:rPr>
            </w:pPr>
          </w:p>
        </w:tc>
        <w:tc>
          <w:tcPr>
            <w:tcW w:w="720" w:type="dxa"/>
            <w:gridSpan w:val="2"/>
            <w:tcBorders>
              <w:top w:val="single" w:color="auto" w:sz="6" w:space="0"/>
              <w:left w:val="single" w:color="auto" w:sz="6" w:space="0"/>
              <w:bottom w:val="single" w:color="auto" w:sz="6" w:space="0"/>
              <w:right w:val="single" w:color="auto" w:sz="6" w:space="0"/>
            </w:tcBorders>
            <w:noWrap/>
            <w:vAlign w:val="center"/>
          </w:tcPr>
          <w:p w14:paraId="6A081F08">
            <w:pPr>
              <w:jc w:val="center"/>
              <w:rPr>
                <w:rFonts w:ascii="宋体" w:hAnsi="宋体" w:cs="宋体"/>
                <w:color w:val="auto"/>
                <w:highlight w:val="none"/>
              </w:rPr>
            </w:pPr>
            <w:r>
              <w:rPr>
                <w:rFonts w:hint="eastAsia" w:ascii="宋体" w:hAnsi="宋体" w:cs="宋体"/>
                <w:color w:val="auto"/>
                <w:highlight w:val="none"/>
              </w:rPr>
              <w:t>年</w:t>
            </w:r>
          </w:p>
          <w:p w14:paraId="549B76B5">
            <w:pPr>
              <w:jc w:val="center"/>
              <w:rPr>
                <w:rFonts w:ascii="宋体" w:hAnsi="宋体" w:cs="宋体"/>
                <w:color w:val="auto"/>
                <w:highlight w:val="none"/>
              </w:rPr>
            </w:pPr>
            <w:r>
              <w:rPr>
                <w:rFonts w:hint="eastAsia" w:ascii="宋体" w:hAnsi="宋体" w:cs="宋体"/>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noWrap/>
            <w:vAlign w:val="center"/>
          </w:tcPr>
          <w:p w14:paraId="6B25E0CF">
            <w:pPr>
              <w:jc w:val="center"/>
              <w:rPr>
                <w:rFonts w:ascii="宋体" w:hAnsi="宋体" w:cs="宋体"/>
                <w:color w:val="auto"/>
                <w:highlight w:val="none"/>
              </w:rPr>
            </w:pPr>
          </w:p>
        </w:tc>
        <w:tc>
          <w:tcPr>
            <w:tcW w:w="614" w:type="dxa"/>
            <w:gridSpan w:val="2"/>
            <w:tcBorders>
              <w:top w:val="single" w:color="auto" w:sz="6" w:space="0"/>
              <w:left w:val="single" w:color="auto" w:sz="6" w:space="0"/>
              <w:bottom w:val="single" w:color="auto" w:sz="6" w:space="0"/>
              <w:right w:val="single" w:color="auto" w:sz="6" w:space="0"/>
            </w:tcBorders>
            <w:noWrap/>
            <w:vAlign w:val="center"/>
          </w:tcPr>
          <w:p w14:paraId="272E43FC">
            <w:pPr>
              <w:jc w:val="center"/>
              <w:rPr>
                <w:rFonts w:ascii="宋体" w:hAnsi="宋体" w:cs="宋体"/>
                <w:color w:val="auto"/>
                <w:highlight w:val="none"/>
              </w:rPr>
            </w:pPr>
            <w:r>
              <w:rPr>
                <w:rFonts w:hint="eastAsia" w:ascii="宋体" w:hAnsi="宋体" w:cs="宋体"/>
                <w:color w:val="auto"/>
                <w:highlight w:val="none"/>
              </w:rPr>
              <w:t>学</w:t>
            </w:r>
          </w:p>
          <w:p w14:paraId="34F2EBD8">
            <w:pPr>
              <w:jc w:val="center"/>
              <w:rPr>
                <w:rFonts w:ascii="宋体" w:hAnsi="宋体" w:cs="宋体"/>
                <w:color w:val="auto"/>
                <w:highlight w:val="none"/>
              </w:rPr>
            </w:pPr>
            <w:r>
              <w:rPr>
                <w:rFonts w:hint="eastAsia" w:ascii="宋体" w:hAnsi="宋体" w:cs="宋体"/>
                <w:color w:val="auto"/>
                <w:highlight w:val="none"/>
              </w:rPr>
              <w:t>历</w:t>
            </w:r>
          </w:p>
        </w:tc>
        <w:tc>
          <w:tcPr>
            <w:tcW w:w="1165" w:type="dxa"/>
            <w:tcBorders>
              <w:top w:val="single" w:color="auto" w:sz="6" w:space="0"/>
              <w:left w:val="single" w:color="auto" w:sz="6" w:space="0"/>
              <w:bottom w:val="single" w:color="auto" w:sz="6" w:space="0"/>
              <w:right w:val="single" w:color="auto" w:sz="6" w:space="0"/>
            </w:tcBorders>
            <w:noWrap/>
            <w:vAlign w:val="center"/>
          </w:tcPr>
          <w:p w14:paraId="664E9A61">
            <w:pPr>
              <w:jc w:val="center"/>
              <w:rPr>
                <w:rFonts w:ascii="宋体" w:hAnsi="宋体" w:cs="宋体"/>
                <w:color w:val="auto"/>
                <w:highlight w:val="none"/>
              </w:rPr>
            </w:pPr>
          </w:p>
        </w:tc>
      </w:tr>
      <w:tr w14:paraId="3846E8A2">
        <w:tblPrEx>
          <w:tblCellMar>
            <w:top w:w="57" w:type="dxa"/>
            <w:left w:w="57" w:type="dxa"/>
            <w:bottom w:w="57" w:type="dxa"/>
            <w:right w:w="57" w:type="dxa"/>
          </w:tblCellMar>
        </w:tblPrEx>
        <w:trPr>
          <w:trHeight w:val="490"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4776A26B">
            <w:pPr>
              <w:jc w:val="distribute"/>
              <w:rPr>
                <w:rFonts w:ascii="宋体" w:hAnsi="宋体" w:cs="宋体"/>
                <w:color w:val="auto"/>
                <w:highlight w:val="none"/>
              </w:rPr>
            </w:pPr>
            <w:r>
              <w:rPr>
                <w:rFonts w:hint="eastAsia" w:ascii="宋体" w:hAnsi="宋体" w:cs="宋体"/>
                <w:color w:val="auto"/>
                <w:highlight w:val="none"/>
              </w:rPr>
              <w:t>行政职务</w:t>
            </w:r>
          </w:p>
        </w:tc>
        <w:tc>
          <w:tcPr>
            <w:tcW w:w="2156" w:type="dxa"/>
            <w:gridSpan w:val="2"/>
            <w:tcBorders>
              <w:top w:val="single" w:color="auto" w:sz="6" w:space="0"/>
              <w:left w:val="single" w:color="auto" w:sz="6" w:space="0"/>
              <w:bottom w:val="single" w:color="auto" w:sz="6" w:space="0"/>
              <w:right w:val="single" w:color="auto" w:sz="6" w:space="0"/>
            </w:tcBorders>
            <w:noWrap/>
            <w:vAlign w:val="center"/>
          </w:tcPr>
          <w:p w14:paraId="2D41C09C">
            <w:pPr>
              <w:jc w:val="center"/>
              <w:rPr>
                <w:rFonts w:ascii="宋体" w:hAnsi="宋体" w:cs="宋体"/>
                <w:color w:val="auto"/>
                <w:highlight w:val="none"/>
              </w:rPr>
            </w:pPr>
          </w:p>
        </w:tc>
        <w:tc>
          <w:tcPr>
            <w:tcW w:w="730" w:type="dxa"/>
            <w:tcBorders>
              <w:top w:val="single" w:color="auto" w:sz="6" w:space="0"/>
              <w:left w:val="single" w:color="auto" w:sz="6" w:space="0"/>
              <w:bottom w:val="single" w:color="auto" w:sz="6" w:space="0"/>
              <w:right w:val="single" w:color="auto" w:sz="6" w:space="0"/>
            </w:tcBorders>
            <w:noWrap/>
            <w:vAlign w:val="center"/>
          </w:tcPr>
          <w:p w14:paraId="4E86DD10">
            <w:pPr>
              <w:jc w:val="center"/>
              <w:rPr>
                <w:rFonts w:ascii="宋体" w:hAnsi="宋体" w:cs="宋体"/>
                <w:color w:val="auto"/>
                <w:highlight w:val="none"/>
              </w:rPr>
            </w:pPr>
            <w:r>
              <w:rPr>
                <w:rFonts w:hint="eastAsia" w:ascii="宋体" w:hAnsi="宋体" w:cs="宋体"/>
                <w:color w:val="auto"/>
                <w:highlight w:val="none"/>
              </w:rPr>
              <w:t>专业职称</w:t>
            </w:r>
          </w:p>
        </w:tc>
        <w:tc>
          <w:tcPr>
            <w:tcW w:w="1322" w:type="dxa"/>
            <w:gridSpan w:val="3"/>
            <w:tcBorders>
              <w:top w:val="single" w:color="auto" w:sz="6" w:space="0"/>
              <w:left w:val="single" w:color="auto" w:sz="6" w:space="0"/>
              <w:bottom w:val="single" w:color="auto" w:sz="6" w:space="0"/>
              <w:right w:val="single" w:color="auto" w:sz="6" w:space="0"/>
            </w:tcBorders>
            <w:noWrap/>
            <w:vAlign w:val="center"/>
          </w:tcPr>
          <w:p w14:paraId="26DB9817">
            <w:pPr>
              <w:jc w:val="center"/>
              <w:rPr>
                <w:rFonts w:ascii="宋体" w:hAnsi="宋体" w:cs="宋体"/>
                <w:color w:val="auto"/>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516665B3">
            <w:pPr>
              <w:jc w:val="center"/>
              <w:rPr>
                <w:rFonts w:ascii="宋体" w:hAnsi="宋体" w:cs="宋体"/>
                <w:color w:val="auto"/>
                <w:highlight w:val="none"/>
              </w:rPr>
            </w:pPr>
            <w:r>
              <w:rPr>
                <w:rFonts w:hint="eastAsia" w:ascii="宋体" w:hAnsi="宋体" w:cs="宋体"/>
                <w:color w:val="auto"/>
                <w:highlight w:val="none"/>
              </w:rPr>
              <w:t>专业年限</w:t>
            </w:r>
          </w:p>
        </w:tc>
        <w:tc>
          <w:tcPr>
            <w:tcW w:w="1346" w:type="dxa"/>
            <w:gridSpan w:val="2"/>
            <w:tcBorders>
              <w:top w:val="single" w:color="auto" w:sz="6" w:space="0"/>
              <w:left w:val="single" w:color="auto" w:sz="6" w:space="0"/>
              <w:bottom w:val="single" w:color="auto" w:sz="6" w:space="0"/>
              <w:right w:val="single" w:color="auto" w:sz="6" w:space="0"/>
            </w:tcBorders>
            <w:noWrap/>
            <w:vAlign w:val="center"/>
          </w:tcPr>
          <w:p w14:paraId="60585878">
            <w:pPr>
              <w:jc w:val="center"/>
              <w:rPr>
                <w:rFonts w:ascii="宋体" w:hAnsi="宋体" w:cs="宋体"/>
                <w:color w:val="auto"/>
                <w:highlight w:val="none"/>
              </w:rPr>
            </w:pPr>
          </w:p>
        </w:tc>
      </w:tr>
      <w:tr w14:paraId="6F3887F4">
        <w:tblPrEx>
          <w:tblCellMar>
            <w:top w:w="57" w:type="dxa"/>
            <w:left w:w="57" w:type="dxa"/>
            <w:bottom w:w="57" w:type="dxa"/>
            <w:right w:w="57" w:type="dxa"/>
          </w:tblCellMar>
        </w:tblPrEx>
        <w:trPr>
          <w:cantSplit/>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13575E0E">
            <w:pPr>
              <w:jc w:val="center"/>
              <w:rPr>
                <w:rFonts w:ascii="宋体" w:hAnsi="宋体" w:cs="宋体"/>
                <w:color w:val="auto"/>
                <w:highlight w:val="none"/>
              </w:rPr>
            </w:pPr>
            <w:r>
              <w:rPr>
                <w:rFonts w:hint="eastAsia" w:ascii="宋体" w:hAnsi="宋体" w:cs="宋体"/>
                <w:color w:val="auto"/>
                <w:highlight w:val="none"/>
              </w:rPr>
              <w:t>工 作 单 位</w:t>
            </w:r>
          </w:p>
        </w:tc>
        <w:tc>
          <w:tcPr>
            <w:tcW w:w="4208" w:type="dxa"/>
            <w:gridSpan w:val="6"/>
            <w:tcBorders>
              <w:top w:val="single" w:color="auto" w:sz="6" w:space="0"/>
              <w:left w:val="single" w:color="auto" w:sz="6" w:space="0"/>
              <w:bottom w:val="single" w:color="auto" w:sz="6" w:space="0"/>
              <w:right w:val="single" w:color="auto" w:sz="6" w:space="0"/>
            </w:tcBorders>
            <w:noWrap/>
            <w:vAlign w:val="center"/>
          </w:tcPr>
          <w:p w14:paraId="19BFF257">
            <w:pPr>
              <w:jc w:val="center"/>
              <w:rPr>
                <w:rFonts w:ascii="宋体" w:hAnsi="宋体" w:cs="宋体"/>
                <w:color w:val="auto"/>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73C0B05F">
            <w:pPr>
              <w:jc w:val="center"/>
              <w:rPr>
                <w:rFonts w:ascii="宋体" w:hAnsi="宋体" w:cs="宋体"/>
                <w:color w:val="auto"/>
                <w:highlight w:val="none"/>
              </w:rPr>
            </w:pPr>
            <w:r>
              <w:rPr>
                <w:rFonts w:hint="eastAsia" w:ascii="宋体" w:hAnsi="宋体" w:cs="宋体"/>
                <w:color w:val="auto"/>
                <w:highlight w:val="none"/>
              </w:rPr>
              <w:t>电话</w:t>
            </w:r>
          </w:p>
        </w:tc>
        <w:tc>
          <w:tcPr>
            <w:tcW w:w="1346" w:type="dxa"/>
            <w:gridSpan w:val="2"/>
            <w:tcBorders>
              <w:top w:val="single" w:color="auto" w:sz="6" w:space="0"/>
              <w:left w:val="single" w:color="auto" w:sz="6" w:space="0"/>
              <w:bottom w:val="single" w:color="auto" w:sz="6" w:space="0"/>
              <w:right w:val="single" w:color="auto" w:sz="6" w:space="0"/>
            </w:tcBorders>
            <w:noWrap/>
            <w:vAlign w:val="center"/>
          </w:tcPr>
          <w:p w14:paraId="423B1244">
            <w:pPr>
              <w:jc w:val="center"/>
              <w:rPr>
                <w:rFonts w:ascii="宋体" w:hAnsi="宋体" w:cs="宋体"/>
                <w:color w:val="auto"/>
                <w:highlight w:val="none"/>
              </w:rPr>
            </w:pPr>
          </w:p>
        </w:tc>
      </w:tr>
      <w:tr w14:paraId="26CA45E3">
        <w:tblPrEx>
          <w:tblCellMar>
            <w:top w:w="57" w:type="dxa"/>
            <w:left w:w="57" w:type="dxa"/>
            <w:bottom w:w="57" w:type="dxa"/>
            <w:right w:w="57" w:type="dxa"/>
          </w:tblCellMar>
        </w:tblPrEx>
        <w:trPr>
          <w:trHeight w:val="469" w:hRule="atLeast"/>
          <w:jc w:val="center"/>
        </w:trPr>
        <w:tc>
          <w:tcPr>
            <w:tcW w:w="2018" w:type="dxa"/>
            <w:tcBorders>
              <w:top w:val="single" w:color="auto" w:sz="6" w:space="0"/>
              <w:left w:val="single" w:color="auto" w:sz="6" w:space="0"/>
              <w:bottom w:val="single" w:color="auto" w:sz="6" w:space="0"/>
              <w:right w:val="single" w:color="auto" w:sz="6" w:space="0"/>
            </w:tcBorders>
            <w:noWrap/>
            <w:vAlign w:val="center"/>
          </w:tcPr>
          <w:p w14:paraId="66C47FE5">
            <w:pPr>
              <w:jc w:val="distribute"/>
              <w:rPr>
                <w:rFonts w:ascii="宋体" w:hAnsi="宋体" w:cs="宋体"/>
                <w:color w:val="auto"/>
                <w:highlight w:val="none"/>
              </w:rPr>
            </w:pPr>
            <w:r>
              <w:rPr>
                <w:rFonts w:hint="eastAsia" w:ascii="宋体" w:hAnsi="宋体" w:cs="宋体"/>
                <w:color w:val="auto"/>
                <w:highlight w:val="none"/>
              </w:rPr>
              <w:t>通讯地址</w:t>
            </w:r>
          </w:p>
        </w:tc>
        <w:tc>
          <w:tcPr>
            <w:tcW w:w="4208" w:type="dxa"/>
            <w:gridSpan w:val="6"/>
            <w:tcBorders>
              <w:top w:val="single" w:color="auto" w:sz="6" w:space="0"/>
              <w:left w:val="single" w:color="auto" w:sz="6" w:space="0"/>
              <w:bottom w:val="single" w:color="auto" w:sz="6" w:space="0"/>
              <w:right w:val="single" w:color="auto" w:sz="6" w:space="0"/>
            </w:tcBorders>
            <w:noWrap/>
            <w:vAlign w:val="center"/>
          </w:tcPr>
          <w:p w14:paraId="1B6B4F88">
            <w:pPr>
              <w:jc w:val="center"/>
              <w:rPr>
                <w:rFonts w:ascii="宋体" w:hAnsi="宋体" w:cs="宋体"/>
                <w:color w:val="auto"/>
                <w:highlight w:val="none"/>
              </w:rPr>
            </w:pPr>
          </w:p>
        </w:tc>
        <w:tc>
          <w:tcPr>
            <w:tcW w:w="1347" w:type="dxa"/>
            <w:gridSpan w:val="4"/>
            <w:tcBorders>
              <w:top w:val="single" w:color="auto" w:sz="6" w:space="0"/>
              <w:left w:val="single" w:color="auto" w:sz="6" w:space="0"/>
              <w:bottom w:val="single" w:color="auto" w:sz="6" w:space="0"/>
              <w:right w:val="single" w:color="auto" w:sz="6" w:space="0"/>
            </w:tcBorders>
            <w:noWrap/>
            <w:vAlign w:val="center"/>
          </w:tcPr>
          <w:p w14:paraId="7ED6D7FD">
            <w:pPr>
              <w:jc w:val="center"/>
              <w:rPr>
                <w:rFonts w:ascii="宋体" w:hAnsi="宋体" w:cs="宋体"/>
                <w:color w:val="auto"/>
                <w:highlight w:val="none"/>
              </w:rPr>
            </w:pPr>
            <w:r>
              <w:rPr>
                <w:rFonts w:hint="eastAsia" w:ascii="宋体" w:hAnsi="宋体" w:cs="宋体"/>
                <w:color w:val="auto"/>
                <w:highlight w:val="none"/>
              </w:rPr>
              <w:t>邮编</w:t>
            </w:r>
          </w:p>
        </w:tc>
        <w:tc>
          <w:tcPr>
            <w:tcW w:w="1346" w:type="dxa"/>
            <w:gridSpan w:val="2"/>
            <w:tcBorders>
              <w:top w:val="single" w:color="auto" w:sz="6" w:space="0"/>
              <w:left w:val="single" w:color="auto" w:sz="6" w:space="0"/>
              <w:bottom w:val="single" w:color="auto" w:sz="6" w:space="0"/>
              <w:right w:val="single" w:color="auto" w:sz="6" w:space="0"/>
            </w:tcBorders>
            <w:noWrap/>
            <w:vAlign w:val="center"/>
          </w:tcPr>
          <w:p w14:paraId="1328FEF9">
            <w:pPr>
              <w:jc w:val="center"/>
              <w:rPr>
                <w:rFonts w:ascii="宋体" w:hAnsi="宋体" w:cs="宋体"/>
                <w:color w:val="auto"/>
                <w:highlight w:val="none"/>
              </w:rPr>
            </w:pPr>
          </w:p>
        </w:tc>
      </w:tr>
      <w:tr w14:paraId="34B4B66E">
        <w:tblPrEx>
          <w:tblCellMar>
            <w:top w:w="57" w:type="dxa"/>
            <w:left w:w="57" w:type="dxa"/>
            <w:bottom w:w="57" w:type="dxa"/>
            <w:right w:w="57" w:type="dxa"/>
          </w:tblCellMar>
        </w:tblPrEx>
        <w:trPr>
          <w:cantSplit/>
          <w:trHeight w:val="551" w:hRule="atLeast"/>
          <w:jc w:val="center"/>
        </w:trPr>
        <w:tc>
          <w:tcPr>
            <w:tcW w:w="8919" w:type="dxa"/>
            <w:gridSpan w:val="13"/>
            <w:tcBorders>
              <w:top w:val="single" w:color="auto" w:sz="6" w:space="0"/>
              <w:left w:val="single" w:color="auto" w:sz="6" w:space="0"/>
              <w:bottom w:val="nil"/>
              <w:right w:val="single" w:color="auto" w:sz="6" w:space="0"/>
            </w:tcBorders>
            <w:noWrap/>
            <w:vAlign w:val="center"/>
          </w:tcPr>
          <w:p w14:paraId="38E7EE7B">
            <w:pPr>
              <w:jc w:val="center"/>
              <w:rPr>
                <w:rFonts w:ascii="宋体" w:hAnsi="宋体" w:cs="宋体"/>
                <w:color w:val="auto"/>
                <w:highlight w:val="none"/>
              </w:rPr>
            </w:pPr>
            <w:r>
              <w:rPr>
                <w:rFonts w:hint="eastAsia" w:ascii="宋体" w:hAnsi="宋体" w:cs="宋体"/>
                <w:color w:val="auto"/>
                <w:highlight w:val="none"/>
              </w:rPr>
              <w:t>类似项目工作经验</w:t>
            </w:r>
          </w:p>
        </w:tc>
      </w:tr>
      <w:tr w14:paraId="5E8A853D">
        <w:tblPrEx>
          <w:tblCellMar>
            <w:top w:w="57" w:type="dxa"/>
            <w:left w:w="57" w:type="dxa"/>
            <w:bottom w:w="57" w:type="dxa"/>
            <w:right w:w="57" w:type="dxa"/>
          </w:tblCellMar>
        </w:tblPrEx>
        <w:trPr>
          <w:cantSplit/>
          <w:trHeight w:val="795" w:hRule="atLeast"/>
          <w:jc w:val="center"/>
        </w:trPr>
        <w:tc>
          <w:tcPr>
            <w:tcW w:w="2223" w:type="dxa"/>
            <w:gridSpan w:val="2"/>
            <w:tcBorders>
              <w:top w:val="single" w:color="auto" w:sz="6" w:space="0"/>
              <w:left w:val="single" w:color="auto" w:sz="6" w:space="0"/>
              <w:bottom w:val="single" w:color="auto" w:sz="6" w:space="0"/>
              <w:right w:val="single" w:color="auto" w:sz="6" w:space="0"/>
            </w:tcBorders>
            <w:noWrap/>
            <w:vAlign w:val="center"/>
          </w:tcPr>
          <w:p w14:paraId="13C77A52">
            <w:pPr>
              <w:jc w:val="center"/>
              <w:rPr>
                <w:rFonts w:ascii="宋体" w:hAnsi="宋体" w:cs="宋体"/>
                <w:color w:val="auto"/>
                <w:highlight w:val="none"/>
              </w:rPr>
            </w:pPr>
            <w:r>
              <w:rPr>
                <w:rFonts w:hint="eastAsia" w:ascii="宋体" w:hAnsi="宋体" w:cs="宋体"/>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noWrap/>
            <w:vAlign w:val="center"/>
          </w:tcPr>
          <w:p w14:paraId="66AC65E4">
            <w:pPr>
              <w:jc w:val="center"/>
              <w:rPr>
                <w:rFonts w:ascii="宋体" w:hAnsi="宋体" w:cs="宋体"/>
                <w:color w:val="auto"/>
                <w:highlight w:val="none"/>
              </w:rPr>
            </w:pPr>
            <w:r>
              <w:rPr>
                <w:rFonts w:hint="eastAsia" w:ascii="宋体" w:hAnsi="宋体" w:cs="宋体"/>
                <w:color w:val="auto"/>
                <w:highlight w:val="none"/>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noWrap/>
            <w:vAlign w:val="center"/>
          </w:tcPr>
          <w:p w14:paraId="7ECDCE51">
            <w:pPr>
              <w:jc w:val="center"/>
              <w:rPr>
                <w:rFonts w:ascii="宋体" w:hAnsi="宋体" w:cs="宋体"/>
                <w:color w:val="auto"/>
                <w:highlight w:val="none"/>
              </w:rPr>
            </w:pPr>
            <w:r>
              <w:rPr>
                <w:rFonts w:hint="eastAsia" w:ascii="宋体" w:hAnsi="宋体" w:cs="宋体"/>
                <w:color w:val="auto"/>
                <w:highlight w:val="none"/>
              </w:rPr>
              <w:t>担任职务</w:t>
            </w:r>
          </w:p>
        </w:tc>
        <w:tc>
          <w:tcPr>
            <w:tcW w:w="2395" w:type="dxa"/>
            <w:gridSpan w:val="4"/>
            <w:tcBorders>
              <w:top w:val="single" w:color="auto" w:sz="6" w:space="0"/>
              <w:left w:val="single" w:color="auto" w:sz="6" w:space="0"/>
              <w:bottom w:val="single" w:color="auto" w:sz="6" w:space="0"/>
              <w:right w:val="single" w:color="auto" w:sz="6" w:space="0"/>
            </w:tcBorders>
            <w:noWrap/>
            <w:vAlign w:val="center"/>
          </w:tcPr>
          <w:p w14:paraId="3870E83F">
            <w:pPr>
              <w:ind w:firstLine="105" w:firstLineChars="50"/>
              <w:rPr>
                <w:rFonts w:ascii="宋体" w:hAnsi="宋体" w:cs="宋体"/>
                <w:color w:val="auto"/>
                <w:highlight w:val="none"/>
              </w:rPr>
            </w:pPr>
            <w:r>
              <w:rPr>
                <w:rFonts w:hint="eastAsia" w:ascii="宋体" w:hAnsi="宋体" w:cs="宋体"/>
                <w:color w:val="auto"/>
                <w:highlight w:val="none"/>
              </w:rPr>
              <w:t>发包人及联系电话</w:t>
            </w:r>
          </w:p>
        </w:tc>
      </w:tr>
      <w:tr w14:paraId="1354C6EF">
        <w:tblPrEx>
          <w:tblCellMar>
            <w:top w:w="57" w:type="dxa"/>
            <w:left w:w="57" w:type="dxa"/>
            <w:bottom w:w="57" w:type="dxa"/>
            <w:right w:w="57" w:type="dxa"/>
          </w:tblCellMar>
        </w:tblPrEx>
        <w:trPr>
          <w:cantSplit/>
          <w:trHeight w:val="639" w:hRule="atLeast"/>
          <w:jc w:val="center"/>
        </w:trPr>
        <w:tc>
          <w:tcPr>
            <w:tcW w:w="2223" w:type="dxa"/>
            <w:gridSpan w:val="2"/>
            <w:tcBorders>
              <w:top w:val="single" w:color="auto" w:sz="6" w:space="0"/>
              <w:left w:val="single" w:color="auto" w:sz="6" w:space="0"/>
              <w:bottom w:val="single" w:color="auto" w:sz="4" w:space="0"/>
              <w:right w:val="single" w:color="auto" w:sz="6" w:space="0"/>
            </w:tcBorders>
            <w:noWrap/>
            <w:vAlign w:val="center"/>
          </w:tcPr>
          <w:p w14:paraId="03265286">
            <w:pPr>
              <w:spacing w:line="900" w:lineRule="auto"/>
              <w:jc w:val="center"/>
              <w:rPr>
                <w:rFonts w:ascii="宋体" w:hAnsi="宋体" w:cs="宋体"/>
                <w:color w:val="auto"/>
                <w:highlight w:val="none"/>
              </w:rPr>
            </w:pPr>
          </w:p>
          <w:p w14:paraId="70389E97">
            <w:pPr>
              <w:spacing w:line="900" w:lineRule="auto"/>
              <w:jc w:val="center"/>
              <w:rPr>
                <w:rFonts w:ascii="宋体" w:hAnsi="宋体" w:cs="宋体"/>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noWrap/>
            <w:vAlign w:val="center"/>
          </w:tcPr>
          <w:p w14:paraId="472904BD">
            <w:pPr>
              <w:jc w:val="center"/>
              <w:rPr>
                <w:rFonts w:ascii="宋体" w:hAnsi="宋体" w:cs="宋体"/>
                <w:color w:val="auto"/>
                <w:highlight w:val="none"/>
              </w:rPr>
            </w:pPr>
          </w:p>
        </w:tc>
        <w:tc>
          <w:tcPr>
            <w:tcW w:w="1196" w:type="dxa"/>
            <w:gridSpan w:val="4"/>
            <w:tcBorders>
              <w:top w:val="single" w:color="auto" w:sz="6" w:space="0"/>
              <w:left w:val="single" w:color="auto" w:sz="6" w:space="0"/>
              <w:bottom w:val="single" w:color="auto" w:sz="4" w:space="0"/>
              <w:right w:val="single" w:color="auto" w:sz="6" w:space="0"/>
            </w:tcBorders>
            <w:noWrap/>
            <w:vAlign w:val="center"/>
          </w:tcPr>
          <w:p w14:paraId="0BA79736">
            <w:pPr>
              <w:jc w:val="center"/>
              <w:rPr>
                <w:rFonts w:ascii="宋体" w:hAnsi="宋体" w:cs="宋体"/>
                <w:color w:val="auto"/>
                <w:highlight w:val="none"/>
              </w:rPr>
            </w:pPr>
          </w:p>
        </w:tc>
        <w:tc>
          <w:tcPr>
            <w:tcW w:w="2395" w:type="dxa"/>
            <w:gridSpan w:val="4"/>
            <w:tcBorders>
              <w:top w:val="single" w:color="auto" w:sz="6" w:space="0"/>
              <w:left w:val="single" w:color="auto" w:sz="6" w:space="0"/>
              <w:bottom w:val="single" w:color="auto" w:sz="6" w:space="0"/>
              <w:right w:val="single" w:color="auto" w:sz="6" w:space="0"/>
            </w:tcBorders>
            <w:noWrap/>
            <w:vAlign w:val="center"/>
          </w:tcPr>
          <w:p w14:paraId="3760B036">
            <w:pPr>
              <w:jc w:val="center"/>
              <w:rPr>
                <w:rFonts w:ascii="宋体" w:hAnsi="宋体" w:cs="宋体"/>
                <w:color w:val="auto"/>
                <w:highlight w:val="none"/>
              </w:rPr>
            </w:pPr>
          </w:p>
        </w:tc>
      </w:tr>
    </w:tbl>
    <w:p w14:paraId="366084F5">
      <w:pPr>
        <w:spacing w:line="460" w:lineRule="atLeast"/>
        <w:rPr>
          <w:rFonts w:ascii="宋体" w:hAnsi="宋体" w:cs="宋体"/>
          <w:b/>
          <w:color w:val="auto"/>
          <w:szCs w:val="21"/>
          <w:highlight w:val="none"/>
        </w:rPr>
      </w:pPr>
      <w:r>
        <w:rPr>
          <w:rFonts w:hint="eastAsia" w:ascii="宋体" w:hAnsi="宋体" w:cs="宋体"/>
          <w:b/>
          <w:color w:val="auto"/>
          <w:szCs w:val="21"/>
          <w:highlight w:val="none"/>
        </w:rPr>
        <w:t>注：后附项目负责人</w:t>
      </w:r>
      <w:r>
        <w:rPr>
          <w:rFonts w:hint="eastAsia" w:ascii="宋体" w:hAnsi="宋体" w:cs="宋体"/>
          <w:b/>
          <w:color w:val="auto"/>
          <w:highlight w:val="none"/>
        </w:rPr>
        <w:t>身份证、相关证书、社保等证明材料</w:t>
      </w:r>
      <w:r>
        <w:rPr>
          <w:rFonts w:hint="eastAsia" w:ascii="宋体" w:hAnsi="宋体" w:cs="宋体"/>
          <w:b/>
          <w:color w:val="auto"/>
          <w:szCs w:val="21"/>
          <w:highlight w:val="none"/>
        </w:rPr>
        <w:t>。</w:t>
      </w:r>
    </w:p>
    <w:p w14:paraId="2FD98572">
      <w:pPr>
        <w:spacing w:line="460" w:lineRule="atLeast"/>
        <w:rPr>
          <w:rFonts w:ascii="宋体" w:hAnsi="宋体" w:cs="宋体"/>
          <w:b/>
          <w:color w:val="auto"/>
          <w:sz w:val="24"/>
          <w:highlight w:val="none"/>
        </w:rPr>
      </w:pPr>
    </w:p>
    <w:p w14:paraId="46E1231B">
      <w:pPr>
        <w:spacing w:line="460" w:lineRule="atLeast"/>
        <w:rPr>
          <w:rFonts w:ascii="宋体" w:hAnsi="宋体" w:cs="宋体"/>
          <w:b/>
          <w:color w:val="auto"/>
          <w:sz w:val="24"/>
          <w:highlight w:val="none"/>
        </w:rPr>
      </w:pPr>
    </w:p>
    <w:p w14:paraId="460CA198">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法定代表人或其委托代理人签字或盖章</w:t>
      </w:r>
      <w:r>
        <w:rPr>
          <w:rFonts w:hint="eastAsia" w:ascii="宋体" w:hAnsi="宋体" w:cs="宋体"/>
          <w:color w:val="auto"/>
          <w:spacing w:val="20"/>
          <w:sz w:val="24"/>
          <w:highlight w:val="none"/>
        </w:rPr>
        <w:t>：</w:t>
      </w:r>
    </w:p>
    <w:p w14:paraId="6DA01570">
      <w:pPr>
        <w:spacing w:line="460" w:lineRule="atLeast"/>
        <w:rPr>
          <w:rFonts w:ascii="宋体" w:hAnsi="宋体" w:cs="宋体"/>
          <w:b/>
          <w:color w:val="auto"/>
          <w:sz w:val="24"/>
          <w:highlight w:val="none"/>
        </w:rPr>
      </w:pPr>
      <w:r>
        <w:rPr>
          <w:rFonts w:hint="eastAsia" w:ascii="宋体" w:hAnsi="宋体" w:cs="宋体"/>
          <w:color w:val="auto"/>
          <w:sz w:val="24"/>
          <w:highlight w:val="none"/>
        </w:rPr>
        <w:t>投标人公章：                               年    月    日</w:t>
      </w:r>
    </w:p>
    <w:p w14:paraId="316365FF">
      <w:pPr>
        <w:pStyle w:val="2"/>
        <w:rPr>
          <w:rFonts w:ascii="宋体" w:hAnsi="宋体" w:eastAsia="宋体"/>
          <w:b/>
          <w:color w:val="auto"/>
          <w:highlight w:val="none"/>
        </w:rPr>
      </w:pPr>
      <w:r>
        <w:rPr>
          <w:rFonts w:hint="eastAsia" w:ascii="宋体" w:hAnsi="宋体" w:eastAsia="宋体"/>
          <w:b/>
          <w:color w:val="auto"/>
          <w:highlight w:val="none"/>
        </w:rPr>
        <w:br w:type="page"/>
      </w:r>
      <w:r>
        <w:rPr>
          <w:rFonts w:hint="eastAsia" w:ascii="宋体" w:hAnsi="宋体" w:eastAsia="宋体"/>
          <w:b/>
          <w:color w:val="auto"/>
          <w:highlight w:val="none"/>
        </w:rPr>
        <w:t>4、项目业绩格式</w:t>
      </w:r>
    </w:p>
    <w:p w14:paraId="4D4CA84D">
      <w:pPr>
        <w:pStyle w:val="52"/>
        <w:spacing w:line="360" w:lineRule="auto"/>
        <w:jc w:val="center"/>
        <w:rPr>
          <w:rFonts w:hAnsi="宋体" w:eastAsia="宋体"/>
          <w:b/>
          <w:color w:val="auto"/>
          <w:sz w:val="32"/>
          <w:szCs w:val="32"/>
          <w:highlight w:val="none"/>
        </w:rPr>
      </w:pPr>
      <w:r>
        <w:rPr>
          <w:rFonts w:hint="eastAsia" w:hAnsi="宋体" w:eastAsia="宋体"/>
          <w:b/>
          <w:color w:val="auto"/>
          <w:sz w:val="32"/>
          <w:szCs w:val="32"/>
          <w:highlight w:val="none"/>
        </w:rPr>
        <w:t>项目业绩一览表</w:t>
      </w:r>
    </w:p>
    <w:tbl>
      <w:tblPr>
        <w:tblStyle w:val="29"/>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95"/>
        <w:gridCol w:w="1800"/>
        <w:gridCol w:w="2100"/>
        <w:gridCol w:w="2090"/>
      </w:tblGrid>
      <w:tr w14:paraId="46AA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1" w:type="dxa"/>
            <w:noWrap/>
            <w:vAlign w:val="center"/>
          </w:tcPr>
          <w:p w14:paraId="10E16273">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5" w:type="dxa"/>
            <w:noWrap/>
            <w:vAlign w:val="center"/>
          </w:tcPr>
          <w:p w14:paraId="318A8C67">
            <w:pPr>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00" w:type="dxa"/>
            <w:noWrap/>
            <w:vAlign w:val="center"/>
          </w:tcPr>
          <w:p w14:paraId="2B390EDB">
            <w:pP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项目起止时间</w:t>
            </w:r>
          </w:p>
        </w:tc>
        <w:tc>
          <w:tcPr>
            <w:tcW w:w="2100" w:type="dxa"/>
            <w:noWrap/>
            <w:vAlign w:val="center"/>
          </w:tcPr>
          <w:p w14:paraId="46FBAD51">
            <w:pP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合同金额（万元）</w:t>
            </w:r>
          </w:p>
        </w:tc>
        <w:tc>
          <w:tcPr>
            <w:tcW w:w="2090" w:type="dxa"/>
            <w:noWrap/>
            <w:vAlign w:val="center"/>
          </w:tcPr>
          <w:p w14:paraId="4034DA63">
            <w:pPr>
              <w:tabs>
                <w:tab w:val="left" w:pos="6252"/>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采购单位联系人及联系电话</w:t>
            </w:r>
          </w:p>
        </w:tc>
      </w:tr>
      <w:tr w14:paraId="12C2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1" w:type="dxa"/>
            <w:noWrap/>
            <w:vAlign w:val="center"/>
          </w:tcPr>
          <w:p w14:paraId="235DBC41">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95" w:type="dxa"/>
            <w:noWrap/>
            <w:vAlign w:val="center"/>
          </w:tcPr>
          <w:p w14:paraId="5E0BC614">
            <w:pPr>
              <w:jc w:val="center"/>
              <w:rPr>
                <w:rFonts w:ascii="宋体" w:hAnsi="宋体" w:cs="宋体"/>
                <w:color w:val="auto"/>
                <w:sz w:val="24"/>
                <w:highlight w:val="none"/>
              </w:rPr>
            </w:pPr>
          </w:p>
        </w:tc>
        <w:tc>
          <w:tcPr>
            <w:tcW w:w="1800" w:type="dxa"/>
            <w:noWrap/>
          </w:tcPr>
          <w:p w14:paraId="04BADD83">
            <w:pPr>
              <w:jc w:val="center"/>
              <w:rPr>
                <w:rFonts w:ascii="宋体" w:hAnsi="宋体" w:cs="宋体"/>
                <w:color w:val="auto"/>
                <w:sz w:val="24"/>
                <w:highlight w:val="none"/>
              </w:rPr>
            </w:pPr>
          </w:p>
        </w:tc>
        <w:tc>
          <w:tcPr>
            <w:tcW w:w="2100" w:type="dxa"/>
            <w:noWrap/>
            <w:vAlign w:val="center"/>
          </w:tcPr>
          <w:p w14:paraId="0FD0A1D1">
            <w:pPr>
              <w:jc w:val="center"/>
              <w:rPr>
                <w:rFonts w:ascii="宋体" w:hAnsi="宋体" w:cs="宋体"/>
                <w:color w:val="auto"/>
                <w:sz w:val="24"/>
                <w:highlight w:val="none"/>
              </w:rPr>
            </w:pPr>
          </w:p>
        </w:tc>
        <w:tc>
          <w:tcPr>
            <w:tcW w:w="2090" w:type="dxa"/>
            <w:noWrap/>
            <w:vAlign w:val="center"/>
          </w:tcPr>
          <w:p w14:paraId="51DC7D61">
            <w:pPr>
              <w:jc w:val="center"/>
              <w:rPr>
                <w:rFonts w:ascii="宋体" w:hAnsi="宋体" w:cs="宋体"/>
                <w:color w:val="auto"/>
                <w:sz w:val="24"/>
                <w:highlight w:val="none"/>
              </w:rPr>
            </w:pPr>
          </w:p>
        </w:tc>
      </w:tr>
      <w:tr w14:paraId="2AAA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1" w:type="dxa"/>
            <w:noWrap/>
            <w:vAlign w:val="center"/>
          </w:tcPr>
          <w:p w14:paraId="59A84412">
            <w:pPr>
              <w:jc w:val="center"/>
              <w:rPr>
                <w:rFonts w:ascii="宋体" w:hAnsi="宋体" w:cs="宋体"/>
                <w:color w:val="auto"/>
                <w:sz w:val="24"/>
                <w:highlight w:val="none"/>
              </w:rPr>
            </w:pPr>
            <w:r>
              <w:rPr>
                <w:rFonts w:hint="eastAsia" w:ascii="宋体" w:hAnsi="宋体" w:cs="宋体"/>
                <w:color w:val="auto"/>
                <w:sz w:val="24"/>
                <w:highlight w:val="none"/>
              </w:rPr>
              <w:t>2</w:t>
            </w:r>
          </w:p>
        </w:tc>
        <w:tc>
          <w:tcPr>
            <w:tcW w:w="2095" w:type="dxa"/>
            <w:noWrap/>
            <w:vAlign w:val="center"/>
          </w:tcPr>
          <w:p w14:paraId="27484207">
            <w:pPr>
              <w:jc w:val="center"/>
              <w:rPr>
                <w:rFonts w:ascii="宋体" w:hAnsi="宋体" w:cs="宋体"/>
                <w:color w:val="auto"/>
                <w:sz w:val="24"/>
                <w:highlight w:val="none"/>
              </w:rPr>
            </w:pPr>
          </w:p>
        </w:tc>
        <w:tc>
          <w:tcPr>
            <w:tcW w:w="1800" w:type="dxa"/>
            <w:noWrap/>
          </w:tcPr>
          <w:p w14:paraId="1A19D811">
            <w:pPr>
              <w:jc w:val="center"/>
              <w:rPr>
                <w:rFonts w:ascii="宋体" w:hAnsi="宋体" w:cs="宋体"/>
                <w:color w:val="auto"/>
                <w:sz w:val="24"/>
                <w:highlight w:val="none"/>
              </w:rPr>
            </w:pPr>
          </w:p>
        </w:tc>
        <w:tc>
          <w:tcPr>
            <w:tcW w:w="2100" w:type="dxa"/>
            <w:noWrap/>
            <w:vAlign w:val="center"/>
          </w:tcPr>
          <w:p w14:paraId="6C82CFA0">
            <w:pPr>
              <w:jc w:val="center"/>
              <w:rPr>
                <w:rFonts w:ascii="宋体" w:hAnsi="宋体" w:cs="宋体"/>
                <w:color w:val="auto"/>
                <w:sz w:val="24"/>
                <w:highlight w:val="none"/>
              </w:rPr>
            </w:pPr>
          </w:p>
        </w:tc>
        <w:tc>
          <w:tcPr>
            <w:tcW w:w="2090" w:type="dxa"/>
            <w:noWrap/>
            <w:vAlign w:val="center"/>
          </w:tcPr>
          <w:p w14:paraId="716429F4">
            <w:pPr>
              <w:jc w:val="center"/>
              <w:rPr>
                <w:rFonts w:ascii="宋体" w:hAnsi="宋体" w:cs="宋体"/>
                <w:color w:val="auto"/>
                <w:sz w:val="24"/>
                <w:highlight w:val="none"/>
              </w:rPr>
            </w:pPr>
          </w:p>
        </w:tc>
      </w:tr>
      <w:tr w14:paraId="3BF3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ign w:val="center"/>
          </w:tcPr>
          <w:p w14:paraId="66444A90">
            <w:pPr>
              <w:jc w:val="center"/>
              <w:rPr>
                <w:rFonts w:ascii="宋体" w:hAnsi="宋体" w:cs="宋体"/>
                <w:color w:val="auto"/>
                <w:sz w:val="24"/>
                <w:highlight w:val="none"/>
              </w:rPr>
            </w:pPr>
            <w:r>
              <w:rPr>
                <w:rFonts w:hint="eastAsia" w:ascii="宋体" w:hAnsi="宋体" w:cs="宋体"/>
                <w:color w:val="auto"/>
                <w:sz w:val="24"/>
                <w:highlight w:val="none"/>
              </w:rPr>
              <w:t>3</w:t>
            </w:r>
          </w:p>
        </w:tc>
        <w:tc>
          <w:tcPr>
            <w:tcW w:w="2095" w:type="dxa"/>
            <w:noWrap/>
            <w:vAlign w:val="center"/>
          </w:tcPr>
          <w:p w14:paraId="64ED58C4">
            <w:pPr>
              <w:jc w:val="center"/>
              <w:rPr>
                <w:rFonts w:ascii="宋体" w:hAnsi="宋体" w:cs="宋体"/>
                <w:color w:val="auto"/>
                <w:sz w:val="24"/>
                <w:highlight w:val="none"/>
              </w:rPr>
            </w:pPr>
          </w:p>
        </w:tc>
        <w:tc>
          <w:tcPr>
            <w:tcW w:w="1800" w:type="dxa"/>
            <w:noWrap/>
          </w:tcPr>
          <w:p w14:paraId="00734AF9">
            <w:pPr>
              <w:jc w:val="center"/>
              <w:rPr>
                <w:rFonts w:ascii="宋体" w:hAnsi="宋体" w:cs="宋体"/>
                <w:color w:val="auto"/>
                <w:sz w:val="24"/>
                <w:highlight w:val="none"/>
              </w:rPr>
            </w:pPr>
          </w:p>
        </w:tc>
        <w:tc>
          <w:tcPr>
            <w:tcW w:w="2100" w:type="dxa"/>
            <w:noWrap/>
            <w:vAlign w:val="center"/>
          </w:tcPr>
          <w:p w14:paraId="620FD7EB">
            <w:pPr>
              <w:jc w:val="center"/>
              <w:rPr>
                <w:rFonts w:ascii="宋体" w:hAnsi="宋体" w:cs="宋体"/>
                <w:color w:val="auto"/>
                <w:sz w:val="24"/>
                <w:highlight w:val="none"/>
              </w:rPr>
            </w:pPr>
          </w:p>
        </w:tc>
        <w:tc>
          <w:tcPr>
            <w:tcW w:w="2090" w:type="dxa"/>
            <w:noWrap/>
            <w:vAlign w:val="center"/>
          </w:tcPr>
          <w:p w14:paraId="14DB4BAF">
            <w:pPr>
              <w:jc w:val="center"/>
              <w:rPr>
                <w:rFonts w:ascii="宋体" w:hAnsi="宋体" w:cs="宋体"/>
                <w:color w:val="auto"/>
                <w:sz w:val="24"/>
                <w:highlight w:val="none"/>
              </w:rPr>
            </w:pPr>
          </w:p>
        </w:tc>
      </w:tr>
      <w:tr w14:paraId="2BFA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noWrap/>
            <w:vAlign w:val="center"/>
          </w:tcPr>
          <w:p w14:paraId="7D15A78F">
            <w:pPr>
              <w:jc w:val="center"/>
              <w:rPr>
                <w:rFonts w:ascii="宋体" w:hAnsi="宋体" w:cs="宋体"/>
                <w:color w:val="auto"/>
                <w:sz w:val="24"/>
                <w:highlight w:val="none"/>
              </w:rPr>
            </w:pPr>
            <w:r>
              <w:rPr>
                <w:rFonts w:hint="eastAsia" w:ascii="宋体" w:hAnsi="宋体" w:cs="宋体"/>
                <w:color w:val="auto"/>
                <w:sz w:val="24"/>
                <w:highlight w:val="none"/>
              </w:rPr>
              <w:t>4</w:t>
            </w:r>
          </w:p>
        </w:tc>
        <w:tc>
          <w:tcPr>
            <w:tcW w:w="2095" w:type="dxa"/>
            <w:noWrap/>
            <w:vAlign w:val="center"/>
          </w:tcPr>
          <w:p w14:paraId="42CA2717">
            <w:pPr>
              <w:jc w:val="center"/>
              <w:rPr>
                <w:rFonts w:ascii="宋体" w:hAnsi="宋体" w:cs="宋体"/>
                <w:color w:val="auto"/>
                <w:sz w:val="24"/>
                <w:highlight w:val="none"/>
              </w:rPr>
            </w:pPr>
          </w:p>
        </w:tc>
        <w:tc>
          <w:tcPr>
            <w:tcW w:w="1800" w:type="dxa"/>
            <w:noWrap/>
          </w:tcPr>
          <w:p w14:paraId="604A66DC">
            <w:pPr>
              <w:jc w:val="center"/>
              <w:rPr>
                <w:rFonts w:ascii="宋体" w:hAnsi="宋体" w:cs="宋体"/>
                <w:color w:val="auto"/>
                <w:sz w:val="24"/>
                <w:highlight w:val="none"/>
              </w:rPr>
            </w:pPr>
          </w:p>
        </w:tc>
        <w:tc>
          <w:tcPr>
            <w:tcW w:w="2100" w:type="dxa"/>
            <w:noWrap/>
            <w:vAlign w:val="center"/>
          </w:tcPr>
          <w:p w14:paraId="2158E708">
            <w:pPr>
              <w:jc w:val="center"/>
              <w:rPr>
                <w:rFonts w:ascii="宋体" w:hAnsi="宋体" w:cs="宋体"/>
                <w:color w:val="auto"/>
                <w:sz w:val="24"/>
                <w:highlight w:val="none"/>
              </w:rPr>
            </w:pPr>
          </w:p>
        </w:tc>
        <w:tc>
          <w:tcPr>
            <w:tcW w:w="2090" w:type="dxa"/>
            <w:noWrap/>
            <w:vAlign w:val="center"/>
          </w:tcPr>
          <w:p w14:paraId="6AA3E0F7">
            <w:pPr>
              <w:jc w:val="center"/>
              <w:rPr>
                <w:rFonts w:ascii="宋体" w:hAnsi="宋体" w:cs="宋体"/>
                <w:color w:val="auto"/>
                <w:sz w:val="24"/>
                <w:highlight w:val="none"/>
              </w:rPr>
            </w:pPr>
          </w:p>
        </w:tc>
      </w:tr>
      <w:tr w14:paraId="06BA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noWrap/>
            <w:vAlign w:val="center"/>
          </w:tcPr>
          <w:p w14:paraId="3D5D5614">
            <w:pPr>
              <w:jc w:val="center"/>
              <w:rPr>
                <w:rFonts w:ascii="宋体" w:hAnsi="宋体" w:cs="宋体"/>
                <w:color w:val="auto"/>
                <w:sz w:val="24"/>
                <w:highlight w:val="none"/>
              </w:rPr>
            </w:pPr>
            <w:r>
              <w:rPr>
                <w:rFonts w:hint="eastAsia" w:ascii="宋体" w:hAnsi="宋体" w:cs="宋体"/>
                <w:color w:val="auto"/>
                <w:sz w:val="24"/>
                <w:highlight w:val="none"/>
              </w:rPr>
              <w:t>……</w:t>
            </w:r>
          </w:p>
        </w:tc>
        <w:tc>
          <w:tcPr>
            <w:tcW w:w="2095" w:type="dxa"/>
            <w:noWrap/>
            <w:vAlign w:val="center"/>
          </w:tcPr>
          <w:p w14:paraId="40BC0CB1">
            <w:pPr>
              <w:jc w:val="center"/>
              <w:rPr>
                <w:rFonts w:ascii="宋体" w:hAnsi="宋体" w:cs="宋体"/>
                <w:color w:val="auto"/>
                <w:sz w:val="24"/>
                <w:highlight w:val="none"/>
              </w:rPr>
            </w:pPr>
          </w:p>
        </w:tc>
        <w:tc>
          <w:tcPr>
            <w:tcW w:w="1800" w:type="dxa"/>
            <w:noWrap/>
          </w:tcPr>
          <w:p w14:paraId="093FAA76">
            <w:pPr>
              <w:jc w:val="center"/>
              <w:rPr>
                <w:rFonts w:ascii="宋体" w:hAnsi="宋体" w:cs="宋体"/>
                <w:color w:val="auto"/>
                <w:sz w:val="24"/>
                <w:highlight w:val="none"/>
              </w:rPr>
            </w:pPr>
          </w:p>
        </w:tc>
        <w:tc>
          <w:tcPr>
            <w:tcW w:w="2100" w:type="dxa"/>
            <w:noWrap/>
            <w:vAlign w:val="center"/>
          </w:tcPr>
          <w:p w14:paraId="6A7B2145">
            <w:pPr>
              <w:jc w:val="center"/>
              <w:rPr>
                <w:rFonts w:ascii="宋体" w:hAnsi="宋体" w:cs="宋体"/>
                <w:color w:val="auto"/>
                <w:sz w:val="24"/>
                <w:highlight w:val="none"/>
              </w:rPr>
            </w:pPr>
          </w:p>
        </w:tc>
        <w:tc>
          <w:tcPr>
            <w:tcW w:w="2090" w:type="dxa"/>
            <w:noWrap/>
            <w:vAlign w:val="center"/>
          </w:tcPr>
          <w:p w14:paraId="10B83AF2">
            <w:pPr>
              <w:jc w:val="center"/>
              <w:rPr>
                <w:rFonts w:ascii="宋体" w:hAnsi="宋体" w:cs="宋体"/>
                <w:color w:val="auto"/>
                <w:sz w:val="24"/>
                <w:highlight w:val="none"/>
              </w:rPr>
            </w:pPr>
          </w:p>
        </w:tc>
      </w:tr>
    </w:tbl>
    <w:p w14:paraId="2C48D902">
      <w:pPr>
        <w:snapToGrid w:val="0"/>
        <w:spacing w:line="240" w:lineRule="atLeast"/>
        <w:ind w:firstLine="200"/>
        <w:rPr>
          <w:rFonts w:ascii="宋体" w:hAnsi="宋体" w:cs="宋体"/>
          <w:b/>
          <w:color w:val="auto"/>
          <w:sz w:val="24"/>
          <w:highlight w:val="none"/>
        </w:rPr>
      </w:pPr>
      <w:r>
        <w:rPr>
          <w:rFonts w:hint="eastAsia" w:ascii="宋体" w:hAnsi="宋体" w:cs="宋体"/>
          <w:b/>
          <w:color w:val="auto"/>
          <w:sz w:val="24"/>
          <w:highlight w:val="none"/>
        </w:rPr>
        <w:t>注：1.此表不提供，视为无业绩。</w:t>
      </w:r>
    </w:p>
    <w:p w14:paraId="01B9E46B">
      <w:pPr>
        <w:snapToGrid w:val="0"/>
        <w:spacing w:line="240" w:lineRule="atLeast"/>
        <w:ind w:firstLine="704" w:firstLineChars="292"/>
        <w:rPr>
          <w:rFonts w:ascii="宋体" w:hAnsi="宋体" w:cs="宋体"/>
          <w:b/>
          <w:color w:val="auto"/>
          <w:sz w:val="24"/>
          <w:highlight w:val="none"/>
        </w:rPr>
      </w:pPr>
      <w:r>
        <w:rPr>
          <w:rFonts w:hint="eastAsia" w:ascii="宋体" w:hAnsi="宋体" w:cs="宋体"/>
          <w:b/>
          <w:color w:val="auto"/>
          <w:sz w:val="24"/>
          <w:highlight w:val="none"/>
        </w:rPr>
        <w:t>2.此表仅提供了格式，表格不够可自行增加。</w:t>
      </w:r>
    </w:p>
    <w:p w14:paraId="537C834F">
      <w:pPr>
        <w:snapToGrid w:val="0"/>
        <w:spacing w:line="240" w:lineRule="atLeast"/>
        <w:ind w:firstLine="701" w:firstLineChars="291"/>
        <w:rPr>
          <w:rFonts w:ascii="宋体" w:hAnsi="宋体" w:cs="宋体"/>
          <w:b/>
          <w:color w:val="auto"/>
          <w:sz w:val="24"/>
          <w:highlight w:val="none"/>
        </w:rPr>
      </w:pPr>
      <w:r>
        <w:rPr>
          <w:rFonts w:hint="eastAsia" w:ascii="宋体" w:hAnsi="宋体" w:cs="宋体"/>
          <w:b/>
          <w:color w:val="auto"/>
          <w:sz w:val="24"/>
          <w:highlight w:val="none"/>
        </w:rPr>
        <w:t>3.后附合同封面、盖章页等资料。</w:t>
      </w:r>
    </w:p>
    <w:p w14:paraId="6AC64E82">
      <w:pPr>
        <w:snapToGrid w:val="0"/>
        <w:spacing w:line="240" w:lineRule="atLeast"/>
        <w:ind w:firstLine="701" w:firstLineChars="291"/>
        <w:rPr>
          <w:rFonts w:ascii="宋体" w:hAnsi="宋体" w:cs="宋体"/>
          <w:b/>
          <w:color w:val="auto"/>
          <w:sz w:val="24"/>
          <w:highlight w:val="none"/>
        </w:rPr>
      </w:pPr>
      <w:r>
        <w:rPr>
          <w:rFonts w:hint="eastAsia" w:ascii="宋体" w:hAnsi="宋体" w:cs="宋体"/>
          <w:b/>
          <w:color w:val="auto"/>
          <w:sz w:val="24"/>
          <w:highlight w:val="none"/>
        </w:rPr>
        <w:t>4.如本表格不适合投标人的实际情况，可自行制表填写。</w:t>
      </w:r>
    </w:p>
    <w:p w14:paraId="54BEB5C8">
      <w:pPr>
        <w:snapToGrid w:val="0"/>
        <w:spacing w:line="240" w:lineRule="atLeast"/>
        <w:ind w:firstLine="701" w:firstLineChars="291"/>
        <w:rPr>
          <w:rFonts w:ascii="宋体" w:hAnsi="宋体" w:cs="宋体"/>
          <w:b/>
          <w:color w:val="auto"/>
          <w:sz w:val="24"/>
          <w:highlight w:val="none"/>
        </w:rPr>
      </w:pPr>
    </w:p>
    <w:p w14:paraId="33508A81">
      <w:pPr>
        <w:snapToGrid w:val="0"/>
        <w:spacing w:line="240" w:lineRule="atLeast"/>
        <w:ind w:firstLine="701" w:firstLineChars="291"/>
        <w:rPr>
          <w:rFonts w:ascii="宋体" w:hAnsi="宋体" w:cs="宋体"/>
          <w:b/>
          <w:color w:val="auto"/>
          <w:sz w:val="24"/>
          <w:highlight w:val="none"/>
        </w:rPr>
      </w:pPr>
    </w:p>
    <w:p w14:paraId="33DE5054">
      <w:pPr>
        <w:snapToGrid w:val="0"/>
        <w:spacing w:before="156" w:beforeLines="50" w:line="400" w:lineRule="exact"/>
        <w:ind w:firstLine="200"/>
        <w:rPr>
          <w:rFonts w:ascii="宋体" w:hAnsi="宋体" w:cs="宋体"/>
          <w:color w:val="auto"/>
          <w:sz w:val="24"/>
          <w:highlight w:val="none"/>
          <w:u w:val="single"/>
        </w:rPr>
      </w:pPr>
      <w:r>
        <w:rPr>
          <w:rFonts w:hint="eastAsia" w:ascii="宋体" w:hAnsi="宋体" w:cs="宋体"/>
          <w:color w:val="auto"/>
          <w:sz w:val="24"/>
          <w:highlight w:val="none"/>
        </w:rPr>
        <w:t>法定代表人或其委托代理人签字或盖章：</w:t>
      </w:r>
    </w:p>
    <w:p w14:paraId="72BC7BB5">
      <w:pPr>
        <w:snapToGrid w:val="0"/>
        <w:spacing w:before="156"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投标人公章：</w:t>
      </w:r>
    </w:p>
    <w:p w14:paraId="43E2BCC0">
      <w:pPr>
        <w:pStyle w:val="52"/>
        <w:spacing w:line="360" w:lineRule="auto"/>
        <w:ind w:right="480" w:firstLine="240" w:firstLineChars="100"/>
        <w:rPr>
          <w:rFonts w:hAnsi="宋体" w:eastAsia="宋体"/>
          <w:b/>
          <w:color w:val="auto"/>
          <w:szCs w:val="21"/>
          <w:highlight w:val="none"/>
        </w:rPr>
      </w:pPr>
      <w:r>
        <w:rPr>
          <w:rFonts w:hint="eastAsia" w:hAnsi="宋体" w:eastAsia="宋体"/>
          <w:color w:val="auto"/>
          <w:sz w:val="24"/>
          <w:highlight w:val="none"/>
        </w:rPr>
        <w:t>日期：    年    月    日</w:t>
      </w:r>
    </w:p>
    <w:p w14:paraId="6C6FDE19">
      <w:pPr>
        <w:pStyle w:val="2"/>
        <w:rPr>
          <w:rFonts w:ascii="宋体" w:hAnsi="宋体" w:eastAsia="宋体"/>
          <w:b/>
          <w:bCs/>
          <w:color w:val="auto"/>
          <w:highlight w:val="none"/>
        </w:rPr>
      </w:pPr>
      <w:r>
        <w:rPr>
          <w:rFonts w:hint="eastAsia" w:ascii="宋体" w:hAnsi="宋体" w:eastAsia="宋体"/>
          <w:b/>
          <w:color w:val="auto"/>
          <w:highlight w:val="none"/>
        </w:rPr>
        <w:br w:type="page"/>
      </w:r>
      <w:r>
        <w:rPr>
          <w:rFonts w:hint="eastAsia" w:ascii="宋体" w:hAnsi="宋体" w:eastAsia="宋体"/>
          <w:b/>
          <w:bCs/>
          <w:color w:val="auto"/>
          <w:highlight w:val="none"/>
        </w:rPr>
        <w:t>5、管理制度，质量保证措施，服务承诺，合理化建议等</w:t>
      </w:r>
    </w:p>
    <w:p w14:paraId="1AA868CF">
      <w:pPr>
        <w:pStyle w:val="2"/>
        <w:rPr>
          <w:rFonts w:ascii="宋体" w:hAnsi="宋体" w:eastAsia="宋体"/>
          <w:color w:val="auto"/>
          <w:highlight w:val="none"/>
        </w:rPr>
      </w:pPr>
    </w:p>
    <w:p w14:paraId="49C98D43">
      <w:pPr>
        <w:rPr>
          <w:rFonts w:ascii="宋体" w:hAnsi="宋体" w:cs="宋体"/>
          <w:color w:val="auto"/>
          <w:highlight w:val="none"/>
        </w:rPr>
      </w:pPr>
    </w:p>
    <w:p w14:paraId="543D28CB">
      <w:pPr>
        <w:pStyle w:val="2"/>
        <w:rPr>
          <w:rFonts w:ascii="宋体" w:hAnsi="宋体" w:eastAsia="宋体"/>
          <w:color w:val="auto"/>
          <w:highlight w:val="none"/>
        </w:rPr>
      </w:pPr>
    </w:p>
    <w:p w14:paraId="4952CB56">
      <w:pPr>
        <w:rPr>
          <w:rFonts w:ascii="宋体" w:hAnsi="宋体" w:cs="宋体"/>
          <w:color w:val="auto"/>
          <w:highlight w:val="none"/>
        </w:rPr>
      </w:pPr>
    </w:p>
    <w:p w14:paraId="084F890C">
      <w:pPr>
        <w:pStyle w:val="2"/>
        <w:rPr>
          <w:rFonts w:ascii="宋体" w:hAnsi="宋体" w:eastAsia="宋体"/>
          <w:color w:val="auto"/>
          <w:highlight w:val="none"/>
        </w:rPr>
      </w:pPr>
    </w:p>
    <w:p w14:paraId="6E494CED">
      <w:pPr>
        <w:pStyle w:val="42"/>
        <w:rPr>
          <w:rFonts w:ascii="宋体" w:hAnsi="宋体" w:cs="宋体"/>
          <w:color w:val="auto"/>
          <w:highlight w:val="none"/>
        </w:rPr>
      </w:pPr>
    </w:p>
    <w:p w14:paraId="0D190973">
      <w:pPr>
        <w:pStyle w:val="42"/>
        <w:rPr>
          <w:rFonts w:ascii="宋体" w:hAnsi="宋体" w:cs="宋体"/>
          <w:color w:val="auto"/>
          <w:highlight w:val="none"/>
        </w:rPr>
      </w:pPr>
    </w:p>
    <w:p w14:paraId="148C433E">
      <w:pPr>
        <w:pStyle w:val="42"/>
        <w:rPr>
          <w:rFonts w:ascii="宋体" w:hAnsi="宋体" w:cs="宋体"/>
          <w:color w:val="auto"/>
          <w:highlight w:val="none"/>
        </w:rPr>
      </w:pPr>
    </w:p>
    <w:p w14:paraId="63FC596B">
      <w:pPr>
        <w:pStyle w:val="42"/>
        <w:rPr>
          <w:rFonts w:ascii="宋体" w:hAnsi="宋体" w:cs="宋体"/>
          <w:color w:val="auto"/>
          <w:highlight w:val="none"/>
        </w:rPr>
      </w:pPr>
    </w:p>
    <w:p w14:paraId="62FF4B0A">
      <w:pPr>
        <w:pStyle w:val="42"/>
        <w:rPr>
          <w:rFonts w:ascii="宋体" w:hAnsi="宋体" w:cs="宋体"/>
          <w:color w:val="auto"/>
          <w:highlight w:val="none"/>
        </w:rPr>
      </w:pPr>
    </w:p>
    <w:p w14:paraId="76EEB16C">
      <w:pPr>
        <w:snapToGrid w:val="0"/>
        <w:spacing w:before="50" w:after="156" w:afterLines="50" w:line="440" w:lineRule="exact"/>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kern w:val="0"/>
          <w:sz w:val="24"/>
          <w:highlight w:val="none"/>
        </w:rPr>
        <w:t>6、</w:t>
      </w:r>
      <w:r>
        <w:rPr>
          <w:rFonts w:hint="eastAsia" w:ascii="宋体" w:hAnsi="宋体" w:cs="宋体"/>
          <w:b/>
          <w:color w:val="auto"/>
          <w:sz w:val="24"/>
          <w:highlight w:val="none"/>
        </w:rPr>
        <w:t>投标人需要说明的其他内容。（未尽事宜可按评分细则部分制作）</w:t>
      </w:r>
    </w:p>
    <w:p w14:paraId="3E196090">
      <w:pPr>
        <w:spacing w:line="460" w:lineRule="atLeast"/>
        <w:rPr>
          <w:rFonts w:ascii="宋体" w:hAnsi="宋体" w:cs="宋体"/>
          <w:color w:val="auto"/>
          <w:highlight w:val="none"/>
        </w:rPr>
      </w:pPr>
    </w:p>
    <w:p w14:paraId="6E9A568A">
      <w:pPr>
        <w:spacing w:line="460" w:lineRule="atLeast"/>
        <w:jc w:val="center"/>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三、报价文件格式</w:t>
      </w:r>
    </w:p>
    <w:p w14:paraId="31F6F15B">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·报价文件封面格式： </w:t>
      </w:r>
    </w:p>
    <w:p w14:paraId="69960866">
      <w:pPr>
        <w:snapToGrid w:val="0"/>
        <w:spacing w:before="156" w:beforeLines="50" w:after="50" w:line="440" w:lineRule="exact"/>
        <w:rPr>
          <w:rFonts w:ascii="宋体" w:hAnsi="宋体" w:cs="宋体"/>
          <w:b/>
          <w:bCs/>
          <w:color w:val="auto"/>
          <w:sz w:val="32"/>
          <w:highlight w:val="none"/>
        </w:rPr>
      </w:pPr>
    </w:p>
    <w:p w14:paraId="3BCD10D0">
      <w:pPr>
        <w:snapToGrid w:val="0"/>
        <w:spacing w:before="156" w:beforeLines="50" w:after="50" w:line="440" w:lineRule="exact"/>
        <w:rPr>
          <w:rFonts w:ascii="宋体" w:hAnsi="宋体" w:cs="宋体"/>
          <w:bCs/>
          <w:color w:val="auto"/>
          <w:sz w:val="24"/>
          <w:highlight w:val="none"/>
        </w:rPr>
      </w:pPr>
    </w:p>
    <w:p w14:paraId="450ADAA6">
      <w:pPr>
        <w:snapToGrid w:val="0"/>
        <w:spacing w:before="156" w:beforeLines="50" w:after="50" w:line="440" w:lineRule="exact"/>
        <w:jc w:val="center"/>
        <w:rPr>
          <w:rFonts w:ascii="宋体" w:hAnsi="宋体" w:cs="宋体"/>
          <w:bCs/>
          <w:color w:val="auto"/>
          <w:sz w:val="24"/>
          <w:highlight w:val="none"/>
        </w:rPr>
      </w:pPr>
      <w:r>
        <w:rPr>
          <w:rFonts w:hint="eastAsia" w:ascii="宋体" w:hAnsi="宋体" w:cs="宋体"/>
          <w:bCs/>
          <w:color w:val="auto"/>
          <w:sz w:val="24"/>
          <w:highlight w:val="none"/>
        </w:rPr>
        <w:t>报 价 文 件</w:t>
      </w:r>
    </w:p>
    <w:p w14:paraId="4C72D909">
      <w:pPr>
        <w:snapToGrid w:val="0"/>
        <w:spacing w:before="156" w:beforeLines="50" w:after="50" w:line="440" w:lineRule="exact"/>
        <w:ind w:firstLine="1068" w:firstLineChars="445"/>
        <w:rPr>
          <w:rFonts w:ascii="宋体" w:hAnsi="宋体" w:cs="宋体"/>
          <w:bCs/>
          <w:color w:val="auto"/>
          <w:sz w:val="24"/>
          <w:highlight w:val="none"/>
        </w:rPr>
      </w:pPr>
      <w:r>
        <w:rPr>
          <w:rFonts w:hint="eastAsia" w:ascii="宋体" w:hAnsi="宋体" w:cs="宋体"/>
          <w:bCs/>
          <w:color w:val="auto"/>
          <w:sz w:val="24"/>
          <w:highlight w:val="none"/>
        </w:rPr>
        <w:t>项目名称：</w:t>
      </w:r>
    </w:p>
    <w:p w14:paraId="6CFD1A17">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项目编号：</w:t>
      </w:r>
    </w:p>
    <w:p w14:paraId="44DECCCE">
      <w:pPr>
        <w:snapToGrid w:val="0"/>
        <w:spacing w:before="156" w:beforeLines="50" w:after="50"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    投标人名称：</w:t>
      </w:r>
    </w:p>
    <w:p w14:paraId="3263DCC5">
      <w:pPr>
        <w:pStyle w:val="7"/>
        <w:spacing w:before="50" w:after="50" w:line="440" w:lineRule="exact"/>
        <w:ind w:firstLine="998" w:firstLineChars="416"/>
        <w:rPr>
          <w:rFonts w:hAnsi="宋体"/>
          <w:bCs/>
          <w:color w:val="auto"/>
          <w:sz w:val="24"/>
          <w:szCs w:val="24"/>
          <w:highlight w:val="none"/>
        </w:rPr>
      </w:pPr>
      <w:r>
        <w:rPr>
          <w:rFonts w:hint="eastAsia" w:hAnsi="宋体"/>
          <w:bCs/>
          <w:color w:val="auto"/>
          <w:sz w:val="24"/>
          <w:szCs w:val="24"/>
          <w:highlight w:val="none"/>
        </w:rPr>
        <w:t>投标人地址：</w:t>
      </w:r>
    </w:p>
    <w:p w14:paraId="3C19348E">
      <w:pPr>
        <w:snapToGrid w:val="0"/>
        <w:spacing w:before="156" w:beforeLines="50" w:after="50" w:line="440" w:lineRule="exact"/>
        <w:rPr>
          <w:rFonts w:ascii="宋体" w:hAnsi="宋体" w:cs="宋体"/>
          <w:color w:val="auto"/>
          <w:sz w:val="24"/>
          <w:highlight w:val="none"/>
        </w:rPr>
      </w:pPr>
    </w:p>
    <w:p w14:paraId="2E01EDE6">
      <w:pPr>
        <w:snapToGrid w:val="0"/>
        <w:spacing w:before="156" w:beforeLines="50" w:after="50" w:line="44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p w14:paraId="1B1060E1">
      <w:pPr>
        <w:snapToGrid w:val="0"/>
        <w:spacing w:before="156" w:beforeLines="50" w:after="50" w:line="440" w:lineRule="exact"/>
        <w:rPr>
          <w:rFonts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1、投标函格式：</w:t>
      </w:r>
    </w:p>
    <w:p w14:paraId="5E6166C9">
      <w:pPr>
        <w:pStyle w:val="14"/>
        <w:adjustRightInd w:val="0"/>
        <w:snapToGrid w:val="0"/>
        <w:spacing w:line="360" w:lineRule="auto"/>
        <w:jc w:val="center"/>
        <w:rPr>
          <w:rFonts w:hAnsi="宋体"/>
          <w:b/>
          <w:bCs/>
          <w:color w:val="auto"/>
          <w:sz w:val="32"/>
          <w:szCs w:val="32"/>
          <w:highlight w:val="none"/>
        </w:rPr>
      </w:pPr>
      <w:r>
        <w:rPr>
          <w:rFonts w:hint="eastAsia" w:hAnsi="宋体"/>
          <w:b/>
          <w:bCs/>
          <w:color w:val="auto"/>
          <w:sz w:val="32"/>
          <w:szCs w:val="32"/>
          <w:highlight w:val="none"/>
        </w:rPr>
        <w:t>投 标 函</w:t>
      </w:r>
    </w:p>
    <w:p w14:paraId="59B11F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致：（采购单位名称）：</w:t>
      </w:r>
    </w:p>
    <w:p w14:paraId="7B016DD1">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根据贵方为项目的采购公告（项目编号：），签字代表（全名）经正式授权并代表投标人（投标人名称）提交了电子投标文件。</w:t>
      </w:r>
    </w:p>
    <w:p w14:paraId="00DEF6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049B6F65">
      <w:pPr>
        <w:pStyle w:val="12"/>
        <w:spacing w:line="360" w:lineRule="auto"/>
        <w:ind w:right="-91" w:firstLine="460" w:firstLineChars="192"/>
        <w:rPr>
          <w:rFonts w:ascii="宋体" w:hAnsi="宋体"/>
          <w:color w:val="auto"/>
          <w:sz w:val="24"/>
          <w:highlight w:val="none"/>
        </w:rPr>
      </w:pPr>
      <w:r>
        <w:rPr>
          <w:rFonts w:hint="eastAsia" w:ascii="宋体" w:hAnsi="宋体"/>
          <w:color w:val="auto"/>
          <w:sz w:val="24"/>
          <w:highlight w:val="none"/>
        </w:rPr>
        <w:t>1、我方已详细审查了采购文件的全部内容及其相关补充文件</w:t>
      </w:r>
      <w:r>
        <w:rPr>
          <w:rFonts w:hint="eastAsia" w:ascii="宋体" w:hAnsi="宋体"/>
          <w:b/>
          <w:color w:val="auto"/>
          <w:sz w:val="24"/>
          <w:highlight w:val="none"/>
        </w:rPr>
        <w:t>（若有）</w:t>
      </w:r>
      <w:r>
        <w:rPr>
          <w:rFonts w:hint="eastAsia" w:ascii="宋体" w:hAnsi="宋体"/>
          <w:color w:val="auto"/>
          <w:sz w:val="24"/>
          <w:highlight w:val="none"/>
        </w:rPr>
        <w:t>，并完全清晰理解全部内容及相关的补充文件</w:t>
      </w:r>
      <w:r>
        <w:rPr>
          <w:rFonts w:hint="eastAsia" w:ascii="宋体" w:hAnsi="宋体"/>
          <w:b/>
          <w:color w:val="auto"/>
          <w:sz w:val="24"/>
          <w:highlight w:val="none"/>
        </w:rPr>
        <w:t>（若有）</w:t>
      </w:r>
      <w:r>
        <w:rPr>
          <w:rFonts w:hint="eastAsia" w:ascii="宋体" w:hAnsi="宋体"/>
          <w:color w:val="auto"/>
          <w:sz w:val="24"/>
          <w:highlight w:val="none"/>
        </w:rPr>
        <w:t>，不存在任何误解之处，同意放弃提出异议和质疑的权利。</w:t>
      </w:r>
    </w:p>
    <w:p w14:paraId="5A0D287E">
      <w:pPr>
        <w:spacing w:line="360" w:lineRule="auto"/>
        <w:ind w:right="-89" w:firstLine="464" w:firstLineChars="200"/>
        <w:jc w:val="left"/>
        <w:rPr>
          <w:rFonts w:ascii="宋体" w:hAnsi="宋体" w:cs="宋体"/>
          <w:color w:val="auto"/>
          <w:spacing w:val="-4"/>
          <w:sz w:val="24"/>
          <w:highlight w:val="none"/>
        </w:rPr>
      </w:pPr>
      <w:r>
        <w:rPr>
          <w:rFonts w:hint="eastAsia" w:ascii="宋体" w:hAnsi="宋体" w:cs="宋体"/>
          <w:color w:val="auto"/>
          <w:spacing w:val="-4"/>
          <w:sz w:val="24"/>
          <w:highlight w:val="none"/>
        </w:rPr>
        <w:t>2、我方遵守《中华人民共和国政府采购法》及相关法律法规的规定。同意采购文件中所提到的无效标条款，并服从有关开标现场的会议纪律。否则，同意被废除投标资格。</w:t>
      </w:r>
    </w:p>
    <w:p w14:paraId="45D754F4">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0E2F3CC">
      <w:pPr>
        <w:spacing w:line="360" w:lineRule="auto"/>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4、投标有效期为自开标之日起</w:t>
      </w:r>
      <w:r>
        <w:rPr>
          <w:rFonts w:hint="eastAsia" w:ascii="宋体" w:hAnsi="宋体" w:cs="宋体"/>
          <w:color w:val="auto"/>
          <w:spacing w:val="-4"/>
          <w:sz w:val="24"/>
          <w:highlight w:val="none"/>
          <w:u w:val="single"/>
        </w:rPr>
        <w:t>60</w:t>
      </w:r>
      <w:r>
        <w:rPr>
          <w:rFonts w:hint="eastAsia" w:ascii="宋体" w:hAnsi="宋体" w:cs="宋体"/>
          <w:color w:val="auto"/>
          <w:spacing w:val="-4"/>
          <w:sz w:val="24"/>
          <w:highlight w:val="none"/>
        </w:rPr>
        <w:t>天内，如在投标有效期内撤回投标，我方同意被废除投标资格。</w:t>
      </w:r>
    </w:p>
    <w:p w14:paraId="4DAFCD2C">
      <w:pPr>
        <w:spacing w:line="360" w:lineRule="auto"/>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5、</w:t>
      </w:r>
      <w:r>
        <w:rPr>
          <w:rFonts w:hint="eastAsia" w:ascii="宋体" w:hAnsi="宋体" w:cs="宋体"/>
          <w:color w:val="auto"/>
          <w:sz w:val="24"/>
          <w:highlight w:val="none"/>
        </w:rPr>
        <w:t>若我方中标，则直至合同履行完毕为止，本投标文件有效。</w:t>
      </w:r>
    </w:p>
    <w:p w14:paraId="6C5EF8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127A1A46">
      <w:pPr>
        <w:snapToGrid w:val="0"/>
        <w:spacing w:line="440" w:lineRule="exact"/>
        <w:rPr>
          <w:rFonts w:ascii="宋体" w:hAnsi="宋体" w:cs="宋体"/>
          <w:color w:val="auto"/>
          <w:sz w:val="24"/>
          <w:highlight w:val="none"/>
        </w:rPr>
      </w:pPr>
    </w:p>
    <w:p w14:paraId="714EA334">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地址：邮编：__________   电话：______________</w:t>
      </w:r>
    </w:p>
    <w:p w14:paraId="70D7EF6F">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传真：______________投标人代表姓名：___________  职务：</w:t>
      </w:r>
    </w:p>
    <w:p w14:paraId="270964BF">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2E6AAAC3">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开户银行：   银行账号：</w:t>
      </w:r>
    </w:p>
    <w:p w14:paraId="4D25B73B">
      <w:pPr>
        <w:adjustRightInd w:val="0"/>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法定代表人签字或盖章:___________</w:t>
      </w:r>
    </w:p>
    <w:p w14:paraId="3AF33BB5">
      <w:pPr>
        <w:adjustRightInd w:val="0"/>
        <w:spacing w:line="440" w:lineRule="exact"/>
        <w:rPr>
          <w:rFonts w:ascii="宋体" w:hAnsi="宋体" w:cs="宋体"/>
          <w:b/>
          <w:color w:val="auto"/>
          <w:sz w:val="24"/>
          <w:highlight w:val="none"/>
        </w:rPr>
      </w:pPr>
      <w:r>
        <w:rPr>
          <w:rFonts w:hint="eastAsia" w:ascii="宋体" w:hAnsi="宋体" w:cs="宋体"/>
          <w:color w:val="auto"/>
          <w:sz w:val="24"/>
          <w:highlight w:val="none"/>
        </w:rPr>
        <w:t>日期:_____年___月___日</w:t>
      </w:r>
    </w:p>
    <w:p w14:paraId="2046707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2、开标一览表格式</w:t>
      </w:r>
    </w:p>
    <w:p w14:paraId="49553350">
      <w:pPr>
        <w:widowControl/>
        <w:snapToGrid w:val="0"/>
        <w:jc w:val="center"/>
        <w:rPr>
          <w:rFonts w:ascii="宋体" w:hAnsi="宋体" w:cs="宋体"/>
          <w:color w:val="auto"/>
          <w:sz w:val="24"/>
          <w:highlight w:val="none"/>
        </w:rPr>
      </w:pPr>
    </w:p>
    <w:p w14:paraId="649E52BC">
      <w:pPr>
        <w:widowControl/>
        <w:snapToGrid w:val="0"/>
        <w:jc w:val="center"/>
        <w:rPr>
          <w:b/>
          <w:color w:val="auto"/>
          <w:sz w:val="28"/>
          <w:szCs w:val="28"/>
          <w:highlight w:val="none"/>
        </w:rPr>
      </w:pPr>
      <w:r>
        <w:rPr>
          <w:rFonts w:hint="eastAsia"/>
          <w:b/>
          <w:color w:val="auto"/>
          <w:sz w:val="28"/>
          <w:szCs w:val="28"/>
          <w:highlight w:val="none"/>
        </w:rPr>
        <w:t>开标一览表</w:t>
      </w:r>
    </w:p>
    <w:p w14:paraId="28D8EBDC">
      <w:pPr>
        <w:spacing w:before="156" w:beforeLines="50" w:line="440" w:lineRule="exact"/>
        <w:rPr>
          <w:rFonts w:hint="eastAsia" w:eastAsia="宋体"/>
          <w:color w:val="auto"/>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中惠-2024-46号</w:t>
      </w:r>
    </w:p>
    <w:tbl>
      <w:tblPr>
        <w:tblStyle w:val="29"/>
        <w:tblW w:w="9458" w:type="dxa"/>
        <w:jc w:val="center"/>
        <w:tblLayout w:type="fixed"/>
        <w:tblCellMar>
          <w:top w:w="0" w:type="dxa"/>
          <w:left w:w="108" w:type="dxa"/>
          <w:bottom w:w="0" w:type="dxa"/>
          <w:right w:w="108" w:type="dxa"/>
        </w:tblCellMar>
      </w:tblPr>
      <w:tblGrid>
        <w:gridCol w:w="3233"/>
        <w:gridCol w:w="2489"/>
        <w:gridCol w:w="2065"/>
        <w:gridCol w:w="1671"/>
      </w:tblGrid>
      <w:tr w14:paraId="2A298E87">
        <w:tblPrEx>
          <w:tblCellMar>
            <w:top w:w="0" w:type="dxa"/>
            <w:left w:w="108" w:type="dxa"/>
            <w:bottom w:w="0" w:type="dxa"/>
            <w:right w:w="108" w:type="dxa"/>
          </w:tblCellMar>
        </w:tblPrEx>
        <w:trPr>
          <w:trHeight w:val="993" w:hRule="atLeast"/>
          <w:jc w:val="center"/>
        </w:trPr>
        <w:tc>
          <w:tcPr>
            <w:tcW w:w="3233" w:type="dxa"/>
            <w:tcBorders>
              <w:top w:val="single" w:color="auto" w:sz="4" w:space="0"/>
              <w:left w:val="single" w:color="auto" w:sz="4" w:space="0"/>
              <w:bottom w:val="single" w:color="auto" w:sz="4" w:space="0"/>
              <w:right w:val="single" w:color="auto" w:sz="4" w:space="0"/>
            </w:tcBorders>
            <w:vAlign w:val="center"/>
          </w:tcPr>
          <w:p w14:paraId="64573D83">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采购内容</w:t>
            </w:r>
          </w:p>
        </w:tc>
        <w:tc>
          <w:tcPr>
            <w:tcW w:w="2489" w:type="dxa"/>
            <w:tcBorders>
              <w:top w:val="single" w:color="auto" w:sz="4" w:space="0"/>
              <w:left w:val="single" w:color="auto" w:sz="4" w:space="0"/>
              <w:bottom w:val="single" w:color="auto" w:sz="4" w:space="0"/>
              <w:right w:val="single" w:color="auto" w:sz="4" w:space="0"/>
            </w:tcBorders>
            <w:vAlign w:val="center"/>
          </w:tcPr>
          <w:p w14:paraId="73C5D52F">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投标总价</w:t>
            </w:r>
          </w:p>
          <w:p w14:paraId="451C0128">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（万元）</w:t>
            </w:r>
          </w:p>
        </w:tc>
        <w:tc>
          <w:tcPr>
            <w:tcW w:w="2065" w:type="dxa"/>
            <w:tcBorders>
              <w:top w:val="single" w:color="auto" w:sz="4" w:space="0"/>
              <w:left w:val="single" w:color="auto" w:sz="4" w:space="0"/>
              <w:bottom w:val="single" w:color="auto" w:sz="4" w:space="0"/>
              <w:right w:val="single" w:color="auto" w:sz="4" w:space="0"/>
            </w:tcBorders>
            <w:vAlign w:val="center"/>
          </w:tcPr>
          <w:p w14:paraId="4D021A9E">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项目负责人</w:t>
            </w:r>
          </w:p>
        </w:tc>
        <w:tc>
          <w:tcPr>
            <w:tcW w:w="1671" w:type="dxa"/>
            <w:tcBorders>
              <w:top w:val="single" w:color="auto" w:sz="4" w:space="0"/>
              <w:left w:val="single" w:color="auto" w:sz="4" w:space="0"/>
              <w:bottom w:val="single" w:color="auto" w:sz="4" w:space="0"/>
              <w:right w:val="single" w:color="auto" w:sz="4" w:space="0"/>
            </w:tcBorders>
            <w:vAlign w:val="center"/>
          </w:tcPr>
          <w:p w14:paraId="1577298A">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474E3D97">
        <w:tblPrEx>
          <w:tblCellMar>
            <w:top w:w="0" w:type="dxa"/>
            <w:left w:w="108" w:type="dxa"/>
            <w:bottom w:w="0" w:type="dxa"/>
            <w:right w:w="108" w:type="dxa"/>
          </w:tblCellMar>
        </w:tblPrEx>
        <w:trPr>
          <w:trHeight w:val="1191" w:hRule="atLeast"/>
          <w:jc w:val="center"/>
        </w:trPr>
        <w:tc>
          <w:tcPr>
            <w:tcW w:w="3233" w:type="dxa"/>
            <w:tcBorders>
              <w:top w:val="single" w:color="auto" w:sz="4" w:space="0"/>
              <w:left w:val="single" w:color="auto" w:sz="4" w:space="0"/>
              <w:bottom w:val="single" w:color="auto" w:sz="4" w:space="0"/>
              <w:right w:val="single" w:color="auto" w:sz="4" w:space="0"/>
            </w:tcBorders>
            <w:vAlign w:val="center"/>
          </w:tcPr>
          <w:p w14:paraId="24719A24">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嘉兴市城市高质量建设发展项目城市更新咨询服务</w:t>
            </w:r>
          </w:p>
        </w:tc>
        <w:tc>
          <w:tcPr>
            <w:tcW w:w="2489" w:type="dxa"/>
            <w:tcBorders>
              <w:top w:val="single" w:color="auto" w:sz="4" w:space="0"/>
              <w:left w:val="single" w:color="auto" w:sz="4" w:space="0"/>
              <w:bottom w:val="single" w:color="auto" w:sz="4" w:space="0"/>
              <w:right w:val="single" w:color="auto" w:sz="4" w:space="0"/>
            </w:tcBorders>
            <w:vAlign w:val="center"/>
          </w:tcPr>
          <w:p w14:paraId="4AB2D8AB">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w:t>
            </w:r>
          </w:p>
        </w:tc>
        <w:tc>
          <w:tcPr>
            <w:tcW w:w="2065" w:type="dxa"/>
            <w:tcBorders>
              <w:top w:val="single" w:color="auto" w:sz="4" w:space="0"/>
              <w:left w:val="single" w:color="auto" w:sz="4" w:space="0"/>
              <w:bottom w:val="single" w:color="auto" w:sz="4" w:space="0"/>
              <w:right w:val="single" w:color="auto" w:sz="4" w:space="0"/>
            </w:tcBorders>
            <w:vAlign w:val="center"/>
          </w:tcPr>
          <w:p w14:paraId="1398C890">
            <w:pPr>
              <w:widowControl/>
              <w:spacing w:line="360" w:lineRule="auto"/>
              <w:rPr>
                <w:rFonts w:ascii="宋体" w:hAnsi="宋体" w:cs="宋体"/>
                <w:b/>
                <w:color w:val="auto"/>
                <w:kern w:val="0"/>
                <w:sz w:val="24"/>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14:paraId="7AE1AC72">
            <w:pPr>
              <w:adjustRightInd w:val="0"/>
              <w:snapToGrid w:val="0"/>
              <w:rPr>
                <w:rFonts w:ascii="宋体" w:hAnsi="宋体" w:cs="宋体"/>
                <w:b/>
                <w:color w:val="auto"/>
                <w:kern w:val="0"/>
                <w:sz w:val="24"/>
                <w:highlight w:val="none"/>
              </w:rPr>
            </w:pPr>
          </w:p>
        </w:tc>
      </w:tr>
      <w:tr w14:paraId="117083CC">
        <w:tblPrEx>
          <w:tblCellMar>
            <w:top w:w="0" w:type="dxa"/>
            <w:left w:w="108" w:type="dxa"/>
            <w:bottom w:w="0" w:type="dxa"/>
            <w:right w:w="108" w:type="dxa"/>
          </w:tblCellMar>
        </w:tblPrEx>
        <w:trPr>
          <w:trHeight w:val="784" w:hRule="atLeast"/>
          <w:jc w:val="center"/>
        </w:trPr>
        <w:tc>
          <w:tcPr>
            <w:tcW w:w="9458" w:type="dxa"/>
            <w:gridSpan w:val="4"/>
            <w:tcBorders>
              <w:top w:val="nil"/>
              <w:left w:val="single" w:color="auto" w:sz="4" w:space="0"/>
              <w:bottom w:val="single" w:color="auto" w:sz="4" w:space="0"/>
              <w:right w:val="single" w:color="auto" w:sz="4" w:space="0"/>
            </w:tcBorders>
            <w:vAlign w:val="center"/>
          </w:tcPr>
          <w:p w14:paraId="3E6AF1DA">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投标总价（人民币大写）：</w:t>
            </w:r>
          </w:p>
        </w:tc>
      </w:tr>
    </w:tbl>
    <w:p w14:paraId="05F69396">
      <w:pPr>
        <w:widowControl/>
        <w:spacing w:line="360" w:lineRule="auto"/>
        <w:jc w:val="left"/>
        <w:rPr>
          <w:rFonts w:ascii="宋体" w:hAnsi="宋体"/>
          <w:b/>
          <w:color w:val="auto"/>
          <w:kern w:val="0"/>
          <w:sz w:val="24"/>
          <w:szCs w:val="21"/>
          <w:highlight w:val="none"/>
        </w:rPr>
      </w:pPr>
    </w:p>
    <w:p w14:paraId="78E06193">
      <w:pPr>
        <w:snapToGrid w:val="0"/>
        <w:spacing w:line="360" w:lineRule="auto"/>
        <w:rPr>
          <w:rFonts w:ascii="宋体" w:hAnsi="宋体"/>
          <w:color w:val="auto"/>
          <w:sz w:val="24"/>
          <w:highlight w:val="none"/>
        </w:rPr>
      </w:pPr>
      <w:r>
        <w:rPr>
          <w:rFonts w:ascii="宋体" w:hAnsi="宋体"/>
          <w:b/>
          <w:color w:val="auto"/>
          <w:sz w:val="24"/>
          <w:highlight w:val="none"/>
        </w:rPr>
        <w:t xml:space="preserve">注: </w:t>
      </w:r>
      <w:r>
        <w:rPr>
          <w:rFonts w:ascii="宋体" w:hAnsi="宋体"/>
          <w:color w:val="auto"/>
          <w:sz w:val="24"/>
          <w:highlight w:val="none"/>
        </w:rPr>
        <w:t>1、报价一经涂改，应在涂改处加盖单位公章或者由法定代表人或授权委托人签字或盖章，否则其投标作无效标处理。</w:t>
      </w:r>
    </w:p>
    <w:p w14:paraId="4E691841">
      <w:pPr>
        <w:numPr>
          <w:ilvl w:val="0"/>
          <w:numId w:val="6"/>
        </w:num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投标费用</w:t>
      </w:r>
      <w:r>
        <w:rPr>
          <w:rFonts w:hint="eastAsia" w:ascii="宋体" w:hAnsi="宋体"/>
          <w:color w:val="auto"/>
          <w:sz w:val="24"/>
          <w:highlight w:val="none"/>
        </w:rPr>
        <w:t>是履行合同的最终价格。</w:t>
      </w:r>
    </w:p>
    <w:p w14:paraId="1EB5B1F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、以上报价应与“投标报价明细表”中的“投标总价”相一致。</w:t>
      </w:r>
    </w:p>
    <w:p w14:paraId="631F3489">
      <w:pPr>
        <w:widowControl/>
        <w:spacing w:line="360" w:lineRule="auto"/>
        <w:ind w:firstLine="480" w:firstLineChars="200"/>
        <w:jc w:val="left"/>
        <w:rPr>
          <w:rFonts w:ascii="宋体" w:hAnsi="宋体" w:cs="宋体"/>
          <w:color w:val="auto"/>
          <w:kern w:val="0"/>
          <w:sz w:val="24"/>
          <w:highlight w:val="none"/>
        </w:rPr>
      </w:pPr>
    </w:p>
    <w:p w14:paraId="26453D92">
      <w:pPr>
        <w:widowControl/>
        <w:spacing w:line="480" w:lineRule="auto"/>
        <w:jc w:val="left"/>
        <w:rPr>
          <w:rFonts w:ascii="宋体" w:hAnsi="宋体"/>
          <w:color w:val="auto"/>
          <w:kern w:val="0"/>
          <w:sz w:val="24"/>
          <w:szCs w:val="21"/>
          <w:highlight w:val="none"/>
        </w:rPr>
      </w:pPr>
      <w:r>
        <w:rPr>
          <w:rFonts w:hint="eastAsia" w:ascii="宋体" w:hAnsi="宋体"/>
          <w:color w:val="auto"/>
          <w:kern w:val="0"/>
          <w:sz w:val="24"/>
          <w:szCs w:val="21"/>
          <w:highlight w:val="none"/>
        </w:rPr>
        <w:t>投标人（盖章）：</w:t>
      </w:r>
    </w:p>
    <w:p w14:paraId="4957D9B0">
      <w:pPr>
        <w:widowControl/>
        <w:spacing w:line="480" w:lineRule="auto"/>
        <w:jc w:val="left"/>
        <w:rPr>
          <w:rFonts w:ascii="宋体" w:hAnsi="宋体"/>
          <w:color w:val="auto"/>
          <w:kern w:val="0"/>
          <w:sz w:val="24"/>
          <w:szCs w:val="21"/>
          <w:highlight w:val="none"/>
        </w:rPr>
      </w:pPr>
      <w:r>
        <w:rPr>
          <w:rFonts w:hint="eastAsia" w:ascii="宋体" w:hAnsi="宋体"/>
          <w:color w:val="auto"/>
          <w:kern w:val="0"/>
          <w:sz w:val="24"/>
          <w:szCs w:val="21"/>
          <w:highlight w:val="none"/>
        </w:rPr>
        <w:t>法定代表人或授权委托代理人（签字或盖章）：</w:t>
      </w:r>
    </w:p>
    <w:p w14:paraId="4A471200">
      <w:pPr>
        <w:widowControl/>
        <w:spacing w:line="360" w:lineRule="exact"/>
        <w:jc w:val="left"/>
        <w:rPr>
          <w:rFonts w:ascii="宋体" w:hAnsi="宋体"/>
          <w:color w:val="auto"/>
          <w:kern w:val="0"/>
          <w:sz w:val="24"/>
          <w:szCs w:val="21"/>
          <w:highlight w:val="none"/>
        </w:rPr>
      </w:pPr>
      <w:r>
        <w:rPr>
          <w:rFonts w:hint="eastAsia" w:ascii="宋体" w:hAnsi="宋体"/>
          <w:color w:val="auto"/>
          <w:kern w:val="0"/>
          <w:sz w:val="24"/>
          <w:szCs w:val="21"/>
          <w:highlight w:val="none"/>
        </w:rPr>
        <w:t>日期：</w:t>
      </w:r>
    </w:p>
    <w:p w14:paraId="238A5468">
      <w:pPr>
        <w:rPr>
          <w:rFonts w:ascii="宋体" w:hAnsi="宋体" w:cs="宋体"/>
          <w:b/>
          <w:color w:val="auto"/>
          <w:kern w:val="0"/>
          <w:sz w:val="24"/>
          <w:highlight w:val="none"/>
        </w:rPr>
      </w:pPr>
      <w:r>
        <w:rPr>
          <w:rFonts w:ascii="宋体" w:hAnsi="宋体" w:cs="宋体"/>
          <w:b/>
          <w:color w:val="auto"/>
          <w:kern w:val="0"/>
          <w:sz w:val="24"/>
          <w:highlight w:val="none"/>
        </w:rPr>
        <w:br w:type="page"/>
      </w:r>
    </w:p>
    <w:p w14:paraId="31EB75C3">
      <w:pPr>
        <w:pStyle w:val="3"/>
        <w:spacing w:line="360" w:lineRule="auto"/>
        <w:jc w:val="left"/>
        <w:rPr>
          <w:rFonts w:ascii="宋体" w:hAnsi="宋体" w:cs="宋体"/>
          <w:b/>
          <w:color w:val="auto"/>
          <w:sz w:val="24"/>
          <w:highlight w:val="none"/>
        </w:rPr>
      </w:pPr>
      <w:r>
        <w:rPr>
          <w:rFonts w:hint="eastAsia" w:ascii="宋体" w:hAnsi="宋体" w:cs="宋体"/>
          <w:b/>
          <w:color w:val="auto"/>
          <w:sz w:val="24"/>
          <w:highlight w:val="none"/>
        </w:rPr>
        <w:t>3、投标报价明细表：</w:t>
      </w:r>
    </w:p>
    <w:p w14:paraId="60030D9D">
      <w:pPr>
        <w:rPr>
          <w:color w:val="auto"/>
          <w:highlight w:val="none"/>
        </w:rPr>
      </w:pPr>
    </w:p>
    <w:p w14:paraId="5CBF442D">
      <w:pPr>
        <w:rPr>
          <w:color w:val="auto"/>
          <w:highlight w:val="none"/>
        </w:rPr>
      </w:pPr>
    </w:p>
    <w:p w14:paraId="15493F07">
      <w:pPr>
        <w:rPr>
          <w:color w:val="auto"/>
          <w:highlight w:val="none"/>
        </w:rPr>
      </w:pPr>
    </w:p>
    <w:p w14:paraId="37D9A1C5">
      <w:pPr>
        <w:rPr>
          <w:color w:val="auto"/>
          <w:highlight w:val="none"/>
        </w:rPr>
      </w:pPr>
      <w:r>
        <w:rPr>
          <w:rFonts w:hint="eastAsia"/>
          <w:color w:val="auto"/>
          <w:highlight w:val="none"/>
        </w:rPr>
        <w:t>格式自拟</w:t>
      </w:r>
    </w:p>
    <w:p w14:paraId="52B31F81">
      <w:pPr>
        <w:widowControl/>
        <w:jc w:val="left"/>
        <w:rPr>
          <w:rFonts w:ascii="宋体" w:hAnsi="宋体" w:cs="宋体"/>
          <w:b/>
          <w:color w:val="auto"/>
          <w:kern w:val="0"/>
          <w:sz w:val="24"/>
          <w:highlight w:val="none"/>
        </w:rPr>
      </w:pPr>
    </w:p>
    <w:p w14:paraId="0CD4DB6C">
      <w:pPr>
        <w:spacing w:line="380" w:lineRule="exact"/>
        <w:rPr>
          <w:rFonts w:ascii="宋体" w:hAnsi="宋体" w:cs="宋体"/>
          <w:color w:val="auto"/>
          <w:highlight w:val="none"/>
        </w:rPr>
      </w:pPr>
    </w:p>
    <w:sectPr>
      <w:headerReference r:id="rId4" w:type="default"/>
      <w:footerReference r:id="rId5" w:type="default"/>
      <w:pgSz w:w="11906" w:h="16838"/>
      <w:pgMar w:top="1134" w:right="1361" w:bottom="1134"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微软雅黑 Light">
    <w:panose1 w:val="020B0502040204020203"/>
    <w:charset w:val="86"/>
    <w:family w:val="swiss"/>
    <w:pitch w:val="default"/>
    <w:sig w:usb0="80000287" w:usb1="2ACF0010" w:usb2="00000016" w:usb3="00000000" w:csb0="0004001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D6ED">
    <w:pPr>
      <w:pStyle w:val="18"/>
    </w:pPr>
    <w:r>
      <w:rPr>
        <w:rFonts w:ascii="宋体" w:hAnsi="宋体"/>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9705"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a:noFill/>
                      </a:ln>
                      <a:effectLst/>
                    </wps:spPr>
                    <wps:txbx>
                      <w:txbxContent>
                        <w:p w14:paraId="23976CA3">
                          <w:pPr>
                            <w:pStyle w:val="18"/>
                          </w:pPr>
                          <w:r>
                            <w:fldChar w:fldCharType="begin"/>
                          </w:r>
                          <w:r>
                            <w:instrText xml:space="preserve"> PAGE  \* MERGEFORMAT </w:instrText>
                          </w:r>
                          <w:r>
                            <w:fldChar w:fldCharType="separate"/>
                          </w:r>
                          <w:r>
                            <w:t>- 42 -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14.15pt;mso-position-horizontal:right;mso-position-horizontal-relative:margin;mso-wrap-style:none;z-index:251659264;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RZ6x0AAAAAMBAAAPAAAAAAAAAAEAIAAAACIAAABkcnMv&#10;ZG93bnJldi54bWxQSwECFAAUAAAACACHTuJAas9iIdIBAAClAwAADgAAAAAAAAABACAAAAAfAQAA&#10;ZHJzL2Uyb0RvYy54bWxQSwUGAAAAAAYABgBZAQAAYwUAAAAA&#10;">
              <v:fill on="f" focussize="0,0"/>
              <v:stroke on="f"/>
              <v:imagedata o:title=""/>
              <o:lock v:ext="edit" aspectratio="f"/>
              <v:textbox inset="0mm,0mm,0mm,0mm" style="mso-fit-shape-to-text:t;">
                <w:txbxContent>
                  <w:p w14:paraId="23976CA3">
                    <w:pPr>
                      <w:pStyle w:val="18"/>
                    </w:pPr>
                    <w:r>
                      <w:fldChar w:fldCharType="begin"/>
                    </w:r>
                    <w:r>
                      <w:instrText xml:space="preserve"> PAGE  \* MERGEFORMAT </w:instrText>
                    </w:r>
                    <w:r>
                      <w:fldChar w:fldCharType="separate"/>
                    </w:r>
                    <w:r>
                      <w:t>- 42 -</w:t>
                    </w:r>
                    <w:r>
                      <w:fldChar w:fldCharType="end"/>
                    </w:r>
                  </w:p>
                </w:txbxContent>
              </v:textbox>
            </v:shape>
          </w:pict>
        </mc:Fallback>
      </mc:AlternateContent>
    </w:r>
    <w:r>
      <w:rPr>
        <w:rFonts w:hint="eastAsia" w:ascii="宋体" w:hAnsi="宋体"/>
      </w:rPr>
      <w:t xml:space="preserve">浙江中惠工程管理有限公司   </w:t>
    </w:r>
    <w:r>
      <w:rPr>
        <w:rFonts w:hint="eastAsia" w:ascii="宋体" w:hAnsi="宋体"/>
      </w:rPr>
      <w:tab/>
    </w:r>
    <w:r>
      <w:rPr>
        <w:rFonts w:hint="eastAsia" w:ascii="宋体" w:hAnsi="宋体"/>
      </w:rPr>
      <w:t xml:space="preserve">         联系电话：0573-82725567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54B10">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00BE">
    <w:pPr>
      <w:pStyle w:val="19"/>
      <w:rPr>
        <w:rFonts w:ascii="宋体" w:hAnsi="宋体"/>
      </w:rPr>
    </w:pPr>
    <w:r>
      <w:rPr>
        <w:rFonts w:hint="eastAsia" w:ascii="宋体" w:hAnsi="宋体"/>
      </w:rPr>
      <w:t>嘉兴市城市高质量建设发展项目城市更新咨询服务·竞争性磋商文件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57"/>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00000002"/>
    <w:multiLevelType w:val="singleLevel"/>
    <w:tmpl w:val="00000002"/>
    <w:lvl w:ilvl="0" w:tentative="0">
      <w:start w:val="1"/>
      <w:numFmt w:val="decimal"/>
      <w:pStyle w:val="6"/>
      <w:lvlText w:val="%1."/>
      <w:lvlJc w:val="left"/>
      <w:pPr>
        <w:tabs>
          <w:tab w:val="left" w:pos="360"/>
        </w:tabs>
        <w:ind w:left="360" w:hanging="360"/>
      </w:pPr>
    </w:lvl>
  </w:abstractNum>
  <w:abstractNum w:abstractNumId="2">
    <w:nsid w:val="00000003"/>
    <w:multiLevelType w:val="multilevel"/>
    <w:tmpl w:val="00000003"/>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56F7C9A"/>
    <w:multiLevelType w:val="singleLevel"/>
    <w:tmpl w:val="056F7C9A"/>
    <w:lvl w:ilvl="0" w:tentative="0">
      <w:start w:val="2"/>
      <w:numFmt w:val="decimal"/>
      <w:suff w:val="nothing"/>
      <w:lvlText w:val="%1、"/>
      <w:lvlJc w:val="left"/>
    </w:lvl>
  </w:abstractNum>
  <w:abstractNum w:abstractNumId="4">
    <w:nsid w:val="1DC890E9"/>
    <w:multiLevelType w:val="singleLevel"/>
    <w:tmpl w:val="1DC890E9"/>
    <w:lvl w:ilvl="0" w:tentative="0">
      <w:start w:val="1"/>
      <w:numFmt w:val="decimal"/>
      <w:lvlText w:val="%1."/>
      <w:lvlJc w:val="left"/>
      <w:pPr>
        <w:tabs>
          <w:tab w:val="left" w:pos="312"/>
        </w:tabs>
      </w:pPr>
    </w:lvl>
  </w:abstractNum>
  <w:abstractNum w:abstractNumId="5">
    <w:nsid w:val="684C738B"/>
    <w:multiLevelType w:val="multilevel"/>
    <w:tmpl w:val="684C738B"/>
    <w:lvl w:ilvl="0" w:tentative="0">
      <w:start w:val="1"/>
      <w:numFmt w:val="decimal"/>
      <w:lvlText w:val="%1"/>
      <w:lvlJc w:val="left"/>
      <w:pPr>
        <w:ind w:left="432" w:hanging="432"/>
      </w:pPr>
      <w:rPr>
        <w:rFonts w:hint="eastAsia"/>
      </w:rPr>
    </w:lvl>
    <w:lvl w:ilvl="1" w:tentative="0">
      <w:start w:val="1"/>
      <w:numFmt w:val="decimal"/>
      <w:pStyle w:val="48"/>
      <w:lvlText w:val="%1.%2"/>
      <w:lvlJc w:val="left"/>
      <w:pPr>
        <w:ind w:left="1144" w:hanging="576"/>
      </w:pPr>
      <w:rPr>
        <w:rFonts w:hint="eastAsia"/>
      </w:rPr>
    </w:lvl>
    <w:lvl w:ilvl="2" w:tentative="0">
      <w:start w:val="1"/>
      <w:numFmt w:val="decimal"/>
      <w:pStyle w:val="49"/>
      <w:lvlText w:val="%1.%2.%3"/>
      <w:lvlJc w:val="left"/>
      <w:pPr>
        <w:ind w:left="720" w:hanging="720"/>
      </w:pPr>
      <w:rPr>
        <w:rFonts w:hint="eastAsia"/>
      </w:rPr>
    </w:lvl>
    <w:lvl w:ilvl="3" w:tentative="0">
      <w:start w:val="1"/>
      <w:numFmt w:val="decimal"/>
      <w:pStyle w:val="63"/>
      <w:lvlText w:val="%1.%2.%3.%4"/>
      <w:lvlJc w:val="left"/>
      <w:pPr>
        <w:ind w:left="864" w:hanging="580"/>
      </w:pPr>
      <w:rPr>
        <w:rFonts w:hint="eastAsia" w:cs="Times New Roman"/>
        <w:b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lvlText w:val="%1.%2.%3.%4.%5"/>
      <w:lvlJc w:val="left"/>
      <w:pPr>
        <w:ind w:left="1008" w:hanging="554"/>
      </w:pPr>
      <w:rPr>
        <w:rFonts w:hint="eastAsia" w:cs="Times New Roman"/>
        <w:b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lvlText w:val="%1.%2.%3.%4.%5.%6"/>
      <w:lvlJc w:val="left"/>
      <w:pPr>
        <w:ind w:left="1152" w:hanging="1152"/>
      </w:pPr>
      <w:rPr>
        <w:rFonts w:hint="eastAsia" w:cs="Times New Roman"/>
        <w:b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ind w:left="1296" w:hanging="1296"/>
      </w:pPr>
      <w:rPr>
        <w:rFonts w:hint="eastAsia"/>
      </w:rPr>
    </w:lvl>
    <w:lvl w:ilvl="7" w:tentative="0">
      <w:start w:val="1"/>
      <w:numFmt w:val="decimal"/>
      <w:lvlText w:val="%8)"/>
      <w:lvlJc w:val="left"/>
      <w:pPr>
        <w:ind w:left="1440" w:hanging="1440"/>
      </w:pPr>
      <w:rPr>
        <w:rFonts w:hint="eastAsia"/>
      </w:rPr>
    </w:lvl>
    <w:lvl w:ilvl="8" w:tentative="0">
      <w:start w:val="1"/>
      <w:numFmt w:val="bullet"/>
      <w:lvlText w:val=""/>
      <w:lvlJc w:val="left"/>
      <w:pPr>
        <w:ind w:left="1584" w:hanging="1584"/>
      </w:pPr>
      <w:rPr>
        <w:rFonts w:hint="default" w:ascii="Wingdings" w:hAnsi="Wingdings"/>
      </w:rPr>
    </w:lvl>
  </w:abstractNum>
  <w:num w:numId="1">
    <w:abstractNumId w:val="1"/>
  </w:num>
  <w:num w:numId="2">
    <w:abstractNumId w:val="5"/>
  </w:num>
  <w:num w:numId="3">
    <w:abstractNumId w:val="0"/>
  </w:num>
  <w:num w:numId="4">
    <w:abstractNumId w:val="2"/>
    <w:lvlOverride w:ilvl="0">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YzkyYmMwZGY1OTQ0ZDRjNTJkYTYyYjk1Nzk3MWMifQ=="/>
  </w:docVars>
  <w:rsids>
    <w:rsidRoot w:val="00172A27"/>
    <w:rsid w:val="00012E45"/>
    <w:rsid w:val="0002041C"/>
    <w:rsid w:val="00035B9A"/>
    <w:rsid w:val="00036E0A"/>
    <w:rsid w:val="00050C43"/>
    <w:rsid w:val="000640FE"/>
    <w:rsid w:val="000801ED"/>
    <w:rsid w:val="00087C8E"/>
    <w:rsid w:val="00090ABC"/>
    <w:rsid w:val="000A7176"/>
    <w:rsid w:val="000C0028"/>
    <w:rsid w:val="000C3F4B"/>
    <w:rsid w:val="000D4547"/>
    <w:rsid w:val="000D71E4"/>
    <w:rsid w:val="000D789B"/>
    <w:rsid w:val="000E0D35"/>
    <w:rsid w:val="000F6467"/>
    <w:rsid w:val="00102CC5"/>
    <w:rsid w:val="00111C22"/>
    <w:rsid w:val="00113B08"/>
    <w:rsid w:val="00123D38"/>
    <w:rsid w:val="00123EC2"/>
    <w:rsid w:val="0013429A"/>
    <w:rsid w:val="001506B6"/>
    <w:rsid w:val="00165BEB"/>
    <w:rsid w:val="00170F5B"/>
    <w:rsid w:val="00172A27"/>
    <w:rsid w:val="00176611"/>
    <w:rsid w:val="00180D9D"/>
    <w:rsid w:val="001A7FEF"/>
    <w:rsid w:val="001B0817"/>
    <w:rsid w:val="001F032E"/>
    <w:rsid w:val="001F05E9"/>
    <w:rsid w:val="001F167D"/>
    <w:rsid w:val="0020533F"/>
    <w:rsid w:val="00206635"/>
    <w:rsid w:val="002100AC"/>
    <w:rsid w:val="002167D2"/>
    <w:rsid w:val="0022559D"/>
    <w:rsid w:val="002352E9"/>
    <w:rsid w:val="00236D4C"/>
    <w:rsid w:val="002446C5"/>
    <w:rsid w:val="002455E5"/>
    <w:rsid w:val="002623DD"/>
    <w:rsid w:val="002A6B6C"/>
    <w:rsid w:val="002B4D2F"/>
    <w:rsid w:val="002B622E"/>
    <w:rsid w:val="002D1AA1"/>
    <w:rsid w:val="00314B28"/>
    <w:rsid w:val="0031582E"/>
    <w:rsid w:val="00317CD2"/>
    <w:rsid w:val="0032309F"/>
    <w:rsid w:val="003242F9"/>
    <w:rsid w:val="003339B3"/>
    <w:rsid w:val="00341F52"/>
    <w:rsid w:val="00343227"/>
    <w:rsid w:val="0035587E"/>
    <w:rsid w:val="00357B76"/>
    <w:rsid w:val="0036787D"/>
    <w:rsid w:val="003679F9"/>
    <w:rsid w:val="003821CE"/>
    <w:rsid w:val="00386377"/>
    <w:rsid w:val="003878A9"/>
    <w:rsid w:val="00390412"/>
    <w:rsid w:val="003A2E36"/>
    <w:rsid w:val="003A3DD7"/>
    <w:rsid w:val="003B38DD"/>
    <w:rsid w:val="003D2C21"/>
    <w:rsid w:val="003D70BF"/>
    <w:rsid w:val="003D765A"/>
    <w:rsid w:val="003E19F5"/>
    <w:rsid w:val="003F7C8F"/>
    <w:rsid w:val="00403EA5"/>
    <w:rsid w:val="004040E2"/>
    <w:rsid w:val="00423EB4"/>
    <w:rsid w:val="00430049"/>
    <w:rsid w:val="004443A0"/>
    <w:rsid w:val="00445864"/>
    <w:rsid w:val="00451FC3"/>
    <w:rsid w:val="004702E7"/>
    <w:rsid w:val="0047231F"/>
    <w:rsid w:val="00475CA7"/>
    <w:rsid w:val="004C6260"/>
    <w:rsid w:val="004F04F6"/>
    <w:rsid w:val="00511DFB"/>
    <w:rsid w:val="005202B6"/>
    <w:rsid w:val="00534A8D"/>
    <w:rsid w:val="00552333"/>
    <w:rsid w:val="00553D27"/>
    <w:rsid w:val="00562481"/>
    <w:rsid w:val="00562580"/>
    <w:rsid w:val="00570F9C"/>
    <w:rsid w:val="0059156A"/>
    <w:rsid w:val="005916B2"/>
    <w:rsid w:val="005955D3"/>
    <w:rsid w:val="005B06DB"/>
    <w:rsid w:val="005B59A3"/>
    <w:rsid w:val="005D33C7"/>
    <w:rsid w:val="005D401F"/>
    <w:rsid w:val="005E74ED"/>
    <w:rsid w:val="005E76AF"/>
    <w:rsid w:val="0060232A"/>
    <w:rsid w:val="006023D5"/>
    <w:rsid w:val="00610F0D"/>
    <w:rsid w:val="00613A68"/>
    <w:rsid w:val="006176E0"/>
    <w:rsid w:val="00634D51"/>
    <w:rsid w:val="006410C3"/>
    <w:rsid w:val="00657F9B"/>
    <w:rsid w:val="00670BE6"/>
    <w:rsid w:val="00674F2B"/>
    <w:rsid w:val="006975A9"/>
    <w:rsid w:val="006B1364"/>
    <w:rsid w:val="006C6AB1"/>
    <w:rsid w:val="006D2CF5"/>
    <w:rsid w:val="006D76E2"/>
    <w:rsid w:val="006F6F48"/>
    <w:rsid w:val="006F7F3C"/>
    <w:rsid w:val="0070254B"/>
    <w:rsid w:val="00716AE8"/>
    <w:rsid w:val="00740A2D"/>
    <w:rsid w:val="00742C8A"/>
    <w:rsid w:val="00752402"/>
    <w:rsid w:val="00781E2C"/>
    <w:rsid w:val="007B090C"/>
    <w:rsid w:val="007B4F57"/>
    <w:rsid w:val="007B6D0D"/>
    <w:rsid w:val="007C368F"/>
    <w:rsid w:val="007C3E69"/>
    <w:rsid w:val="007C5227"/>
    <w:rsid w:val="007E1183"/>
    <w:rsid w:val="007E703E"/>
    <w:rsid w:val="00801C63"/>
    <w:rsid w:val="00804E37"/>
    <w:rsid w:val="008111F5"/>
    <w:rsid w:val="008141AD"/>
    <w:rsid w:val="00821F3C"/>
    <w:rsid w:val="00824528"/>
    <w:rsid w:val="0083404E"/>
    <w:rsid w:val="00843C97"/>
    <w:rsid w:val="00852072"/>
    <w:rsid w:val="00865297"/>
    <w:rsid w:val="00873650"/>
    <w:rsid w:val="00876902"/>
    <w:rsid w:val="0089370C"/>
    <w:rsid w:val="008A3FBC"/>
    <w:rsid w:val="008D109A"/>
    <w:rsid w:val="008D5EC3"/>
    <w:rsid w:val="008E21C1"/>
    <w:rsid w:val="008E5D9F"/>
    <w:rsid w:val="008F6496"/>
    <w:rsid w:val="0090184F"/>
    <w:rsid w:val="009021C3"/>
    <w:rsid w:val="00903100"/>
    <w:rsid w:val="009162DF"/>
    <w:rsid w:val="0092564A"/>
    <w:rsid w:val="00934FE2"/>
    <w:rsid w:val="009365AA"/>
    <w:rsid w:val="0094678D"/>
    <w:rsid w:val="00954B7A"/>
    <w:rsid w:val="00964C02"/>
    <w:rsid w:val="00974CA2"/>
    <w:rsid w:val="009A23BC"/>
    <w:rsid w:val="009A6F7D"/>
    <w:rsid w:val="009B27ED"/>
    <w:rsid w:val="009C2A89"/>
    <w:rsid w:val="009D6D9E"/>
    <w:rsid w:val="009E3FE5"/>
    <w:rsid w:val="00A178B1"/>
    <w:rsid w:val="00A219DD"/>
    <w:rsid w:val="00A245A2"/>
    <w:rsid w:val="00A34D9B"/>
    <w:rsid w:val="00A45B90"/>
    <w:rsid w:val="00A62FC0"/>
    <w:rsid w:val="00A84F0A"/>
    <w:rsid w:val="00A85264"/>
    <w:rsid w:val="00A87EC3"/>
    <w:rsid w:val="00A96075"/>
    <w:rsid w:val="00A96253"/>
    <w:rsid w:val="00AE107D"/>
    <w:rsid w:val="00AF1ACC"/>
    <w:rsid w:val="00AF38F6"/>
    <w:rsid w:val="00B12E46"/>
    <w:rsid w:val="00B20EEA"/>
    <w:rsid w:val="00B2286B"/>
    <w:rsid w:val="00B23CFE"/>
    <w:rsid w:val="00B607A5"/>
    <w:rsid w:val="00B64788"/>
    <w:rsid w:val="00B66875"/>
    <w:rsid w:val="00B702B5"/>
    <w:rsid w:val="00B95618"/>
    <w:rsid w:val="00BB04FB"/>
    <w:rsid w:val="00BB4D4C"/>
    <w:rsid w:val="00BC3E29"/>
    <w:rsid w:val="00BC7507"/>
    <w:rsid w:val="00BD27B7"/>
    <w:rsid w:val="00BD3672"/>
    <w:rsid w:val="00BE0B12"/>
    <w:rsid w:val="00BE762A"/>
    <w:rsid w:val="00BF1BE2"/>
    <w:rsid w:val="00BF738C"/>
    <w:rsid w:val="00C17555"/>
    <w:rsid w:val="00C21090"/>
    <w:rsid w:val="00C768E7"/>
    <w:rsid w:val="00C776BA"/>
    <w:rsid w:val="00C92E0B"/>
    <w:rsid w:val="00CA5324"/>
    <w:rsid w:val="00CA68E4"/>
    <w:rsid w:val="00CC3AFD"/>
    <w:rsid w:val="00CD60D1"/>
    <w:rsid w:val="00CE75B8"/>
    <w:rsid w:val="00CF1822"/>
    <w:rsid w:val="00CF2B1C"/>
    <w:rsid w:val="00D055E8"/>
    <w:rsid w:val="00D1763B"/>
    <w:rsid w:val="00D36481"/>
    <w:rsid w:val="00D53247"/>
    <w:rsid w:val="00D55EB4"/>
    <w:rsid w:val="00D6408B"/>
    <w:rsid w:val="00D90089"/>
    <w:rsid w:val="00DB7741"/>
    <w:rsid w:val="00DC24A5"/>
    <w:rsid w:val="00DC31D7"/>
    <w:rsid w:val="00DD33A6"/>
    <w:rsid w:val="00DE126A"/>
    <w:rsid w:val="00DF6A79"/>
    <w:rsid w:val="00E02A38"/>
    <w:rsid w:val="00E0313E"/>
    <w:rsid w:val="00E05429"/>
    <w:rsid w:val="00E06E49"/>
    <w:rsid w:val="00E10047"/>
    <w:rsid w:val="00E27396"/>
    <w:rsid w:val="00E37A92"/>
    <w:rsid w:val="00E433B6"/>
    <w:rsid w:val="00E44E8C"/>
    <w:rsid w:val="00E6174F"/>
    <w:rsid w:val="00E70845"/>
    <w:rsid w:val="00E8195F"/>
    <w:rsid w:val="00E82B94"/>
    <w:rsid w:val="00EC129E"/>
    <w:rsid w:val="00EC2881"/>
    <w:rsid w:val="00ED7547"/>
    <w:rsid w:val="00EE4893"/>
    <w:rsid w:val="00EE4D44"/>
    <w:rsid w:val="00F0342B"/>
    <w:rsid w:val="00F13277"/>
    <w:rsid w:val="00F34B9C"/>
    <w:rsid w:val="00F4290A"/>
    <w:rsid w:val="00F47589"/>
    <w:rsid w:val="00F52D5B"/>
    <w:rsid w:val="00F54276"/>
    <w:rsid w:val="00F646F3"/>
    <w:rsid w:val="00F71B76"/>
    <w:rsid w:val="00F86987"/>
    <w:rsid w:val="00FC119B"/>
    <w:rsid w:val="00FD24C0"/>
    <w:rsid w:val="00FD7B13"/>
    <w:rsid w:val="00FF1B18"/>
    <w:rsid w:val="00FF68CA"/>
    <w:rsid w:val="01D96255"/>
    <w:rsid w:val="02D85BF6"/>
    <w:rsid w:val="0356189E"/>
    <w:rsid w:val="05004A57"/>
    <w:rsid w:val="0616571D"/>
    <w:rsid w:val="08AD1F6E"/>
    <w:rsid w:val="0AE3678E"/>
    <w:rsid w:val="0B0F1CB4"/>
    <w:rsid w:val="0B2058F5"/>
    <w:rsid w:val="0B274E3E"/>
    <w:rsid w:val="0CD54911"/>
    <w:rsid w:val="0D060E2A"/>
    <w:rsid w:val="0D0E7D44"/>
    <w:rsid w:val="0D6451B6"/>
    <w:rsid w:val="0E0E5FD3"/>
    <w:rsid w:val="0E5C0210"/>
    <w:rsid w:val="0E8D7726"/>
    <w:rsid w:val="0EC818A5"/>
    <w:rsid w:val="0F1C026A"/>
    <w:rsid w:val="0F5E4E99"/>
    <w:rsid w:val="10C43F6C"/>
    <w:rsid w:val="11FA2072"/>
    <w:rsid w:val="121E3585"/>
    <w:rsid w:val="12DB263C"/>
    <w:rsid w:val="13A54B13"/>
    <w:rsid w:val="142771FD"/>
    <w:rsid w:val="150869FD"/>
    <w:rsid w:val="156F462C"/>
    <w:rsid w:val="163F2850"/>
    <w:rsid w:val="169851FD"/>
    <w:rsid w:val="178A7FB9"/>
    <w:rsid w:val="186F27C4"/>
    <w:rsid w:val="18E7459E"/>
    <w:rsid w:val="1A116605"/>
    <w:rsid w:val="1A4545F6"/>
    <w:rsid w:val="1AB70D51"/>
    <w:rsid w:val="1B117D24"/>
    <w:rsid w:val="1CB452A0"/>
    <w:rsid w:val="1E761E86"/>
    <w:rsid w:val="1F3A5D31"/>
    <w:rsid w:val="1FD0596B"/>
    <w:rsid w:val="21627910"/>
    <w:rsid w:val="229657DF"/>
    <w:rsid w:val="238B4578"/>
    <w:rsid w:val="244F1950"/>
    <w:rsid w:val="25437D0A"/>
    <w:rsid w:val="25E9179A"/>
    <w:rsid w:val="26077B82"/>
    <w:rsid w:val="27094CDC"/>
    <w:rsid w:val="27855AC2"/>
    <w:rsid w:val="282231B6"/>
    <w:rsid w:val="28570A01"/>
    <w:rsid w:val="28677014"/>
    <w:rsid w:val="292E6004"/>
    <w:rsid w:val="2936242A"/>
    <w:rsid w:val="2B117711"/>
    <w:rsid w:val="2B8458DC"/>
    <w:rsid w:val="2BE615F5"/>
    <w:rsid w:val="2C555C95"/>
    <w:rsid w:val="2CCB5AF7"/>
    <w:rsid w:val="2CE87168"/>
    <w:rsid w:val="2CF3274D"/>
    <w:rsid w:val="2E813CD8"/>
    <w:rsid w:val="2F2461C7"/>
    <w:rsid w:val="2FD34791"/>
    <w:rsid w:val="311C749F"/>
    <w:rsid w:val="314C2CB5"/>
    <w:rsid w:val="31C43C8D"/>
    <w:rsid w:val="31F87952"/>
    <w:rsid w:val="33DF326B"/>
    <w:rsid w:val="34D827D7"/>
    <w:rsid w:val="34E32DE2"/>
    <w:rsid w:val="35265452"/>
    <w:rsid w:val="357D27F8"/>
    <w:rsid w:val="35954682"/>
    <w:rsid w:val="367B7FC3"/>
    <w:rsid w:val="369D3403"/>
    <w:rsid w:val="374B4C2A"/>
    <w:rsid w:val="377311F1"/>
    <w:rsid w:val="37FF36C2"/>
    <w:rsid w:val="3959242C"/>
    <w:rsid w:val="3A927A2B"/>
    <w:rsid w:val="3BAD21DD"/>
    <w:rsid w:val="3C3328AA"/>
    <w:rsid w:val="3CB13B28"/>
    <w:rsid w:val="3CD65500"/>
    <w:rsid w:val="3D216783"/>
    <w:rsid w:val="3E5878C6"/>
    <w:rsid w:val="3E972761"/>
    <w:rsid w:val="3EA45DE0"/>
    <w:rsid w:val="3F5A718F"/>
    <w:rsid w:val="40313A07"/>
    <w:rsid w:val="40556615"/>
    <w:rsid w:val="40D01B70"/>
    <w:rsid w:val="41286304"/>
    <w:rsid w:val="42304060"/>
    <w:rsid w:val="42571DE4"/>
    <w:rsid w:val="43B32B74"/>
    <w:rsid w:val="43FA6695"/>
    <w:rsid w:val="458B0326"/>
    <w:rsid w:val="45E43B0A"/>
    <w:rsid w:val="470C44B2"/>
    <w:rsid w:val="47CD25AB"/>
    <w:rsid w:val="47E2130D"/>
    <w:rsid w:val="485E2FEE"/>
    <w:rsid w:val="48EF5AA8"/>
    <w:rsid w:val="49171924"/>
    <w:rsid w:val="49FC7E5D"/>
    <w:rsid w:val="4A616D3D"/>
    <w:rsid w:val="4A8B3C5F"/>
    <w:rsid w:val="4C715381"/>
    <w:rsid w:val="4D292176"/>
    <w:rsid w:val="4D607533"/>
    <w:rsid w:val="4D775082"/>
    <w:rsid w:val="4DA60B74"/>
    <w:rsid w:val="4DB4734B"/>
    <w:rsid w:val="4DD10F56"/>
    <w:rsid w:val="4E6B1B79"/>
    <w:rsid w:val="4E721147"/>
    <w:rsid w:val="4F7E0295"/>
    <w:rsid w:val="50445142"/>
    <w:rsid w:val="510C2D12"/>
    <w:rsid w:val="5147155B"/>
    <w:rsid w:val="52693B3B"/>
    <w:rsid w:val="527C0A76"/>
    <w:rsid w:val="52EB4F08"/>
    <w:rsid w:val="52EC69E9"/>
    <w:rsid w:val="550C0239"/>
    <w:rsid w:val="55B76F40"/>
    <w:rsid w:val="56671279"/>
    <w:rsid w:val="56D046EE"/>
    <w:rsid w:val="57E41835"/>
    <w:rsid w:val="58962D72"/>
    <w:rsid w:val="595534F1"/>
    <w:rsid w:val="59AB76E2"/>
    <w:rsid w:val="5ABF3219"/>
    <w:rsid w:val="5AF2338E"/>
    <w:rsid w:val="5B26004A"/>
    <w:rsid w:val="5B50121E"/>
    <w:rsid w:val="5BF1438E"/>
    <w:rsid w:val="5C0520A2"/>
    <w:rsid w:val="5CA86B39"/>
    <w:rsid w:val="5CFF1550"/>
    <w:rsid w:val="5DE83964"/>
    <w:rsid w:val="5E021AD4"/>
    <w:rsid w:val="5E412874"/>
    <w:rsid w:val="61A74815"/>
    <w:rsid w:val="62B825FD"/>
    <w:rsid w:val="62B92EA8"/>
    <w:rsid w:val="62C8016A"/>
    <w:rsid w:val="62F57452"/>
    <w:rsid w:val="64555CDA"/>
    <w:rsid w:val="64C14FBA"/>
    <w:rsid w:val="64EA4AFA"/>
    <w:rsid w:val="651F7F4D"/>
    <w:rsid w:val="67C86AC4"/>
    <w:rsid w:val="67F4246A"/>
    <w:rsid w:val="691342E5"/>
    <w:rsid w:val="69682C81"/>
    <w:rsid w:val="69AA1760"/>
    <w:rsid w:val="6B340A73"/>
    <w:rsid w:val="6BEA0CBC"/>
    <w:rsid w:val="6C863C6A"/>
    <w:rsid w:val="6CD877DD"/>
    <w:rsid w:val="6D444DEE"/>
    <w:rsid w:val="6D720602"/>
    <w:rsid w:val="6E6908AD"/>
    <w:rsid w:val="6E7E20EE"/>
    <w:rsid w:val="6FB73075"/>
    <w:rsid w:val="70295F33"/>
    <w:rsid w:val="71701BA8"/>
    <w:rsid w:val="74945441"/>
    <w:rsid w:val="77394704"/>
    <w:rsid w:val="77683E8C"/>
    <w:rsid w:val="783D4A28"/>
    <w:rsid w:val="7A2E4638"/>
    <w:rsid w:val="7AEA0041"/>
    <w:rsid w:val="7B842120"/>
    <w:rsid w:val="7C414170"/>
    <w:rsid w:val="7E4061A7"/>
    <w:rsid w:val="7F71127C"/>
    <w:rsid w:val="7FAC7C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pacing w:line="400" w:lineRule="exact"/>
      <w:jc w:val="left"/>
      <w:textAlignment w:val="baseline"/>
      <w:outlineLvl w:val="0"/>
    </w:pPr>
    <w:rPr>
      <w:rFonts w:ascii="Calibri" w:hAnsi="Calibri" w:eastAsia="黑体" w:cs="宋体"/>
      <w:kern w:val="0"/>
      <w:sz w:val="24"/>
    </w:rPr>
  </w:style>
  <w:style w:type="paragraph" w:styleId="3">
    <w:name w:val="heading 2"/>
    <w:basedOn w:val="1"/>
    <w:next w:val="1"/>
    <w:qFormat/>
    <w:uiPriority w:val="0"/>
    <w:pPr>
      <w:tabs>
        <w:tab w:val="left" w:pos="1260"/>
        <w:tab w:val="left" w:pos="1575"/>
      </w:tabs>
      <w:outlineLvl w:val="1"/>
    </w:pPr>
  </w:style>
  <w:style w:type="paragraph" w:styleId="4">
    <w:name w:val="heading 3"/>
    <w:basedOn w:val="1"/>
    <w:next w:val="5"/>
    <w:qFormat/>
    <w:uiPriority w:val="0"/>
    <w:pPr>
      <w:keepNext/>
      <w:keepLines/>
      <w:spacing w:line="413" w:lineRule="auto"/>
      <w:outlineLvl w:val="2"/>
    </w:pPr>
    <w:rPr>
      <w:rFonts w:ascii="Calibri" w:hAnsi="Calibri" w:cs="宋体"/>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5">
    <w:name w:val="标准正文"/>
    <w:basedOn w:val="1"/>
    <w:qFormat/>
    <w:uiPriority w:val="0"/>
    <w:pPr>
      <w:spacing w:line="360" w:lineRule="auto"/>
      <w:ind w:firstLine="200" w:firstLineChars="200"/>
    </w:pPr>
    <w:rPr>
      <w:rFonts w:ascii="Calibri" w:hAnsi="Calibri" w:cs="宋体"/>
      <w:sz w:val="24"/>
      <w:szCs w:val="20"/>
    </w:rPr>
  </w:style>
  <w:style w:type="paragraph" w:styleId="6">
    <w:name w:val="List Number"/>
    <w:basedOn w:val="1"/>
    <w:qFormat/>
    <w:uiPriority w:val="0"/>
    <w:pPr>
      <w:numPr>
        <w:ilvl w:val="0"/>
        <w:numId w:val="1"/>
      </w:numPr>
    </w:pPr>
    <w:rPr>
      <w:rFonts w:ascii="Calibri" w:hAnsi="Calibri" w:cs="宋体"/>
    </w:rPr>
  </w:style>
  <w:style w:type="paragraph" w:styleId="7">
    <w:name w:val="Normal Indent"/>
    <w:basedOn w:val="1"/>
    <w:next w:val="1"/>
    <w:qFormat/>
    <w:uiPriority w:val="0"/>
    <w:pPr>
      <w:widowControl/>
      <w:adjustRightInd w:val="0"/>
      <w:snapToGrid w:val="0"/>
      <w:spacing w:line="480" w:lineRule="exact"/>
      <w:ind w:firstLine="567"/>
    </w:pPr>
    <w:rPr>
      <w:rFonts w:ascii="宋体" w:hAnsi="Calibri" w:cs="宋体"/>
      <w:snapToGrid w:val="0"/>
      <w:color w:val="000000"/>
      <w:kern w:val="28"/>
      <w:sz w:val="28"/>
      <w:szCs w:val="20"/>
    </w:rPr>
  </w:style>
  <w:style w:type="paragraph" w:styleId="8">
    <w:name w:val="Document Map"/>
    <w:basedOn w:val="1"/>
    <w:link w:val="35"/>
    <w:qFormat/>
    <w:uiPriority w:val="0"/>
    <w:rPr>
      <w:rFonts w:ascii="宋体" w:hAnsi="Calibri"/>
      <w:sz w:val="18"/>
      <w:szCs w:val="18"/>
    </w:rPr>
  </w:style>
  <w:style w:type="paragraph" w:styleId="9">
    <w:name w:val="annotation text"/>
    <w:basedOn w:val="1"/>
    <w:link w:val="36"/>
    <w:qFormat/>
    <w:uiPriority w:val="0"/>
    <w:pPr>
      <w:jc w:val="left"/>
    </w:pPr>
    <w:rPr>
      <w:rFonts w:ascii="Calibri" w:hAnsi="Calibri"/>
    </w:rPr>
  </w:style>
  <w:style w:type="paragraph" w:styleId="10">
    <w:name w:val="Body Text 3"/>
    <w:basedOn w:val="1"/>
    <w:qFormat/>
    <w:uiPriority w:val="0"/>
    <w:rPr>
      <w:rFonts w:ascii="Calibri" w:hAnsi="Calibri" w:cs="宋体"/>
      <w:sz w:val="16"/>
      <w:szCs w:val="16"/>
    </w:rPr>
  </w:style>
  <w:style w:type="paragraph" w:styleId="11">
    <w:name w:val="Body Text"/>
    <w:basedOn w:val="1"/>
    <w:qFormat/>
    <w:uiPriority w:val="0"/>
    <w:rPr>
      <w:rFonts w:ascii="Calibri" w:hAnsi="Calibri" w:cs="宋体"/>
    </w:rPr>
  </w:style>
  <w:style w:type="paragraph" w:styleId="12">
    <w:name w:val="Body Text Indent"/>
    <w:basedOn w:val="1"/>
    <w:qFormat/>
    <w:uiPriority w:val="0"/>
    <w:pPr>
      <w:ind w:firstLine="560" w:firstLineChars="200"/>
    </w:pPr>
    <w:rPr>
      <w:rFonts w:ascii="Calibri" w:hAnsi="Calibri" w:cs="宋体"/>
      <w:sz w:val="28"/>
    </w:rPr>
  </w:style>
  <w:style w:type="paragraph" w:styleId="13">
    <w:name w:val="List 2"/>
    <w:basedOn w:val="1"/>
    <w:qFormat/>
    <w:uiPriority w:val="0"/>
    <w:pPr>
      <w:ind w:left="100" w:leftChars="200" w:hanging="200" w:hangingChars="200"/>
    </w:pPr>
    <w:rPr>
      <w:rFonts w:ascii="Calibri" w:hAnsi="Calibri" w:cs="宋体"/>
    </w:rPr>
  </w:style>
  <w:style w:type="paragraph" w:styleId="14">
    <w:name w:val="Plain Text"/>
    <w:basedOn w:val="1"/>
    <w:link w:val="37"/>
    <w:qFormat/>
    <w:uiPriority w:val="0"/>
    <w:rPr>
      <w:rFonts w:ascii="宋体" w:hAnsi="Courier New" w:cs="宋体"/>
      <w:szCs w:val="20"/>
    </w:rPr>
  </w:style>
  <w:style w:type="paragraph" w:styleId="15">
    <w:name w:val="Date"/>
    <w:basedOn w:val="1"/>
    <w:next w:val="1"/>
    <w:qFormat/>
    <w:uiPriority w:val="0"/>
    <w:pPr>
      <w:ind w:left="2500" w:leftChars="2500"/>
    </w:pPr>
    <w:rPr>
      <w:rFonts w:ascii="Calibri" w:hAnsi="Calibri" w:eastAsia="楷体_GB2312" w:cs="宋体"/>
      <w:sz w:val="32"/>
    </w:rPr>
  </w:style>
  <w:style w:type="paragraph" w:styleId="16">
    <w:name w:val="Body Text Indent 2"/>
    <w:basedOn w:val="1"/>
    <w:qFormat/>
    <w:uiPriority w:val="0"/>
    <w:pPr>
      <w:spacing w:line="360" w:lineRule="auto"/>
      <w:ind w:left="916" w:hanging="916" w:hangingChars="333"/>
    </w:pPr>
    <w:rPr>
      <w:rFonts w:ascii="Calibri" w:hAnsi="Calibri" w:eastAsia="黑体" w:cs="宋体"/>
      <w:b/>
      <w:bCs/>
      <w:sz w:val="28"/>
    </w:rPr>
  </w:style>
  <w:style w:type="paragraph" w:styleId="17">
    <w:name w:val="Balloon Text"/>
    <w:basedOn w:val="1"/>
    <w:qFormat/>
    <w:uiPriority w:val="0"/>
    <w:rPr>
      <w:sz w:val="24"/>
      <w:szCs w:val="18"/>
    </w:rPr>
  </w:style>
  <w:style w:type="paragraph" w:styleId="18">
    <w:name w:val="footer"/>
    <w:basedOn w:val="1"/>
    <w:qFormat/>
    <w:uiPriority w:val="0"/>
    <w:pPr>
      <w:tabs>
        <w:tab w:val="center" w:pos="4153"/>
        <w:tab w:val="right" w:pos="8306"/>
      </w:tabs>
      <w:snapToGrid w:val="0"/>
      <w:jc w:val="left"/>
    </w:pPr>
    <w:rPr>
      <w:rFonts w:ascii="Calibri" w:hAnsi="Calibri" w:cs="宋体"/>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Calibri" w:hAnsi="Calibri" w:cs="宋体"/>
      <w:sz w:val="18"/>
      <w:szCs w:val="18"/>
    </w:rPr>
  </w:style>
  <w:style w:type="paragraph" w:styleId="20">
    <w:name w:val="Subtitle"/>
    <w:basedOn w:val="1"/>
    <w:next w:val="1"/>
    <w:qFormat/>
    <w:uiPriority w:val="0"/>
    <w:pPr>
      <w:spacing w:line="312" w:lineRule="auto"/>
      <w:jc w:val="center"/>
      <w:outlineLvl w:val="1"/>
    </w:pPr>
    <w:rPr>
      <w:rFonts w:ascii="Cambria" w:hAnsi="Cambria"/>
      <w:b/>
      <w:bCs/>
      <w:kern w:val="28"/>
      <w:sz w:val="32"/>
      <w:szCs w:val="32"/>
    </w:rPr>
  </w:style>
  <w:style w:type="paragraph" w:styleId="21">
    <w:name w:val="List"/>
    <w:basedOn w:val="1"/>
    <w:qFormat/>
    <w:uiPriority w:val="0"/>
    <w:pPr>
      <w:ind w:left="200" w:hanging="200"/>
    </w:pPr>
    <w:rPr>
      <w:rFonts w:ascii="Calibri" w:hAnsi="Calibri" w:cs="宋体"/>
    </w:rPr>
  </w:style>
  <w:style w:type="paragraph" w:styleId="22">
    <w:name w:val="Body Text Indent 3"/>
    <w:basedOn w:val="1"/>
    <w:qFormat/>
    <w:uiPriority w:val="0"/>
    <w:pPr>
      <w:adjustRightInd w:val="0"/>
      <w:spacing w:line="360" w:lineRule="auto"/>
      <w:ind w:left="638" w:leftChars="304"/>
    </w:pPr>
    <w:rPr>
      <w:rFonts w:ascii="Calibri" w:hAnsi="Calibri" w:cs="宋体"/>
      <w:sz w:val="32"/>
    </w:rPr>
  </w:style>
  <w:style w:type="paragraph" w:styleId="23">
    <w:name w:val="toc 2"/>
    <w:basedOn w:val="1"/>
    <w:next w:val="1"/>
    <w:qFormat/>
    <w:uiPriority w:val="0"/>
    <w:pPr>
      <w:ind w:left="420" w:leftChars="200"/>
    </w:pPr>
    <w:rPr>
      <w:rFonts w:ascii="Calibri" w:hAnsi="Calibri" w:cs="宋体"/>
    </w:rPr>
  </w:style>
  <w:style w:type="paragraph" w:styleId="24">
    <w:name w:val="Body Text 2"/>
    <w:basedOn w:val="1"/>
    <w:qFormat/>
    <w:uiPriority w:val="0"/>
    <w:pPr>
      <w:jc w:val="center"/>
    </w:pPr>
    <w:rPr>
      <w:rFonts w:ascii="Calibri" w:hAnsi="Calibri" w:cs="宋体"/>
      <w:b/>
      <w:sz w:val="7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宋体"/>
    </w:rPr>
  </w:style>
  <w:style w:type="paragraph" w:styleId="26">
    <w:name w:val="Normal (Web)"/>
    <w:basedOn w:val="1"/>
    <w:qFormat/>
    <w:uiPriority w:val="0"/>
    <w:pPr>
      <w:widowControl/>
      <w:spacing w:beforeAutospacing="1" w:afterAutospacing="1"/>
      <w:jc w:val="left"/>
    </w:pPr>
    <w:rPr>
      <w:rFonts w:ascii="宋体" w:hAnsi="宋体" w:cs="宋体"/>
      <w:kern w:val="0"/>
      <w:sz w:val="24"/>
    </w:rPr>
  </w:style>
  <w:style w:type="paragraph" w:styleId="27">
    <w:name w:val="Title"/>
    <w:basedOn w:val="1"/>
    <w:next w:val="1"/>
    <w:link w:val="38"/>
    <w:qFormat/>
    <w:uiPriority w:val="0"/>
    <w:pPr>
      <w:widowControl/>
      <w:overflowPunct w:val="0"/>
      <w:autoSpaceDE w:val="0"/>
      <w:autoSpaceDN w:val="0"/>
      <w:adjustRightInd w:val="0"/>
      <w:jc w:val="center"/>
      <w:textAlignment w:val="baseline"/>
    </w:pPr>
    <w:rPr>
      <w:rFonts w:ascii="Calibri" w:hAnsi="Calibri"/>
      <w:b/>
      <w:kern w:val="0"/>
      <w:sz w:val="24"/>
      <w:lang w:val="en-GB"/>
    </w:rPr>
  </w:style>
  <w:style w:type="paragraph" w:styleId="28">
    <w:name w:val="annotation subject"/>
    <w:basedOn w:val="9"/>
    <w:next w:val="9"/>
    <w:link w:val="39"/>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rPr>
      <w:rFonts w:ascii="Calibri" w:hAnsi="Calibri" w:eastAsia="宋体" w:cs="宋体"/>
    </w:rPr>
  </w:style>
  <w:style w:type="character" w:styleId="33">
    <w:name w:val="Hyperlink"/>
    <w:qFormat/>
    <w:uiPriority w:val="0"/>
    <w:rPr>
      <w:rFonts w:ascii="Calibri" w:hAnsi="Calibri" w:eastAsia="宋体" w:cs="宋体"/>
      <w:color w:val="0000FF"/>
      <w:u w:val="single"/>
    </w:rPr>
  </w:style>
  <w:style w:type="character" w:styleId="34">
    <w:name w:val="annotation reference"/>
    <w:qFormat/>
    <w:uiPriority w:val="0"/>
    <w:rPr>
      <w:rFonts w:ascii="Calibri" w:hAnsi="Calibri" w:eastAsia="宋体" w:cs="宋体"/>
      <w:sz w:val="21"/>
      <w:szCs w:val="21"/>
    </w:rPr>
  </w:style>
  <w:style w:type="character" w:customStyle="1" w:styleId="35">
    <w:name w:val="文档结构图 字符"/>
    <w:link w:val="8"/>
    <w:qFormat/>
    <w:uiPriority w:val="0"/>
    <w:rPr>
      <w:rFonts w:ascii="宋体" w:hAnsi="Calibri" w:eastAsia="宋体" w:cs="宋体"/>
      <w:kern w:val="2"/>
      <w:sz w:val="18"/>
      <w:szCs w:val="18"/>
    </w:rPr>
  </w:style>
  <w:style w:type="character" w:customStyle="1" w:styleId="36">
    <w:name w:val="批注文字 字符"/>
    <w:link w:val="9"/>
    <w:qFormat/>
    <w:uiPriority w:val="0"/>
    <w:rPr>
      <w:rFonts w:ascii="Calibri" w:hAnsi="Calibri" w:eastAsia="宋体" w:cs="宋体"/>
      <w:kern w:val="2"/>
      <w:sz w:val="21"/>
      <w:szCs w:val="24"/>
    </w:rPr>
  </w:style>
  <w:style w:type="character" w:customStyle="1" w:styleId="37">
    <w:name w:val="纯文本 字符"/>
    <w:link w:val="14"/>
    <w:qFormat/>
    <w:uiPriority w:val="0"/>
    <w:rPr>
      <w:rFonts w:ascii="宋体" w:hAnsi="Courier New" w:eastAsia="宋体" w:cs="宋体"/>
      <w:kern w:val="2"/>
      <w:sz w:val="21"/>
      <w:lang w:val="en-US" w:eastAsia="zh-CN" w:bidi="ar-SA"/>
    </w:rPr>
  </w:style>
  <w:style w:type="character" w:customStyle="1" w:styleId="38">
    <w:name w:val="标题 字符"/>
    <w:link w:val="27"/>
    <w:qFormat/>
    <w:locked/>
    <w:uiPriority w:val="0"/>
    <w:rPr>
      <w:rFonts w:ascii="Calibri" w:hAnsi="Calibri" w:cs="宋体"/>
      <w:b/>
      <w:sz w:val="24"/>
      <w:szCs w:val="24"/>
      <w:lang w:val="en-GB"/>
    </w:rPr>
  </w:style>
  <w:style w:type="character" w:customStyle="1" w:styleId="39">
    <w:name w:val="批注主题 字符"/>
    <w:link w:val="28"/>
    <w:qFormat/>
    <w:uiPriority w:val="0"/>
    <w:rPr>
      <w:rFonts w:ascii="Calibri" w:hAnsi="Calibri" w:eastAsia="宋体" w:cs="宋体"/>
      <w:b/>
      <w:bCs/>
      <w:kern w:val="2"/>
      <w:sz w:val="21"/>
      <w:szCs w:val="24"/>
    </w:rPr>
  </w:style>
  <w:style w:type="character" w:customStyle="1" w:styleId="40">
    <w:name w:val="无"/>
    <w:qFormat/>
    <w:uiPriority w:val="0"/>
    <w:rPr>
      <w:rFonts w:ascii="Calibri" w:hAnsi="Calibri" w:eastAsia="宋体" w:cs="宋体"/>
    </w:rPr>
  </w:style>
  <w:style w:type="paragraph" w:styleId="41">
    <w:name w:val="List Paragraph"/>
    <w:basedOn w:val="1"/>
    <w:qFormat/>
    <w:uiPriority w:val="34"/>
    <w:pPr>
      <w:ind w:firstLine="420" w:firstLineChars="200"/>
    </w:pPr>
    <w:rPr>
      <w:rFonts w:ascii="Calibri" w:hAnsi="Calibri"/>
      <w:szCs w:val="22"/>
    </w:rPr>
  </w:style>
  <w:style w:type="paragraph" w:customStyle="1" w:styleId="42">
    <w:name w:val="正"/>
    <w:qFormat/>
    <w:uiPriority w:val="0"/>
    <w:pPr>
      <w:widowControl w:val="0"/>
      <w:spacing w:line="360" w:lineRule="auto"/>
      <w:ind w:firstLine="480" w:firstLineChars="200"/>
      <w:jc w:val="both"/>
    </w:pPr>
    <w:rPr>
      <w:rFonts w:ascii="Times New Roman" w:hAnsi="Times New Roman" w:eastAsia="宋体" w:cs="Times New Roman"/>
      <w:sz w:val="24"/>
      <w:szCs w:val="24"/>
      <w:lang w:val="en-US" w:eastAsia="zh-CN" w:bidi="ar-SA"/>
    </w:rPr>
  </w:style>
  <w:style w:type="paragraph" w:customStyle="1" w:styleId="4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宋体"/>
    </w:rPr>
  </w:style>
  <w:style w:type="paragraph" w:customStyle="1" w:styleId="44">
    <w:name w:val="Char Char Char Char Char Char"/>
    <w:basedOn w:val="1"/>
    <w:qFormat/>
    <w:uiPriority w:val="0"/>
    <w:pPr>
      <w:ind w:firstLine="200" w:firstLineChars="200"/>
    </w:pPr>
    <w:rPr>
      <w:rFonts w:ascii="Tahoma" w:hAnsi="Tahoma" w:cs="Tahoma"/>
      <w:sz w:val="24"/>
    </w:rPr>
  </w:style>
  <w:style w:type="paragraph" w:customStyle="1" w:styleId="45">
    <w:name w:val="_Style 18"/>
    <w:basedOn w:val="1"/>
    <w:qFormat/>
    <w:uiPriority w:val="0"/>
    <w:pPr>
      <w:ind w:firstLine="420" w:firstLineChars="200"/>
    </w:pPr>
    <w:rPr>
      <w:rFonts w:ascii="Calibri" w:hAnsi="Calibri" w:cs="宋体"/>
    </w:rPr>
  </w:style>
  <w:style w:type="paragraph" w:customStyle="1" w:styleId="46">
    <w:name w:val="样式1"/>
    <w:basedOn w:val="1"/>
    <w:qFormat/>
    <w:uiPriority w:val="0"/>
    <w:pPr>
      <w:spacing w:line="360" w:lineRule="exact"/>
      <w:ind w:firstLine="200" w:firstLineChars="200"/>
    </w:pPr>
    <w:rPr>
      <w:rFonts w:ascii="Arial" w:hAnsi="Arial" w:cs="宋体"/>
    </w:rPr>
  </w:style>
  <w:style w:type="paragraph" w:customStyle="1" w:styleId="47">
    <w:name w:val="_Style 46"/>
    <w:unhideWhenUsed/>
    <w:qFormat/>
    <w:uiPriority w:val="99"/>
    <w:rPr>
      <w:rFonts w:ascii="Times New Roman" w:hAnsi="Times New Roman" w:eastAsia="宋体" w:cs="Times New Roman"/>
      <w:kern w:val="2"/>
      <w:sz w:val="21"/>
      <w:szCs w:val="24"/>
      <w:lang w:val="en-US" w:eastAsia="zh-CN" w:bidi="ar-SA"/>
    </w:rPr>
  </w:style>
  <w:style w:type="paragraph" w:customStyle="1" w:styleId="48">
    <w:name w:val="2级标题"/>
    <w:basedOn w:val="1"/>
    <w:next w:val="1"/>
    <w:qFormat/>
    <w:uiPriority w:val="0"/>
    <w:pPr>
      <w:numPr>
        <w:ilvl w:val="1"/>
        <w:numId w:val="2"/>
      </w:numPr>
      <w:spacing w:line="360" w:lineRule="auto"/>
      <w:outlineLvl w:val="1"/>
    </w:pPr>
    <w:rPr>
      <w:rFonts w:ascii="宋体" w:hAnsi="宋体"/>
      <w:b/>
      <w:sz w:val="24"/>
      <w:szCs w:val="28"/>
    </w:rPr>
  </w:style>
  <w:style w:type="paragraph" w:customStyle="1" w:styleId="49">
    <w:name w:val="3级标题"/>
    <w:basedOn w:val="48"/>
    <w:next w:val="1"/>
    <w:qFormat/>
    <w:uiPriority w:val="0"/>
    <w:pPr>
      <w:numPr>
        <w:ilvl w:val="2"/>
      </w:numPr>
      <w:outlineLvl w:val="2"/>
    </w:pPr>
  </w:style>
  <w:style w:type="paragraph" w:customStyle="1" w:styleId="50">
    <w:name w:val="Plain Text1"/>
    <w:basedOn w:val="1"/>
    <w:qFormat/>
    <w:uiPriority w:val="0"/>
    <w:pPr>
      <w:adjustRightInd w:val="0"/>
      <w:textAlignment w:val="baseline"/>
    </w:pPr>
    <w:rPr>
      <w:rFonts w:ascii="宋体" w:hAnsi="Courier New" w:eastAsia="楷体_GB2312" w:cs="宋体"/>
      <w:sz w:val="26"/>
    </w:rPr>
  </w:style>
  <w:style w:type="paragraph" w:customStyle="1" w:styleId="51">
    <w:name w:val="Heading1"/>
    <w:basedOn w:val="1"/>
    <w:next w:val="1"/>
    <w:qFormat/>
    <w:uiPriority w:val="0"/>
    <w:pPr>
      <w:keepNext/>
      <w:keepLines/>
      <w:spacing w:before="340" w:after="330" w:line="578" w:lineRule="auto"/>
      <w:jc w:val="center"/>
      <w:textAlignment w:val="baseline"/>
    </w:pPr>
    <w:rPr>
      <w:rFonts w:ascii="Calibri" w:hAnsi="Calibri"/>
      <w:b/>
      <w:bCs/>
      <w:kern w:val="44"/>
      <w:sz w:val="32"/>
      <w:szCs w:val="44"/>
    </w:rPr>
  </w:style>
  <w:style w:type="paragraph" w:customStyle="1" w:styleId="52">
    <w:name w:val="纯文本1"/>
    <w:basedOn w:val="1"/>
    <w:qFormat/>
    <w:uiPriority w:val="0"/>
    <w:pPr>
      <w:adjustRightInd w:val="0"/>
      <w:textAlignment w:val="baseline"/>
    </w:pPr>
    <w:rPr>
      <w:rFonts w:ascii="宋体" w:hAnsi="Courier New" w:eastAsia="楷体_GB2312" w:cs="宋体"/>
      <w:sz w:val="26"/>
    </w:rPr>
  </w:style>
  <w:style w:type="paragraph" w:customStyle="1" w:styleId="53">
    <w:name w:val="正文 A"/>
    <w:qFormat/>
    <w:uiPriority w:val="0"/>
    <w:pPr>
      <w:widowControl w:val="0"/>
      <w:jc w:val="both"/>
    </w:pPr>
    <w:rPr>
      <w:rFonts w:ascii="Times New Roman" w:hAnsi="Times New Roman" w:eastAsia="宋体" w:cs="Times New Roman"/>
      <w:color w:val="000000"/>
      <w:kern w:val="2"/>
      <w:sz w:val="28"/>
      <w:szCs w:val="28"/>
      <w:u w:color="000000"/>
      <w:lang w:val="en-US" w:eastAsia="zh-CN" w:bidi="ar-SA"/>
    </w:rPr>
  </w:style>
  <w:style w:type="paragraph" w:customStyle="1" w:styleId="54">
    <w:name w:val="表头文本"/>
    <w:basedOn w:val="1"/>
    <w:qFormat/>
    <w:uiPriority w:val="0"/>
    <w:pPr>
      <w:autoSpaceDE w:val="0"/>
      <w:autoSpaceDN w:val="0"/>
      <w:adjustRightInd w:val="0"/>
      <w:jc w:val="center"/>
    </w:pPr>
    <w:rPr>
      <w:rFonts w:ascii="Calibri" w:hAnsi="Calibri" w:cs="宋体"/>
      <w:b/>
      <w:kern w:val="0"/>
      <w:sz w:val="24"/>
    </w:rPr>
  </w:style>
  <w:style w:type="paragraph" w:customStyle="1" w:styleId="55">
    <w:name w:val="_Style 1"/>
    <w:basedOn w:val="1"/>
    <w:qFormat/>
    <w:uiPriority w:val="0"/>
    <w:pPr>
      <w:ind w:firstLine="420" w:firstLineChars="200"/>
    </w:pPr>
    <w:rPr>
      <w:rFonts w:ascii="Calibri" w:hAnsi="Calibri" w:cs="宋体"/>
    </w:rPr>
  </w:style>
  <w:style w:type="paragraph" w:customStyle="1" w:styleId="56">
    <w:name w:val="正文2"/>
    <w:basedOn w:val="1"/>
    <w:qFormat/>
    <w:uiPriority w:val="0"/>
    <w:pPr>
      <w:spacing w:line="360" w:lineRule="auto"/>
      <w:ind w:firstLine="510" w:firstLineChars="200"/>
    </w:pPr>
    <w:rPr>
      <w:rFonts w:ascii="Calibri" w:hAnsi="Calibri" w:cs="宋体"/>
      <w:sz w:val="24"/>
    </w:rPr>
  </w:style>
  <w:style w:type="paragraph" w:customStyle="1" w:styleId="57">
    <w:name w:val="条文1"/>
    <w:basedOn w:val="1"/>
    <w:qFormat/>
    <w:uiPriority w:val="0"/>
    <w:pPr>
      <w:numPr>
        <w:ilvl w:val="0"/>
        <w:numId w:val="3"/>
      </w:numPr>
      <w:tabs>
        <w:tab w:val="left" w:pos="720"/>
        <w:tab w:val="clear" w:pos="1365"/>
      </w:tabs>
      <w:spacing w:line="360" w:lineRule="auto"/>
    </w:pPr>
    <w:rPr>
      <w:rFonts w:ascii="MS UI Gothic" w:hAnsi="MS UI Gothic" w:cs="宋体"/>
      <w:kern w:val="44"/>
      <w:sz w:val="24"/>
    </w:rPr>
  </w:style>
  <w:style w:type="paragraph" w:customStyle="1" w:styleId="58">
    <w:name w:val="彩色列表 - 强调文字颜色 11"/>
    <w:basedOn w:val="1"/>
    <w:qFormat/>
    <w:uiPriority w:val="0"/>
    <w:pPr>
      <w:ind w:firstLine="420" w:firstLineChars="200"/>
    </w:pPr>
    <w:rPr>
      <w:rFonts w:ascii="Calibri" w:hAnsi="Calibri" w:cs="宋体"/>
      <w:szCs w:val="22"/>
    </w:rPr>
  </w:style>
  <w:style w:type="paragraph" w:customStyle="1" w:styleId="59">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60">
    <w:name w:val="Char Char Char Char Char Char Char Char Char Char Char Char Char Char Char Char Char Char Char Char Char Char Char Char Char"/>
    <w:basedOn w:val="1"/>
    <w:qFormat/>
    <w:uiPriority w:val="0"/>
    <w:rPr>
      <w:rFonts w:ascii="Tahoma" w:hAnsi="Tahoma" w:cs="宋体"/>
      <w:sz w:val="24"/>
      <w:szCs w:val="20"/>
    </w:rPr>
  </w:style>
  <w:style w:type="paragraph" w:customStyle="1" w:styleId="61">
    <w:name w:val="列出段落1"/>
    <w:basedOn w:val="1"/>
    <w:qFormat/>
    <w:uiPriority w:val="0"/>
    <w:pPr>
      <w:ind w:firstLine="420" w:firstLineChars="200"/>
    </w:pPr>
    <w:rPr>
      <w:szCs w:val="20"/>
    </w:rPr>
  </w:style>
  <w:style w:type="paragraph" w:customStyle="1" w:styleId="62">
    <w:name w:val="正文段"/>
    <w:basedOn w:val="1"/>
    <w:qFormat/>
    <w:uiPriority w:val="0"/>
    <w:pPr>
      <w:widowControl/>
      <w:snapToGrid w:val="0"/>
      <w:spacing w:afterLines="50"/>
      <w:ind w:firstLine="200" w:firstLineChars="200"/>
    </w:pPr>
    <w:rPr>
      <w:rFonts w:ascii="Calibri" w:hAnsi="Calibri" w:cs="宋体"/>
      <w:kern w:val="0"/>
      <w:sz w:val="24"/>
      <w:szCs w:val="20"/>
    </w:rPr>
  </w:style>
  <w:style w:type="paragraph" w:customStyle="1" w:styleId="63">
    <w:name w:val="4级标题"/>
    <w:basedOn w:val="49"/>
    <w:next w:val="1"/>
    <w:qFormat/>
    <w:uiPriority w:val="0"/>
    <w:pPr>
      <w:numPr>
        <w:ilvl w:val="3"/>
      </w:numPr>
      <w:adjustRightInd w:val="0"/>
      <w:outlineLvl w:val="3"/>
    </w:pPr>
  </w:style>
  <w:style w:type="paragraph" w:customStyle="1" w:styleId="64">
    <w:name w:val="DAS正文"/>
    <w:basedOn w:val="1"/>
    <w:qFormat/>
    <w:uiPriority w:val="0"/>
    <w:pPr>
      <w:spacing w:line="360" w:lineRule="auto"/>
      <w:ind w:right="181" w:firstLine="480" w:firstLineChars="200"/>
    </w:pPr>
    <w:rPr>
      <w:rFonts w:ascii="Verdana" w:hAnsi="Verdana"/>
      <w:szCs w:val="20"/>
    </w:r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F9686-6C5C-42BF-9117-E6E97EA6FB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22177</Words>
  <Characters>22917</Characters>
  <Lines>180</Lines>
  <Paragraphs>50</Paragraphs>
  <TotalTime>35</TotalTime>
  <ScaleCrop>false</ScaleCrop>
  <LinksUpToDate>false</LinksUpToDate>
  <CharactersWithSpaces>23840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2024-07-22T03:01:00Z</dcterms:created>
  <dc:creator>lenovo</dc:creator>
  <cp:lastModifiedBy>站在悬崖边上等太阳☀</cp:lastModifiedBy>
  <cp:lastPrinted>2022-05-28T04:34:00Z</cp:lastPrinted>
  <dcterms:modified xsi:type="dcterms:W3CDTF">2024-09-03T06:26:31Z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FDAB064E15694C95934338B8C43A0845_13</vt:lpwstr>
  </property>
</Properties>
</file>