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9FBFA"/>
  <w:body>
    <w:p w14:paraId="7FF84AB0">
      <w:pPr>
        <w:spacing w:line="360" w:lineRule="auto"/>
        <w:jc w:val="center"/>
        <w:rPr>
          <w:rFonts w:ascii="仿宋" w:hAnsi="仿宋" w:eastAsia="仿宋" w:cs="仿宋_GB2312"/>
          <w:b/>
          <w:color w:val="auto"/>
          <w:sz w:val="24"/>
          <w:highlight w:val="none"/>
        </w:rPr>
      </w:pPr>
    </w:p>
    <w:p w14:paraId="198AED9E">
      <w:pPr>
        <w:spacing w:line="1160" w:lineRule="exact"/>
        <w:jc w:val="center"/>
        <w:rPr>
          <w:rFonts w:hint="eastAsia" w:ascii="宋体" w:hAnsi="宋体" w:eastAsia="宋体"/>
          <w:b/>
          <w:color w:val="auto"/>
          <w:sz w:val="48"/>
          <w:szCs w:val="48"/>
          <w:highlight w:val="none"/>
          <w:lang w:eastAsia="zh-CN"/>
        </w:rPr>
      </w:pPr>
      <w:bookmarkStart w:id="0" w:name="_Hlt67893495"/>
      <w:bookmarkEnd w:id="0"/>
      <w:r>
        <w:rPr>
          <w:rFonts w:hint="eastAsia" w:ascii="宋体" w:hAnsi="宋体"/>
          <w:b/>
          <w:color w:val="auto"/>
          <w:sz w:val="44"/>
          <w:szCs w:val="44"/>
          <w:highlight w:val="none"/>
          <w:lang w:eastAsia="zh-CN"/>
        </w:rPr>
        <w:t>嘉善县中医医院织物清洗消毒服务项目</w:t>
      </w:r>
    </w:p>
    <w:p w14:paraId="77F94849">
      <w:pPr>
        <w:spacing w:before="120" w:beforeLines="50"/>
        <w:rPr>
          <w:rFonts w:ascii="宋体" w:hAnsi="宋体"/>
          <w:color w:val="auto"/>
          <w:sz w:val="72"/>
          <w:szCs w:val="72"/>
          <w:highlight w:val="none"/>
        </w:rPr>
      </w:pPr>
    </w:p>
    <w:p w14:paraId="4CF22501">
      <w:pPr>
        <w:spacing w:before="120" w:beforeLines="50"/>
        <w:rPr>
          <w:rFonts w:ascii="宋体" w:hAnsi="宋体"/>
          <w:color w:val="auto"/>
          <w:sz w:val="72"/>
          <w:szCs w:val="72"/>
          <w:highlight w:val="none"/>
        </w:rPr>
      </w:pPr>
    </w:p>
    <w:p w14:paraId="2964D535">
      <w:pPr>
        <w:spacing w:before="120" w:beforeLines="50"/>
        <w:rPr>
          <w:rFonts w:ascii="宋体" w:hAnsi="宋体"/>
          <w:color w:val="auto"/>
          <w:sz w:val="72"/>
          <w:szCs w:val="72"/>
          <w:highlight w:val="none"/>
        </w:rPr>
      </w:pPr>
    </w:p>
    <w:p w14:paraId="033A2154">
      <w:pPr>
        <w:spacing w:before="120" w:beforeLines="50"/>
        <w:rPr>
          <w:rFonts w:ascii="宋体" w:hAnsi="宋体"/>
          <w:color w:val="auto"/>
          <w:sz w:val="72"/>
          <w:szCs w:val="72"/>
          <w:highlight w:val="none"/>
        </w:rPr>
      </w:pPr>
    </w:p>
    <w:p w14:paraId="54CCB4D6">
      <w:pPr>
        <w:spacing w:before="120" w:beforeLines="50"/>
        <w:jc w:val="center"/>
        <w:rPr>
          <w:rFonts w:ascii="宋体" w:hAnsi="宋体"/>
          <w:color w:val="auto"/>
          <w:sz w:val="72"/>
          <w:szCs w:val="72"/>
          <w:highlight w:val="none"/>
        </w:rPr>
      </w:pPr>
      <w:r>
        <w:rPr>
          <w:rFonts w:hint="eastAsia" w:ascii="宋体" w:hAnsi="宋体"/>
          <w:color w:val="auto"/>
          <w:sz w:val="72"/>
          <w:szCs w:val="72"/>
          <w:highlight w:val="none"/>
        </w:rPr>
        <w:t>公开招标文件</w:t>
      </w:r>
    </w:p>
    <w:p w14:paraId="437ED52B">
      <w:pPr>
        <w:pStyle w:val="61"/>
        <w:rPr>
          <w:color w:val="auto"/>
          <w:highlight w:val="none"/>
        </w:rPr>
      </w:pPr>
    </w:p>
    <w:p w14:paraId="44C17E09">
      <w:pPr>
        <w:snapToGrid w:val="0"/>
        <w:spacing w:before="120" w:beforeLines="50" w:line="360" w:lineRule="auto"/>
        <w:jc w:val="center"/>
        <w:rPr>
          <w:rFonts w:ascii="宋体" w:hAnsi="宋体"/>
          <w:color w:val="auto"/>
          <w:sz w:val="30"/>
          <w:szCs w:val="72"/>
          <w:highlight w:val="none"/>
        </w:rPr>
      </w:pPr>
    </w:p>
    <w:p w14:paraId="3B97353B">
      <w:pPr>
        <w:snapToGrid w:val="0"/>
        <w:spacing w:before="120" w:beforeLines="50" w:line="360" w:lineRule="auto"/>
        <w:rPr>
          <w:rFonts w:ascii="宋体" w:hAnsi="宋体"/>
          <w:color w:val="auto"/>
          <w:sz w:val="30"/>
          <w:szCs w:val="72"/>
          <w:highlight w:val="none"/>
        </w:rPr>
      </w:pPr>
    </w:p>
    <w:p w14:paraId="40C9948D">
      <w:pPr>
        <w:pStyle w:val="34"/>
        <w:snapToGrid w:val="0"/>
        <w:spacing w:before="120" w:after="120" w:line="360" w:lineRule="auto"/>
        <w:rPr>
          <w:b/>
          <w:color w:val="auto"/>
          <w:sz w:val="30"/>
          <w:szCs w:val="30"/>
          <w:highlight w:val="none"/>
        </w:rPr>
      </w:pPr>
    </w:p>
    <w:p w14:paraId="4A158764">
      <w:pPr>
        <w:pStyle w:val="34"/>
        <w:snapToGrid w:val="0"/>
        <w:spacing w:before="120" w:after="120" w:line="360" w:lineRule="auto"/>
        <w:jc w:val="left"/>
        <w:rPr>
          <w:b/>
          <w:color w:val="auto"/>
          <w:sz w:val="30"/>
          <w:szCs w:val="30"/>
          <w:highlight w:val="none"/>
        </w:rPr>
      </w:pPr>
    </w:p>
    <w:p w14:paraId="0AA99738">
      <w:pPr>
        <w:pStyle w:val="34"/>
        <w:snapToGrid w:val="0"/>
        <w:spacing w:before="120" w:after="120" w:line="360" w:lineRule="auto"/>
        <w:jc w:val="left"/>
        <w:rPr>
          <w:b/>
          <w:color w:val="auto"/>
          <w:sz w:val="28"/>
          <w:szCs w:val="28"/>
          <w:highlight w:val="none"/>
        </w:rPr>
      </w:pPr>
      <w:r>
        <w:rPr>
          <w:b/>
          <w:color w:val="auto"/>
          <w:sz w:val="28"/>
          <w:szCs w:val="28"/>
          <w:highlight w:val="none"/>
        </w:rPr>
        <w:t>项目编号：</w:t>
      </w:r>
      <w:r>
        <w:rPr>
          <w:rFonts w:hint="eastAsia" w:hAnsi="宋体"/>
          <w:b/>
          <w:color w:val="auto"/>
          <w:sz w:val="28"/>
          <w:szCs w:val="44"/>
          <w:highlight w:val="none"/>
          <w:lang w:eastAsia="zh-CN"/>
        </w:rPr>
        <w:t>JXYJ2025006</w:t>
      </w:r>
      <w:r>
        <w:rPr>
          <w:rFonts w:hint="eastAsia" w:hAnsi="宋体"/>
          <w:b/>
          <w:color w:val="auto"/>
          <w:sz w:val="28"/>
          <w:szCs w:val="44"/>
          <w:highlight w:val="none"/>
        </w:rPr>
        <w:t>(G)</w:t>
      </w:r>
    </w:p>
    <w:p w14:paraId="6032177D">
      <w:pPr>
        <w:pStyle w:val="34"/>
        <w:snapToGrid w:val="0"/>
        <w:spacing w:before="120" w:after="120" w:line="360" w:lineRule="auto"/>
        <w:jc w:val="left"/>
        <w:rPr>
          <w:rFonts w:hint="eastAsia" w:eastAsia="宋体"/>
          <w:b/>
          <w:color w:val="auto"/>
          <w:sz w:val="28"/>
          <w:szCs w:val="28"/>
          <w:highlight w:val="none"/>
          <w:lang w:eastAsia="zh-CN"/>
        </w:rPr>
      </w:pPr>
      <w:r>
        <w:rPr>
          <w:rFonts w:hint="eastAsia"/>
          <w:b/>
          <w:color w:val="auto"/>
          <w:sz w:val="28"/>
          <w:szCs w:val="28"/>
          <w:highlight w:val="none"/>
        </w:rPr>
        <w:t>项目名称：</w:t>
      </w:r>
      <w:r>
        <w:rPr>
          <w:rFonts w:hint="eastAsia"/>
          <w:b/>
          <w:color w:val="auto"/>
          <w:sz w:val="28"/>
          <w:szCs w:val="28"/>
          <w:highlight w:val="none"/>
          <w:lang w:eastAsia="zh-CN"/>
        </w:rPr>
        <w:t>嘉善县中医医院织物清洗消毒服务项目</w:t>
      </w:r>
    </w:p>
    <w:p w14:paraId="18D60099">
      <w:pPr>
        <w:pStyle w:val="34"/>
        <w:snapToGrid w:val="0"/>
        <w:spacing w:before="120" w:after="120" w:line="360" w:lineRule="auto"/>
        <w:jc w:val="left"/>
        <w:rPr>
          <w:rFonts w:hint="eastAsia" w:hAnsi="宋体" w:eastAsia="宋体"/>
          <w:b/>
          <w:color w:val="auto"/>
          <w:sz w:val="28"/>
          <w:szCs w:val="28"/>
          <w:highlight w:val="none"/>
          <w:lang w:eastAsia="zh-CN"/>
        </w:rPr>
      </w:pPr>
      <w:r>
        <w:rPr>
          <w:b/>
          <w:color w:val="auto"/>
          <w:sz w:val="28"/>
          <w:szCs w:val="28"/>
          <w:highlight w:val="none"/>
        </w:rPr>
        <w:t>采购</w:t>
      </w:r>
      <w:r>
        <w:rPr>
          <w:rFonts w:hint="eastAsia"/>
          <w:b/>
          <w:color w:val="auto"/>
          <w:sz w:val="28"/>
          <w:szCs w:val="28"/>
          <w:highlight w:val="none"/>
        </w:rPr>
        <w:t>单位</w:t>
      </w:r>
      <w:r>
        <w:rPr>
          <w:b/>
          <w:color w:val="auto"/>
          <w:sz w:val="28"/>
          <w:szCs w:val="28"/>
          <w:highlight w:val="none"/>
        </w:rPr>
        <w:t>：</w:t>
      </w:r>
      <w:r>
        <w:rPr>
          <w:rFonts w:hint="eastAsia"/>
          <w:b/>
          <w:color w:val="auto"/>
          <w:sz w:val="28"/>
          <w:szCs w:val="28"/>
          <w:highlight w:val="none"/>
          <w:lang w:eastAsia="zh-CN"/>
        </w:rPr>
        <w:t>嘉善县中医医院</w:t>
      </w:r>
    </w:p>
    <w:p w14:paraId="3EE12EFC">
      <w:pPr>
        <w:pStyle w:val="34"/>
        <w:snapToGrid w:val="0"/>
        <w:spacing w:before="120" w:after="120" w:line="360" w:lineRule="auto"/>
        <w:jc w:val="left"/>
        <w:rPr>
          <w:rFonts w:hAnsi="宋体"/>
          <w:b/>
          <w:bCs/>
          <w:color w:val="auto"/>
          <w:sz w:val="28"/>
          <w:szCs w:val="28"/>
          <w:highlight w:val="none"/>
        </w:rPr>
      </w:pPr>
      <w:r>
        <w:rPr>
          <w:rFonts w:hint="eastAsia"/>
          <w:b/>
          <w:color w:val="auto"/>
          <w:sz w:val="28"/>
          <w:szCs w:val="28"/>
          <w:highlight w:val="none"/>
        </w:rPr>
        <w:t>采购代理机构</w:t>
      </w:r>
      <w:r>
        <w:rPr>
          <w:b/>
          <w:color w:val="auto"/>
          <w:sz w:val="28"/>
          <w:szCs w:val="28"/>
          <w:highlight w:val="none"/>
        </w:rPr>
        <w:t>：</w:t>
      </w:r>
      <w:r>
        <w:rPr>
          <w:rFonts w:hint="eastAsia"/>
          <w:b/>
          <w:color w:val="auto"/>
          <w:sz w:val="28"/>
          <w:szCs w:val="28"/>
          <w:highlight w:val="none"/>
        </w:rPr>
        <w:t>嘉兴市银建工程咨询评估有限公司</w:t>
      </w:r>
    </w:p>
    <w:p w14:paraId="501C9ECA">
      <w:pPr>
        <w:spacing w:line="360" w:lineRule="auto"/>
        <w:jc w:val="center"/>
        <w:rPr>
          <w:rFonts w:ascii="仿宋" w:hAnsi="仿宋" w:eastAsia="仿宋" w:cs="仿宋_GB2312"/>
          <w:color w:val="auto"/>
          <w:sz w:val="24"/>
          <w:highlight w:val="none"/>
        </w:rPr>
      </w:pPr>
      <w:r>
        <w:rPr>
          <w:rFonts w:hint="eastAsia" w:ascii="宋体" w:hAnsi="宋体"/>
          <w:b/>
          <w:bCs/>
          <w:color w:val="auto"/>
          <w:w w:val="95"/>
          <w:sz w:val="30"/>
          <w:szCs w:val="30"/>
          <w:highlight w:val="none"/>
        </w:rPr>
        <w:t>202</w:t>
      </w:r>
      <w:r>
        <w:rPr>
          <w:rFonts w:hint="eastAsia" w:ascii="宋体" w:hAnsi="宋体"/>
          <w:b/>
          <w:bCs/>
          <w:color w:val="auto"/>
          <w:w w:val="95"/>
          <w:sz w:val="30"/>
          <w:szCs w:val="30"/>
          <w:highlight w:val="none"/>
          <w:lang w:val="en-US" w:eastAsia="zh-CN"/>
        </w:rPr>
        <w:t>5</w:t>
      </w:r>
      <w:r>
        <w:rPr>
          <w:rFonts w:hint="eastAsia" w:ascii="宋体" w:hAnsi="宋体"/>
          <w:b/>
          <w:bCs/>
          <w:color w:val="auto"/>
          <w:w w:val="95"/>
          <w:sz w:val="30"/>
          <w:szCs w:val="30"/>
          <w:highlight w:val="none"/>
        </w:rPr>
        <w:t>年</w:t>
      </w:r>
      <w:r>
        <w:rPr>
          <w:rFonts w:hint="eastAsia" w:ascii="宋体" w:hAnsi="宋体"/>
          <w:b/>
          <w:bCs/>
          <w:color w:val="auto"/>
          <w:w w:val="95"/>
          <w:sz w:val="30"/>
          <w:szCs w:val="30"/>
          <w:highlight w:val="none"/>
          <w:lang w:val="en-US" w:eastAsia="zh-CN"/>
        </w:rPr>
        <w:t>4</w:t>
      </w:r>
      <w:r>
        <w:rPr>
          <w:rFonts w:hint="eastAsia" w:ascii="宋体" w:hAnsi="宋体"/>
          <w:b/>
          <w:bCs/>
          <w:color w:val="auto"/>
          <w:w w:val="95"/>
          <w:sz w:val="30"/>
          <w:szCs w:val="30"/>
          <w:highlight w:val="none"/>
        </w:rPr>
        <w:t>月</w:t>
      </w:r>
    </w:p>
    <w:p w14:paraId="1E3F2A62">
      <w:pPr>
        <w:rPr>
          <w:rFonts w:ascii="仿宋" w:hAnsi="仿宋" w:eastAsia="仿宋" w:cs="仿宋_GB2312"/>
          <w:color w:val="auto"/>
          <w:sz w:val="24"/>
          <w:highlight w:val="none"/>
        </w:rPr>
        <w:sectPr>
          <w:headerReference r:id="rId3" w:type="default"/>
          <w:footerReference r:id="rId4" w:type="even"/>
          <w:pgSz w:w="11906" w:h="16838"/>
          <w:pgMar w:top="1134" w:right="1134" w:bottom="1134" w:left="1134" w:header="851" w:footer="992" w:gutter="0"/>
          <w:pgBorders>
            <w:top w:val="none" w:sz="0" w:space="0"/>
            <w:left w:val="none" w:sz="0" w:space="0"/>
            <w:bottom w:val="none" w:sz="0" w:space="0"/>
            <w:right w:val="none" w:sz="0" w:space="0"/>
          </w:pgBorders>
          <w:cols w:space="0" w:num="1"/>
          <w:titlePg/>
          <w:rtlGutter w:val="0"/>
          <w:docGrid w:linePitch="312" w:charSpace="0"/>
        </w:sectPr>
      </w:pPr>
    </w:p>
    <w:p w14:paraId="30CC67A4">
      <w:pPr>
        <w:pStyle w:val="34"/>
        <w:spacing w:before="120" w:after="120" w:line="600" w:lineRule="exact"/>
        <w:rPr>
          <w:rFonts w:ascii="创艺简标宋" w:hAnsi="宋体" w:eastAsia="创艺简标宋"/>
          <w:b/>
          <w:color w:val="auto"/>
          <w:sz w:val="44"/>
          <w:szCs w:val="44"/>
          <w:highlight w:val="none"/>
        </w:rPr>
      </w:pPr>
      <w:bookmarkStart w:id="1" w:name="_Hlt91233176"/>
      <w:bookmarkEnd w:id="1"/>
      <w:bookmarkStart w:id="2" w:name="_Toc91899869"/>
    </w:p>
    <w:p w14:paraId="109CAD81">
      <w:pPr>
        <w:pStyle w:val="34"/>
        <w:spacing w:before="120" w:after="120" w:line="600" w:lineRule="exact"/>
        <w:jc w:val="center"/>
        <w:rPr>
          <w:rFonts w:hAnsi="宋体" w:cs="宋体"/>
          <w:b/>
          <w:color w:val="auto"/>
          <w:sz w:val="44"/>
          <w:szCs w:val="44"/>
          <w:highlight w:val="none"/>
        </w:rPr>
      </w:pPr>
    </w:p>
    <w:p w14:paraId="5E27AA25">
      <w:pPr>
        <w:pStyle w:val="34"/>
        <w:spacing w:before="120" w:after="120" w:line="600" w:lineRule="exact"/>
        <w:jc w:val="center"/>
        <w:rPr>
          <w:rFonts w:hAnsi="宋体" w:cs="宋体"/>
          <w:b/>
          <w:color w:val="auto"/>
          <w:sz w:val="44"/>
          <w:szCs w:val="44"/>
          <w:highlight w:val="none"/>
        </w:rPr>
      </w:pPr>
      <w:r>
        <w:rPr>
          <w:rFonts w:hint="eastAsia" w:hAnsi="宋体" w:cs="宋体"/>
          <w:b/>
          <w:color w:val="auto"/>
          <w:sz w:val="44"/>
          <w:szCs w:val="44"/>
          <w:highlight w:val="none"/>
        </w:rPr>
        <w:t>目    录</w:t>
      </w:r>
    </w:p>
    <w:p w14:paraId="149A6E33">
      <w:pPr>
        <w:pStyle w:val="34"/>
        <w:tabs>
          <w:tab w:val="left" w:pos="6645"/>
        </w:tabs>
        <w:spacing w:before="120" w:after="120" w:line="600" w:lineRule="exact"/>
        <w:jc w:val="left"/>
        <w:rPr>
          <w:rFonts w:ascii="创艺简标宋" w:hAnsi="宋体" w:eastAsia="创艺简标宋"/>
          <w:b/>
          <w:color w:val="auto"/>
          <w:sz w:val="44"/>
          <w:szCs w:val="44"/>
          <w:highlight w:val="none"/>
        </w:rPr>
      </w:pPr>
      <w:r>
        <w:rPr>
          <w:rFonts w:ascii="创艺简标宋" w:hAnsi="宋体" w:eastAsia="创艺简标宋"/>
          <w:b/>
          <w:color w:val="auto"/>
          <w:sz w:val="44"/>
          <w:szCs w:val="44"/>
          <w:highlight w:val="none"/>
        </w:rPr>
        <w:tab/>
      </w:r>
    </w:p>
    <w:p w14:paraId="2F3D6617">
      <w:pPr>
        <w:pStyle w:val="44"/>
        <w:tabs>
          <w:tab w:val="right" w:leader="dot" w:pos="8834"/>
        </w:tabs>
        <w:spacing w:line="480" w:lineRule="auto"/>
        <w:rPr>
          <w:b/>
          <w:color w:val="auto"/>
          <w:sz w:val="32"/>
          <w:szCs w:val="32"/>
          <w:highlight w:val="none"/>
        </w:rPr>
      </w:pPr>
      <w:r>
        <w:rPr>
          <w:b/>
          <w:color w:val="auto"/>
          <w:sz w:val="32"/>
          <w:szCs w:val="32"/>
          <w:highlight w:val="none"/>
        </w:rPr>
        <w:fldChar w:fldCharType="begin"/>
      </w:r>
      <w:r>
        <w:rPr>
          <w:b/>
          <w:color w:val="auto"/>
          <w:sz w:val="32"/>
          <w:szCs w:val="32"/>
          <w:highlight w:val="none"/>
        </w:rPr>
        <w:instrText xml:space="preserve"> TOC \o "1-1" \h \z \u </w:instrText>
      </w:r>
      <w:r>
        <w:rPr>
          <w:b/>
          <w:color w:val="auto"/>
          <w:sz w:val="32"/>
          <w:szCs w:val="32"/>
          <w:highlight w:val="none"/>
        </w:rPr>
        <w:fldChar w:fldCharType="separate"/>
      </w:r>
      <w:r>
        <w:rPr>
          <w:color w:val="auto"/>
          <w:highlight w:val="none"/>
        </w:rPr>
        <w:fldChar w:fldCharType="begin"/>
      </w:r>
      <w:r>
        <w:rPr>
          <w:color w:val="auto"/>
          <w:highlight w:val="none"/>
        </w:rPr>
        <w:instrText xml:space="preserve"> HYPERLINK \l "_Toc406402981" </w:instrText>
      </w:r>
      <w:r>
        <w:rPr>
          <w:color w:val="auto"/>
          <w:highlight w:val="none"/>
        </w:rPr>
        <w:fldChar w:fldCharType="separate"/>
      </w:r>
      <w:r>
        <w:rPr>
          <w:rStyle w:val="77"/>
          <w:rFonts w:hint="eastAsia"/>
          <w:b/>
          <w:color w:val="auto"/>
          <w:sz w:val="32"/>
          <w:szCs w:val="32"/>
          <w:highlight w:val="none"/>
        </w:rPr>
        <w:t>第一章</w:t>
      </w:r>
      <w:r>
        <w:rPr>
          <w:rStyle w:val="77"/>
          <w:b/>
          <w:color w:val="auto"/>
          <w:sz w:val="32"/>
          <w:szCs w:val="32"/>
          <w:highlight w:val="none"/>
        </w:rPr>
        <w:t xml:space="preserve">  </w:t>
      </w:r>
      <w:r>
        <w:rPr>
          <w:rStyle w:val="77"/>
          <w:rFonts w:hint="eastAsia"/>
          <w:b/>
          <w:color w:val="auto"/>
          <w:sz w:val="32"/>
          <w:szCs w:val="32"/>
          <w:highlight w:val="none"/>
        </w:rPr>
        <w:t>公开招标采购公告</w:t>
      </w:r>
      <w:r>
        <w:rPr>
          <w:b/>
          <w:color w:val="auto"/>
          <w:sz w:val="32"/>
          <w:szCs w:val="32"/>
          <w:highlight w:val="none"/>
        </w:rPr>
        <w:tab/>
      </w:r>
      <w:r>
        <w:rPr>
          <w:rFonts w:hint="eastAsia"/>
          <w:b/>
          <w:color w:val="auto"/>
          <w:sz w:val="32"/>
          <w:szCs w:val="32"/>
          <w:highlight w:val="none"/>
        </w:rPr>
        <w:t>3</w:t>
      </w:r>
      <w:r>
        <w:rPr>
          <w:rFonts w:hint="eastAsia"/>
          <w:b/>
          <w:color w:val="auto"/>
          <w:sz w:val="32"/>
          <w:szCs w:val="32"/>
          <w:highlight w:val="none"/>
        </w:rPr>
        <w:fldChar w:fldCharType="end"/>
      </w:r>
    </w:p>
    <w:p w14:paraId="686B897D">
      <w:pPr>
        <w:pStyle w:val="44"/>
        <w:tabs>
          <w:tab w:val="right" w:leader="dot" w:pos="8834"/>
        </w:tabs>
        <w:spacing w:line="480" w:lineRule="auto"/>
        <w:rPr>
          <w:b/>
          <w:color w:val="auto"/>
          <w:sz w:val="32"/>
          <w:szCs w:val="32"/>
          <w:highlight w:val="none"/>
        </w:rPr>
      </w:pPr>
      <w:r>
        <w:rPr>
          <w:color w:val="auto"/>
          <w:highlight w:val="none"/>
        </w:rPr>
        <w:fldChar w:fldCharType="begin"/>
      </w:r>
      <w:r>
        <w:rPr>
          <w:color w:val="auto"/>
          <w:highlight w:val="none"/>
        </w:rPr>
        <w:instrText xml:space="preserve"> HYPERLINK \l "_Toc406402982" </w:instrText>
      </w:r>
      <w:r>
        <w:rPr>
          <w:color w:val="auto"/>
          <w:highlight w:val="none"/>
        </w:rPr>
        <w:fldChar w:fldCharType="separate"/>
      </w:r>
      <w:r>
        <w:rPr>
          <w:rStyle w:val="77"/>
          <w:rFonts w:hint="eastAsia"/>
          <w:b/>
          <w:color w:val="auto"/>
          <w:sz w:val="32"/>
          <w:szCs w:val="32"/>
          <w:highlight w:val="none"/>
        </w:rPr>
        <w:t>第二章</w:t>
      </w:r>
      <w:r>
        <w:rPr>
          <w:rStyle w:val="77"/>
          <w:b/>
          <w:color w:val="auto"/>
          <w:sz w:val="32"/>
          <w:szCs w:val="32"/>
          <w:highlight w:val="none"/>
        </w:rPr>
        <w:t xml:space="preserve">  </w:t>
      </w:r>
      <w:r>
        <w:rPr>
          <w:rStyle w:val="77"/>
          <w:rFonts w:hint="eastAsia"/>
          <w:b/>
          <w:color w:val="auto"/>
          <w:sz w:val="32"/>
          <w:szCs w:val="32"/>
          <w:highlight w:val="none"/>
        </w:rPr>
        <w:t>招标需求</w:t>
      </w:r>
      <w:r>
        <w:rPr>
          <w:b/>
          <w:color w:val="auto"/>
          <w:sz w:val="32"/>
          <w:szCs w:val="32"/>
          <w:highlight w:val="none"/>
        </w:rPr>
        <w:tab/>
      </w:r>
      <w:r>
        <w:rPr>
          <w:rFonts w:hint="eastAsia"/>
          <w:b/>
          <w:color w:val="auto"/>
          <w:sz w:val="32"/>
          <w:szCs w:val="32"/>
          <w:highlight w:val="none"/>
        </w:rPr>
        <w:t>7</w:t>
      </w:r>
      <w:r>
        <w:rPr>
          <w:rFonts w:hint="eastAsia"/>
          <w:b/>
          <w:color w:val="auto"/>
          <w:sz w:val="32"/>
          <w:szCs w:val="32"/>
          <w:highlight w:val="none"/>
        </w:rPr>
        <w:fldChar w:fldCharType="end"/>
      </w:r>
    </w:p>
    <w:p w14:paraId="5419742F">
      <w:pPr>
        <w:pStyle w:val="44"/>
        <w:tabs>
          <w:tab w:val="right" w:leader="dot" w:pos="8834"/>
        </w:tabs>
        <w:spacing w:line="480" w:lineRule="auto"/>
        <w:rPr>
          <w:b/>
          <w:color w:val="auto"/>
          <w:sz w:val="32"/>
          <w:szCs w:val="32"/>
          <w:highlight w:val="none"/>
        </w:rPr>
      </w:pPr>
      <w:r>
        <w:rPr>
          <w:color w:val="auto"/>
          <w:highlight w:val="none"/>
        </w:rPr>
        <w:fldChar w:fldCharType="begin"/>
      </w:r>
      <w:r>
        <w:rPr>
          <w:color w:val="auto"/>
          <w:highlight w:val="none"/>
        </w:rPr>
        <w:instrText xml:space="preserve"> HYPERLINK \l "_Toc406402986" </w:instrText>
      </w:r>
      <w:r>
        <w:rPr>
          <w:color w:val="auto"/>
          <w:highlight w:val="none"/>
        </w:rPr>
        <w:fldChar w:fldCharType="separate"/>
      </w:r>
      <w:r>
        <w:rPr>
          <w:rStyle w:val="77"/>
          <w:rFonts w:hint="eastAsia"/>
          <w:b/>
          <w:color w:val="auto"/>
          <w:sz w:val="32"/>
          <w:szCs w:val="32"/>
          <w:highlight w:val="none"/>
        </w:rPr>
        <w:t>第三章</w:t>
      </w:r>
      <w:r>
        <w:rPr>
          <w:rStyle w:val="77"/>
          <w:b/>
          <w:color w:val="auto"/>
          <w:sz w:val="32"/>
          <w:szCs w:val="32"/>
          <w:highlight w:val="none"/>
        </w:rPr>
        <w:t xml:space="preserve">  </w:t>
      </w:r>
      <w:r>
        <w:rPr>
          <w:rStyle w:val="77"/>
          <w:rFonts w:hint="eastAsia"/>
          <w:b/>
          <w:color w:val="auto"/>
          <w:sz w:val="32"/>
          <w:szCs w:val="32"/>
          <w:highlight w:val="none"/>
        </w:rPr>
        <w:t>投标人须知</w:t>
      </w:r>
      <w:r>
        <w:rPr>
          <w:b/>
          <w:color w:val="auto"/>
          <w:sz w:val="32"/>
          <w:szCs w:val="32"/>
          <w:highlight w:val="none"/>
        </w:rPr>
        <w:tab/>
      </w:r>
      <w:r>
        <w:rPr>
          <w:rFonts w:hint="eastAsia"/>
          <w:b/>
          <w:color w:val="auto"/>
          <w:sz w:val="32"/>
          <w:szCs w:val="32"/>
          <w:highlight w:val="none"/>
          <w:lang w:val="en-US" w:eastAsia="zh-CN"/>
        </w:rPr>
        <w:t>4</w:t>
      </w:r>
      <w:r>
        <w:rPr>
          <w:rFonts w:hint="eastAsia"/>
          <w:b/>
          <w:color w:val="auto"/>
          <w:sz w:val="32"/>
          <w:szCs w:val="32"/>
          <w:highlight w:val="none"/>
        </w:rPr>
        <w:fldChar w:fldCharType="end"/>
      </w:r>
      <w:r>
        <w:rPr>
          <w:rFonts w:hint="eastAsia"/>
          <w:b/>
          <w:color w:val="auto"/>
          <w:sz w:val="32"/>
          <w:szCs w:val="32"/>
          <w:highlight w:val="none"/>
          <w:lang w:val="en-US" w:eastAsia="zh-CN"/>
        </w:rPr>
        <w:t>4</w:t>
      </w:r>
    </w:p>
    <w:p w14:paraId="46C7B1AA">
      <w:pPr>
        <w:pStyle w:val="44"/>
        <w:tabs>
          <w:tab w:val="right" w:leader="dot" w:pos="8834"/>
        </w:tabs>
        <w:spacing w:line="480" w:lineRule="auto"/>
        <w:rPr>
          <w:b/>
          <w:color w:val="auto"/>
          <w:sz w:val="32"/>
          <w:szCs w:val="32"/>
          <w:highlight w:val="none"/>
        </w:rPr>
      </w:pPr>
      <w:r>
        <w:rPr>
          <w:color w:val="auto"/>
          <w:highlight w:val="none"/>
        </w:rPr>
        <w:fldChar w:fldCharType="begin"/>
      </w:r>
      <w:r>
        <w:rPr>
          <w:color w:val="auto"/>
          <w:highlight w:val="none"/>
        </w:rPr>
        <w:instrText xml:space="preserve"> HYPERLINK \l "_Toc406402996" </w:instrText>
      </w:r>
      <w:r>
        <w:rPr>
          <w:color w:val="auto"/>
          <w:highlight w:val="none"/>
        </w:rPr>
        <w:fldChar w:fldCharType="separate"/>
      </w:r>
      <w:r>
        <w:rPr>
          <w:rStyle w:val="77"/>
          <w:rFonts w:hint="eastAsia"/>
          <w:b/>
          <w:color w:val="auto"/>
          <w:sz w:val="32"/>
          <w:szCs w:val="32"/>
          <w:highlight w:val="none"/>
        </w:rPr>
        <w:t xml:space="preserve">第四章 </w:t>
      </w:r>
      <w:r>
        <w:rPr>
          <w:rStyle w:val="77"/>
          <w:b/>
          <w:color w:val="auto"/>
          <w:sz w:val="32"/>
          <w:szCs w:val="32"/>
          <w:highlight w:val="none"/>
        </w:rPr>
        <w:t xml:space="preserve"> </w:t>
      </w:r>
      <w:r>
        <w:rPr>
          <w:rStyle w:val="77"/>
          <w:rFonts w:hint="eastAsia"/>
          <w:b/>
          <w:color w:val="auto"/>
          <w:sz w:val="32"/>
          <w:szCs w:val="32"/>
          <w:highlight w:val="none"/>
        </w:rPr>
        <w:t>评标办法及评分标准</w:t>
      </w:r>
      <w:r>
        <w:rPr>
          <w:b/>
          <w:color w:val="auto"/>
          <w:sz w:val="32"/>
          <w:szCs w:val="32"/>
          <w:highlight w:val="none"/>
        </w:rPr>
        <w:tab/>
      </w:r>
      <w:r>
        <w:rPr>
          <w:rFonts w:hint="eastAsia"/>
          <w:b/>
          <w:color w:val="auto"/>
          <w:sz w:val="32"/>
          <w:szCs w:val="32"/>
          <w:highlight w:val="none"/>
          <w:lang w:val="en-US" w:eastAsia="zh-CN"/>
        </w:rPr>
        <w:t>6</w:t>
      </w:r>
      <w:r>
        <w:rPr>
          <w:rFonts w:hint="eastAsia"/>
          <w:b/>
          <w:color w:val="auto"/>
          <w:sz w:val="32"/>
          <w:szCs w:val="32"/>
          <w:highlight w:val="none"/>
        </w:rPr>
        <w:fldChar w:fldCharType="end"/>
      </w:r>
      <w:r>
        <w:rPr>
          <w:rFonts w:hint="eastAsia"/>
          <w:b/>
          <w:color w:val="auto"/>
          <w:sz w:val="32"/>
          <w:szCs w:val="32"/>
          <w:highlight w:val="none"/>
          <w:lang w:val="en-US" w:eastAsia="zh-CN"/>
        </w:rPr>
        <w:t>1</w:t>
      </w:r>
    </w:p>
    <w:p w14:paraId="617BCED8">
      <w:pPr>
        <w:pStyle w:val="44"/>
        <w:tabs>
          <w:tab w:val="right" w:leader="dot" w:pos="8834"/>
        </w:tabs>
        <w:spacing w:line="480" w:lineRule="auto"/>
        <w:rPr>
          <w:rFonts w:hint="eastAsia" w:eastAsia="宋体"/>
          <w:b/>
          <w:color w:val="auto"/>
          <w:sz w:val="32"/>
          <w:szCs w:val="32"/>
          <w:highlight w:val="none"/>
          <w:lang w:eastAsia="zh-CN"/>
        </w:rPr>
      </w:pPr>
      <w:r>
        <w:rPr>
          <w:color w:val="auto"/>
          <w:highlight w:val="none"/>
        </w:rPr>
        <w:fldChar w:fldCharType="begin"/>
      </w:r>
      <w:r>
        <w:rPr>
          <w:color w:val="auto"/>
          <w:highlight w:val="none"/>
        </w:rPr>
        <w:instrText xml:space="preserve"> HYPERLINK \l "_Toc406402998" </w:instrText>
      </w:r>
      <w:r>
        <w:rPr>
          <w:color w:val="auto"/>
          <w:highlight w:val="none"/>
        </w:rPr>
        <w:fldChar w:fldCharType="separate"/>
      </w:r>
      <w:r>
        <w:rPr>
          <w:rStyle w:val="77"/>
          <w:rFonts w:hint="eastAsia"/>
          <w:b/>
          <w:color w:val="auto"/>
          <w:sz w:val="32"/>
          <w:szCs w:val="32"/>
          <w:highlight w:val="none"/>
        </w:rPr>
        <w:t>第五章</w:t>
      </w:r>
      <w:r>
        <w:rPr>
          <w:rStyle w:val="77"/>
          <w:b/>
          <w:color w:val="auto"/>
          <w:sz w:val="32"/>
          <w:szCs w:val="32"/>
          <w:highlight w:val="none"/>
        </w:rPr>
        <w:t xml:space="preserve">  </w:t>
      </w:r>
      <w:r>
        <w:rPr>
          <w:rStyle w:val="77"/>
          <w:rFonts w:hint="eastAsia"/>
          <w:b/>
          <w:color w:val="auto"/>
          <w:sz w:val="32"/>
          <w:szCs w:val="32"/>
          <w:highlight w:val="none"/>
        </w:rPr>
        <w:t>嘉善县政府采购合同（</w:t>
      </w:r>
      <w:bookmarkStart w:id="3" w:name="_Hlt497308216"/>
      <w:r>
        <w:rPr>
          <w:rStyle w:val="77"/>
          <w:rFonts w:hint="eastAsia"/>
          <w:b/>
          <w:color w:val="auto"/>
          <w:sz w:val="32"/>
          <w:szCs w:val="32"/>
          <w:highlight w:val="none"/>
        </w:rPr>
        <w:t>指</w:t>
      </w:r>
      <w:bookmarkEnd w:id="3"/>
      <w:bookmarkStart w:id="4" w:name="_Hlt497308220"/>
      <w:r>
        <w:rPr>
          <w:rStyle w:val="77"/>
          <w:rFonts w:hint="eastAsia"/>
          <w:b/>
          <w:color w:val="auto"/>
          <w:sz w:val="32"/>
          <w:szCs w:val="32"/>
          <w:highlight w:val="none"/>
        </w:rPr>
        <w:t>引</w:t>
      </w:r>
      <w:bookmarkEnd w:id="4"/>
      <w:r>
        <w:rPr>
          <w:rStyle w:val="77"/>
          <w:rFonts w:hint="eastAsia"/>
          <w:b/>
          <w:color w:val="auto"/>
          <w:sz w:val="32"/>
          <w:szCs w:val="32"/>
          <w:highlight w:val="none"/>
        </w:rPr>
        <w:t>）</w:t>
      </w:r>
      <w:bookmarkStart w:id="5" w:name="_Hlt497308213"/>
      <w:bookmarkStart w:id="6" w:name="_Hlt497308212"/>
      <w:r>
        <w:rPr>
          <w:b/>
          <w:color w:val="auto"/>
          <w:sz w:val="32"/>
          <w:szCs w:val="32"/>
          <w:highlight w:val="none"/>
        </w:rPr>
        <w:tab/>
      </w:r>
      <w:bookmarkEnd w:id="5"/>
      <w:bookmarkEnd w:id="6"/>
      <w:r>
        <w:rPr>
          <w:rFonts w:hint="eastAsia"/>
          <w:b/>
          <w:color w:val="auto"/>
          <w:sz w:val="32"/>
          <w:szCs w:val="32"/>
          <w:highlight w:val="none"/>
          <w:lang w:val="en-US" w:eastAsia="zh-CN"/>
        </w:rPr>
        <w:t>6</w:t>
      </w:r>
      <w:r>
        <w:rPr>
          <w:rFonts w:hint="eastAsia"/>
          <w:b/>
          <w:color w:val="auto"/>
          <w:sz w:val="32"/>
          <w:szCs w:val="32"/>
          <w:highlight w:val="none"/>
        </w:rPr>
        <w:fldChar w:fldCharType="end"/>
      </w:r>
      <w:r>
        <w:rPr>
          <w:rFonts w:hint="eastAsia"/>
          <w:b/>
          <w:color w:val="auto"/>
          <w:sz w:val="32"/>
          <w:szCs w:val="32"/>
          <w:highlight w:val="none"/>
          <w:lang w:val="en-US" w:eastAsia="zh-CN"/>
        </w:rPr>
        <w:t>3</w:t>
      </w:r>
    </w:p>
    <w:p w14:paraId="7CA0BE78">
      <w:pPr>
        <w:pStyle w:val="44"/>
        <w:tabs>
          <w:tab w:val="right" w:leader="dot" w:pos="8834"/>
        </w:tabs>
        <w:spacing w:line="480" w:lineRule="auto"/>
        <w:rPr>
          <w:rFonts w:hint="eastAsia" w:eastAsia="宋体"/>
          <w:b/>
          <w:color w:val="auto"/>
          <w:sz w:val="32"/>
          <w:szCs w:val="32"/>
          <w:highlight w:val="none"/>
          <w:lang w:eastAsia="zh-CN"/>
        </w:rPr>
      </w:pPr>
      <w:r>
        <w:rPr>
          <w:color w:val="auto"/>
          <w:highlight w:val="none"/>
        </w:rPr>
        <w:fldChar w:fldCharType="begin"/>
      </w:r>
      <w:r>
        <w:rPr>
          <w:color w:val="auto"/>
          <w:highlight w:val="none"/>
        </w:rPr>
        <w:instrText xml:space="preserve"> HYPERLINK \l "_Toc406403000" </w:instrText>
      </w:r>
      <w:r>
        <w:rPr>
          <w:color w:val="auto"/>
          <w:highlight w:val="none"/>
        </w:rPr>
        <w:fldChar w:fldCharType="separate"/>
      </w:r>
      <w:r>
        <w:rPr>
          <w:rStyle w:val="77"/>
          <w:rFonts w:hint="eastAsia"/>
          <w:b/>
          <w:color w:val="auto"/>
          <w:sz w:val="32"/>
          <w:szCs w:val="32"/>
          <w:highlight w:val="none"/>
        </w:rPr>
        <w:t>第六章　投标文件格式</w:t>
      </w:r>
      <w:r>
        <w:rPr>
          <w:b/>
          <w:color w:val="auto"/>
          <w:sz w:val="32"/>
          <w:szCs w:val="32"/>
          <w:highlight w:val="none"/>
        </w:rPr>
        <w:tab/>
      </w:r>
      <w:r>
        <w:rPr>
          <w:b/>
          <w:color w:val="auto"/>
          <w:sz w:val="32"/>
          <w:szCs w:val="32"/>
          <w:highlight w:val="none"/>
        </w:rPr>
        <w:fldChar w:fldCharType="end"/>
      </w:r>
      <w:r>
        <w:rPr>
          <w:rFonts w:hint="eastAsia"/>
          <w:b/>
          <w:color w:val="auto"/>
          <w:sz w:val="32"/>
          <w:szCs w:val="32"/>
          <w:highlight w:val="none"/>
          <w:lang w:val="en-US" w:eastAsia="zh-CN"/>
        </w:rPr>
        <w:t>68</w:t>
      </w:r>
    </w:p>
    <w:p w14:paraId="5A315CD4">
      <w:pPr>
        <w:pStyle w:val="44"/>
        <w:tabs>
          <w:tab w:val="right" w:leader="dot" w:pos="8834"/>
        </w:tabs>
        <w:spacing w:line="480" w:lineRule="auto"/>
        <w:rPr>
          <w:b/>
          <w:color w:val="auto"/>
          <w:sz w:val="32"/>
          <w:szCs w:val="32"/>
          <w:highlight w:val="none"/>
        </w:rPr>
      </w:pPr>
    </w:p>
    <w:p w14:paraId="206AC645">
      <w:pPr>
        <w:pStyle w:val="44"/>
        <w:tabs>
          <w:tab w:val="right" w:leader="dot" w:pos="8834"/>
        </w:tabs>
        <w:spacing w:line="480" w:lineRule="auto"/>
        <w:rPr>
          <w:b/>
          <w:color w:val="auto"/>
          <w:sz w:val="32"/>
          <w:szCs w:val="32"/>
          <w:highlight w:val="none"/>
        </w:rPr>
      </w:pPr>
    </w:p>
    <w:p w14:paraId="4CEC3A6A">
      <w:pPr>
        <w:pStyle w:val="44"/>
        <w:tabs>
          <w:tab w:val="right" w:leader="dot" w:pos="8834"/>
        </w:tabs>
        <w:spacing w:line="480" w:lineRule="auto"/>
        <w:rPr>
          <w:b/>
          <w:color w:val="auto"/>
          <w:sz w:val="32"/>
          <w:szCs w:val="32"/>
          <w:highlight w:val="none"/>
        </w:rPr>
      </w:pPr>
    </w:p>
    <w:p w14:paraId="099F298E">
      <w:pPr>
        <w:pStyle w:val="44"/>
        <w:tabs>
          <w:tab w:val="right" w:leader="dot" w:pos="8834"/>
        </w:tabs>
        <w:spacing w:line="480" w:lineRule="auto"/>
        <w:rPr>
          <w:b/>
          <w:color w:val="auto"/>
          <w:sz w:val="32"/>
          <w:szCs w:val="32"/>
          <w:highlight w:val="none"/>
        </w:rPr>
      </w:pPr>
    </w:p>
    <w:p w14:paraId="0F0437DF">
      <w:pPr>
        <w:spacing w:line="360" w:lineRule="auto"/>
        <w:ind w:firstLine="480" w:firstLineChars="229"/>
        <w:rPr>
          <w:rFonts w:ascii="仿宋" w:hAnsi="仿宋" w:eastAsia="仿宋" w:cs="仿宋_GB2312"/>
          <w:color w:val="auto"/>
          <w:sz w:val="24"/>
          <w:highlight w:val="none"/>
        </w:rPr>
      </w:pPr>
      <w:r>
        <w:rPr>
          <w:color w:val="auto"/>
          <w:szCs w:val="32"/>
          <w:highlight w:val="none"/>
        </w:rPr>
        <w:fldChar w:fldCharType="end"/>
      </w:r>
    </w:p>
    <w:p w14:paraId="2564F7F7">
      <w:pPr>
        <w:spacing w:line="360" w:lineRule="auto"/>
        <w:ind w:firstLine="549" w:firstLineChars="229"/>
        <w:rPr>
          <w:rFonts w:ascii="仿宋" w:hAnsi="仿宋" w:eastAsia="仿宋" w:cs="仿宋_GB2312"/>
          <w:color w:val="auto"/>
          <w:sz w:val="24"/>
          <w:highlight w:val="none"/>
        </w:rPr>
      </w:pPr>
    </w:p>
    <w:p w14:paraId="7208F3B4">
      <w:pPr>
        <w:spacing w:line="360" w:lineRule="auto"/>
        <w:ind w:firstLine="549" w:firstLineChars="229"/>
        <w:rPr>
          <w:rFonts w:ascii="仿宋" w:hAnsi="仿宋" w:eastAsia="仿宋" w:cs="仿宋_GB2312"/>
          <w:color w:val="auto"/>
          <w:sz w:val="24"/>
          <w:highlight w:val="none"/>
        </w:rPr>
      </w:pPr>
    </w:p>
    <w:p w14:paraId="418C4F8A">
      <w:pPr>
        <w:spacing w:line="360" w:lineRule="auto"/>
        <w:ind w:firstLine="549" w:firstLineChars="229"/>
        <w:rPr>
          <w:rFonts w:ascii="仿宋" w:hAnsi="仿宋" w:eastAsia="仿宋" w:cs="仿宋_GB2312"/>
          <w:color w:val="auto"/>
          <w:sz w:val="24"/>
          <w:highlight w:val="none"/>
        </w:rPr>
      </w:pPr>
    </w:p>
    <w:p w14:paraId="5232EEA5">
      <w:pPr>
        <w:spacing w:line="360" w:lineRule="auto"/>
        <w:ind w:firstLine="549" w:firstLineChars="229"/>
        <w:rPr>
          <w:rFonts w:ascii="仿宋" w:hAnsi="仿宋" w:eastAsia="仿宋" w:cs="仿宋_GB2312"/>
          <w:color w:val="auto"/>
          <w:sz w:val="24"/>
          <w:highlight w:val="none"/>
        </w:rPr>
      </w:pPr>
    </w:p>
    <w:p w14:paraId="56B4CDCF">
      <w:pPr>
        <w:spacing w:line="360" w:lineRule="auto"/>
        <w:ind w:firstLine="549" w:firstLineChars="229"/>
        <w:rPr>
          <w:rFonts w:ascii="仿宋" w:hAnsi="仿宋" w:eastAsia="仿宋" w:cs="仿宋_GB2312"/>
          <w:color w:val="auto"/>
          <w:sz w:val="24"/>
          <w:highlight w:val="none"/>
        </w:rPr>
      </w:pPr>
    </w:p>
    <w:p w14:paraId="4294C192">
      <w:pPr>
        <w:spacing w:line="360" w:lineRule="auto"/>
        <w:rPr>
          <w:rFonts w:ascii="仿宋" w:hAnsi="仿宋" w:eastAsia="仿宋" w:cs="仿宋_GB2312"/>
          <w:color w:val="auto"/>
          <w:sz w:val="24"/>
          <w:highlight w:val="none"/>
        </w:rPr>
      </w:pPr>
    </w:p>
    <w:bookmarkEnd w:id="2"/>
    <w:p w14:paraId="5E1579BB">
      <w:pPr>
        <w:adjustRightInd/>
        <w:spacing w:line="360" w:lineRule="auto"/>
        <w:jc w:val="center"/>
        <w:outlineLvl w:val="0"/>
        <w:rPr>
          <w:rFonts w:ascii="仿宋_GB2312" w:hAnsi="仿宋" w:eastAsia="仿宋_GB2312" w:cs="仿宋_GB2312"/>
          <w:b/>
          <w:color w:val="auto"/>
          <w:sz w:val="36"/>
          <w:szCs w:val="20"/>
          <w:highlight w:val="none"/>
        </w:rPr>
      </w:pPr>
      <w:bookmarkStart w:id="7" w:name="_Hlt74729822"/>
      <w:bookmarkEnd w:id="7"/>
      <w:bookmarkStart w:id="8" w:name="_Hlt74728647"/>
      <w:bookmarkEnd w:id="8"/>
      <w:bookmarkStart w:id="9" w:name="_Hlt74649545"/>
      <w:bookmarkEnd w:id="9"/>
      <w:bookmarkStart w:id="10" w:name="_Hlt74707423"/>
      <w:bookmarkEnd w:id="10"/>
      <w:bookmarkStart w:id="11" w:name="第二部分"/>
      <w:bookmarkStart w:id="12" w:name="_Toc91899870"/>
      <w:bookmarkStart w:id="13" w:name="_Toc91899871"/>
      <w:r>
        <w:rPr>
          <w:rFonts w:hint="eastAsia" w:ascii="仿宋" w:hAnsi="仿宋" w:eastAsia="仿宋" w:cs="仿宋_GB2312"/>
          <w:b/>
          <w:color w:val="auto"/>
          <w:sz w:val="36"/>
          <w:szCs w:val="20"/>
          <w:highlight w:val="none"/>
        </w:rPr>
        <w:t>第一章</w:t>
      </w:r>
      <w:r>
        <w:rPr>
          <w:rFonts w:ascii="仿宋" w:hAnsi="仿宋" w:eastAsia="仿宋" w:cs="仿宋_GB2312"/>
          <w:b/>
          <w:color w:val="auto"/>
          <w:sz w:val="36"/>
          <w:szCs w:val="20"/>
          <w:highlight w:val="none"/>
        </w:rPr>
        <w:t xml:space="preserve"> </w:t>
      </w:r>
      <w:r>
        <w:rPr>
          <w:rFonts w:hint="eastAsia" w:ascii="仿宋" w:hAnsi="仿宋" w:eastAsia="仿宋" w:cs="仿宋_GB2312"/>
          <w:b/>
          <w:color w:val="auto"/>
          <w:sz w:val="36"/>
          <w:szCs w:val="20"/>
          <w:highlight w:val="none"/>
        </w:rPr>
        <w:t>公开招标采购公告</w:t>
      </w:r>
    </w:p>
    <w:p w14:paraId="221302C2">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项目概况</w:t>
      </w:r>
    </w:p>
    <w:p w14:paraId="2EFA3CD2">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u w:val="single"/>
        </w:rPr>
      </w:pPr>
      <w:r>
        <w:rPr>
          <w:rFonts w:hint="eastAsia" w:ascii="仿宋_GB2312" w:hAnsi="仿宋" w:eastAsia="仿宋_GB2312" w:cs="仿宋_GB2312"/>
          <w:color w:val="auto"/>
          <w:sz w:val="24"/>
          <w:highlight w:val="none"/>
          <w:u w:val="single"/>
        </w:rPr>
        <w:t>（</w:t>
      </w:r>
      <w:r>
        <w:rPr>
          <w:rFonts w:hint="eastAsia" w:ascii="仿宋_GB2312" w:hAnsi="仿宋" w:eastAsia="仿宋_GB2312" w:cs="仿宋_GB2312"/>
          <w:color w:val="auto"/>
          <w:sz w:val="24"/>
          <w:highlight w:val="none"/>
          <w:u w:val="single"/>
          <w:lang w:eastAsia="zh-CN"/>
        </w:rPr>
        <w:t>嘉善县中医医院织物清洗消毒服务项目</w:t>
      </w:r>
      <w:r>
        <w:rPr>
          <w:rFonts w:hint="eastAsia" w:ascii="仿宋_GB2312" w:hAnsi="仿宋" w:eastAsia="仿宋_GB2312" w:cs="仿宋_GB2312"/>
          <w:color w:val="auto"/>
          <w:sz w:val="24"/>
          <w:highlight w:val="none"/>
          <w:u w:val="single"/>
        </w:rPr>
        <w:t>）</w:t>
      </w:r>
      <w:r>
        <w:rPr>
          <w:rFonts w:hint="eastAsia" w:ascii="仿宋_GB2312" w:hAnsi="仿宋" w:eastAsia="仿宋_GB2312"/>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4"/>
          <w:rFonts w:ascii="仿宋_GB2312" w:hAnsi="仿宋" w:eastAsia="仿宋_GB2312"/>
          <w:color w:val="auto"/>
          <w:sz w:val="24"/>
          <w:highlight w:val="none"/>
        </w:rPr>
        <w:t>https://www.zcygov.cn/）获取（下载）招标文件，并于</w:t>
      </w:r>
      <w:r>
        <w:rPr>
          <w:rFonts w:hint="eastAsia" w:ascii="仿宋_GB2312" w:hAnsi="仿宋" w:eastAsia="仿宋_GB2312"/>
          <w:color w:val="auto"/>
          <w:sz w:val="24"/>
          <w:highlight w:val="none"/>
          <w:u w:val="single"/>
          <w:lang w:eastAsia="zh-CN"/>
        </w:rPr>
        <w:t>2025年4月22日</w:t>
      </w:r>
      <w:r>
        <w:rPr>
          <w:rFonts w:hint="eastAsia" w:ascii="仿宋_GB2312" w:hAnsi="仿宋" w:eastAsia="仿宋_GB2312"/>
          <w:color w:val="auto"/>
          <w:sz w:val="24"/>
          <w:highlight w:val="none"/>
          <w:u w:val="single"/>
          <w:lang w:val="en-US" w:eastAsia="zh-CN"/>
        </w:rPr>
        <w:t>14</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00秒</w:t>
      </w:r>
      <w:r>
        <w:rPr>
          <w:rFonts w:hint="eastAsia" w:ascii="仿宋_GB2312" w:hAnsi="仿宋" w:eastAsia="仿宋_GB2312"/>
          <w:bCs/>
          <w:color w:val="auto"/>
          <w:sz w:val="24"/>
          <w:highlight w:val="none"/>
          <w:u w:val="single"/>
        </w:rPr>
        <w:fldChar w:fldCharType="end"/>
      </w:r>
      <w:r>
        <w:rPr>
          <w:rFonts w:hint="eastAsia" w:ascii="仿宋_GB2312" w:hAnsi="仿宋" w:eastAsia="仿宋_GB2312"/>
          <w:bCs/>
          <w:color w:val="auto"/>
          <w:sz w:val="24"/>
          <w:highlight w:val="none"/>
        </w:rPr>
        <w:t>（北京时间）前</w:t>
      </w:r>
      <w:r>
        <w:rPr>
          <w:rFonts w:hint="eastAsia" w:ascii="仿宋_GB2312" w:hAnsi="仿宋" w:eastAsia="仿宋_GB2312"/>
          <w:color w:val="auto"/>
          <w:sz w:val="24"/>
          <w:highlight w:val="none"/>
        </w:rPr>
        <w:t>递交（上传）投标文件。</w:t>
      </w:r>
    </w:p>
    <w:p w14:paraId="53769FC7">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一、项目基本情况</w:t>
      </w:r>
      <w:r>
        <w:rPr>
          <w:rFonts w:ascii="仿宋_GB2312" w:hAnsi="仿宋" w:eastAsia="仿宋_GB2312"/>
          <w:b/>
          <w:color w:val="auto"/>
          <w:sz w:val="24"/>
          <w:highlight w:val="none"/>
        </w:rPr>
        <w:t xml:space="preserve">                                            </w:t>
      </w:r>
    </w:p>
    <w:p w14:paraId="1B500302">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hint="eastAsia" w:ascii="仿宋_GB2312" w:hAnsi="仿宋" w:eastAsia="仿宋_GB2312"/>
          <w:b/>
          <w:color w:val="auto"/>
          <w:sz w:val="24"/>
          <w:highlight w:val="none"/>
        </w:rPr>
        <w:t>项目编号：</w:t>
      </w:r>
      <w:r>
        <w:rPr>
          <w:rFonts w:hint="eastAsia" w:ascii="仿宋_GB2312" w:hAnsi="仿宋" w:eastAsia="仿宋_GB2312"/>
          <w:b/>
          <w:color w:val="auto"/>
          <w:sz w:val="24"/>
          <w:highlight w:val="none"/>
          <w:lang w:eastAsia="zh-CN"/>
        </w:rPr>
        <w:t>JXYJ2025006</w:t>
      </w:r>
      <w:r>
        <w:rPr>
          <w:rFonts w:hint="eastAsia" w:ascii="仿宋_GB2312" w:hAnsi="仿宋" w:eastAsia="仿宋_GB2312"/>
          <w:b/>
          <w:color w:val="auto"/>
          <w:sz w:val="24"/>
          <w:highlight w:val="none"/>
        </w:rPr>
        <w:t>(G)</w:t>
      </w:r>
    </w:p>
    <w:p w14:paraId="039F420D">
      <w:pPr>
        <w:keepNext w:val="0"/>
        <w:keepLines w:val="0"/>
        <w:pageBreakBefore w:val="0"/>
        <w:kinsoku/>
        <w:wordWrap/>
        <w:overflowPunct/>
        <w:topLinePunct w:val="0"/>
        <w:autoSpaceDE/>
        <w:autoSpaceDN/>
        <w:bidi w:val="0"/>
        <w:adjustRightInd w:val="0"/>
        <w:spacing w:line="440" w:lineRule="exact"/>
        <w:textAlignment w:val="auto"/>
        <w:rPr>
          <w:rFonts w:hint="eastAsia" w:ascii="仿宋_GB2312" w:hAnsi="仿宋" w:eastAsia="仿宋_GB2312"/>
          <w:color w:val="auto"/>
          <w:sz w:val="24"/>
          <w:highlight w:val="none"/>
          <w:lang w:eastAsia="zh-CN"/>
        </w:rPr>
      </w:pPr>
      <w:r>
        <w:rPr>
          <w:rFonts w:ascii="仿宋_GB2312" w:hAnsi="仿宋" w:eastAsia="仿宋_GB2312"/>
          <w:color w:val="auto"/>
          <w:sz w:val="24"/>
          <w:highlight w:val="none"/>
        </w:rPr>
        <w:t xml:space="preserve"> </w:t>
      </w: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项目名称：</w:t>
      </w:r>
      <w:r>
        <w:rPr>
          <w:rFonts w:hint="eastAsia" w:ascii="仿宋_GB2312" w:hAnsi="仿宋" w:eastAsia="仿宋_GB2312"/>
          <w:b/>
          <w:color w:val="auto"/>
          <w:sz w:val="24"/>
          <w:highlight w:val="none"/>
          <w:lang w:eastAsia="zh-CN"/>
        </w:rPr>
        <w:t>嘉善县中医医院织物清洗消毒服务项目</w:t>
      </w:r>
    </w:p>
    <w:p w14:paraId="0194F7D5">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预算金额：</w:t>
      </w:r>
      <w:r>
        <w:rPr>
          <w:rFonts w:hint="eastAsia" w:ascii="仿宋_GB2312" w:hAnsi="仿宋" w:eastAsia="仿宋_GB2312"/>
          <w:b/>
          <w:color w:val="auto"/>
          <w:sz w:val="24"/>
          <w:highlight w:val="none"/>
          <w:lang w:val="en-US" w:eastAsia="zh-CN"/>
        </w:rPr>
        <w:t>87.00</w:t>
      </w:r>
      <w:r>
        <w:rPr>
          <w:rFonts w:hint="eastAsia" w:ascii="仿宋_GB2312" w:hAnsi="仿宋" w:eastAsia="仿宋_GB2312"/>
          <w:b/>
          <w:color w:val="auto"/>
          <w:sz w:val="24"/>
          <w:highlight w:val="none"/>
          <w:lang w:eastAsia="zh-CN"/>
        </w:rPr>
        <w:t>万元</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 xml:space="preserve"> </w:t>
      </w:r>
    </w:p>
    <w:p w14:paraId="7CF35E73">
      <w:pPr>
        <w:keepNext w:val="0"/>
        <w:keepLines w:val="0"/>
        <w:pageBreakBefore w:val="0"/>
        <w:kinsoku/>
        <w:wordWrap/>
        <w:overflowPunct/>
        <w:topLinePunct w:val="0"/>
        <w:autoSpaceDE/>
        <w:autoSpaceDN/>
        <w:bidi w:val="0"/>
        <w:adjustRightInd w:val="0"/>
        <w:spacing w:line="440" w:lineRule="exact"/>
        <w:ind w:firstLine="480"/>
        <w:textAlignment w:val="auto"/>
        <w:rPr>
          <w:rFonts w:hint="default" w:ascii="仿宋_GB2312" w:hAnsi="仿宋" w:eastAsia="仿宋_GB2312"/>
          <w:color w:val="auto"/>
          <w:sz w:val="24"/>
          <w:highlight w:val="none"/>
          <w:lang w:val="en-US" w:eastAsia="zh-CN"/>
        </w:rPr>
      </w:pPr>
      <w:r>
        <w:rPr>
          <w:rFonts w:hint="eastAsia" w:ascii="仿宋_GB2312" w:hAnsi="仿宋" w:eastAsia="仿宋_GB2312"/>
          <w:b/>
          <w:color w:val="auto"/>
          <w:sz w:val="24"/>
          <w:highlight w:val="none"/>
        </w:rPr>
        <w:t>最高限价：</w:t>
      </w:r>
      <w:r>
        <w:rPr>
          <w:rFonts w:hint="eastAsia" w:ascii="仿宋_GB2312" w:hAnsi="仿宋" w:eastAsia="仿宋_GB2312"/>
          <w:b/>
          <w:color w:val="auto"/>
          <w:sz w:val="24"/>
          <w:highlight w:val="none"/>
          <w:lang w:val="en-US" w:eastAsia="zh-CN"/>
        </w:rPr>
        <w:t>87.00</w:t>
      </w:r>
      <w:r>
        <w:rPr>
          <w:rFonts w:hint="eastAsia" w:ascii="仿宋_GB2312" w:hAnsi="仿宋" w:eastAsia="仿宋_GB2312"/>
          <w:b/>
          <w:color w:val="auto"/>
          <w:sz w:val="24"/>
          <w:highlight w:val="none"/>
          <w:lang w:eastAsia="zh-CN"/>
        </w:rPr>
        <w:t>万元</w:t>
      </w:r>
    </w:p>
    <w:p w14:paraId="013711A9">
      <w:pPr>
        <w:pStyle w:val="17"/>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bCs/>
          <w:snapToGrid/>
          <w:color w:val="auto"/>
          <w:kern w:val="2"/>
          <w:sz w:val="24"/>
          <w:szCs w:val="24"/>
          <w:highlight w:val="none"/>
        </w:rPr>
      </w:pPr>
      <w:r>
        <w:rPr>
          <w:rFonts w:hint="eastAsia" w:ascii="仿宋_GB2312" w:hAnsi="仿宋" w:eastAsia="仿宋_GB2312"/>
          <w:b/>
          <w:color w:val="auto"/>
          <w:sz w:val="24"/>
          <w:highlight w:val="none"/>
        </w:rPr>
        <w:t>采购需求：</w:t>
      </w:r>
      <w:r>
        <w:rPr>
          <w:rFonts w:hint="eastAsia" w:ascii="仿宋_GB2312" w:hAnsi="仿宋" w:eastAsia="仿宋_GB2312"/>
          <w:bCs/>
          <w:snapToGrid/>
          <w:color w:val="auto"/>
          <w:kern w:val="2"/>
          <w:sz w:val="24"/>
          <w:szCs w:val="24"/>
          <w:highlight w:val="none"/>
        </w:rPr>
        <w:t>详见招标文件第二章招标需求。</w:t>
      </w:r>
    </w:p>
    <w:p w14:paraId="16EC0575">
      <w:pPr>
        <w:pStyle w:val="17"/>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color w:val="auto"/>
          <w:highlight w:val="none"/>
        </w:rPr>
      </w:pPr>
      <w:r>
        <w:rPr>
          <w:rFonts w:hint="eastAsia" w:ascii="仿宋_GB2312" w:hAnsi="仿宋" w:eastAsia="仿宋_GB2312"/>
          <w:b/>
          <w:color w:val="auto"/>
          <w:sz w:val="24"/>
          <w:szCs w:val="18"/>
          <w:highlight w:val="none"/>
        </w:rPr>
        <w:t>合同履约期限</w:t>
      </w:r>
      <w:r>
        <w:rPr>
          <w:rFonts w:hint="eastAsia" w:ascii="仿宋_GB2312" w:hAnsi="仿宋" w:eastAsia="仿宋_GB2312"/>
          <w:b/>
          <w:color w:val="auto"/>
          <w:highlight w:val="none"/>
        </w:rPr>
        <w:t>：</w:t>
      </w:r>
      <w:r>
        <w:rPr>
          <w:rFonts w:hint="eastAsia" w:ascii="仿宋_GB2312" w:hAnsi="仿宋" w:eastAsia="仿宋_GB2312"/>
          <w:bCs/>
          <w:snapToGrid/>
          <w:color w:val="auto"/>
          <w:kern w:val="2"/>
          <w:sz w:val="24"/>
          <w:szCs w:val="24"/>
          <w:highlight w:val="none"/>
        </w:rPr>
        <w:t>自</w:t>
      </w:r>
      <w:r>
        <w:rPr>
          <w:rFonts w:hint="eastAsia" w:ascii="仿宋_GB2312" w:hAnsi="仿宋" w:eastAsia="仿宋_GB2312"/>
          <w:bCs/>
          <w:snapToGrid/>
          <w:color w:val="auto"/>
          <w:kern w:val="2"/>
          <w:sz w:val="24"/>
          <w:szCs w:val="24"/>
          <w:highlight w:val="none"/>
          <w:lang w:eastAsia="zh-CN"/>
        </w:rPr>
        <w:t>合同签订之日起一年</w:t>
      </w:r>
      <w:r>
        <w:rPr>
          <w:rFonts w:hint="eastAsia" w:ascii="仿宋_GB2312" w:hAnsi="仿宋" w:eastAsia="仿宋_GB2312"/>
          <w:bCs/>
          <w:snapToGrid/>
          <w:color w:val="auto"/>
          <w:kern w:val="2"/>
          <w:sz w:val="24"/>
          <w:szCs w:val="24"/>
          <w:highlight w:val="none"/>
          <w:lang w:val="en-US" w:eastAsia="zh-CN"/>
        </w:rPr>
        <w:t>,若中标供应商操作规范、服务优良、考核评分标准不低于90分的，经采购人、县财政部门同意后，可延长采购服务有效期两次，每次续签服务合同一年</w:t>
      </w:r>
      <w:r>
        <w:rPr>
          <w:rFonts w:hint="eastAsia" w:ascii="仿宋_GB2312" w:hAnsi="仿宋" w:eastAsia="仿宋_GB2312"/>
          <w:bCs/>
          <w:snapToGrid/>
          <w:color w:val="auto"/>
          <w:kern w:val="2"/>
          <w:sz w:val="24"/>
          <w:szCs w:val="24"/>
          <w:highlight w:val="none"/>
        </w:rPr>
        <w:t>。</w:t>
      </w:r>
    </w:p>
    <w:p w14:paraId="400B1974">
      <w:pPr>
        <w:pStyle w:val="17"/>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本项目接受联合体投标：</w:t>
      </w:r>
      <w:sdt>
        <w:sdtPr>
          <w:rPr>
            <w:rFonts w:hint="eastAsia" w:ascii="仿宋_GB2312" w:hAnsi="仿宋" w:eastAsia="仿宋_GB2312" w:cs="Arial"/>
            <w:bCs/>
            <w:color w:val="auto"/>
            <w:kern w:val="0"/>
            <w:sz w:val="24"/>
            <w:highlight w:val="none"/>
          </w:rPr>
          <w:id w:val="2035453831"/>
          <w14:checkbox>
            <w14:checked w14:val="0"/>
            <w14:checkedState w14:val="00FE" w14:font="Wingdings"/>
            <w14:uncheckedState w14:val="2610" w14:font="MS Gothic"/>
          </w14:checkbox>
        </w:sdtPr>
        <w:sdtEndPr>
          <w:rPr>
            <w:rFonts w:hint="eastAsia" w:ascii="仿宋_GB2312" w:hAnsi="仿宋" w:eastAsia="仿宋_GB2312" w:cs="Arial"/>
            <w:bCs/>
            <w:color w:val="auto"/>
            <w:kern w:val="0"/>
            <w:sz w:val="24"/>
            <w:highlight w:val="none"/>
          </w:rPr>
        </w:sdtEndPr>
        <w:sdtContent>
          <w:r>
            <w:rPr>
              <w:rFonts w:ascii="MS Gothic" w:hAnsi="MS Gothic" w:eastAsia="MS Gothic" w:cs="Arial"/>
              <w:bCs/>
              <w:color w:val="auto"/>
              <w:kern w:val="0"/>
              <w:sz w:val="24"/>
              <w:highlight w:val="none"/>
            </w:rPr>
            <w:t>☐</w:t>
          </w:r>
        </w:sdtContent>
      </w:sdt>
      <w:r>
        <w:rPr>
          <w:rFonts w:hint="eastAsia" w:ascii="仿宋_GB2312" w:hAnsi="仿宋" w:eastAsia="仿宋_GB2312"/>
          <w:bCs/>
          <w:color w:val="auto"/>
          <w:sz w:val="24"/>
          <w:highlight w:val="none"/>
        </w:rPr>
        <w:t>是，</w:t>
      </w:r>
      <w:sdt>
        <w:sdtPr>
          <w:rPr>
            <w:rFonts w:hint="eastAsia" w:ascii="仿宋_GB2312" w:hAnsi="仿宋" w:eastAsia="仿宋_GB2312" w:cs="Arial"/>
            <w:bCs/>
            <w:color w:val="auto"/>
            <w:kern w:val="0"/>
            <w:sz w:val="24"/>
            <w:highlight w:val="none"/>
          </w:rPr>
          <w:id w:val="-1765526721"/>
          <w14:checkbox>
            <w14:checked w14:val="1"/>
            <w14:checkedState w14:val="00FE" w14:font="Wingdings"/>
            <w14:uncheckedState w14:val="2610" w14:font="MS Gothic"/>
          </w14:checkbox>
        </w:sdtPr>
        <w:sdtEndPr>
          <w:rPr>
            <w:rFonts w:hint="eastAsia" w:ascii="仿宋_GB2312" w:hAnsi="仿宋" w:eastAsia="仿宋_GB2312" w:cs="Arial"/>
            <w:bCs/>
            <w:color w:val="auto"/>
            <w:kern w:val="0"/>
            <w:sz w:val="24"/>
            <w:highlight w:val="none"/>
          </w:rPr>
        </w:sdtEndPr>
        <w:sdtContent>
          <w:r>
            <w:rPr>
              <w:rFonts w:ascii="Wingdings" w:hAnsi="Wingdings" w:eastAsia="MS Gothic" w:cs="Arial"/>
              <w:bCs/>
              <w:snapToGrid w:val="0"/>
              <w:color w:val="auto"/>
              <w:kern w:val="0"/>
              <w:sz w:val="24"/>
              <w:szCs w:val="20"/>
              <w:highlight w:val="none"/>
              <w:lang w:val="en-US" w:eastAsia="zh-CN" w:bidi="ar-SA"/>
            </w:rPr>
            <w:t>þ</w:t>
          </w:r>
        </w:sdtContent>
      </w:sdt>
      <w:r>
        <w:rPr>
          <w:rFonts w:hint="eastAsia" w:ascii="仿宋_GB2312" w:hAnsi="仿宋" w:eastAsia="仿宋_GB2312"/>
          <w:bCs/>
          <w:color w:val="auto"/>
          <w:sz w:val="24"/>
          <w:highlight w:val="none"/>
        </w:rPr>
        <w:t>否</w:t>
      </w:r>
      <w:r>
        <w:rPr>
          <w:rFonts w:hint="eastAsia" w:cs="Arial" w:asciiTheme="minorEastAsia" w:hAnsiTheme="minorEastAsia" w:eastAsiaTheme="minorEastAsia"/>
          <w:bCs/>
          <w:color w:val="auto"/>
          <w:kern w:val="0"/>
          <w:sz w:val="24"/>
          <w:highlight w:val="none"/>
        </w:rPr>
        <w:t>。</w:t>
      </w:r>
    </w:p>
    <w:p w14:paraId="4CC06E66">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二、申请人的资格要求：</w:t>
      </w:r>
    </w:p>
    <w:p w14:paraId="428D567F">
      <w:pPr>
        <w:keepNext w:val="0"/>
        <w:keepLines w:val="0"/>
        <w:pageBreakBefore w:val="0"/>
        <w:kinsoku/>
        <w:wordWrap/>
        <w:overflowPunct/>
        <w:topLinePunct w:val="0"/>
        <w:autoSpaceDE/>
        <w:autoSpaceDN/>
        <w:bidi w:val="0"/>
        <w:adjustRightInd w:val="0"/>
        <w:spacing w:line="440" w:lineRule="exact"/>
        <w:ind w:firstLine="480"/>
        <w:textAlignment w:val="auto"/>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1.</w:t>
      </w:r>
      <w:r>
        <w:rPr>
          <w:rFonts w:hint="eastAsia" w:ascii="仿宋" w:hAnsi="仿宋" w:eastAsia="仿宋" w:cs="仿宋_GB2312"/>
          <w:snapToGrid w:val="0"/>
          <w:color w:val="auto"/>
          <w:kern w:val="28"/>
          <w:sz w:val="24"/>
          <w:szCs w:val="20"/>
          <w:highlight w:val="none"/>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14:paraId="74F5BFB1">
      <w:pPr>
        <w:keepNext w:val="0"/>
        <w:keepLines w:val="0"/>
        <w:pageBreakBefore w:val="0"/>
        <w:kinsoku/>
        <w:wordWrap/>
        <w:overflowPunct/>
        <w:topLinePunct w:val="0"/>
        <w:autoSpaceDE/>
        <w:autoSpaceDN/>
        <w:bidi w:val="0"/>
        <w:adjustRightInd w:val="0"/>
        <w:spacing w:line="440" w:lineRule="exact"/>
        <w:textAlignment w:val="auto"/>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 xml:space="preserve">    2.</w:t>
      </w:r>
      <w:r>
        <w:rPr>
          <w:rFonts w:hint="eastAsia" w:ascii="仿宋" w:hAnsi="仿宋" w:eastAsia="仿宋" w:cs="仿宋_GB2312"/>
          <w:snapToGrid w:val="0"/>
          <w:color w:val="auto"/>
          <w:kern w:val="28"/>
          <w:sz w:val="24"/>
          <w:szCs w:val="20"/>
          <w:highlight w:val="none"/>
        </w:rPr>
        <w:t>落实政府采购政策需满足的资格要求：</w:t>
      </w:r>
    </w:p>
    <w:p w14:paraId="53182AB2">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928616923"/>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hint="eastAsia" w:ascii="仿宋_GB2312" w:hAnsi="仿宋" w:eastAsia="仿宋_GB2312"/>
          <w:color w:val="auto"/>
          <w:sz w:val="24"/>
          <w:highlight w:val="none"/>
        </w:rPr>
        <w:t>无；</w:t>
      </w:r>
    </w:p>
    <w:p w14:paraId="2CD228F9">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024704304"/>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Wingdings" w:hAnsi="Wingdings" w:eastAsia="MS Gothic" w:cs="Arial"/>
              <w:color w:val="auto"/>
              <w:kern w:val="0"/>
              <w:sz w:val="24"/>
              <w:highlight w:val="none"/>
            </w:rPr>
            <w:t>þ</w:t>
          </w:r>
        </w:sdtContent>
      </w:sdt>
      <w:r>
        <w:rPr>
          <w:rFonts w:hint="eastAsia" w:ascii="仿宋_GB2312" w:hAnsi="仿宋" w:eastAsia="仿宋_GB2312" w:cs="Arial"/>
          <w:color w:val="auto"/>
          <w:kern w:val="0"/>
          <w:sz w:val="24"/>
          <w:highlight w:val="none"/>
        </w:rPr>
        <w:t>专</w:t>
      </w:r>
      <w:r>
        <w:rPr>
          <w:rFonts w:hint="eastAsia" w:ascii="仿宋_GB2312" w:hAnsi="仿宋" w:eastAsia="仿宋_GB2312"/>
          <w:color w:val="auto"/>
          <w:sz w:val="24"/>
          <w:highlight w:val="none"/>
        </w:rPr>
        <w:t>门面向中小企业</w:t>
      </w:r>
    </w:p>
    <w:p w14:paraId="2DCE9587">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ascii="仿宋_GB2312" w:hAnsi="仿宋" w:eastAsia="仿宋_GB2312"/>
          <w:color w:val="auto"/>
          <w:sz w:val="24"/>
          <w:highlight w:val="none"/>
          <w:u w:val="singl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hint="eastAsia" w:ascii="仿宋_GB2312" w:hAnsi="仿宋" w:eastAsia="仿宋_GB2312"/>
          <w:color w:val="auto"/>
          <w:sz w:val="24"/>
          <w:highlight w:val="none"/>
        </w:rPr>
        <w:t>货物全部由符合政策要求的中小企业制造，提供中小企业声明函；</w:t>
      </w:r>
    </w:p>
    <w:p w14:paraId="3CF685F7">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152604937"/>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_GB2312" w:hAnsi="仿宋" w:eastAsia="仿宋_GB2312"/>
          <w:color w:val="auto"/>
          <w:sz w:val="24"/>
          <w:highlight w:val="none"/>
        </w:rPr>
        <w:t>货物全部由符合政策要求的小微企业制造，提供中小企业声明函；</w:t>
      </w:r>
    </w:p>
    <w:p w14:paraId="58204EBE">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33685401"/>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Wingdings" w:hAnsi="Wingdings" w:eastAsia="仿宋_GB2312" w:cs="Arial"/>
              <w:color w:val="auto"/>
              <w:kern w:val="0"/>
              <w:sz w:val="24"/>
              <w:highlight w:val="none"/>
            </w:rPr>
            <w:t>þ</w:t>
          </w:r>
        </w:sdtContent>
      </w:sdt>
      <w:r>
        <w:rPr>
          <w:rFonts w:hint="eastAsia" w:ascii="仿宋_GB2312" w:hAnsi="仿宋" w:eastAsia="仿宋_GB2312"/>
          <w:color w:val="auto"/>
          <w:sz w:val="24"/>
          <w:highlight w:val="none"/>
        </w:rPr>
        <w:t>服务全部由符合政策要求的中小企业承接，提供中小企业声明函；</w:t>
      </w:r>
    </w:p>
    <w:p w14:paraId="09F36E58">
      <w:pPr>
        <w:keepNext w:val="0"/>
        <w:keepLines w:val="0"/>
        <w:pageBreakBefore w:val="0"/>
        <w:kinsoku/>
        <w:wordWrap/>
        <w:overflowPunct/>
        <w:topLinePunct w:val="0"/>
        <w:autoSpaceDE/>
        <w:autoSpaceDN/>
        <w:bidi w:val="0"/>
        <w:adjustRightInd w:val="0"/>
        <w:spacing w:line="440" w:lineRule="exact"/>
        <w:ind w:firstLine="897" w:firstLineChars="374"/>
        <w:textAlignment w:val="auto"/>
        <w:rPr>
          <w:color w:val="auto"/>
          <w:highlight w:val="none"/>
        </w:rPr>
      </w:pPr>
      <w:sdt>
        <w:sdtPr>
          <w:rPr>
            <w:rFonts w:hint="eastAsia" w:ascii="仿宋_GB2312" w:hAnsi="仿宋" w:eastAsia="仿宋_GB2312" w:cs="Arial"/>
            <w:color w:val="auto"/>
            <w:kern w:val="0"/>
            <w:sz w:val="24"/>
            <w:highlight w:val="none"/>
          </w:rPr>
          <w:id w:val="-214102535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_GB2312" w:hAnsi="仿宋" w:eastAsia="仿宋_GB2312"/>
          <w:color w:val="auto"/>
          <w:sz w:val="24"/>
          <w:highlight w:val="none"/>
        </w:rPr>
        <w:t>服务全部由符合政策要求的小微企业承接，提供中小企业声明函；</w:t>
      </w:r>
    </w:p>
    <w:p w14:paraId="5476CF1C">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 w:hAnsi="仿宋" w:eastAsia="仿宋"/>
          <w:color w:val="auto"/>
          <w:sz w:val="24"/>
          <w:highlight w:val="none"/>
        </w:rPr>
      </w:pPr>
      <w:sdt>
        <w:sdtPr>
          <w:rPr>
            <w:rFonts w:hint="eastAsia" w:ascii="仿宋_GB2312" w:hAnsi="仿宋" w:eastAsia="仿宋_GB2312" w:cs="Arial"/>
            <w:color w:val="auto"/>
            <w:kern w:val="0"/>
            <w:sz w:val="24"/>
            <w:highlight w:val="none"/>
          </w:rPr>
          <w:id w:val="-1985607795"/>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_GB2312" w:hAnsi="仿宋" w:eastAsia="仿宋_GB2312"/>
          <w:color w:val="auto"/>
          <w:sz w:val="24"/>
          <w:highlight w:val="none"/>
        </w:rPr>
        <w:t>要求以联合体形式参加，提供联合协议和中小企业声明函，联合协议中中小企业合同金额应当达到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olor w:val="auto"/>
          <w:sz w:val="24"/>
          <w:highlight w:val="none"/>
        </w:rPr>
        <w:t>；</w:t>
      </w:r>
    </w:p>
    <w:p w14:paraId="6FBA7305">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 w:hAnsi="仿宋" w:eastAsia="仿宋"/>
          <w:color w:val="auto"/>
          <w:sz w:val="24"/>
          <w:highlight w:val="none"/>
        </w:rPr>
      </w:pPr>
      <w:sdt>
        <w:sdtPr>
          <w:rPr>
            <w:rFonts w:hint="eastAsia" w:ascii="仿宋_GB2312" w:hAnsi="仿宋" w:eastAsia="仿宋_GB2312" w:cs="Arial"/>
            <w:color w:val="auto"/>
            <w:kern w:val="0"/>
            <w:sz w:val="24"/>
            <w:highlight w:val="none"/>
          </w:rPr>
          <w:id w:val="34630645"/>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ascii="MS Gothic" w:hAnsi="MS Gothic" w:eastAsia="仿宋_GB2312" w:cs="Arial"/>
              <w:color w:val="auto"/>
              <w:kern w:val="0"/>
              <w:sz w:val="24"/>
              <w:highlight w:val="none"/>
            </w:rPr>
            <w:t>☐</w:t>
          </w:r>
        </w:sdtContent>
      </w:sdt>
      <w:r>
        <w:rPr>
          <w:rFonts w:hint="eastAsia" w:ascii="仿宋" w:hAnsi="仿宋" w:eastAsia="仿宋"/>
          <w:color w:val="auto"/>
          <w:sz w:val="24"/>
          <w:highlight w:val="none"/>
        </w:rPr>
        <w:t>要求合同分包，提供分包意向协议和中小企业声明函，分包意向协议中中小企业合同金额应当达到</w:t>
      </w:r>
      <w:r>
        <w:rPr>
          <w:rFonts w:hint="eastAsia" w:ascii="仿宋_GB2312" w:hAnsi="仿宋" w:eastAsia="仿宋_GB2312"/>
          <w:color w:val="auto"/>
          <w:sz w:val="24"/>
          <w:highlight w:val="none"/>
        </w:rPr>
        <w:t>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，小微企业合同金额应当达到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olor w:val="auto"/>
          <w:sz w:val="24"/>
          <w:highlight w:val="none"/>
        </w:rPr>
        <w:t>；</w:t>
      </w:r>
    </w:p>
    <w:p w14:paraId="0AB911B0">
      <w:pPr>
        <w:keepNext w:val="0"/>
        <w:keepLines w:val="0"/>
        <w:pageBreakBefore w:val="0"/>
        <w:kinsoku/>
        <w:wordWrap/>
        <w:overflowPunct/>
        <w:topLinePunct w:val="0"/>
        <w:autoSpaceDE/>
        <w:autoSpaceDN/>
        <w:bidi w:val="0"/>
        <w:adjustRightInd w:val="0"/>
        <w:snapToGrid w:val="0"/>
        <w:spacing w:line="440" w:lineRule="exact"/>
        <w:ind w:firstLine="512" w:firstLineChars="200"/>
        <w:textAlignment w:val="auto"/>
        <w:rPr>
          <w:rFonts w:hint="eastAsia" w:ascii="仿宋" w:hAnsi="仿宋" w:eastAsia="仿宋" w:cs="宋体"/>
          <w:color w:val="auto"/>
          <w:spacing w:val="8"/>
          <w:kern w:val="0"/>
          <w:sz w:val="24"/>
          <w:highlight w:val="none"/>
        </w:rPr>
      </w:pPr>
      <w:r>
        <w:rPr>
          <w:rFonts w:hint="eastAsia" w:ascii="仿宋" w:hAnsi="仿宋" w:eastAsia="仿宋" w:cs="宋体"/>
          <w:color w:val="auto"/>
          <w:spacing w:val="8"/>
          <w:kern w:val="0"/>
          <w:sz w:val="24"/>
          <w:highlight w:val="none"/>
        </w:rPr>
        <w:t>3.本项目的特定资格要求：</w:t>
      </w:r>
      <w:r>
        <w:rPr>
          <w:rFonts w:hint="eastAsia" w:ascii="仿宋" w:hAnsi="仿宋" w:eastAsia="仿宋" w:cs="宋体"/>
          <w:color w:val="auto"/>
          <w:spacing w:val="8"/>
          <w:kern w:val="0"/>
          <w:sz w:val="24"/>
          <w:highlight w:val="none"/>
          <w:lang w:eastAsia="zh-CN"/>
        </w:rPr>
        <w:t>无；</w:t>
      </w:r>
    </w:p>
    <w:p w14:paraId="7DCD96B5">
      <w:pPr>
        <w:keepNext w:val="0"/>
        <w:keepLines w:val="0"/>
        <w:pageBreakBefore w:val="0"/>
        <w:kinsoku/>
        <w:wordWrap/>
        <w:overflowPunct/>
        <w:topLinePunct w:val="0"/>
        <w:autoSpaceDE/>
        <w:autoSpaceDN/>
        <w:bidi w:val="0"/>
        <w:adjustRightInd w:val="0"/>
        <w:spacing w:line="440" w:lineRule="exact"/>
        <w:ind w:firstLine="512" w:firstLineChars="200"/>
        <w:textAlignment w:val="auto"/>
        <w:rPr>
          <w:rFonts w:ascii="仿宋" w:hAnsi="仿宋" w:eastAsia="仿宋" w:cs="宋体"/>
          <w:color w:val="auto"/>
          <w:spacing w:val="8"/>
          <w:kern w:val="0"/>
          <w:sz w:val="24"/>
          <w:highlight w:val="none"/>
        </w:rPr>
      </w:pPr>
      <w:r>
        <w:rPr>
          <w:rFonts w:hint="eastAsia" w:ascii="仿宋" w:hAnsi="仿宋" w:eastAsia="仿宋" w:cs="宋体"/>
          <w:color w:val="auto"/>
          <w:spacing w:val="8"/>
          <w:kern w:val="0"/>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1E7334A">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三、获取招标文件</w:t>
      </w:r>
      <w:r>
        <w:rPr>
          <w:rFonts w:ascii="仿宋_GB2312" w:hAnsi="仿宋" w:eastAsia="仿宋_GB2312"/>
          <w:b/>
          <w:color w:val="auto"/>
          <w:sz w:val="24"/>
          <w:highlight w:val="none"/>
        </w:rPr>
        <w:t xml:space="preserve"> </w:t>
      </w:r>
    </w:p>
    <w:p w14:paraId="61E176B6">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时间：</w:t>
      </w:r>
      <w:r>
        <w:rPr>
          <w:rFonts w:ascii="仿宋_GB2312" w:hAnsi="仿宋" w:eastAsia="仿宋_GB2312"/>
          <w:color w:val="auto"/>
          <w:sz w:val="24"/>
          <w:highlight w:val="none"/>
        </w:rPr>
        <w:t>/至</w:t>
      </w:r>
      <w:r>
        <w:rPr>
          <w:rFonts w:hint="eastAsia" w:ascii="仿宋_GB2312" w:hAnsi="仿宋" w:eastAsia="仿宋_GB2312"/>
          <w:color w:val="auto"/>
          <w:sz w:val="24"/>
          <w:highlight w:val="none"/>
          <w:u w:val="single"/>
          <w:lang w:eastAsia="zh-CN"/>
        </w:rPr>
        <w:t>2025年4月22日</w:t>
      </w:r>
      <w:r>
        <w:rPr>
          <w:rFonts w:hint="eastAsia" w:ascii="仿宋_GB2312" w:hAnsi="仿宋" w:eastAsia="仿宋_GB2312"/>
          <w:color w:val="auto"/>
          <w:sz w:val="24"/>
          <w:highlight w:val="none"/>
        </w:rPr>
        <w:t>，每天上午</w:t>
      </w:r>
      <w:r>
        <w:rPr>
          <w:rFonts w:ascii="仿宋_GB2312" w:hAnsi="仿宋" w:eastAsia="仿宋_GB2312"/>
          <w:color w:val="auto"/>
          <w:sz w:val="24"/>
          <w:highlight w:val="none"/>
        </w:rPr>
        <w:t xml:space="preserve">00:00至12:00 </w:t>
      </w:r>
      <w:r>
        <w:rPr>
          <w:rFonts w:hint="eastAsia" w:ascii="仿宋_GB2312" w:hAnsi="仿宋" w:eastAsia="仿宋_GB2312"/>
          <w:color w:val="auto"/>
          <w:sz w:val="24"/>
          <w:highlight w:val="none"/>
        </w:rPr>
        <w:t>，下午</w:t>
      </w:r>
      <w:r>
        <w:rPr>
          <w:rFonts w:ascii="仿宋_GB2312" w:hAnsi="仿宋" w:eastAsia="仿宋_GB2312"/>
          <w:color w:val="auto"/>
          <w:sz w:val="24"/>
          <w:highlight w:val="none"/>
        </w:rPr>
        <w:t>12:00至23:59（北京时间，线上获取法定节假日均可，线下获取文件法定节假日除外）</w:t>
      </w:r>
    </w:p>
    <w:p w14:paraId="5F39B554">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14:paraId="2FF33E4B">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方式：</w:t>
      </w:r>
      <w:r>
        <w:rPr>
          <w:rFonts w:hint="eastAsia" w:ascii="仿宋_GB2312" w:hAnsi="仿宋" w:eastAsia="仿宋_GB2312"/>
          <w:color w:val="auto"/>
          <w:sz w:val="24"/>
          <w:highlight w:val="none"/>
        </w:rPr>
        <w:t>供应商登录政采云平台</w:t>
      </w:r>
      <w:r>
        <w:rPr>
          <w:rFonts w:ascii="仿宋_GB2312" w:hAnsi="仿宋" w:eastAsia="仿宋_GB2312"/>
          <w:color w:val="auto"/>
          <w:sz w:val="24"/>
          <w:highlight w:val="none"/>
        </w:rPr>
        <w:t xml:space="preserve">https://www.zcygov.cn/在线申请获取采购文件（进入“项目采购”应用，在获取采购文件菜单中选择项目，申请获取采购文件）。 </w:t>
      </w:r>
    </w:p>
    <w:p w14:paraId="798DED85">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售价（元）：</w:t>
      </w:r>
      <w:r>
        <w:rPr>
          <w:rFonts w:ascii="仿宋_GB2312" w:hAnsi="仿宋" w:eastAsia="仿宋_GB2312"/>
          <w:color w:val="auto"/>
          <w:sz w:val="24"/>
          <w:highlight w:val="none"/>
        </w:rPr>
        <w:t xml:space="preserve">0 </w:t>
      </w:r>
      <w:r>
        <w:rPr>
          <w:rFonts w:ascii="仿宋_GB2312" w:hAnsi="仿宋" w:eastAsia="仿宋_GB2312"/>
          <w:color w:val="auto"/>
          <w:sz w:val="24"/>
          <w:highlight w:val="none"/>
        </w:rPr>
        <w:tab/>
      </w:r>
    </w:p>
    <w:p w14:paraId="6EBC1845">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四、提交投标文件截止时间、开标时间和地点</w:t>
      </w:r>
    </w:p>
    <w:p w14:paraId="168B20F2">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提交投标文件截止时间：</w:t>
      </w:r>
      <w:r>
        <w:rPr>
          <w:rFonts w:hint="eastAsia" w:ascii="仿宋_GB2312" w:hAnsi="仿宋" w:eastAsia="仿宋_GB2312"/>
          <w:color w:val="auto"/>
          <w:sz w:val="24"/>
          <w:highlight w:val="none"/>
          <w:u w:val="single"/>
          <w:lang w:eastAsia="zh-CN"/>
        </w:rPr>
        <w:t>2025年4月22日</w:t>
      </w:r>
      <w:r>
        <w:rPr>
          <w:rFonts w:hint="eastAsia" w:ascii="仿宋_GB2312" w:hAnsi="仿宋" w:eastAsia="仿宋_GB2312"/>
          <w:color w:val="auto"/>
          <w:sz w:val="24"/>
          <w:highlight w:val="none"/>
          <w:u w:val="single"/>
          <w:lang w:val="en-US" w:eastAsia="zh-CN"/>
        </w:rPr>
        <w:t>14</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 xml:space="preserve"> </w:t>
      </w:r>
      <w:r>
        <w:rPr>
          <w:rFonts w:hint="eastAsia" w:ascii="仿宋_GB2312" w:hAnsi="仿宋" w:eastAsia="仿宋_GB2312"/>
          <w:color w:val="auto"/>
          <w:sz w:val="24"/>
          <w:highlight w:val="none"/>
        </w:rPr>
        <w:t>（北京时间）</w:t>
      </w:r>
    </w:p>
    <w:p w14:paraId="457F15C4">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投标地点（网址）：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14:paraId="2761AB31">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bCs/>
          <w:color w:val="auto"/>
          <w:sz w:val="24"/>
          <w:highlight w:val="none"/>
          <w:u w:val="single"/>
        </w:rPr>
      </w:pPr>
      <w:r>
        <w:rPr>
          <w:rFonts w:hint="eastAsia" w:ascii="仿宋_GB2312" w:hAnsi="仿宋" w:eastAsia="仿宋_GB2312"/>
          <w:b/>
          <w:color w:val="auto"/>
          <w:sz w:val="24"/>
          <w:highlight w:val="none"/>
        </w:rPr>
        <w:t>开标时间：</w:t>
      </w:r>
      <w:r>
        <w:rPr>
          <w:rFonts w:hint="eastAsia" w:ascii="仿宋_GB2312" w:hAnsi="仿宋" w:eastAsia="仿宋_GB2312"/>
          <w:color w:val="auto"/>
          <w:sz w:val="24"/>
          <w:highlight w:val="none"/>
          <w:u w:val="single"/>
          <w:lang w:eastAsia="zh-CN"/>
        </w:rPr>
        <w:t>2025年4月22日</w:t>
      </w:r>
      <w:r>
        <w:rPr>
          <w:rFonts w:hint="eastAsia" w:ascii="仿宋_GB2312" w:hAnsi="仿宋" w:eastAsia="仿宋_GB2312"/>
          <w:color w:val="auto"/>
          <w:sz w:val="24"/>
          <w:highlight w:val="none"/>
          <w:u w:val="single"/>
          <w:lang w:val="en-US" w:eastAsia="zh-CN"/>
        </w:rPr>
        <w:t>14</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 xml:space="preserve"> </w:t>
      </w:r>
    </w:p>
    <w:p w14:paraId="4631FB43">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开标地点（网址）：</w:t>
      </w:r>
      <w:r>
        <w:rPr>
          <w:rFonts w:ascii="仿宋_GB2312" w:hAnsi="仿宋" w:eastAsia="仿宋_GB2312"/>
          <w:color w:val="auto"/>
          <w:sz w:val="24"/>
          <w:highlight w:val="none"/>
        </w:rPr>
        <w:t>政</w:t>
      </w:r>
      <w:r>
        <w:rPr>
          <w:rFonts w:hint="eastAsia" w:ascii="仿宋_GB2312" w:hAnsi="仿宋" w:eastAsia="仿宋_GB2312"/>
          <w:color w:val="auto"/>
          <w:sz w:val="24"/>
          <w:highlight w:val="none"/>
        </w:rPr>
        <w:t>采云平台（</w:t>
      </w:r>
      <w:r>
        <w:rPr>
          <w:rFonts w:ascii="仿宋_GB2312" w:hAnsi="仿宋" w:eastAsia="仿宋_GB2312"/>
          <w:color w:val="auto"/>
          <w:sz w:val="24"/>
          <w:highlight w:val="none"/>
        </w:rPr>
        <w:t>https://www.zcygov.cn/）</w:t>
      </w:r>
    </w:p>
    <w:p w14:paraId="3E7EA20B">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hint="eastAsia" w:ascii="仿宋_GB2312" w:hAnsi="仿宋" w:eastAsia="仿宋_GB2312"/>
          <w:b/>
          <w:color w:val="auto"/>
          <w:sz w:val="24"/>
          <w:highlight w:val="none"/>
        </w:rPr>
        <w:t>五、公告期限</w:t>
      </w:r>
      <w:r>
        <w:rPr>
          <w:rFonts w:ascii="仿宋_GB2312" w:hAnsi="仿宋" w:eastAsia="仿宋_GB2312"/>
          <w:b/>
          <w:color w:val="auto"/>
          <w:sz w:val="24"/>
          <w:highlight w:val="none"/>
        </w:rPr>
        <w:t xml:space="preserve"> </w:t>
      </w:r>
    </w:p>
    <w:p w14:paraId="33C09E6B">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自本公告发布之日起</w:t>
      </w:r>
      <w:r>
        <w:rPr>
          <w:rFonts w:ascii="仿宋_GB2312" w:hAnsi="仿宋" w:eastAsia="仿宋_GB2312"/>
          <w:color w:val="auto"/>
          <w:sz w:val="24"/>
          <w:highlight w:val="none"/>
        </w:rPr>
        <w:t>5个工作日。</w:t>
      </w:r>
    </w:p>
    <w:p w14:paraId="4D46C843">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六、其他补充事宜</w:t>
      </w:r>
    </w:p>
    <w:p w14:paraId="0FFDB633">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70F223DB">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 xml:space="preserve">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14:paraId="3097D091">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536C8D9">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 w:hAnsi="仿宋" w:eastAsia="仿宋" w:cs="仿宋_GB2312"/>
          <w:color w:val="auto"/>
          <w:sz w:val="24"/>
          <w:highlight w:val="none"/>
        </w:rPr>
      </w:pPr>
      <w:r>
        <w:rPr>
          <w:rFonts w:hint="eastAsia" w:ascii="仿宋_GB2312" w:hAnsi="仿宋" w:eastAsia="仿宋_GB2312"/>
          <w:color w:val="auto"/>
          <w:sz w:val="24"/>
          <w:highlight w:val="none"/>
        </w:rPr>
        <w:t>4.其他事项：</w:t>
      </w:r>
      <w:r>
        <w:rPr>
          <w:rFonts w:hint="eastAsia" w:ascii="仿宋_GB2312" w:hAnsi="仿宋" w:eastAsia="仿宋_GB2312" w:cs="仿宋_GB2312"/>
          <w:color w:val="auto"/>
          <w:sz w:val="24"/>
          <w:highlight w:val="none"/>
        </w:rPr>
        <w:t>①</w:t>
      </w:r>
      <w:r>
        <w:rPr>
          <w:rFonts w:ascii="仿宋_GB2312" w:hAnsi="仿宋" w:eastAsia="仿宋_GB2312" w:cs="仿宋_GB2312"/>
          <w:color w:val="auto"/>
          <w:sz w:val="24"/>
          <w:highlight w:val="none"/>
        </w:rPr>
        <w:t>电子招投标：本项目以数据电文形式，依托“政府采购云平台（www.zcygov.cn）”进行招投标活动，不接受纸质投标文件</w:t>
      </w:r>
      <w:r>
        <w:rPr>
          <w:rFonts w:hint="eastAsia" w:ascii="仿宋_GB2312" w:hAnsi="仿宋" w:eastAsia="仿宋_GB2312" w:cs="仿宋_GB2312"/>
          <w:color w:val="auto"/>
          <w:sz w:val="24"/>
          <w:highlight w:val="none"/>
        </w:rPr>
        <w:t>；②</w:t>
      </w:r>
      <w:r>
        <w:rPr>
          <w:rFonts w:ascii="仿宋_GB2312" w:hAnsi="仿宋" w:eastAsia="仿宋_GB2312" w:cs="仿宋_GB2312"/>
          <w:color w:val="auto"/>
          <w:sz w:val="24"/>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sz w:val="24"/>
          <w:highlight w:val="none"/>
        </w:rPr>
        <w:t>采云电子交易客户端”</w:t>
      </w:r>
      <w:r>
        <w:rPr>
          <w:rFonts w:ascii="仿宋_GB2312" w:hAnsi="仿宋" w:eastAsia="仿宋_GB2312" w:cs="仿宋_GB2312"/>
          <w:color w:val="auto"/>
          <w:sz w:val="24"/>
          <w:highlight w:val="none"/>
        </w:rPr>
        <w:t>----前往“浙江政府采购网-下载专区-电子交易客户端”进行下载并安装</w:t>
      </w:r>
      <w:r>
        <w:rPr>
          <w:rFonts w:hint="eastAsia" w:ascii="仿宋_GB2312" w:hAnsi="仿宋" w:eastAsia="仿宋_GB2312" w:cs="仿宋_GB2312"/>
          <w:color w:val="auto"/>
          <w:sz w:val="24"/>
          <w:highlight w:val="none"/>
        </w:rPr>
        <w:t>；③</w:t>
      </w:r>
      <w:r>
        <w:rPr>
          <w:rFonts w:ascii="仿宋_GB2312" w:hAnsi="仿宋" w:eastAsia="仿宋_GB2312" w:cs="仿宋_GB2312"/>
          <w:color w:val="auto"/>
          <w:sz w:val="24"/>
          <w:highlight w:val="none"/>
        </w:rPr>
        <w:t>招标文件的获取：使用账号登录或者使用CA登录政</w:t>
      </w:r>
      <w:r>
        <w:rPr>
          <w:rFonts w:hint="eastAsia" w:ascii="仿宋_GB2312" w:hAnsi="仿宋" w:eastAsia="仿宋_GB2312" w:cs="仿宋_GB2312"/>
          <w:color w:val="auto"/>
          <w:sz w:val="24"/>
          <w:highlight w:val="none"/>
        </w:rPr>
        <w:t>采云平台；进入“项目采购”应用，在获取采购文件菜单中选择项目，获取招标文件；④</w:t>
      </w:r>
      <w:r>
        <w:rPr>
          <w:rFonts w:ascii="仿宋_GB2312" w:hAnsi="仿宋" w:eastAsia="仿宋_GB2312" w:cs="仿宋_GB2312"/>
          <w:color w:val="auto"/>
          <w:sz w:val="24"/>
          <w:highlight w:val="none"/>
        </w:rPr>
        <w:t>投标文件的制作：在“政</w:t>
      </w:r>
      <w:r>
        <w:rPr>
          <w:rFonts w:hint="eastAsia" w:ascii="仿宋_GB2312" w:hAnsi="仿宋" w:eastAsia="仿宋_GB2312" w:cs="仿宋_GB2312"/>
          <w:color w:val="auto"/>
          <w:sz w:val="24"/>
          <w:highlight w:val="none"/>
        </w:rPr>
        <w:t>采云电子交易客户端”中完成“填写基本信息”、“导入投标文件”、“标书关联”、“标书检查”、“电子签名”、“生成电子标书”等操作；</w:t>
      </w:r>
      <w:r>
        <w:rPr>
          <w:rFonts w:hint="eastAsia" w:ascii="仿宋_GB2312" w:hAnsi="仿宋" w:eastAsia="仿宋_GB2312"/>
          <w:color w:val="auto"/>
          <w:sz w:val="24"/>
          <w:highlight w:val="none"/>
        </w:rPr>
        <w:t>⑤</w:t>
      </w:r>
      <w:r>
        <w:rPr>
          <w:rFonts w:ascii="仿宋_GB2312" w:hAnsi="仿宋" w:eastAsia="仿宋_GB2312"/>
          <w:color w:val="auto"/>
          <w:sz w:val="24"/>
          <w:highlight w:val="none"/>
        </w:rPr>
        <w:t>采购人、采购机构将依托政</w:t>
      </w:r>
      <w:r>
        <w:rPr>
          <w:rFonts w:hint="eastAsia" w:ascii="仿宋_GB2312" w:hAnsi="仿宋" w:eastAsia="仿宋_GB2312"/>
          <w:color w:val="auto"/>
          <w:sz w:val="24"/>
          <w:highlight w:val="none"/>
        </w:rPr>
        <w:t>采云平台完成本项目的电子交易活动，平台不接受未按上述方式获取招标文件的供应商进行投标活动；⑥</w:t>
      </w:r>
      <w:r>
        <w:rPr>
          <w:rFonts w:ascii="仿宋_GB2312" w:hAnsi="仿宋" w:eastAsia="仿宋_GB2312"/>
          <w:color w:val="auto"/>
          <w:sz w:val="24"/>
          <w:highlight w:val="none"/>
        </w:rPr>
        <w:t>对未按上述方式获取招标文件的供应商对该文件提出的质疑，采购人或采购代理机构将</w:t>
      </w:r>
      <w:r>
        <w:rPr>
          <w:rFonts w:hint="eastAsia" w:ascii="仿宋_GB2312" w:hAnsi="仿宋" w:eastAsia="仿宋_GB2312"/>
          <w:color w:val="auto"/>
          <w:sz w:val="24"/>
          <w:highlight w:val="none"/>
        </w:rPr>
        <w:t>不予处理；⑦</w:t>
      </w:r>
      <w:r>
        <w:rPr>
          <w:rFonts w:ascii="仿宋_GB2312" w:hAnsi="仿宋" w:eastAsia="仿宋_GB2312"/>
          <w:color w:val="auto"/>
          <w:sz w:val="24"/>
          <w:highlight w:val="none"/>
        </w:rPr>
        <w:t>不提供招标文件纸质版</w:t>
      </w:r>
      <w:r>
        <w:rPr>
          <w:rFonts w:hint="eastAsia" w:ascii="仿宋_GB2312" w:hAnsi="仿宋" w:eastAsia="仿宋_GB2312"/>
          <w:color w:val="auto"/>
          <w:sz w:val="24"/>
          <w:highlight w:val="none"/>
        </w:rPr>
        <w:t>；</w:t>
      </w:r>
      <w:r>
        <w:rPr>
          <w:rFonts w:hint="eastAsia" w:ascii="仿宋_GB2312" w:hAnsi="仿宋" w:eastAsia="仿宋_GB2312" w:cs="仿宋_GB2312"/>
          <w:color w:val="auto"/>
          <w:sz w:val="24"/>
          <w:highlight w:val="none"/>
        </w:rPr>
        <w:t>⑧</w:t>
      </w:r>
      <w:r>
        <w:rPr>
          <w:rFonts w:ascii="仿宋_GB2312" w:hAnsi="仿宋" w:eastAsia="仿宋_GB2312" w:cs="仿宋_GB2312"/>
          <w:color w:val="auto"/>
          <w:sz w:val="24"/>
          <w:highlight w:val="none"/>
        </w:rPr>
        <w:t>投标文件的传输递交：投标人在投标截止时间前将加密的投标文件上传至政府采购云平台，还可以在投标截止时间前直接提交或者以邮政快递方式递交备份投标文件1份</w:t>
      </w:r>
      <w:r>
        <w:rPr>
          <w:rFonts w:hint="eastAsia" w:ascii="仿宋_GB2312" w:hAnsi="仿宋" w:eastAsia="仿宋_GB2312" w:cs="仿宋_GB2312"/>
          <w:color w:val="auto"/>
          <w:sz w:val="24"/>
          <w:highlight w:val="none"/>
        </w:rPr>
        <w:t>【地址：</w:t>
      </w:r>
      <w:r>
        <w:rPr>
          <w:rFonts w:hint="eastAsia" w:ascii="仿宋_GB2312" w:hAnsi="仿宋" w:eastAsia="仿宋_GB2312"/>
          <w:color w:val="auto"/>
          <w:sz w:val="24"/>
          <w:highlight w:val="none"/>
        </w:rPr>
        <w:t>嘉善县阳光东路185号善商大厦1号（东）楼21层嘉兴市银建工程咨询评估有限公司招标代理部</w:t>
      </w:r>
      <w:r>
        <w:rPr>
          <w:rFonts w:hint="eastAsia" w:ascii="仿宋_GB2312" w:hAnsi="仿宋" w:eastAsia="仿宋_GB2312" w:cs="仿宋_GB2312"/>
          <w:color w:val="auto"/>
          <w:sz w:val="24"/>
          <w:highlight w:val="none"/>
        </w:rPr>
        <w:t>；收件人：王佳浩；电话：0573-842110</w:t>
      </w:r>
      <w:r>
        <w:rPr>
          <w:rFonts w:hint="eastAsia" w:ascii="仿宋_GB2312" w:hAnsi="仿宋" w:eastAsia="仿宋_GB2312" w:cs="仿宋_GB2312"/>
          <w:color w:val="auto"/>
          <w:sz w:val="24"/>
          <w:highlight w:val="none"/>
          <w:lang w:val="en-US" w:eastAsia="zh-CN"/>
        </w:rPr>
        <w:t>99</w:t>
      </w:r>
      <w:r>
        <w:rPr>
          <w:rFonts w:hint="eastAsia" w:ascii="仿宋_GB2312" w:hAnsi="仿宋" w:eastAsia="仿宋_GB2312" w:cs="仿宋_GB2312"/>
          <w:color w:val="auto"/>
          <w:sz w:val="24"/>
          <w:highlight w:val="none"/>
        </w:rPr>
        <w:t>；快递寄出同时，项目被授权代表须以邮件方式将快递单号、项目名称、公司名称、被授权代表姓名及联系方式等内容（邮件格式为：项目编号+快递单号+公司名称+被授权代表姓名及联系方式）发送至采购代理机构联系人邮箱(735621524@qq.com)。如供应商选择快递费到付，采购代理机构将拒签。】</w:t>
      </w:r>
      <w:r>
        <w:rPr>
          <w:rFonts w:ascii="仿宋_GB2312" w:hAnsi="仿宋" w:eastAsia="仿宋_GB2312" w:cs="仿宋_GB2312"/>
          <w:color w:val="auto"/>
          <w:sz w:val="24"/>
          <w:highlight w:val="none"/>
        </w:rPr>
        <w:t>备份投标文件的制作、存储、密封详见招标文件第</w:t>
      </w:r>
      <w:r>
        <w:rPr>
          <w:rFonts w:hint="eastAsia" w:ascii="仿宋_GB2312" w:hAnsi="仿宋" w:eastAsia="仿宋_GB2312" w:cs="仿宋_GB2312"/>
          <w:color w:val="auto"/>
          <w:sz w:val="24"/>
          <w:highlight w:val="none"/>
        </w:rPr>
        <w:t>三章</w:t>
      </w:r>
      <w:r>
        <w:rPr>
          <w:rFonts w:ascii="仿宋_GB2312" w:hAnsi="仿宋" w:eastAsia="仿宋_GB2312" w:cs="仿宋_GB2312"/>
          <w:color w:val="auto"/>
          <w:sz w:val="24"/>
          <w:highlight w:val="none"/>
        </w:rPr>
        <w:t>—“备份投标文件”</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⑨</w:t>
      </w:r>
      <w:r>
        <w:rPr>
          <w:rFonts w:hint="eastAsia" w:ascii="仿宋_GB2312" w:hAnsi="仿宋" w:eastAsia="仿宋_GB2312" w:cs="仿宋_GB2312"/>
          <w:color w:val="auto"/>
          <w:sz w:val="24"/>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color w:val="auto"/>
          <w:sz w:val="24"/>
          <w:highlight w:val="none"/>
        </w:rPr>
        <w:t>具体操作指南：详见政</w:t>
      </w:r>
      <w:r>
        <w:rPr>
          <w:rFonts w:hint="eastAsia" w:ascii="仿宋_GB2312" w:hAnsi="仿宋" w:eastAsia="仿宋_GB2312" w:cs="仿宋_GB2312"/>
          <w:color w:val="auto"/>
          <w:sz w:val="24"/>
          <w:highlight w:val="none"/>
        </w:rPr>
        <w:t>采云平台“服务中心</w:t>
      </w:r>
      <w:r>
        <w:rPr>
          <w:rFonts w:ascii="仿宋_GB2312" w:hAnsi="仿宋" w:eastAsia="仿宋_GB2312" w:cs="仿宋_GB2312"/>
          <w:color w:val="auto"/>
          <w:sz w:val="24"/>
          <w:highlight w:val="none"/>
        </w:rPr>
        <w:t>-帮助文档-项目采购-操作流程-电子招投标-政府采购项目电子交易管理操作指南-供应商”。</w:t>
      </w:r>
    </w:p>
    <w:p w14:paraId="3E3E4BCB">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b/>
          <w:color w:val="auto"/>
          <w:sz w:val="24"/>
          <w:highlight w:val="none"/>
        </w:rPr>
      </w:pPr>
      <w:r>
        <w:rPr>
          <w:rFonts w:hint="eastAsia" w:ascii="仿宋_GB2312" w:hAnsi="仿宋" w:eastAsia="仿宋_GB2312"/>
          <w:b/>
          <w:color w:val="auto"/>
          <w:sz w:val="24"/>
          <w:highlight w:val="none"/>
        </w:rPr>
        <w:t>七、对本次招标提出询问，请按以下方式联系</w:t>
      </w:r>
    </w:p>
    <w:p w14:paraId="03E8B373">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1.采购人信息</w:t>
      </w:r>
    </w:p>
    <w:p w14:paraId="38018C33">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lang w:eastAsia="zh-CN"/>
        </w:rPr>
        <w:t>嘉善县中医医院</w:t>
      </w:r>
      <w:r>
        <w:rPr>
          <w:rFonts w:ascii="仿宋_GB2312" w:hAnsi="仿宋" w:eastAsia="仿宋_GB2312"/>
          <w:color w:val="auto"/>
          <w:sz w:val="24"/>
          <w:highlight w:val="none"/>
        </w:rPr>
        <w:t xml:space="preserve"> </w:t>
      </w:r>
    </w:p>
    <w:p w14:paraId="4ECFE7B0">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_GB2312" w:hAnsi="仿宋" w:eastAsia="仿宋_GB2312"/>
          <w:color w:val="auto"/>
          <w:sz w:val="24"/>
          <w:highlight w:val="none"/>
          <w:lang w:eastAsia="zh-CN"/>
        </w:rPr>
        <w:t>嘉善县境内</w:t>
      </w:r>
      <w:r>
        <w:rPr>
          <w:rFonts w:ascii="仿宋_GB2312" w:hAnsi="仿宋" w:eastAsia="仿宋_GB2312"/>
          <w:color w:val="auto"/>
          <w:sz w:val="24"/>
          <w:highlight w:val="none"/>
        </w:rPr>
        <w:t xml:space="preserve">      </w:t>
      </w:r>
    </w:p>
    <w:p w14:paraId="40B2FC99">
      <w:pPr>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
          <w:color w:val="auto"/>
          <w:sz w:val="24"/>
          <w:highlight w:val="none"/>
        </w:rPr>
      </w:pPr>
      <w:r>
        <w:rPr>
          <w:rFonts w:hint="eastAsia" w:ascii="仿宋_GB2312" w:hAnsi="仿宋" w:eastAsia="仿宋_GB2312"/>
          <w:color w:val="auto"/>
          <w:sz w:val="24"/>
          <w:highlight w:val="none"/>
        </w:rPr>
        <w:t>项目联系人（询问）：沈先生</w:t>
      </w:r>
      <w:r>
        <w:rPr>
          <w:rFonts w:hint="eastAsia" w:ascii="仿宋" w:hAnsi="仿宋" w:eastAsia="仿宋"/>
          <w:color w:val="auto"/>
          <w:sz w:val="24"/>
          <w:highlight w:val="none"/>
        </w:rPr>
        <w:t xml:space="preserve"> </w:t>
      </w:r>
    </w:p>
    <w:p w14:paraId="7F748897">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项目联系方式（询问）：0573-89106755</w:t>
      </w:r>
    </w:p>
    <w:p w14:paraId="5DD2EFA4">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_GB2312" w:hAnsi="仿宋" w:eastAsia="仿宋_GB2312"/>
          <w:color w:val="auto"/>
          <w:sz w:val="24"/>
          <w:highlight w:val="none"/>
          <w:lang w:eastAsia="zh-CN"/>
        </w:rPr>
      </w:pPr>
      <w:r>
        <w:rPr>
          <w:rFonts w:ascii="仿宋_GB2312" w:hAnsi="仿宋" w:eastAsia="仿宋_GB2312"/>
          <w:color w:val="auto"/>
          <w:sz w:val="24"/>
          <w:highlight w:val="none"/>
        </w:rPr>
        <w:t>质疑联系人：</w:t>
      </w:r>
      <w:r>
        <w:rPr>
          <w:rFonts w:hint="eastAsia" w:ascii="仿宋_GB2312" w:hAnsi="仿宋" w:eastAsia="仿宋_GB2312"/>
          <w:color w:val="auto"/>
          <w:sz w:val="24"/>
          <w:highlight w:val="none"/>
        </w:rPr>
        <w:t>曹女士</w:t>
      </w:r>
      <w:r>
        <w:rPr>
          <w:rFonts w:ascii="仿宋_GB2312" w:hAnsi="仿宋" w:eastAsia="仿宋_GB2312"/>
          <w:color w:val="auto"/>
          <w:sz w:val="24"/>
          <w:highlight w:val="none"/>
        </w:rPr>
        <w:t xml:space="preserve"> </w:t>
      </w:r>
    </w:p>
    <w:p w14:paraId="0A2EC872">
      <w:pPr>
        <w:keepNext w:val="0"/>
        <w:keepLines w:val="0"/>
        <w:pageBreakBefore w:val="0"/>
        <w:kinsoku/>
        <w:wordWrap/>
        <w:overflowPunct/>
        <w:topLinePunct w:val="0"/>
        <w:autoSpaceDE/>
        <w:autoSpaceDN/>
        <w:bidi w:val="0"/>
        <w:adjustRightInd w:val="0"/>
        <w:spacing w:line="440" w:lineRule="exact"/>
        <w:textAlignment w:val="auto"/>
        <w:rPr>
          <w:rFonts w:hint="default" w:ascii="仿宋_GB2312" w:hAnsi="仿宋" w:eastAsia="仿宋_GB2312"/>
          <w:color w:val="auto"/>
          <w:sz w:val="24"/>
          <w:highlight w:val="none"/>
          <w:lang w:val="en-US" w:eastAsia="zh-CN"/>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rPr>
        <w:t>0573-84457356</w:t>
      </w:r>
    </w:p>
    <w:p w14:paraId="764B400E">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2.采购代理机构信息            </w:t>
      </w:r>
    </w:p>
    <w:p w14:paraId="6D7B1A74">
      <w:pPr>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名</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称：嘉兴市银建工程咨询评估有限公司</w:t>
      </w:r>
    </w:p>
    <w:p w14:paraId="7A4468C5">
      <w:pPr>
        <w:keepNext w:val="0"/>
        <w:keepLines w:val="0"/>
        <w:pageBreakBefore w:val="0"/>
        <w:kinsoku/>
        <w:wordWrap/>
        <w:overflowPunct/>
        <w:topLinePunct w:val="0"/>
        <w:autoSpaceDE/>
        <w:autoSpaceDN/>
        <w:bidi w:val="0"/>
        <w:adjustRightInd w:val="0"/>
        <w:spacing w:line="440" w:lineRule="exact"/>
        <w:ind w:firstLine="48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址：嘉善县阳光东路185号善商大厦1号（东）楼21层</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14:paraId="5C075572">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项目联系人（询问）：</w:t>
      </w:r>
      <w:r>
        <w:rPr>
          <w:rFonts w:hint="eastAsia" w:ascii="仿宋_GB2312" w:hAnsi="仿宋" w:eastAsia="仿宋_GB2312"/>
          <w:color w:val="auto"/>
          <w:sz w:val="24"/>
          <w:highlight w:val="none"/>
        </w:rPr>
        <w:t>王佳浩</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14:paraId="2C12F5D5">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rPr>
        <w:t>0573-842110</w:t>
      </w:r>
      <w:r>
        <w:rPr>
          <w:rFonts w:hint="eastAsia" w:ascii="仿宋_GB2312" w:hAnsi="仿宋" w:eastAsia="仿宋_GB2312"/>
          <w:color w:val="auto"/>
          <w:sz w:val="24"/>
          <w:highlight w:val="none"/>
          <w:lang w:val="en-US" w:eastAsia="zh-CN"/>
        </w:rPr>
        <w:t>99</w:t>
      </w:r>
      <w:r>
        <w:rPr>
          <w:rFonts w:hint="eastAsia" w:ascii="仿宋_GB2312" w:hAnsi="仿宋" w:eastAsia="仿宋_GB2312"/>
          <w:color w:val="auto"/>
          <w:sz w:val="24"/>
          <w:highlight w:val="none"/>
        </w:rPr>
        <w:t xml:space="preserve"> </w:t>
      </w:r>
    </w:p>
    <w:p w14:paraId="2A32BD26">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质疑联系人：</w:t>
      </w:r>
      <w:r>
        <w:rPr>
          <w:rFonts w:hint="eastAsia" w:ascii="仿宋_GB2312" w:hAnsi="仿宋" w:eastAsia="仿宋_GB2312"/>
          <w:color w:val="auto"/>
          <w:sz w:val="24"/>
          <w:highlight w:val="none"/>
        </w:rPr>
        <w:t>俞鸿婷</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14:paraId="24ED0546">
      <w:pPr>
        <w:keepNext w:val="0"/>
        <w:keepLines w:val="0"/>
        <w:pageBreakBefore w:val="0"/>
        <w:kinsoku/>
        <w:wordWrap/>
        <w:overflowPunct/>
        <w:topLinePunct w:val="0"/>
        <w:autoSpaceDE/>
        <w:autoSpaceDN/>
        <w:bidi w:val="0"/>
        <w:adjustRightInd w:val="0"/>
        <w:spacing w:line="440" w:lineRule="exact"/>
        <w:textAlignment w:val="auto"/>
        <w:rPr>
          <w:rFonts w:ascii="仿宋" w:hAnsi="仿宋" w:eastAsia="仿宋"/>
          <w:color w:val="auto"/>
          <w:sz w:val="24"/>
          <w:highlight w:val="none"/>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rPr>
        <w:t>0573-842110</w:t>
      </w:r>
      <w:r>
        <w:rPr>
          <w:rFonts w:hint="eastAsia" w:ascii="仿宋_GB2312" w:hAnsi="仿宋" w:eastAsia="仿宋_GB2312"/>
          <w:color w:val="auto"/>
          <w:sz w:val="24"/>
          <w:highlight w:val="none"/>
          <w:lang w:val="en-US" w:eastAsia="zh-CN"/>
        </w:rPr>
        <w:t>66</w:t>
      </w:r>
      <w:r>
        <w:rPr>
          <w:rFonts w:hint="eastAsia" w:ascii="仿宋" w:hAnsi="仿宋" w:eastAsia="仿宋"/>
          <w:color w:val="auto"/>
          <w:sz w:val="24"/>
          <w:highlight w:val="none"/>
        </w:rPr>
        <w:t xml:space="preserve"> </w:t>
      </w:r>
    </w:p>
    <w:p w14:paraId="7284E19C">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3.同级政府采购监督管理部门            </w:t>
      </w:r>
    </w:p>
    <w:p w14:paraId="53AC146B">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rPr>
        <w:t>嘉善县财政局</w:t>
      </w:r>
    </w:p>
    <w:p w14:paraId="5D94DFC3">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_GB2312" w:hAnsi="仿宋" w:eastAsia="仿宋_GB2312"/>
          <w:color w:val="auto"/>
          <w:sz w:val="24"/>
          <w:highlight w:val="none"/>
        </w:rPr>
        <w:t xml:space="preserve">嘉善县解放东路318号 </w:t>
      </w:r>
    </w:p>
    <w:p w14:paraId="14C13553">
      <w:pPr>
        <w:keepNext w:val="0"/>
        <w:keepLines w:val="0"/>
        <w:pageBreakBefore w:val="0"/>
        <w:kinsoku/>
        <w:wordWrap/>
        <w:overflowPunct/>
        <w:topLinePunct w:val="0"/>
        <w:autoSpaceDE/>
        <w:autoSpaceDN/>
        <w:bidi w:val="0"/>
        <w:adjustRightInd w:val="0"/>
        <w:spacing w:line="440" w:lineRule="exact"/>
        <w:textAlignment w:val="auto"/>
        <w:rPr>
          <w:rFonts w:ascii="仿宋_GB2312" w:hAnsi="仿宋" w:eastAsia="仿宋_GB2312"/>
          <w:color w:val="auto"/>
          <w:sz w:val="24"/>
          <w:highlight w:val="none"/>
        </w:rPr>
      </w:pPr>
      <w:r>
        <w:rPr>
          <w:rFonts w:ascii="仿宋_GB2312" w:hAnsi="仿宋" w:eastAsia="仿宋_GB2312"/>
          <w:color w:val="auto"/>
          <w:sz w:val="24"/>
          <w:highlight w:val="none"/>
        </w:rPr>
        <w:t xml:space="preserve">    联系人 ：</w:t>
      </w:r>
      <w:r>
        <w:rPr>
          <w:rFonts w:hint="eastAsia" w:ascii="仿宋_GB2312" w:hAnsi="仿宋" w:eastAsia="仿宋_GB2312"/>
          <w:color w:val="auto"/>
          <w:sz w:val="24"/>
          <w:highlight w:val="none"/>
        </w:rPr>
        <w:t xml:space="preserve">刘先生 </w:t>
      </w:r>
      <w:r>
        <w:rPr>
          <w:rFonts w:ascii="仿宋_GB2312" w:hAnsi="仿宋" w:eastAsia="仿宋_GB2312"/>
          <w:color w:val="auto"/>
          <w:sz w:val="24"/>
          <w:highlight w:val="none"/>
        </w:rPr>
        <w:t xml:space="preserve">   </w:t>
      </w:r>
    </w:p>
    <w:p w14:paraId="1D4D41EE">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ascii="仿宋_GB2312" w:hAnsi="仿宋" w:eastAsia="仿宋_GB2312"/>
          <w:color w:val="auto"/>
          <w:sz w:val="24"/>
          <w:highlight w:val="none"/>
        </w:rPr>
        <w:t>监督投诉电话：</w:t>
      </w:r>
      <w:r>
        <w:rPr>
          <w:rFonts w:hint="eastAsia" w:ascii="仿宋_GB2312" w:hAnsi="仿宋" w:eastAsia="仿宋_GB2312"/>
          <w:color w:val="auto"/>
          <w:sz w:val="24"/>
          <w:highlight w:val="none"/>
        </w:rPr>
        <w:t xml:space="preserve">0573-84122310 </w:t>
      </w:r>
      <w:r>
        <w:rPr>
          <w:rFonts w:ascii="仿宋_GB2312" w:hAnsi="仿宋" w:eastAsia="仿宋_GB2312"/>
          <w:color w:val="auto"/>
          <w:sz w:val="24"/>
          <w:highlight w:val="none"/>
        </w:rPr>
        <w:t xml:space="preserve">         </w:t>
      </w:r>
    </w:p>
    <w:p w14:paraId="4370ABA2">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pPr>
      <w:r>
        <w:rPr>
          <w:rFonts w:hint="eastAsia" w:ascii="仿宋_GB2312" w:hAnsi="仿宋" w:eastAsia="仿宋_GB2312"/>
          <w:color w:val="auto"/>
          <w:sz w:val="24"/>
          <w:highlight w:val="none"/>
        </w:rPr>
        <w:t>若对项目采购电子交易系统操作有疑问，可登录政采云（</w:t>
      </w:r>
      <w:r>
        <w:rPr>
          <w:rFonts w:ascii="仿宋_GB2312" w:hAnsi="仿宋" w:eastAsia="仿宋_GB2312"/>
          <w:color w:val="auto"/>
          <w:sz w:val="24"/>
          <w:highlight w:val="none"/>
        </w:rPr>
        <w:t>https://www.zcygov.cn/），点击右侧咨询小采，获取采小蜜智能服务管家帮助，或拨打政</w:t>
      </w:r>
      <w:r>
        <w:rPr>
          <w:rFonts w:hint="eastAsia" w:ascii="仿宋_GB2312" w:hAnsi="仿宋" w:eastAsia="仿宋_GB2312"/>
          <w:color w:val="auto"/>
          <w:sz w:val="24"/>
          <w:highlight w:val="none"/>
        </w:rPr>
        <w:t>采云服务热线</w:t>
      </w:r>
      <w:r>
        <w:rPr>
          <w:rFonts w:ascii="仿宋_GB2312" w:hAnsi="仿宋" w:eastAsia="仿宋_GB2312"/>
          <w:color w:val="auto"/>
          <w:sz w:val="24"/>
          <w:highlight w:val="none"/>
        </w:rPr>
        <w:t>400-881-7190获取热线服务帮助。</w:t>
      </w:r>
    </w:p>
    <w:p w14:paraId="0044BC59">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_GB2312" w:hAnsi="仿宋" w:eastAsia="仿宋_GB2312"/>
          <w:color w:val="auto"/>
          <w:sz w:val="24"/>
          <w:highlight w:val="none"/>
        </w:rPr>
        <w:sectPr>
          <w:footerReference r:id="rId6" w:type="first"/>
          <w:footerReference r:id="rId5" w:type="default"/>
          <w:pgSz w:w="11906" w:h="16838"/>
          <w:pgMar w:top="1134" w:right="1134" w:bottom="1134" w:left="1134" w:header="851" w:footer="992" w:gutter="0"/>
          <w:pgBorders>
            <w:top w:val="none" w:sz="0" w:space="0"/>
            <w:left w:val="none" w:sz="0" w:space="0"/>
            <w:bottom w:val="none" w:sz="0" w:space="0"/>
            <w:right w:val="none" w:sz="0" w:space="0"/>
          </w:pgBorders>
          <w:pgNumType w:start="2"/>
          <w:cols w:space="0" w:num="1"/>
          <w:titlePg/>
          <w:rtlGutter w:val="0"/>
          <w:docGrid w:linePitch="312" w:charSpace="0"/>
        </w:sectPr>
      </w:pPr>
      <w:r>
        <w:rPr>
          <w:rFonts w:ascii="仿宋_GB2312" w:hAnsi="仿宋" w:eastAsia="仿宋_GB2312"/>
          <w:color w:val="auto"/>
          <w:sz w:val="24"/>
          <w:highlight w:val="none"/>
        </w:rPr>
        <w:t>CA问题联系电话（人工）：</w:t>
      </w:r>
      <w:r>
        <w:rPr>
          <w:rFonts w:hint="eastAsia" w:ascii="仿宋_GB2312" w:hAnsi="仿宋" w:eastAsia="仿宋_GB2312"/>
          <w:color w:val="auto"/>
          <w:sz w:val="24"/>
          <w:highlight w:val="none"/>
        </w:rPr>
        <w:t>汇信</w:t>
      </w:r>
      <w:r>
        <w:rPr>
          <w:rFonts w:ascii="仿宋_GB2312" w:hAnsi="仿宋" w:eastAsia="仿宋_GB2312"/>
          <w:color w:val="auto"/>
          <w:sz w:val="24"/>
          <w:highlight w:val="none"/>
        </w:rPr>
        <w:t>CA 400-888-4636；天谷CA 400-087-8198。</w:t>
      </w:r>
    </w:p>
    <w:p w14:paraId="160B1046">
      <w:pPr>
        <w:numPr>
          <w:ilvl w:val="0"/>
          <w:numId w:val="1"/>
        </w:numPr>
        <w:adjustRightInd/>
        <w:spacing w:line="336" w:lineRule="auto"/>
        <w:jc w:val="center"/>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招标需求</w:t>
      </w:r>
    </w:p>
    <w:p w14:paraId="300D6FCC">
      <w:pPr>
        <w:pStyle w:val="38"/>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嘉善县中医医院创建于1995年3月，</w:t>
      </w:r>
      <w:r>
        <w:rPr>
          <w:rFonts w:hint="eastAsia" w:hAnsi="宋体" w:cs="宋体"/>
          <w:color w:val="auto"/>
          <w:sz w:val="24"/>
          <w:szCs w:val="24"/>
          <w:highlight w:val="none"/>
          <w:lang w:val="en-US" w:eastAsia="zh-CN"/>
        </w:rPr>
        <w:t>医院位于嘉善</w:t>
      </w:r>
      <w:r>
        <w:rPr>
          <w:rFonts w:hint="eastAsia" w:ascii="宋体" w:hAnsi="宋体" w:eastAsia="宋体" w:cs="宋体"/>
          <w:color w:val="auto"/>
          <w:sz w:val="24"/>
          <w:szCs w:val="24"/>
          <w:highlight w:val="none"/>
        </w:rPr>
        <w:t>县魏塘街道顾家埭38号，</w:t>
      </w:r>
      <w:r>
        <w:rPr>
          <w:rFonts w:hint="eastAsia" w:ascii="宋体" w:hAnsi="宋体" w:eastAsia="宋体" w:cs="宋体"/>
          <w:color w:val="auto"/>
          <w:sz w:val="24"/>
          <w:szCs w:val="24"/>
          <w:highlight w:val="none"/>
          <w:lang w:eastAsia="zh-CN"/>
        </w:rPr>
        <w:t>占地面积</w:t>
      </w:r>
      <w:r>
        <w:rPr>
          <w:rFonts w:hint="eastAsia" w:ascii="宋体" w:hAnsi="宋体" w:eastAsia="宋体" w:cs="宋体"/>
          <w:color w:val="auto"/>
          <w:sz w:val="24"/>
          <w:szCs w:val="24"/>
          <w:highlight w:val="none"/>
        </w:rPr>
        <w:t>29.54亩，</w:t>
      </w:r>
      <w:r>
        <w:rPr>
          <w:rFonts w:hint="eastAsia" w:ascii="宋体" w:hAnsi="宋体" w:eastAsia="宋体" w:cs="宋体"/>
          <w:color w:val="auto"/>
          <w:sz w:val="24"/>
          <w:szCs w:val="24"/>
          <w:highlight w:val="none"/>
          <w:lang w:eastAsia="zh-CN"/>
        </w:rPr>
        <w:t>总建筑面积</w:t>
      </w:r>
      <w:r>
        <w:rPr>
          <w:rFonts w:hint="eastAsia" w:ascii="宋体" w:hAnsi="宋体" w:eastAsia="宋体" w:cs="宋体"/>
          <w:color w:val="auto"/>
          <w:sz w:val="24"/>
          <w:szCs w:val="24"/>
          <w:highlight w:val="none"/>
          <w:lang w:val="en-US" w:eastAsia="zh-CN"/>
        </w:rPr>
        <w:t>43532.29平方米，</w:t>
      </w:r>
      <w:r>
        <w:rPr>
          <w:rFonts w:hint="eastAsia" w:ascii="宋体" w:hAnsi="宋体" w:eastAsia="宋体" w:cs="宋体"/>
          <w:color w:val="auto"/>
          <w:sz w:val="24"/>
          <w:szCs w:val="24"/>
          <w:highlight w:val="none"/>
        </w:rPr>
        <w:t>全院开放床位450张，</w:t>
      </w:r>
      <w:r>
        <w:rPr>
          <w:rFonts w:hint="eastAsia" w:ascii="宋体" w:hAnsi="宋体" w:eastAsia="宋体" w:cs="宋体"/>
          <w:color w:val="auto"/>
          <w:sz w:val="24"/>
          <w:szCs w:val="24"/>
          <w:highlight w:val="none"/>
          <w:lang w:val="en-US" w:eastAsia="zh-CN"/>
        </w:rPr>
        <w:t>是一所集医疗、教育、预防、保健、康复于一体的具有中医特色并与现代医学技术相结合的综合性国家</w:t>
      </w:r>
      <w:r>
        <w:rPr>
          <w:rFonts w:hint="eastAsia" w:hAnsi="宋体" w:cs="宋体"/>
          <w:color w:val="auto"/>
          <w:sz w:val="24"/>
          <w:szCs w:val="24"/>
          <w:highlight w:val="none"/>
          <w:lang w:val="en-US" w:eastAsia="zh-CN"/>
        </w:rPr>
        <w:t>三</w:t>
      </w:r>
      <w:r>
        <w:rPr>
          <w:rFonts w:hint="eastAsia" w:ascii="宋体" w:hAnsi="宋体" w:eastAsia="宋体" w:cs="宋体"/>
          <w:color w:val="auto"/>
          <w:sz w:val="24"/>
          <w:szCs w:val="24"/>
          <w:highlight w:val="none"/>
          <w:lang w:val="en-US" w:eastAsia="zh-CN"/>
        </w:rPr>
        <w:t>级</w:t>
      </w:r>
      <w:r>
        <w:rPr>
          <w:rFonts w:hint="eastAsia" w:hAnsi="宋体" w:cs="宋体"/>
          <w:color w:val="auto"/>
          <w:sz w:val="24"/>
          <w:szCs w:val="24"/>
          <w:highlight w:val="none"/>
          <w:lang w:val="en-US" w:eastAsia="zh-CN"/>
        </w:rPr>
        <w:t>乙</w:t>
      </w:r>
      <w:r>
        <w:rPr>
          <w:rFonts w:hint="eastAsia" w:ascii="宋体" w:hAnsi="宋体" w:eastAsia="宋体" w:cs="宋体"/>
          <w:color w:val="auto"/>
          <w:sz w:val="24"/>
          <w:szCs w:val="24"/>
          <w:highlight w:val="none"/>
          <w:lang w:val="en-US" w:eastAsia="zh-CN"/>
        </w:rPr>
        <w:t>等中医医院</w:t>
      </w:r>
      <w:r>
        <w:rPr>
          <w:rFonts w:hint="eastAsia" w:ascii="宋体" w:hAnsi="宋体" w:eastAsia="宋体" w:cs="宋体"/>
          <w:color w:val="auto"/>
          <w:sz w:val="24"/>
          <w:szCs w:val="24"/>
          <w:highlight w:val="none"/>
        </w:rPr>
        <w:t>。</w:t>
      </w:r>
    </w:p>
    <w:p w14:paraId="5F1B6F9A">
      <w:pPr>
        <w:pStyle w:val="38"/>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leftChars="0"/>
        <w:textAlignment w:val="auto"/>
        <w:rPr>
          <w:rFonts w:hint="default" w:ascii="宋体" w:cs="宋体"/>
          <w:b/>
          <w:bCs/>
          <w:color w:val="auto"/>
          <w:sz w:val="24"/>
          <w:szCs w:val="24"/>
          <w:highlight w:val="none"/>
          <w:lang w:val="en-US" w:eastAsia="zh-CN"/>
        </w:rPr>
      </w:pPr>
      <w:r>
        <w:rPr>
          <w:rFonts w:hint="eastAsia" w:cs="宋体"/>
          <w:b/>
          <w:bCs/>
          <w:color w:val="auto"/>
          <w:sz w:val="24"/>
          <w:szCs w:val="24"/>
          <w:highlight w:val="none"/>
          <w:lang w:val="en-US" w:eastAsia="zh-CN"/>
        </w:rPr>
        <w:t>一、项目概况</w:t>
      </w:r>
    </w:p>
    <w:p w14:paraId="4693BFDB">
      <w:pPr>
        <w:pStyle w:val="38"/>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olor w:val="auto"/>
          <w:sz w:val="24"/>
          <w:szCs w:val="24"/>
          <w:highlight w:val="none"/>
        </w:rPr>
      </w:pPr>
      <w:r>
        <w:rPr>
          <w:rFonts w:hint="eastAsia" w:ascii="宋体" w:hAnsi="宋体" w:cs="宋体"/>
          <w:color w:val="auto"/>
          <w:sz w:val="24"/>
          <w:szCs w:val="24"/>
          <w:highlight w:val="none"/>
        </w:rPr>
        <w:t>1.</w:t>
      </w:r>
      <w:r>
        <w:rPr>
          <w:rFonts w:hint="eastAsia" w:ascii="宋体" w:hAnsi="宋体"/>
          <w:color w:val="auto"/>
          <w:sz w:val="24"/>
          <w:szCs w:val="24"/>
          <w:highlight w:val="none"/>
        </w:rPr>
        <w:t>按要求保质保量完成全院</w:t>
      </w:r>
      <w:r>
        <w:rPr>
          <w:rFonts w:hint="eastAsia" w:ascii="宋体" w:hAnsi="宋体" w:cs="宋体"/>
          <w:color w:val="auto"/>
          <w:kern w:val="0"/>
          <w:sz w:val="24"/>
          <w:szCs w:val="24"/>
          <w:highlight w:val="none"/>
        </w:rPr>
        <w:t>所有医用织物洗涤消毒</w:t>
      </w:r>
      <w:r>
        <w:rPr>
          <w:rFonts w:hint="eastAsia" w:ascii="宋体" w:hAnsi="宋体"/>
          <w:color w:val="auto"/>
          <w:sz w:val="24"/>
          <w:szCs w:val="24"/>
          <w:highlight w:val="none"/>
        </w:rPr>
        <w:t>任务（包括后勤配套的纺织品洗涤物如窗帘、隔离帘等），在每周七天（周一至周日）每天的固定时间下收、下送，如双方有特殊情况，相互友好协商，不影响招标人正常的医疗工作；</w:t>
      </w:r>
    </w:p>
    <w:p w14:paraId="755297B6">
      <w:pPr>
        <w:keepNext w:val="0"/>
        <w:keepLines w:val="0"/>
        <w:pageBreakBefore w:val="0"/>
        <w:widowControl/>
        <w:kinsoku/>
        <w:wordWrap/>
        <w:overflowPunct/>
        <w:topLinePunct w:val="0"/>
        <w:autoSpaceDE/>
        <w:autoSpaceDN/>
        <w:bidi w:val="0"/>
        <w:spacing w:line="360" w:lineRule="auto"/>
        <w:ind w:firstLine="480" w:firstLineChars="200"/>
        <w:textAlignment w:val="auto"/>
        <w:rPr>
          <w:rFonts w:hint="eastAsia" w:ascii="宋体" w:hAnsi="宋体"/>
          <w:color w:val="auto"/>
          <w:sz w:val="24"/>
          <w:highlight w:val="none"/>
        </w:rPr>
      </w:pPr>
      <w:r>
        <w:rPr>
          <w:rFonts w:hint="eastAsia" w:ascii="宋体" w:hAnsi="宋体" w:cs="宋体"/>
          <w:color w:val="auto"/>
          <w:sz w:val="24"/>
          <w:highlight w:val="none"/>
        </w:rPr>
        <w:t>2.</w:t>
      </w:r>
      <w:r>
        <w:rPr>
          <w:rFonts w:hint="eastAsia" w:ascii="宋体" w:hAnsi="宋体"/>
          <w:color w:val="auto"/>
          <w:sz w:val="24"/>
          <w:highlight w:val="none"/>
        </w:rPr>
        <w:t>对招标人委托洗涤物的轻度破损医用织物，将进行免费缝补；</w:t>
      </w:r>
    </w:p>
    <w:p w14:paraId="23FA9376">
      <w:pPr>
        <w:pStyle w:val="38"/>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kern w:val="0"/>
          <w:sz w:val="24"/>
          <w:highlight w:val="none"/>
        </w:rPr>
      </w:pPr>
      <w:r>
        <w:rPr>
          <w:rFonts w:hint="eastAsia" w:ascii="宋体" w:hAnsi="宋体" w:cs="宋体"/>
          <w:color w:val="auto"/>
          <w:sz w:val="24"/>
          <w:szCs w:val="24"/>
          <w:highlight w:val="none"/>
        </w:rPr>
        <w:t>3.</w:t>
      </w:r>
      <w:r>
        <w:rPr>
          <w:rFonts w:hint="eastAsia" w:hAnsi="宋体"/>
          <w:color w:val="auto"/>
          <w:sz w:val="24"/>
          <w:szCs w:val="24"/>
          <w:highlight w:val="none"/>
          <w:lang w:eastAsia="zh-CN"/>
        </w:rPr>
        <w:t>服务</w:t>
      </w:r>
      <w:r>
        <w:rPr>
          <w:rFonts w:hint="eastAsia" w:ascii="宋体" w:hAnsi="宋体"/>
          <w:color w:val="auto"/>
          <w:sz w:val="24"/>
          <w:szCs w:val="24"/>
          <w:highlight w:val="none"/>
        </w:rPr>
        <w:t>期限：自合同签订之日起一年,若中标供应商操作规范、服务优良、考核评分标准不低于90分的，经采购人、县财政部门同意后，可延长采购服务有效期两次，每次续签服务合同一年</w:t>
      </w:r>
      <w:r>
        <w:rPr>
          <w:rFonts w:hint="eastAsia" w:ascii="宋体" w:hAnsi="宋体"/>
          <w:color w:val="auto"/>
          <w:sz w:val="24"/>
          <w:szCs w:val="24"/>
          <w:highlight w:val="none"/>
        </w:rPr>
        <w:t>。在</w:t>
      </w:r>
      <w:r>
        <w:rPr>
          <w:rFonts w:hint="eastAsia" w:hAnsi="宋体"/>
          <w:color w:val="auto"/>
          <w:sz w:val="24"/>
          <w:szCs w:val="24"/>
          <w:highlight w:val="none"/>
          <w:lang w:eastAsia="zh-CN"/>
        </w:rPr>
        <w:t>服务</w:t>
      </w:r>
      <w:r>
        <w:rPr>
          <w:rFonts w:hint="eastAsia" w:ascii="宋体" w:hAnsi="宋体"/>
          <w:color w:val="auto"/>
          <w:sz w:val="24"/>
          <w:szCs w:val="24"/>
          <w:highlight w:val="none"/>
        </w:rPr>
        <w:t>期内，服务供应商应及时、保质、保量地完成医院交由的洗涤消毒任务，并协助做好废旧医用织物报废预选工作（包括但不限于破损医用织物免费缝补、废旧医用织物报废等）。</w:t>
      </w:r>
    </w:p>
    <w:p w14:paraId="32D22B90">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b/>
          <w:bCs/>
          <w:color w:val="auto"/>
          <w:kern w:val="0"/>
          <w:sz w:val="24"/>
          <w:highlight w:val="none"/>
        </w:rPr>
      </w:pPr>
      <w:r>
        <w:rPr>
          <w:rFonts w:hint="eastAsia" w:ascii="宋体" w:hAnsi="宋体" w:cs="宋体"/>
          <w:b/>
          <w:bCs/>
          <w:color w:val="auto"/>
          <w:kern w:val="0"/>
          <w:sz w:val="24"/>
          <w:highlight w:val="none"/>
          <w:lang w:eastAsia="zh-CN"/>
        </w:rPr>
        <w:t>二．</w:t>
      </w:r>
      <w:r>
        <w:rPr>
          <w:rFonts w:hint="eastAsia" w:ascii="宋体" w:hAnsi="宋体" w:cs="宋体"/>
          <w:b/>
          <w:bCs/>
          <w:color w:val="auto"/>
          <w:kern w:val="0"/>
          <w:sz w:val="24"/>
          <w:highlight w:val="none"/>
        </w:rPr>
        <w:t>服务内容：</w:t>
      </w:r>
    </w:p>
    <w:p w14:paraId="37C05CDF">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医院内所有医用织物（含</w:t>
      </w:r>
      <w:r>
        <w:rPr>
          <w:rFonts w:hint="eastAsia" w:ascii="宋体" w:hAnsi="宋体"/>
          <w:color w:val="auto"/>
          <w:kern w:val="0"/>
          <w:sz w:val="24"/>
          <w:highlight w:val="none"/>
        </w:rPr>
        <w:t>工作衣裤、夹被、床单、枕套、褥套、病衣裤、枕芯、被芯、手术布类等</w:t>
      </w:r>
      <w:r>
        <w:rPr>
          <w:rFonts w:hint="eastAsia" w:ascii="宋体" w:hAnsi="宋体" w:cs="宋体"/>
          <w:color w:val="auto"/>
          <w:kern w:val="0"/>
          <w:sz w:val="24"/>
          <w:highlight w:val="none"/>
        </w:rPr>
        <w:t>、隔离帘、布窗帘、仪器罩、污物布袋、</w:t>
      </w:r>
      <w:r>
        <w:rPr>
          <w:rFonts w:hint="eastAsia" w:ascii="宋体" w:hAnsi="宋体"/>
          <w:color w:val="auto"/>
          <w:kern w:val="0"/>
          <w:sz w:val="24"/>
          <w:highlight w:val="none"/>
        </w:rPr>
        <w:t>各类擦拭毛巾、</w:t>
      </w:r>
      <w:r>
        <w:rPr>
          <w:rFonts w:hint="eastAsia" w:ascii="宋体" w:hAnsi="宋体" w:cs="宋体"/>
          <w:color w:val="auto"/>
          <w:kern w:val="0"/>
          <w:sz w:val="24"/>
          <w:highlight w:val="none"/>
        </w:rPr>
        <w:t>拖把头等），包括洗涤物品的下收下送、清点、交接、分类洗涤消毒、干燥、熨烫、缝补、折叠 、捆扎、存贮、运输等。</w:t>
      </w:r>
      <w:r>
        <w:rPr>
          <w:rFonts w:hint="eastAsia" w:ascii="宋体" w:hAnsi="宋体" w:cs="宋体"/>
          <w:color w:val="auto"/>
          <w:kern w:val="0"/>
          <w:sz w:val="24"/>
          <w:highlight w:val="none"/>
        </w:rPr>
        <w:t>要求</w:t>
      </w:r>
      <w:r>
        <w:rPr>
          <w:rFonts w:hint="eastAsia" w:ascii="宋体" w:hAnsi="宋体" w:cs="宋体"/>
          <w:color w:val="auto"/>
          <w:sz w:val="24"/>
          <w:highlight w:val="none"/>
        </w:rPr>
        <w:t>根据医院规定的时间，规定的路线，按时将待洗涤织物从</w:t>
      </w:r>
      <w:r>
        <w:rPr>
          <w:rFonts w:hint="eastAsia" w:ascii="宋体" w:hAnsi="宋体" w:cs="宋体"/>
          <w:color w:val="auto"/>
          <w:sz w:val="24"/>
          <w:highlight w:val="none"/>
          <w:lang w:val="en-US" w:eastAsia="zh-CN"/>
        </w:rPr>
        <w:t>医院总布草间</w:t>
      </w:r>
      <w:r>
        <w:rPr>
          <w:rFonts w:hint="eastAsia" w:ascii="宋体" w:hAnsi="宋体" w:cs="宋体"/>
          <w:color w:val="auto"/>
          <w:sz w:val="24"/>
          <w:highlight w:val="none"/>
        </w:rPr>
        <w:t>回收，并将清洁织物送回</w:t>
      </w:r>
      <w:r>
        <w:rPr>
          <w:rFonts w:hint="eastAsia" w:ascii="宋体" w:hAnsi="宋体" w:cs="宋体"/>
          <w:color w:val="auto"/>
          <w:sz w:val="24"/>
          <w:highlight w:val="none"/>
        </w:rPr>
        <w:t>至</w:t>
      </w:r>
      <w:r>
        <w:rPr>
          <w:rFonts w:hint="eastAsia" w:ascii="宋体" w:hAnsi="宋体" w:cs="宋体"/>
          <w:color w:val="auto"/>
          <w:sz w:val="24"/>
          <w:highlight w:val="none"/>
          <w:lang w:val="en-US" w:eastAsia="zh-CN"/>
        </w:rPr>
        <w:t>医院总布草间，并进行清点交接</w:t>
      </w:r>
      <w:r>
        <w:rPr>
          <w:rFonts w:hint="eastAsia" w:ascii="宋体" w:hAnsi="宋体" w:cs="宋体"/>
          <w:color w:val="auto"/>
          <w:sz w:val="24"/>
          <w:highlight w:val="none"/>
        </w:rPr>
        <w:t>。如不及时送达，影响医院工作正常运行，</w:t>
      </w:r>
      <w:r>
        <w:rPr>
          <w:rFonts w:hint="eastAsia" w:ascii="宋体" w:hAnsi="宋体" w:cs="宋体"/>
          <w:color w:val="auto"/>
          <w:sz w:val="24"/>
          <w:highlight w:val="none"/>
          <w:lang w:eastAsia="zh-CN"/>
        </w:rPr>
        <w:t>视为违约处理</w:t>
      </w:r>
      <w:r>
        <w:rPr>
          <w:rFonts w:hint="eastAsia" w:ascii="宋体" w:hAnsi="宋体" w:cs="宋体"/>
          <w:color w:val="auto"/>
          <w:sz w:val="24"/>
          <w:highlight w:val="none"/>
        </w:rPr>
        <w:t>；严重影响医院正常运行时，院方有权终止合同。</w:t>
      </w:r>
    </w:p>
    <w:p w14:paraId="037F7A96">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宋体" w:hAnsi="宋体" w:cs="宋体"/>
          <w:color w:val="auto"/>
          <w:sz w:val="24"/>
          <w:highlight w:val="none"/>
        </w:rPr>
      </w:pPr>
      <w:r>
        <w:rPr>
          <w:rFonts w:hint="eastAsia" w:ascii="宋体" w:hAnsi="宋体" w:cs="宋体"/>
          <w:b/>
          <w:bCs/>
          <w:color w:val="auto"/>
          <w:kern w:val="0"/>
          <w:sz w:val="24"/>
          <w:highlight w:val="none"/>
          <w:lang w:eastAsia="zh-CN"/>
        </w:rPr>
        <w:t>三．</w:t>
      </w:r>
      <w:r>
        <w:rPr>
          <w:rFonts w:hint="eastAsia" w:ascii="宋体" w:hAnsi="宋体" w:cs="宋体"/>
          <w:b/>
          <w:bCs/>
          <w:color w:val="auto"/>
          <w:kern w:val="0"/>
          <w:sz w:val="24"/>
          <w:highlight w:val="none"/>
        </w:rPr>
        <w:t>服务要求</w:t>
      </w:r>
      <w:r>
        <w:rPr>
          <w:rFonts w:hint="eastAsia" w:ascii="宋体" w:hAnsi="宋体" w:cs="宋体"/>
          <w:color w:val="auto"/>
          <w:kern w:val="0"/>
          <w:sz w:val="24"/>
          <w:highlight w:val="none"/>
        </w:rPr>
        <w:t xml:space="preserve">  </w:t>
      </w:r>
      <w:r>
        <w:rPr>
          <w:rFonts w:hint="eastAsia" w:ascii="宋体" w:hAnsi="宋体" w:cs="宋体"/>
          <w:color w:val="auto"/>
          <w:sz w:val="24"/>
          <w:highlight w:val="none"/>
        </w:rPr>
        <w:t>洗涤消毒流程符合</w:t>
      </w:r>
      <w:r>
        <w:rPr>
          <w:rFonts w:hint="eastAsia" w:ascii="宋体" w:hAnsi="宋体" w:cs="宋体"/>
          <w:b w:val="0"/>
          <w:bCs w:val="0"/>
          <w:color w:val="auto"/>
          <w:sz w:val="24"/>
          <w:highlight w:val="none"/>
        </w:rPr>
        <w:t>2017</w:t>
      </w:r>
      <w:r>
        <w:rPr>
          <w:rFonts w:hint="eastAsia" w:ascii="宋体" w:hAnsi="宋体" w:cs="宋体"/>
          <w:b w:val="0"/>
          <w:bCs w:val="0"/>
          <w:color w:val="auto"/>
          <w:sz w:val="24"/>
          <w:highlight w:val="none"/>
          <w:shd w:val="clear" w:color="auto" w:fill="auto"/>
        </w:rPr>
        <w:t>年</w:t>
      </w:r>
      <w:r>
        <w:rPr>
          <w:rFonts w:hint="eastAsia" w:ascii="宋体" w:hAnsi="宋体" w:cs="宋体"/>
          <w:b w:val="0"/>
          <w:bCs w:val="0"/>
          <w:color w:val="auto"/>
          <w:sz w:val="24"/>
          <w:highlight w:val="none"/>
          <w:shd w:val="clear" w:color="auto" w:fill="auto"/>
          <w:lang w:eastAsia="zh-CN"/>
        </w:rPr>
        <w:t>国家卫健委</w:t>
      </w:r>
      <w:r>
        <w:rPr>
          <w:rFonts w:hint="eastAsia" w:ascii="宋体" w:hAnsi="宋体" w:cs="宋体"/>
          <w:b w:val="0"/>
          <w:bCs w:val="0"/>
          <w:color w:val="auto"/>
          <w:sz w:val="24"/>
          <w:highlight w:val="none"/>
          <w:shd w:val="clear" w:color="auto" w:fill="auto"/>
        </w:rPr>
        <w:t>规定</w:t>
      </w:r>
      <w:r>
        <w:rPr>
          <w:rFonts w:hint="eastAsia" w:ascii="宋体" w:hAnsi="宋体" w:cs="宋体"/>
          <w:color w:val="auto"/>
          <w:sz w:val="24"/>
          <w:highlight w:val="none"/>
          <w:shd w:val="clear" w:color="auto" w:fill="auto"/>
        </w:rPr>
        <w:t>的</w:t>
      </w:r>
      <w:r>
        <w:rPr>
          <w:rFonts w:hint="eastAsia" w:ascii="宋体" w:hAnsi="宋体" w:cs="宋体"/>
          <w:color w:val="auto"/>
          <w:sz w:val="24"/>
          <w:highlight w:val="none"/>
          <w:shd w:val="clear" w:color="auto" w:fill="auto"/>
        </w:rPr>
        <w:t>《医</w:t>
      </w:r>
      <w:r>
        <w:rPr>
          <w:rFonts w:hint="eastAsia" w:ascii="宋体" w:hAnsi="宋体" w:cs="宋体"/>
          <w:color w:val="auto"/>
          <w:sz w:val="24"/>
          <w:highlight w:val="none"/>
        </w:rPr>
        <w:t>院医用织物洗涤消毒技术规范》要求，洗涤剂符合相关规定；</w:t>
      </w:r>
    </w:p>
    <w:p w14:paraId="47547FE2">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宋体" w:hAnsi="宋体" w:cs="宋体"/>
          <w:color w:val="auto"/>
          <w:sz w:val="24"/>
          <w:highlight w:val="none"/>
        </w:rPr>
      </w:pPr>
      <w:r>
        <w:rPr>
          <w:rFonts w:hint="eastAsia" w:ascii="宋体" w:hAnsi="宋体" w:cs="宋体"/>
          <w:color w:val="auto"/>
          <w:sz w:val="24"/>
          <w:highlight w:val="none"/>
        </w:rPr>
        <w:t>⑴洗涤要求</w:t>
      </w:r>
    </w:p>
    <w:p w14:paraId="5BFF4209">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sz w:val="24"/>
          <w:highlight w:val="none"/>
        </w:rPr>
        <w:t>①洗涤公司应根据医用织物的特点，选择适合的洗涤工艺标准，科学安排洗涤工序，</w:t>
      </w:r>
      <w:r>
        <w:rPr>
          <w:rFonts w:hint="eastAsia" w:ascii="宋体" w:hAnsi="宋体" w:cs="宋体"/>
          <w:color w:val="auto"/>
          <w:kern w:val="0"/>
          <w:sz w:val="24"/>
          <w:highlight w:val="none"/>
        </w:rPr>
        <w:t>整个洗涤过程的8个步骤（收集—运送—分类—洗涤—烘干—折叠—贮藏—使用）须有专业人员负责，精细化管理。</w:t>
      </w:r>
    </w:p>
    <w:p w14:paraId="236C790D">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sz w:val="24"/>
          <w:highlight w:val="none"/>
        </w:rPr>
      </w:pPr>
      <w:r>
        <w:rPr>
          <w:rFonts w:hint="eastAsia" w:ascii="宋体" w:hAnsi="宋体" w:cs="宋体"/>
          <w:color w:val="auto"/>
          <w:kern w:val="0"/>
          <w:sz w:val="24"/>
          <w:highlight w:val="none"/>
        </w:rPr>
        <w:t>②为</w:t>
      </w:r>
      <w:r>
        <w:rPr>
          <w:rFonts w:hint="eastAsia" w:ascii="宋体" w:hAnsi="宋体" w:cs="宋体"/>
          <w:color w:val="auto"/>
          <w:sz w:val="24"/>
          <w:highlight w:val="none"/>
        </w:rPr>
        <w:t>保证洗涤质量，医院有权对洗涤公司所洗医用织物物品和洗涤场所进行抽查和检验，院方将定期或不定期进行洗涤消毒后医用织物微生物学监测，并要求洗涤公司及时整改。</w:t>
      </w:r>
    </w:p>
    <w:p w14:paraId="584D6E86">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③如出现应洗清而实际未洗清物品，洗涤消毒质量不符合临床使用要求，医院有权退回重洗予以相应处罚。</w:t>
      </w:r>
    </w:p>
    <w:p w14:paraId="59694AD6">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b/>
          <w:bCs/>
          <w:color w:val="auto"/>
          <w:kern w:val="0"/>
          <w:sz w:val="24"/>
          <w:highlight w:val="none"/>
        </w:rPr>
      </w:pPr>
      <w:r>
        <w:rPr>
          <w:rFonts w:hint="eastAsia" w:ascii="宋体" w:hAnsi="宋体" w:cs="宋体"/>
          <w:b/>
          <w:bCs/>
          <w:color w:val="auto"/>
          <w:kern w:val="0"/>
          <w:sz w:val="24"/>
          <w:highlight w:val="none"/>
          <w:lang w:eastAsia="zh-CN"/>
        </w:rPr>
        <w:t>四．</w:t>
      </w:r>
      <w:r>
        <w:rPr>
          <w:rFonts w:hint="eastAsia" w:ascii="宋体" w:hAnsi="宋体" w:cs="宋体"/>
          <w:b/>
          <w:bCs/>
          <w:color w:val="auto"/>
          <w:kern w:val="0"/>
          <w:sz w:val="24"/>
          <w:highlight w:val="none"/>
        </w:rPr>
        <w:t>简要技术要求</w:t>
      </w:r>
    </w:p>
    <w:p w14:paraId="18B4CCE7">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⑴收集要求（乙方院区内下收、下送至少配备</w:t>
      </w:r>
      <w:r>
        <w:rPr>
          <w:rFonts w:hint="eastAsia" w:ascii="宋体" w:hAnsi="宋体" w:cs="宋体"/>
          <w:color w:val="auto"/>
          <w:kern w:val="0"/>
          <w:sz w:val="24"/>
          <w:highlight w:val="none"/>
          <w:lang w:val="en-US" w:eastAsia="zh-CN"/>
        </w:rPr>
        <w:t>1-2</w:t>
      </w:r>
      <w:r>
        <w:rPr>
          <w:rFonts w:hint="eastAsia" w:ascii="宋体" w:hAnsi="宋体" w:cs="宋体"/>
          <w:color w:val="auto"/>
          <w:kern w:val="0"/>
          <w:sz w:val="24"/>
          <w:highlight w:val="none"/>
        </w:rPr>
        <w:t>人）</w:t>
      </w:r>
    </w:p>
    <w:p w14:paraId="750B576C">
      <w:pPr>
        <w:keepNext w:val="0"/>
        <w:keepLines w:val="0"/>
        <w:pageBreakBefore w:val="0"/>
        <w:widowControl/>
        <w:kinsoku/>
        <w:wordWrap/>
        <w:overflowPunct/>
        <w:topLinePunct w:val="0"/>
        <w:autoSpaceDE/>
        <w:autoSpaceDN/>
        <w:bidi w:val="0"/>
        <w:spacing w:line="360" w:lineRule="auto"/>
        <w:ind w:firstLine="350" w:firstLineChars="146"/>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①乙方负责脏医用织物的下收工作，下收时间须按双方协商的时间执行。</w:t>
      </w:r>
    </w:p>
    <w:p w14:paraId="37522023">
      <w:pPr>
        <w:keepNext w:val="0"/>
        <w:keepLines w:val="0"/>
        <w:pageBreakBefore w:val="0"/>
        <w:widowControl/>
        <w:kinsoku/>
        <w:wordWrap/>
        <w:overflowPunct/>
        <w:topLinePunct w:val="0"/>
        <w:autoSpaceDE/>
        <w:autoSpaceDN/>
        <w:bidi w:val="0"/>
        <w:spacing w:line="360" w:lineRule="auto"/>
        <w:ind w:firstLine="360" w:firstLineChars="15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②乙方工作人员下收脏医用织物不得随意堆放、践踏、拖拉。</w:t>
      </w:r>
    </w:p>
    <w:p w14:paraId="33B3B0E1">
      <w:pPr>
        <w:keepNext w:val="0"/>
        <w:keepLines w:val="0"/>
        <w:pageBreakBefore w:val="0"/>
        <w:widowControl/>
        <w:kinsoku/>
        <w:wordWrap/>
        <w:overflowPunct/>
        <w:topLinePunct w:val="0"/>
        <w:autoSpaceDE/>
        <w:autoSpaceDN/>
        <w:bidi w:val="0"/>
        <w:spacing w:line="360" w:lineRule="auto"/>
        <w:ind w:firstLine="360" w:firstLineChars="15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③乙方工作人员收集脏医用织物须分类放入适当的</w:t>
      </w:r>
      <w:r>
        <w:rPr>
          <w:rFonts w:hint="eastAsia" w:ascii="宋体" w:hAnsi="宋体" w:cs="宋体"/>
          <w:color w:val="auto"/>
          <w:kern w:val="0"/>
          <w:sz w:val="24"/>
          <w:highlight w:val="none"/>
        </w:rPr>
        <w:t>收集</w:t>
      </w:r>
      <w:r>
        <w:rPr>
          <w:rFonts w:hint="eastAsia" w:ascii="宋体" w:hAnsi="宋体" w:cs="宋体"/>
          <w:color w:val="auto"/>
          <w:kern w:val="0"/>
          <w:sz w:val="24"/>
          <w:highlight w:val="none"/>
        </w:rPr>
        <w:t>袋中（可根据颜色区分）。</w:t>
      </w:r>
    </w:p>
    <w:p w14:paraId="61D8BB79">
      <w:pPr>
        <w:keepNext w:val="0"/>
        <w:keepLines w:val="0"/>
        <w:pageBreakBefore w:val="0"/>
        <w:widowControl/>
        <w:kinsoku/>
        <w:wordWrap/>
        <w:overflowPunct/>
        <w:topLinePunct w:val="0"/>
        <w:autoSpaceDE/>
        <w:autoSpaceDN/>
        <w:bidi w:val="0"/>
        <w:spacing w:line="360" w:lineRule="auto"/>
        <w:ind w:firstLine="360" w:firstLineChars="15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④被血液、分泌物或致重度污染医用织物须单独装入其他不能穿透的且安全封口的洗衣袋中。</w:t>
      </w:r>
    </w:p>
    <w:p w14:paraId="05A27124">
      <w:pPr>
        <w:keepNext w:val="0"/>
        <w:keepLines w:val="0"/>
        <w:pageBreakBefore w:val="0"/>
        <w:widowControl/>
        <w:kinsoku/>
        <w:wordWrap/>
        <w:overflowPunct/>
        <w:topLinePunct w:val="0"/>
        <w:autoSpaceDE/>
        <w:autoSpaceDN/>
        <w:bidi w:val="0"/>
        <w:spacing w:line="360" w:lineRule="auto"/>
        <w:ind w:firstLine="360" w:firstLineChars="15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⑤所用洗衣袋均有乙方提供，不同的收集区域使用相对应的洗衣袋，洁、污洗衣袋分开使用。</w:t>
      </w:r>
    </w:p>
    <w:p w14:paraId="19BB3FCA">
      <w:pPr>
        <w:keepNext w:val="0"/>
        <w:keepLines w:val="0"/>
        <w:pageBreakBefore w:val="0"/>
        <w:widowControl/>
        <w:kinsoku/>
        <w:wordWrap/>
        <w:overflowPunct/>
        <w:topLinePunct w:val="0"/>
        <w:autoSpaceDE/>
        <w:autoSpaceDN/>
        <w:bidi w:val="0"/>
        <w:spacing w:line="360" w:lineRule="auto"/>
        <w:ind w:firstLine="360" w:firstLineChars="15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⑥脏污拖把头单独收集，放入密闭的收集袋中。</w:t>
      </w:r>
    </w:p>
    <w:p w14:paraId="0C5DFCDE">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微软雅黑" w:hAnsi="微软雅黑" w:eastAsia="微软雅黑" w:cs="微软雅黑"/>
          <w:color w:val="auto"/>
          <w:kern w:val="0"/>
          <w:sz w:val="24"/>
          <w:highlight w:val="none"/>
        </w:rPr>
        <w:t>⑵</w:t>
      </w:r>
      <w:r>
        <w:rPr>
          <w:rFonts w:hint="eastAsia" w:ascii="宋体" w:hAnsi="宋体" w:cs="宋体"/>
          <w:color w:val="auto"/>
          <w:kern w:val="0"/>
          <w:sz w:val="24"/>
          <w:highlight w:val="none"/>
        </w:rPr>
        <w:t>运送要求</w:t>
      </w:r>
    </w:p>
    <w:p w14:paraId="3AC0B67A">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①乙方须具备符合国家法定运输条件的车辆用以医用织物的运送。</w:t>
      </w:r>
    </w:p>
    <w:p w14:paraId="7D6940C6">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②运送医用织物车辆不得同时运输受污染医用织物和洗净医用织物。</w:t>
      </w:r>
    </w:p>
    <w:p w14:paraId="79818920">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③运送医用织物的车辆须定期消毒及维护，相关</w:t>
      </w:r>
      <w:r>
        <w:rPr>
          <w:rFonts w:hint="eastAsia" w:ascii="宋体" w:hAnsi="宋体" w:cs="宋体"/>
          <w:color w:val="auto"/>
          <w:kern w:val="0"/>
          <w:sz w:val="24"/>
          <w:highlight w:val="none"/>
        </w:rPr>
        <w:t>记录留档备查。</w:t>
      </w:r>
    </w:p>
    <w:p w14:paraId="229024F4">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④运送时间、路线按照双方协议的具体要求。</w:t>
      </w:r>
    </w:p>
    <w:p w14:paraId="0BCB6865">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⑶分类要求</w:t>
      </w:r>
    </w:p>
    <w:p w14:paraId="1C9A55FF">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乙方对脏医用织物的分类可采用下列方式：按照织物的质地分类；按照织物的颜色分类；按照织物的污垢类型分类；按照织物污垢程度分类；按照织物的最终处理方式分类；按照织物的使用人群分类。</w:t>
      </w:r>
    </w:p>
    <w:p w14:paraId="3DC65F31">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⑷洗涤要求</w:t>
      </w:r>
    </w:p>
    <w:p w14:paraId="57EF8CC7">
      <w:pPr>
        <w:keepNext w:val="0"/>
        <w:keepLines w:val="0"/>
        <w:pageBreakBefore w:val="0"/>
        <w:widowControl/>
        <w:numPr>
          <w:ilvl w:val="0"/>
          <w:numId w:val="0"/>
        </w:numPr>
        <w:kinsoku/>
        <w:wordWrap/>
        <w:overflowPunct/>
        <w:topLinePunct w:val="0"/>
        <w:autoSpaceDE/>
        <w:autoSpaceDN/>
        <w:bidi w:val="0"/>
        <w:spacing w:line="360" w:lineRule="auto"/>
        <w:ind w:left="225"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①</w:t>
      </w:r>
      <w:r>
        <w:rPr>
          <w:rFonts w:hint="eastAsia" w:ascii="宋体" w:hAnsi="宋体" w:cs="宋体"/>
          <w:color w:val="auto"/>
          <w:kern w:val="0"/>
          <w:sz w:val="24"/>
          <w:highlight w:val="none"/>
          <w:lang w:val="en-US" w:eastAsia="zh-CN"/>
        </w:rPr>
        <w:t>乙</w:t>
      </w:r>
      <w:r>
        <w:rPr>
          <w:rFonts w:hint="eastAsia" w:ascii="宋体" w:hAnsi="宋体" w:cs="宋体"/>
          <w:color w:val="auto"/>
          <w:kern w:val="0"/>
          <w:sz w:val="24"/>
          <w:highlight w:val="none"/>
        </w:rPr>
        <w:t>方须保证脏医用织物及时洗净，不得长时间堆放，当日完成。</w:t>
      </w:r>
    </w:p>
    <w:p w14:paraId="222E61CD">
      <w:pPr>
        <w:keepNext w:val="0"/>
        <w:keepLines w:val="0"/>
        <w:pageBreakBefore w:val="0"/>
        <w:widowControl/>
        <w:numPr>
          <w:ilvl w:val="0"/>
          <w:numId w:val="0"/>
        </w:numPr>
        <w:kinsoku/>
        <w:wordWrap/>
        <w:overflowPunct/>
        <w:topLinePunct w:val="0"/>
        <w:autoSpaceDE/>
        <w:autoSpaceDN/>
        <w:bidi w:val="0"/>
        <w:spacing w:line="360" w:lineRule="auto"/>
        <w:ind w:left="240"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②乙方须严格物理划分医用织物洁净区和污染区，不得混放干净医用织物和脏医用织 物，员工也不得同时处理干净和脏医用织物。</w:t>
      </w:r>
    </w:p>
    <w:p w14:paraId="3CF9AC7B">
      <w:pPr>
        <w:keepNext w:val="0"/>
        <w:keepLines w:val="0"/>
        <w:pageBreakBefore w:val="0"/>
        <w:widowControl/>
        <w:numPr>
          <w:ilvl w:val="0"/>
          <w:numId w:val="0"/>
        </w:numPr>
        <w:kinsoku/>
        <w:wordWrap/>
        <w:overflowPunct/>
        <w:topLinePunct w:val="0"/>
        <w:autoSpaceDE/>
        <w:autoSpaceDN/>
        <w:bidi w:val="0"/>
        <w:spacing w:line="360" w:lineRule="auto"/>
        <w:ind w:left="240"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③乙方的洗涤装机量不易太多，不要超过额定量的90%；工作服不要超过额定量的70%。</w:t>
      </w:r>
    </w:p>
    <w:p w14:paraId="4AE6208D">
      <w:pPr>
        <w:keepNext w:val="0"/>
        <w:keepLines w:val="0"/>
        <w:pageBreakBefore w:val="0"/>
        <w:widowControl/>
        <w:numPr>
          <w:ilvl w:val="0"/>
          <w:numId w:val="0"/>
        </w:numPr>
        <w:kinsoku/>
        <w:wordWrap/>
        <w:overflowPunct/>
        <w:topLinePunct w:val="0"/>
        <w:autoSpaceDE/>
        <w:autoSpaceDN/>
        <w:bidi w:val="0"/>
        <w:spacing w:line="360" w:lineRule="auto"/>
        <w:ind w:left="240"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④乙方</w:t>
      </w:r>
      <w:r>
        <w:rPr>
          <w:rFonts w:hint="eastAsia" w:ascii="微软雅黑,Microsoft YaHei" w:hAnsi="微软雅黑" w:eastAsia="微软雅黑,Microsoft YaHei" w:cs="宋体"/>
          <w:color w:val="auto"/>
          <w:kern w:val="0"/>
          <w:sz w:val="24"/>
          <w:highlight w:val="none"/>
        </w:rPr>
        <w:t>根据用后织物的使用对象和污渍性质、程度不同，应分机洗或分批进行洗涤。工作服、新生儿、婴儿、手术类用后的重复使用织物应专机洗涤，不应与其他医用织物混洗。搽试毛巾、拖把头宜进行单独清洗、消毒。感染性织物宜进行单独清洗、消毒。</w:t>
      </w:r>
    </w:p>
    <w:p w14:paraId="55E1E5D2">
      <w:pPr>
        <w:keepNext w:val="0"/>
        <w:keepLines w:val="0"/>
        <w:pageBreakBefore w:val="0"/>
        <w:widowControl/>
        <w:numPr>
          <w:ilvl w:val="0"/>
          <w:numId w:val="0"/>
        </w:numPr>
        <w:kinsoku/>
        <w:wordWrap/>
        <w:overflowPunct/>
        <w:topLinePunct w:val="0"/>
        <w:autoSpaceDE/>
        <w:autoSpaceDN/>
        <w:bidi w:val="0"/>
        <w:spacing w:line="360" w:lineRule="auto"/>
        <w:ind w:left="240"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eastAsia="zh-CN"/>
        </w:rPr>
        <w:t>⑤</w:t>
      </w:r>
      <w:r>
        <w:rPr>
          <w:rFonts w:hint="eastAsia" w:ascii="宋体" w:hAnsi="宋体" w:cs="宋体"/>
          <w:color w:val="auto"/>
          <w:kern w:val="0"/>
          <w:sz w:val="24"/>
          <w:highlight w:val="none"/>
        </w:rPr>
        <w:t>乙方所使用的工业洗衣机必须有加热功能（蒸汽或电）且具备自动洗涤程序。每台洗衣机都要专人负责，并定期清洁消毒洗涤设备，</w:t>
      </w:r>
      <w:r>
        <w:rPr>
          <w:rFonts w:hint="eastAsia" w:ascii="宋体" w:hAnsi="宋体" w:cs="宋体"/>
          <w:color w:val="auto"/>
          <w:kern w:val="0"/>
          <w:sz w:val="24"/>
          <w:highlight w:val="none"/>
        </w:rPr>
        <w:t>相关</w:t>
      </w:r>
      <w:r>
        <w:rPr>
          <w:rFonts w:hint="eastAsia" w:ascii="宋体" w:hAnsi="宋体" w:cs="宋体"/>
          <w:color w:val="auto"/>
          <w:kern w:val="0"/>
          <w:sz w:val="24"/>
          <w:highlight w:val="none"/>
        </w:rPr>
        <w:t>记录留档备查。</w:t>
      </w:r>
    </w:p>
    <w:p w14:paraId="046F354D">
      <w:pPr>
        <w:keepNext w:val="0"/>
        <w:keepLines w:val="0"/>
        <w:pageBreakBefore w:val="0"/>
        <w:widowControl/>
        <w:numPr>
          <w:ilvl w:val="0"/>
          <w:numId w:val="0"/>
        </w:numPr>
        <w:kinsoku/>
        <w:wordWrap/>
        <w:overflowPunct/>
        <w:topLinePunct w:val="0"/>
        <w:autoSpaceDE/>
        <w:autoSpaceDN/>
        <w:bidi w:val="0"/>
        <w:spacing w:line="360" w:lineRule="auto"/>
        <w:ind w:left="240"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eastAsia="zh-CN"/>
        </w:rPr>
        <w:t>⑥</w:t>
      </w:r>
      <w:r>
        <w:rPr>
          <w:rFonts w:hint="eastAsia" w:ascii="宋体" w:hAnsi="宋体" w:cs="宋体"/>
          <w:color w:val="auto"/>
          <w:kern w:val="0"/>
          <w:sz w:val="24"/>
          <w:highlight w:val="none"/>
        </w:rPr>
        <w:t>对于乙方所使用的洗涤剂、</w:t>
      </w:r>
      <w:r>
        <w:rPr>
          <w:rFonts w:hint="eastAsia" w:ascii="宋体" w:hAnsi="宋体" w:cs="宋体"/>
          <w:color w:val="auto"/>
          <w:kern w:val="0"/>
          <w:sz w:val="24"/>
          <w:highlight w:val="none"/>
        </w:rPr>
        <w:t>消毒剂要求其供应商有政府批准的生产资质及产品合格证，且洗涤剂、消毒剂包装物安全、无泄露；各类洗涤剂、消毒剂有醒目的不同颜色标签，并有安全警示；每种洗涤剂、消毒剂都有产品说明书和安全资料单（MSDS）。</w:t>
      </w:r>
    </w:p>
    <w:p w14:paraId="5D99A159">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⑸烘干要求</w:t>
      </w:r>
    </w:p>
    <w:p w14:paraId="4B96B1A6">
      <w:pPr>
        <w:keepNext w:val="0"/>
        <w:keepLines w:val="0"/>
        <w:pageBreakBefore w:val="0"/>
        <w:widowControl/>
        <w:numPr>
          <w:ilvl w:val="0"/>
          <w:numId w:val="0"/>
        </w:numPr>
        <w:kinsoku/>
        <w:wordWrap/>
        <w:overflowPunct/>
        <w:topLinePunct w:val="0"/>
        <w:autoSpaceDE/>
        <w:autoSpaceDN/>
        <w:bidi w:val="0"/>
        <w:spacing w:line="360" w:lineRule="auto"/>
        <w:ind w:left="225"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eastAsia="zh-CN"/>
        </w:rPr>
        <w:t>①</w:t>
      </w:r>
      <w:r>
        <w:rPr>
          <w:rFonts w:hint="eastAsia" w:ascii="宋体" w:hAnsi="宋体" w:cs="宋体"/>
          <w:color w:val="auto"/>
          <w:kern w:val="0"/>
          <w:sz w:val="24"/>
          <w:highlight w:val="none"/>
        </w:rPr>
        <w:t>净衣物须送入烘干机或平烫机进行烘干处理。</w:t>
      </w:r>
    </w:p>
    <w:p w14:paraId="4FBF15D5">
      <w:pPr>
        <w:keepNext w:val="0"/>
        <w:keepLines w:val="0"/>
        <w:pageBreakBefore w:val="0"/>
        <w:widowControl/>
        <w:numPr>
          <w:ilvl w:val="0"/>
          <w:numId w:val="0"/>
        </w:numPr>
        <w:kinsoku/>
        <w:wordWrap/>
        <w:overflowPunct/>
        <w:topLinePunct w:val="0"/>
        <w:autoSpaceDE/>
        <w:autoSpaceDN/>
        <w:bidi w:val="0"/>
        <w:spacing w:line="360" w:lineRule="auto"/>
        <w:ind w:left="225"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eastAsia="zh-CN"/>
        </w:rPr>
        <w:t>②</w:t>
      </w:r>
      <w:r>
        <w:rPr>
          <w:rFonts w:hint="eastAsia" w:ascii="宋体" w:hAnsi="宋体" w:cs="宋体"/>
          <w:color w:val="auto"/>
          <w:kern w:val="0"/>
          <w:sz w:val="24"/>
          <w:highlight w:val="none"/>
        </w:rPr>
        <w:t>工作服烘干时装机量不易太多，最好不要超过额定量的70%（装机量太多容易造成褶皱），烘干时温度不易超过80度，工作服烘干后再进行熨烫整理。</w:t>
      </w:r>
    </w:p>
    <w:p w14:paraId="583719C5">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③  烘干度以甲方工作人员手感干燥为标准。</w:t>
      </w:r>
    </w:p>
    <w:p w14:paraId="0CA39D4B">
      <w:pPr>
        <w:keepNext w:val="0"/>
        <w:keepLines w:val="0"/>
        <w:pageBreakBefore w:val="0"/>
        <w:widowControl/>
        <w:kinsoku/>
        <w:wordWrap/>
        <w:overflowPunct/>
        <w:topLinePunct w:val="0"/>
        <w:autoSpaceDE/>
        <w:autoSpaceDN/>
        <w:bidi w:val="0"/>
        <w:spacing w:line="360" w:lineRule="auto"/>
        <w:ind w:firstLine="240" w:firstLineChars="10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④  拖把头要求烘干捆扎。</w:t>
      </w:r>
    </w:p>
    <w:p w14:paraId="0B4D71A9">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⑹折叠要求</w:t>
      </w:r>
    </w:p>
    <w:p w14:paraId="46FACC4F">
      <w:pPr>
        <w:keepNext w:val="0"/>
        <w:keepLines w:val="0"/>
        <w:pageBreakBefore w:val="0"/>
        <w:widowControl/>
        <w:numPr>
          <w:ilvl w:val="0"/>
          <w:numId w:val="2"/>
        </w:numPr>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折叠过程中的品检工艺非常重要，一个好的品检过程并不只对残留血迹等污渍的衣物进行回洗，而要求将残留污渍进行辨别和分类，作为改善洗涤工艺的依据。   </w:t>
      </w:r>
    </w:p>
    <w:p w14:paraId="4345AC9F">
      <w:pPr>
        <w:keepNext w:val="0"/>
        <w:keepLines w:val="0"/>
        <w:pageBreakBefore w:val="0"/>
        <w:widowControl/>
        <w:numPr>
          <w:ilvl w:val="0"/>
          <w:numId w:val="2"/>
        </w:numPr>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对于带有不同污渍需要回洗的织物，要针对其污渍的特点使用相对应的回洗方法</w:t>
      </w:r>
      <w:r>
        <w:rPr>
          <w:rFonts w:hint="eastAsia" w:ascii="宋体" w:hAnsi="宋体" w:cs="宋体"/>
          <w:color w:val="auto"/>
          <w:kern w:val="0"/>
          <w:sz w:val="24"/>
          <w:highlight w:val="none"/>
        </w:rPr>
        <w:t>和</w:t>
      </w:r>
      <w:r>
        <w:rPr>
          <w:rFonts w:ascii="宋体" w:hAnsi="宋体"/>
          <w:color w:val="auto"/>
          <w:sz w:val="24"/>
          <w:highlight w:val="none"/>
        </w:rPr>
        <w:fldChar w:fldCharType="begin"/>
      </w:r>
      <w:r>
        <w:rPr>
          <w:rFonts w:ascii="宋体" w:hAnsi="宋体"/>
          <w:color w:val="auto"/>
          <w:sz w:val="24"/>
          <w:highlight w:val="none"/>
        </w:rPr>
        <w:instrText xml:space="preserve"> HYPERLINK "http://www.chengjie.cn/article/cleanness/" \t "_blank" </w:instrText>
      </w:r>
      <w:r>
        <w:rPr>
          <w:rFonts w:ascii="宋体" w:hAnsi="宋体"/>
          <w:color w:val="auto"/>
          <w:sz w:val="24"/>
          <w:highlight w:val="none"/>
        </w:rPr>
        <w:fldChar w:fldCharType="separate"/>
      </w:r>
      <w:r>
        <w:rPr>
          <w:rStyle w:val="77"/>
          <w:rFonts w:hint="eastAsia" w:ascii="宋体" w:hAnsi="宋体" w:cs="宋体"/>
          <w:color w:val="auto"/>
          <w:kern w:val="0"/>
          <w:sz w:val="24"/>
          <w:highlight w:val="none"/>
          <w:u w:val="none"/>
        </w:rPr>
        <w:t>去渍</w:t>
      </w:r>
      <w:r>
        <w:rPr>
          <w:rFonts w:ascii="宋体" w:hAnsi="宋体"/>
          <w:color w:val="auto"/>
          <w:sz w:val="24"/>
          <w:highlight w:val="none"/>
        </w:rPr>
        <w:fldChar w:fldCharType="end"/>
      </w:r>
      <w:r>
        <w:rPr>
          <w:rFonts w:hint="eastAsia" w:ascii="宋体" w:hAnsi="宋体" w:cs="宋体"/>
          <w:color w:val="auto"/>
          <w:kern w:val="0"/>
          <w:sz w:val="24"/>
          <w:highlight w:val="none"/>
        </w:rPr>
        <w:t>手段</w:t>
      </w:r>
      <w:r>
        <w:rPr>
          <w:rFonts w:hint="eastAsia" w:ascii="宋体" w:hAnsi="宋体" w:cs="宋体"/>
          <w:color w:val="auto"/>
          <w:kern w:val="0"/>
          <w:sz w:val="24"/>
          <w:highlight w:val="none"/>
        </w:rPr>
        <w:t>。多次回洗仍无法去除污渍的织物登记记录后交由甲方报废处理。</w:t>
      </w:r>
    </w:p>
    <w:p w14:paraId="2A1A9D8E">
      <w:pPr>
        <w:keepNext w:val="0"/>
        <w:keepLines w:val="0"/>
        <w:pageBreakBefore w:val="0"/>
        <w:widowControl/>
        <w:numPr>
          <w:ilvl w:val="0"/>
          <w:numId w:val="2"/>
        </w:numPr>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折叠时要检查清洁织物是否完整，有无破损，钮扣脱落、脱缝、开裂等情况，如有发现及时放入相应区域。</w:t>
      </w:r>
    </w:p>
    <w:p w14:paraId="4373F0BD">
      <w:pPr>
        <w:keepNext w:val="0"/>
        <w:keepLines w:val="0"/>
        <w:pageBreakBefore w:val="0"/>
        <w:widowControl/>
        <w:numPr>
          <w:ilvl w:val="0"/>
          <w:numId w:val="2"/>
        </w:numPr>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根据甲方各科室的使用要求采用不同方式的折叠，甲方可先期提供相应的技术支持。</w:t>
      </w:r>
    </w:p>
    <w:p w14:paraId="7F5AC22C">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⑺储藏要求</w:t>
      </w:r>
    </w:p>
    <w:p w14:paraId="1C04405C">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医用织物贮存的原则如下：</w:t>
      </w:r>
    </w:p>
    <w:p w14:paraId="47EEA948">
      <w:pPr>
        <w:keepNext w:val="0"/>
        <w:keepLines w:val="0"/>
        <w:pageBreakBefore w:val="0"/>
        <w:widowControl/>
        <w:numPr>
          <w:ilvl w:val="0"/>
          <w:numId w:val="0"/>
        </w:numPr>
        <w:kinsoku/>
        <w:wordWrap/>
        <w:overflowPunct/>
        <w:topLinePunct w:val="0"/>
        <w:autoSpaceDE/>
        <w:autoSpaceDN/>
        <w:bidi w:val="0"/>
        <w:spacing w:line="360" w:lineRule="auto"/>
        <w:ind w:left="240"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eastAsia="zh-CN"/>
        </w:rPr>
        <w:t>①</w:t>
      </w:r>
      <w:r>
        <w:rPr>
          <w:rFonts w:hint="eastAsia" w:ascii="宋体" w:hAnsi="宋体" w:cs="宋体"/>
          <w:color w:val="auto"/>
          <w:kern w:val="0"/>
          <w:sz w:val="24"/>
          <w:highlight w:val="none"/>
        </w:rPr>
        <w:t>洗净成品必须严格按照不同使用病区和场所分类储存。</w:t>
      </w:r>
    </w:p>
    <w:p w14:paraId="1F71DDCC">
      <w:pPr>
        <w:keepNext w:val="0"/>
        <w:keepLines w:val="0"/>
        <w:pageBreakBefore w:val="0"/>
        <w:widowControl/>
        <w:numPr>
          <w:ilvl w:val="0"/>
          <w:numId w:val="0"/>
        </w:numPr>
        <w:kinsoku/>
        <w:wordWrap/>
        <w:overflowPunct/>
        <w:topLinePunct w:val="0"/>
        <w:autoSpaceDE/>
        <w:autoSpaceDN/>
        <w:bidi w:val="0"/>
        <w:spacing w:line="360" w:lineRule="auto"/>
        <w:ind w:left="240"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eastAsia="zh-CN"/>
        </w:rPr>
        <w:t>②</w:t>
      </w:r>
      <w:r>
        <w:rPr>
          <w:rFonts w:hint="eastAsia" w:ascii="宋体" w:hAnsi="宋体" w:cs="宋体"/>
          <w:color w:val="auto"/>
          <w:kern w:val="0"/>
          <w:sz w:val="24"/>
          <w:highlight w:val="none"/>
        </w:rPr>
        <w:t>洗净医用织物整齐摆放，并且有明显的标识，捆扎计数。</w:t>
      </w:r>
    </w:p>
    <w:p w14:paraId="4F2087DF">
      <w:pPr>
        <w:keepNext w:val="0"/>
        <w:keepLines w:val="0"/>
        <w:pageBreakBefore w:val="0"/>
        <w:widowControl/>
        <w:numPr>
          <w:ilvl w:val="0"/>
          <w:numId w:val="0"/>
        </w:numPr>
        <w:kinsoku/>
        <w:wordWrap/>
        <w:overflowPunct/>
        <w:topLinePunct w:val="0"/>
        <w:autoSpaceDE/>
        <w:autoSpaceDN/>
        <w:bidi w:val="0"/>
        <w:spacing w:line="360" w:lineRule="auto"/>
        <w:ind w:left="240"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eastAsia="zh-CN"/>
        </w:rPr>
        <w:t>③</w:t>
      </w:r>
      <w:r>
        <w:rPr>
          <w:rFonts w:hint="eastAsia" w:ascii="宋体" w:hAnsi="宋体" w:cs="宋体"/>
          <w:color w:val="auto"/>
          <w:kern w:val="0"/>
          <w:sz w:val="24"/>
          <w:highlight w:val="none"/>
        </w:rPr>
        <w:t>专人负责洗净医用织物的储存。</w:t>
      </w:r>
    </w:p>
    <w:p w14:paraId="3EA49941">
      <w:pPr>
        <w:keepNext w:val="0"/>
        <w:keepLines w:val="0"/>
        <w:pageBreakBefore w:val="0"/>
        <w:widowControl/>
        <w:numPr>
          <w:ilvl w:val="0"/>
          <w:numId w:val="0"/>
        </w:numPr>
        <w:kinsoku/>
        <w:wordWrap/>
        <w:overflowPunct/>
        <w:topLinePunct w:val="0"/>
        <w:autoSpaceDE/>
        <w:autoSpaceDN/>
        <w:bidi w:val="0"/>
        <w:spacing w:line="360" w:lineRule="auto"/>
        <w:ind w:left="240" w:lef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eastAsia="zh-CN"/>
        </w:rPr>
        <w:t>④</w:t>
      </w:r>
      <w:r>
        <w:rPr>
          <w:rFonts w:hint="eastAsia" w:ascii="宋体" w:hAnsi="宋体" w:cs="宋体"/>
          <w:color w:val="auto"/>
          <w:kern w:val="0"/>
          <w:sz w:val="24"/>
          <w:highlight w:val="none"/>
        </w:rPr>
        <w:t>洗净医用织物的入库登记档案。</w:t>
      </w:r>
    </w:p>
    <w:p w14:paraId="2805EB00">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⑻使用要求</w:t>
      </w:r>
    </w:p>
    <w:p w14:paraId="174F0718">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①乙方负责洗净医用织物的下送工作。</w:t>
      </w:r>
    </w:p>
    <w:p w14:paraId="4A9D53A3">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②乙方须专人负责洗净医用织物的发放。</w:t>
      </w:r>
    </w:p>
    <w:p w14:paraId="52D57824">
      <w:pPr>
        <w:keepNext w:val="0"/>
        <w:keepLines w:val="0"/>
        <w:pageBreakBefore w:val="0"/>
        <w:widowControl/>
        <w:kinsoku/>
        <w:wordWrap/>
        <w:overflowPunct/>
        <w:topLinePunct w:val="0"/>
        <w:autoSpaceDE/>
        <w:autoSpaceDN/>
        <w:bidi w:val="0"/>
        <w:spacing w:line="360" w:lineRule="auto"/>
        <w:textAlignment w:val="auto"/>
        <w:rPr>
          <w:rFonts w:hint="eastAsia" w:ascii="宋体" w:hAnsi="宋体" w:cs="宋体"/>
          <w:color w:val="auto"/>
          <w:sz w:val="24"/>
          <w:highlight w:val="none"/>
        </w:rPr>
      </w:pPr>
      <w:r>
        <w:rPr>
          <w:rFonts w:hint="eastAsia" w:ascii="宋体" w:hAnsi="宋体" w:cs="宋体"/>
          <w:color w:val="auto"/>
          <w:kern w:val="0"/>
          <w:sz w:val="24"/>
          <w:highlight w:val="none"/>
        </w:rPr>
        <w:t xml:space="preserve">  ③有洗净医用织物的发放登记档案。</w:t>
      </w:r>
    </w:p>
    <w:p w14:paraId="7C1FD2B9">
      <w:pPr>
        <w:keepNext w:val="0"/>
        <w:keepLines w:val="0"/>
        <w:pageBreakBefore w:val="0"/>
        <w:widowControl/>
        <w:kinsoku/>
        <w:wordWrap/>
        <w:overflowPunct/>
        <w:topLinePunct w:val="0"/>
        <w:autoSpaceDE/>
        <w:autoSpaceDN/>
        <w:bidi w:val="0"/>
        <w:snapToGrid w:val="0"/>
        <w:spacing w:line="360" w:lineRule="auto"/>
        <w:ind w:left="194" w:hanging="194" w:hangingChars="81"/>
        <w:jc w:val="left"/>
        <w:textAlignment w:val="auto"/>
        <w:rPr>
          <w:rFonts w:hint="eastAsia" w:ascii="宋体" w:hAnsi="宋体" w:cs="宋体"/>
          <w:color w:val="auto"/>
          <w:sz w:val="24"/>
          <w:highlight w:val="none"/>
        </w:rPr>
      </w:pPr>
      <w:r>
        <w:rPr>
          <w:rFonts w:hint="eastAsia" w:ascii="宋体" w:hAnsi="宋体" w:cs="宋体"/>
          <w:color w:val="auto"/>
          <w:sz w:val="24"/>
          <w:highlight w:val="none"/>
        </w:rPr>
        <w:t>⒋缝补要求：未报废物品中出现小洞，脱线，掉纽扣等由洗涤公司负责缝补后再送往</w:t>
      </w:r>
      <w:r>
        <w:rPr>
          <w:rFonts w:hint="eastAsia" w:ascii="宋体" w:hAnsi="宋体" w:cs="宋体"/>
          <w:color w:val="auto"/>
          <w:sz w:val="24"/>
          <w:highlight w:val="none"/>
          <w:lang w:val="en-US" w:eastAsia="zh-CN"/>
        </w:rPr>
        <w:t>医院总布草间</w:t>
      </w:r>
      <w:r>
        <w:rPr>
          <w:rFonts w:hint="eastAsia" w:ascii="宋体" w:hAnsi="宋体" w:cs="宋体"/>
          <w:color w:val="auto"/>
          <w:sz w:val="24"/>
          <w:highlight w:val="none"/>
        </w:rPr>
        <w:t>，手术室织物除外；对于未报废而不缝补的物品送入</w:t>
      </w:r>
      <w:r>
        <w:rPr>
          <w:rFonts w:hint="eastAsia" w:ascii="宋体" w:hAnsi="宋体" w:cs="宋体"/>
          <w:color w:val="auto"/>
          <w:sz w:val="24"/>
          <w:highlight w:val="none"/>
          <w:lang w:val="en-US" w:eastAsia="zh-CN"/>
        </w:rPr>
        <w:t>医院</w:t>
      </w:r>
      <w:r>
        <w:rPr>
          <w:rFonts w:hint="eastAsia" w:ascii="宋体" w:hAnsi="宋体" w:cs="宋体"/>
          <w:color w:val="auto"/>
          <w:sz w:val="24"/>
          <w:highlight w:val="none"/>
          <w:lang w:val="en-US" w:eastAsia="zh-CN"/>
        </w:rPr>
        <w:t>总布草间</w:t>
      </w:r>
      <w:r>
        <w:rPr>
          <w:rFonts w:hint="eastAsia" w:ascii="宋体" w:hAnsi="宋体" w:cs="宋体"/>
          <w:color w:val="auto"/>
          <w:sz w:val="24"/>
          <w:highlight w:val="none"/>
        </w:rPr>
        <w:t>的情况，医院将给予相应处罚。</w:t>
      </w:r>
    </w:p>
    <w:p w14:paraId="2FF9C5D9">
      <w:pPr>
        <w:keepNext w:val="0"/>
        <w:keepLines w:val="0"/>
        <w:pageBreakBefore w:val="0"/>
        <w:widowControl/>
        <w:kinsoku/>
        <w:wordWrap/>
        <w:overflowPunct/>
        <w:topLinePunct w:val="0"/>
        <w:autoSpaceDE/>
        <w:autoSpaceDN/>
        <w:bidi w:val="0"/>
        <w:snapToGrid w:val="0"/>
        <w:spacing w:line="360" w:lineRule="auto"/>
        <w:ind w:left="194" w:hanging="194" w:hangingChars="81"/>
        <w:jc w:val="left"/>
        <w:textAlignment w:val="auto"/>
        <w:rPr>
          <w:rFonts w:hint="eastAsia" w:ascii="宋体" w:hAnsi="宋体" w:cs="宋体"/>
          <w:color w:val="auto"/>
          <w:sz w:val="24"/>
          <w:highlight w:val="none"/>
        </w:rPr>
      </w:pPr>
      <w:r>
        <w:rPr>
          <w:rFonts w:hint="eastAsia" w:ascii="宋体" w:hAnsi="宋体" w:cs="宋体"/>
          <w:color w:val="auto"/>
          <w:sz w:val="24"/>
          <w:highlight w:val="none"/>
        </w:rPr>
        <w:t>⒌为防止交叉感染，确保病人安全，对于烈性传染病人的医用织物和其他疾病预防控制及卫生监督部门要求的特殊医用织物，由医院按相关规定分类包装收集，标识清晰再由洗涤公司负责分类特殊处理，其洗涤消毒要求必须符合卫生</w:t>
      </w:r>
      <w:r>
        <w:rPr>
          <w:rFonts w:hint="eastAsia" w:ascii="宋体" w:hAnsi="宋体" w:cs="宋体"/>
          <w:color w:val="auto"/>
          <w:sz w:val="24"/>
          <w:highlight w:val="none"/>
        </w:rPr>
        <w:t>监督部门和医院</w:t>
      </w:r>
      <w:r>
        <w:rPr>
          <w:rFonts w:hint="eastAsia" w:ascii="宋体" w:hAnsi="宋体" w:cs="宋体"/>
          <w:color w:val="auto"/>
          <w:sz w:val="24"/>
          <w:highlight w:val="none"/>
          <w:lang w:eastAsia="zh-CN"/>
        </w:rPr>
        <w:t>院</w:t>
      </w:r>
      <w:r>
        <w:rPr>
          <w:rFonts w:hint="eastAsia" w:ascii="宋体" w:hAnsi="宋体" w:cs="宋体"/>
          <w:color w:val="auto"/>
          <w:sz w:val="24"/>
          <w:highlight w:val="none"/>
        </w:rPr>
        <w:t>感防控的要求。</w:t>
      </w:r>
    </w:p>
    <w:p w14:paraId="31D61495">
      <w:pPr>
        <w:keepNext w:val="0"/>
        <w:keepLines w:val="0"/>
        <w:pageBreakBefore w:val="0"/>
        <w:widowControl/>
        <w:kinsoku/>
        <w:wordWrap/>
        <w:overflowPunct/>
        <w:topLinePunct w:val="0"/>
        <w:autoSpaceDE/>
        <w:autoSpaceDN/>
        <w:bidi w:val="0"/>
        <w:snapToGrid w:val="0"/>
        <w:spacing w:line="360" w:lineRule="auto"/>
        <w:ind w:left="194" w:hanging="194" w:hangingChars="81"/>
        <w:jc w:val="lef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⒍由于洗涤公司原因造成送洗医用织物</w:t>
      </w:r>
      <w:r>
        <w:rPr>
          <w:rFonts w:hint="eastAsia" w:ascii="宋体" w:hAnsi="宋体" w:cs="宋体"/>
          <w:color w:val="auto"/>
          <w:sz w:val="24"/>
          <w:highlight w:val="none"/>
        </w:rPr>
        <w:t>遗失与破损，公司应按价或折价赔偿；医院提供的医用织物，如因顽渍太多，经多次洗涤仍无明显效果的，由医院作报废处理或另作他用，此数量不计入正常报废数量中。</w:t>
      </w:r>
    </w:p>
    <w:p w14:paraId="38FA1FD7">
      <w:pPr>
        <w:keepNext w:val="0"/>
        <w:keepLines w:val="0"/>
        <w:pageBreakBefore w:val="0"/>
        <w:widowControl/>
        <w:kinsoku/>
        <w:wordWrap/>
        <w:overflowPunct/>
        <w:topLinePunct w:val="0"/>
        <w:autoSpaceDE/>
        <w:autoSpaceDN/>
        <w:bidi w:val="0"/>
        <w:snapToGrid w:val="0"/>
        <w:spacing w:line="360" w:lineRule="auto"/>
        <w:ind w:hanging="6"/>
        <w:jc w:val="left"/>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⒎洗涤服务考核要求：医院每月对相关病区科室医用织物的洗涤、缝补、熨烫、送洗等服务进行月质量考核及满意度测评</w:t>
      </w:r>
      <w:r>
        <w:rPr>
          <w:rFonts w:hint="eastAsia" w:ascii="宋体" w:hAnsi="宋体" w:cs="宋体"/>
          <w:color w:val="auto"/>
          <w:sz w:val="24"/>
          <w:highlight w:val="none"/>
          <w:lang w:eastAsia="zh-CN"/>
        </w:rPr>
        <w:t>，</w:t>
      </w:r>
      <w:r>
        <w:rPr>
          <w:rFonts w:hint="eastAsia" w:ascii="宋体" w:hAnsi="宋体" w:eastAsia="宋体" w:cs="宋体"/>
          <w:b/>
          <w:bCs/>
          <w:color w:val="auto"/>
          <w:sz w:val="24"/>
          <w:highlight w:val="none"/>
          <w:lang w:eastAsia="zh-CN"/>
        </w:rPr>
        <w:t>具体详见附件</w:t>
      </w:r>
      <w:r>
        <w:rPr>
          <w:rFonts w:hint="eastAsia" w:ascii="宋体" w:hAnsi="宋体" w:eastAsia="宋体" w:cs="宋体"/>
          <w:b/>
          <w:bCs/>
          <w:color w:val="auto"/>
          <w:sz w:val="24"/>
          <w:highlight w:val="none"/>
          <w:lang w:val="en-US" w:eastAsia="zh-CN"/>
        </w:rPr>
        <w:t>1。</w:t>
      </w:r>
    </w:p>
    <w:p w14:paraId="10D4A606">
      <w:pPr>
        <w:keepNext w:val="0"/>
        <w:keepLines w:val="0"/>
        <w:pageBreakBefore w:val="0"/>
        <w:widowControl/>
        <w:kinsoku/>
        <w:wordWrap/>
        <w:overflowPunct/>
        <w:topLinePunct w:val="0"/>
        <w:autoSpaceDE/>
        <w:autoSpaceDN/>
        <w:bidi w:val="0"/>
        <w:spacing w:line="360" w:lineRule="auto"/>
        <w:jc w:val="left"/>
        <w:textAlignment w:val="auto"/>
        <w:rPr>
          <w:rFonts w:hint="eastAsia" w:ascii="宋体" w:hAnsi="宋体" w:cs="宋体"/>
          <w:color w:val="auto"/>
          <w:sz w:val="24"/>
          <w:highlight w:val="none"/>
        </w:rPr>
      </w:pPr>
      <w:r>
        <w:rPr>
          <w:rFonts w:hint="eastAsia" w:ascii="宋体" w:hAnsi="宋体" w:cs="宋体"/>
          <w:color w:val="auto"/>
          <w:kern w:val="0"/>
          <w:sz w:val="24"/>
          <w:highlight w:val="none"/>
        </w:rPr>
        <w:t>⒏洗涤物品的</w:t>
      </w:r>
      <w:r>
        <w:rPr>
          <w:rFonts w:hint="eastAsia" w:ascii="宋体" w:hAnsi="宋体" w:cs="宋体"/>
          <w:color w:val="auto"/>
          <w:sz w:val="24"/>
          <w:highlight w:val="none"/>
        </w:rPr>
        <w:t>运输工具（指洗涤公司至医院的运输车辆）由洗涤公司自行提供。</w:t>
      </w:r>
    </w:p>
    <w:p w14:paraId="640FBD75">
      <w:pPr>
        <w:keepNext w:val="0"/>
        <w:keepLines w:val="0"/>
        <w:pageBreakBefore w:val="0"/>
        <w:widowControl/>
        <w:kinsoku/>
        <w:wordWrap/>
        <w:overflowPunct/>
        <w:topLinePunct w:val="0"/>
        <w:autoSpaceDE/>
        <w:autoSpaceDN/>
        <w:bidi w:val="0"/>
        <w:snapToGrid w:val="0"/>
        <w:spacing w:line="360" w:lineRule="auto"/>
        <w:ind w:left="240" w:leftChars="-2" w:hanging="244" w:hangingChars="102"/>
        <w:jc w:val="left"/>
        <w:textAlignment w:val="auto"/>
        <w:rPr>
          <w:rFonts w:hint="eastAsia" w:ascii="宋体" w:hAnsi="宋体" w:cs="宋体"/>
          <w:color w:val="auto"/>
          <w:sz w:val="24"/>
          <w:highlight w:val="none"/>
        </w:rPr>
      </w:pPr>
      <w:r>
        <w:rPr>
          <w:rFonts w:hint="eastAsia" w:ascii="宋体" w:hAnsi="宋体" w:cs="宋体"/>
          <w:color w:val="auto"/>
          <w:sz w:val="24"/>
          <w:highlight w:val="none"/>
        </w:rPr>
        <w:t>⒐洗涤公司应具有独立的合法的工作场所，保证洗涤服务的不中断提供，对洗涤设备、运输车辆及蒸汽供应等重要设施故障或检修时须有紧急应对措施方案（不可抗力除外），如有特殊情况导致供应中断，每年累计不超过3天。医院提供固定场所，供洗涤公司集中收集和配送。</w:t>
      </w:r>
    </w:p>
    <w:p w14:paraId="4A05A48E">
      <w:pPr>
        <w:keepNext w:val="0"/>
        <w:keepLines w:val="0"/>
        <w:pageBreakBefore w:val="0"/>
        <w:widowControl/>
        <w:kinsoku/>
        <w:wordWrap/>
        <w:overflowPunct/>
        <w:topLinePunct w:val="0"/>
        <w:autoSpaceDE/>
        <w:autoSpaceDN/>
        <w:bidi w:val="0"/>
        <w:snapToGrid w:val="0"/>
        <w:spacing w:line="360" w:lineRule="auto"/>
        <w:ind w:left="240" w:leftChars="-2" w:hanging="244" w:hangingChars="102"/>
        <w:jc w:val="left"/>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10.从业人员健康管理，定期进行健康体检，患有痢疾、伤寒、肺结核、各类肠道传染病及化脓性或渗出性皮肤病的从业人员在患病期间不应参与直接与医用织物接触的工作。</w:t>
      </w:r>
    </w:p>
    <w:p w14:paraId="0062C114">
      <w:pPr>
        <w:keepNext w:val="0"/>
        <w:keepLines w:val="0"/>
        <w:pageBreakBefore w:val="0"/>
        <w:widowControl/>
        <w:kinsoku/>
        <w:wordWrap/>
        <w:overflowPunct/>
        <w:topLinePunct w:val="0"/>
        <w:autoSpaceDE/>
        <w:autoSpaceDN/>
        <w:bidi w:val="0"/>
        <w:snapToGrid w:val="0"/>
        <w:spacing w:line="360" w:lineRule="auto"/>
        <w:ind w:left="240" w:leftChars="-2" w:hanging="244" w:hangingChars="102"/>
        <w:jc w:val="left"/>
        <w:textAlignment w:val="auto"/>
        <w:rPr>
          <w:rFonts w:hint="eastAsia" w:ascii="宋体" w:hAnsi="宋体" w:eastAsia="宋体" w:cs="宋体"/>
          <w:color w:val="auto"/>
          <w:sz w:val="24"/>
          <w:szCs w:val="24"/>
          <w:highlight w:val="none"/>
        </w:rPr>
      </w:pPr>
      <w:r>
        <w:rPr>
          <w:rFonts w:hint="eastAsia" w:ascii="宋体" w:hAnsi="宋体" w:cs="宋体"/>
          <w:color w:val="auto"/>
          <w:sz w:val="24"/>
          <w:highlight w:val="none"/>
          <w:lang w:val="en-US" w:eastAsia="zh-CN"/>
        </w:rPr>
        <w:t>11.应急服务要求：要求中标人提供7*24小时应急响应服务，接到采购人服务要求时，要求0.5个小时响应</w:t>
      </w:r>
      <w:r>
        <w:rPr>
          <w:rFonts w:hint="eastAsia" w:ascii="宋体" w:hAnsi="宋体"/>
          <w:color w:val="auto"/>
          <w:sz w:val="24"/>
          <w:highlight w:val="none"/>
        </w:rPr>
        <w:t>。</w:t>
      </w:r>
    </w:p>
    <w:p w14:paraId="1CD44199">
      <w:pPr>
        <w:rPr>
          <w:color w:val="auto"/>
          <w:highlight w:val="none"/>
        </w:rPr>
      </w:pPr>
    </w:p>
    <w:p w14:paraId="748492B8">
      <w:pPr>
        <w:pStyle w:val="59"/>
        <w:jc w:val="both"/>
        <w:rPr>
          <w:rStyle w:val="71"/>
          <w:rFonts w:hint="eastAsia"/>
          <w:b/>
          <w:bCs/>
          <w:color w:val="auto"/>
          <w:highlight w:val="none"/>
          <w:u w:val="none"/>
          <w:lang w:val="en-US" w:eastAsia="zh-CN"/>
        </w:rPr>
      </w:pPr>
      <w:r>
        <w:rPr>
          <w:rStyle w:val="71"/>
          <w:rFonts w:hint="eastAsia"/>
          <w:b/>
          <w:bCs/>
          <w:color w:val="auto"/>
          <w:highlight w:val="none"/>
          <w:u w:val="none"/>
          <w:lang w:eastAsia="zh-CN"/>
        </w:rPr>
        <w:t>附件</w:t>
      </w:r>
      <w:r>
        <w:rPr>
          <w:rStyle w:val="71"/>
          <w:rFonts w:hint="eastAsia"/>
          <w:b/>
          <w:bCs/>
          <w:color w:val="auto"/>
          <w:highlight w:val="none"/>
          <w:u w:val="none"/>
          <w:lang w:val="en-US" w:eastAsia="zh-CN"/>
        </w:rPr>
        <w:t xml:space="preserve">1 </w:t>
      </w:r>
    </w:p>
    <w:p w14:paraId="1ADADF9A">
      <w:pPr>
        <w:pStyle w:val="59"/>
        <w:ind w:firstLine="1687" w:firstLineChars="700"/>
        <w:jc w:val="both"/>
        <w:rPr>
          <w:rFonts w:hint="eastAsia" w:ascii="Arial" w:hAnsi="宋体" w:cs="Arial"/>
          <w:color w:val="auto"/>
          <w:szCs w:val="28"/>
          <w:highlight w:val="none"/>
        </w:rPr>
      </w:pPr>
      <w:r>
        <w:rPr>
          <w:rStyle w:val="71"/>
          <w:rFonts w:hint="eastAsia"/>
          <w:b/>
          <w:bCs/>
          <w:color w:val="auto"/>
          <w:highlight w:val="none"/>
          <w:u w:val="single"/>
        </w:rPr>
        <w:t xml:space="preserve">     </w:t>
      </w:r>
      <w:r>
        <w:rPr>
          <w:rStyle w:val="71"/>
          <w:rFonts w:hint="eastAsia"/>
          <w:b/>
          <w:bCs/>
          <w:color w:val="auto"/>
          <w:highlight w:val="none"/>
        </w:rPr>
        <w:t>年嘉善县中医医院</w:t>
      </w:r>
      <w:r>
        <w:rPr>
          <w:rFonts w:hint="eastAsia"/>
          <w:color w:val="auto"/>
          <w:highlight w:val="none"/>
        </w:rPr>
        <w:t>织物</w:t>
      </w:r>
      <w:r>
        <w:rPr>
          <w:color w:val="auto"/>
          <w:highlight w:val="none"/>
        </w:rPr>
        <w:t>洗涤质量考核评分表</w:t>
      </w:r>
      <w:r>
        <w:rPr>
          <w:rFonts w:hint="eastAsia"/>
          <w:color w:val="auto"/>
          <w:highlight w:val="none"/>
        </w:rPr>
        <w:t>（</w:t>
      </w:r>
      <w:r>
        <w:rPr>
          <w:rFonts w:hint="eastAsia"/>
          <w:color w:val="auto"/>
          <w:highlight w:val="none"/>
          <w:u w:val="single"/>
        </w:rPr>
        <w:t xml:space="preserve">  </w:t>
      </w:r>
      <w:r>
        <w:rPr>
          <w:rFonts w:hint="eastAsia"/>
          <w:color w:val="auto"/>
          <w:highlight w:val="none"/>
        </w:rPr>
        <w:t>月）</w:t>
      </w:r>
    </w:p>
    <w:tbl>
      <w:tblPr>
        <w:tblStyle w:val="63"/>
        <w:tblW w:w="9955" w:type="dxa"/>
        <w:tblInd w:w="-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3435"/>
        <w:gridCol w:w="3657"/>
        <w:gridCol w:w="1300"/>
        <w:gridCol w:w="813"/>
      </w:tblGrid>
      <w:tr w14:paraId="5A3AE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4185" w:type="dxa"/>
            <w:gridSpan w:val="2"/>
            <w:noWrap w:val="0"/>
            <w:vAlign w:val="center"/>
          </w:tcPr>
          <w:p w14:paraId="674DC3E8">
            <w:pPr>
              <w:pStyle w:val="25"/>
              <w:spacing w:after="0" w:line="400" w:lineRule="exact"/>
              <w:ind w:left="0" w:leftChars="0" w:firstLine="0" w:firstLineChars="0"/>
              <w:jc w:val="center"/>
              <w:outlineLvl w:val="0"/>
              <w:rPr>
                <w:rFonts w:hint="eastAsia" w:ascii="宋体" w:hAnsi="宋体" w:cs="宋体"/>
                <w:b/>
                <w:bCs/>
                <w:color w:val="auto"/>
                <w:szCs w:val="21"/>
                <w:highlight w:val="none"/>
              </w:rPr>
            </w:pPr>
            <w:bookmarkStart w:id="14" w:name="_Toc36479805"/>
            <w:r>
              <w:rPr>
                <w:rFonts w:hint="eastAsia" w:ascii="宋体" w:hAnsi="宋体" w:cs="宋体"/>
                <w:b/>
                <w:bCs/>
                <w:color w:val="auto"/>
                <w:szCs w:val="21"/>
                <w:highlight w:val="none"/>
              </w:rPr>
              <w:t>总分值：100分</w:t>
            </w:r>
            <w:bookmarkEnd w:id="14"/>
          </w:p>
        </w:tc>
        <w:tc>
          <w:tcPr>
            <w:tcW w:w="5770" w:type="dxa"/>
            <w:gridSpan w:val="3"/>
            <w:noWrap w:val="0"/>
            <w:vAlign w:val="center"/>
          </w:tcPr>
          <w:p w14:paraId="3C003F3A">
            <w:pPr>
              <w:pStyle w:val="25"/>
              <w:spacing w:after="0" w:line="400" w:lineRule="exact"/>
              <w:ind w:left="0" w:leftChars="0" w:firstLine="0" w:firstLineChars="0"/>
              <w:jc w:val="center"/>
              <w:outlineLvl w:val="0"/>
              <w:rPr>
                <w:rFonts w:hint="eastAsia" w:ascii="宋体" w:hAnsi="宋体" w:cs="宋体"/>
                <w:b/>
                <w:bCs/>
                <w:color w:val="auto"/>
                <w:szCs w:val="21"/>
                <w:highlight w:val="none"/>
              </w:rPr>
            </w:pPr>
            <w:bookmarkStart w:id="15" w:name="_Toc36479806"/>
            <w:r>
              <w:rPr>
                <w:rFonts w:hint="eastAsia" w:ascii="宋体" w:hAnsi="宋体" w:cs="宋体"/>
                <w:b/>
                <w:bCs/>
                <w:color w:val="auto"/>
                <w:szCs w:val="21"/>
                <w:highlight w:val="none"/>
              </w:rPr>
              <w:t>考核时间：    年   月   日至    年  月   日</w:t>
            </w:r>
            <w:bookmarkEnd w:id="15"/>
          </w:p>
        </w:tc>
      </w:tr>
      <w:tr w14:paraId="42055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50" w:type="dxa"/>
            <w:noWrap w:val="0"/>
            <w:vAlign w:val="center"/>
          </w:tcPr>
          <w:p w14:paraId="4B6CD5BE">
            <w:pPr>
              <w:pStyle w:val="25"/>
              <w:widowControl w:val="0"/>
              <w:spacing w:after="0" w:line="400" w:lineRule="exact"/>
              <w:ind w:left="0" w:leftChars="0" w:firstLine="0" w:firstLineChars="0"/>
              <w:jc w:val="center"/>
              <w:outlineLvl w:val="0"/>
              <w:rPr>
                <w:rFonts w:hint="eastAsia" w:ascii="宋体" w:hAnsi="宋体" w:cs="宋体"/>
                <w:b/>
                <w:bCs/>
                <w:color w:val="auto"/>
                <w:szCs w:val="21"/>
                <w:highlight w:val="none"/>
              </w:rPr>
            </w:pPr>
            <w:bookmarkStart w:id="16" w:name="_Toc36479807"/>
            <w:r>
              <w:rPr>
                <w:rFonts w:hint="eastAsia" w:ascii="宋体" w:hAnsi="宋体" w:cs="宋体"/>
                <w:b/>
                <w:bCs/>
                <w:color w:val="auto"/>
                <w:szCs w:val="21"/>
                <w:highlight w:val="none"/>
              </w:rPr>
              <w:t>项目</w:t>
            </w:r>
            <w:bookmarkEnd w:id="16"/>
          </w:p>
        </w:tc>
        <w:tc>
          <w:tcPr>
            <w:tcW w:w="3435" w:type="dxa"/>
            <w:noWrap w:val="0"/>
            <w:vAlign w:val="center"/>
          </w:tcPr>
          <w:p w14:paraId="525F2AEF">
            <w:pPr>
              <w:pStyle w:val="25"/>
              <w:widowControl w:val="0"/>
              <w:spacing w:after="0" w:line="400" w:lineRule="exact"/>
              <w:ind w:left="0" w:leftChars="0"/>
              <w:jc w:val="center"/>
              <w:outlineLvl w:val="0"/>
              <w:rPr>
                <w:rFonts w:hint="eastAsia" w:ascii="宋体" w:hAnsi="宋体" w:cs="宋体"/>
                <w:b/>
                <w:bCs/>
                <w:color w:val="auto"/>
                <w:szCs w:val="21"/>
                <w:highlight w:val="none"/>
              </w:rPr>
            </w:pPr>
            <w:bookmarkStart w:id="17" w:name="_Toc36479808"/>
            <w:r>
              <w:rPr>
                <w:rFonts w:hint="eastAsia" w:ascii="宋体" w:hAnsi="宋体" w:cs="宋体"/>
                <w:b/>
                <w:bCs/>
                <w:color w:val="auto"/>
                <w:szCs w:val="21"/>
                <w:highlight w:val="none"/>
              </w:rPr>
              <w:t>考核标准</w:t>
            </w:r>
            <w:bookmarkEnd w:id="17"/>
          </w:p>
        </w:tc>
        <w:tc>
          <w:tcPr>
            <w:tcW w:w="3657" w:type="dxa"/>
            <w:noWrap w:val="0"/>
            <w:vAlign w:val="center"/>
          </w:tcPr>
          <w:p w14:paraId="73BBEA2B">
            <w:pPr>
              <w:pStyle w:val="25"/>
              <w:widowControl w:val="0"/>
              <w:spacing w:after="0" w:line="400" w:lineRule="exact"/>
              <w:ind w:left="0" w:leftChars="0"/>
              <w:jc w:val="center"/>
              <w:outlineLvl w:val="0"/>
              <w:rPr>
                <w:rFonts w:hint="eastAsia" w:ascii="宋体" w:hAnsi="宋体" w:cs="宋体"/>
                <w:b/>
                <w:bCs/>
                <w:color w:val="auto"/>
                <w:szCs w:val="21"/>
                <w:highlight w:val="none"/>
              </w:rPr>
            </w:pPr>
            <w:bookmarkStart w:id="18" w:name="_Toc36479809"/>
            <w:r>
              <w:rPr>
                <w:rFonts w:hint="eastAsia" w:ascii="宋体" w:hAnsi="宋体" w:cs="宋体"/>
                <w:b/>
                <w:bCs/>
                <w:color w:val="auto"/>
                <w:szCs w:val="21"/>
                <w:highlight w:val="none"/>
              </w:rPr>
              <w:t>扣分标准</w:t>
            </w:r>
            <w:bookmarkEnd w:id="18"/>
          </w:p>
        </w:tc>
        <w:tc>
          <w:tcPr>
            <w:tcW w:w="1300" w:type="dxa"/>
            <w:noWrap w:val="0"/>
            <w:vAlign w:val="center"/>
          </w:tcPr>
          <w:p w14:paraId="24D63EE8">
            <w:pPr>
              <w:pStyle w:val="25"/>
              <w:widowControl w:val="0"/>
              <w:spacing w:after="0" w:line="400" w:lineRule="exact"/>
              <w:ind w:left="0" w:leftChars="0" w:firstLine="0" w:firstLineChars="0"/>
              <w:jc w:val="center"/>
              <w:outlineLvl w:val="0"/>
              <w:rPr>
                <w:rFonts w:hint="eastAsia" w:ascii="宋体" w:hAnsi="宋体" w:cs="宋体"/>
                <w:b/>
                <w:bCs/>
                <w:color w:val="auto"/>
                <w:szCs w:val="21"/>
                <w:highlight w:val="none"/>
              </w:rPr>
            </w:pPr>
            <w:bookmarkStart w:id="19" w:name="_Toc36479810"/>
            <w:r>
              <w:rPr>
                <w:rFonts w:hint="eastAsia" w:ascii="宋体" w:hAnsi="宋体" w:cs="宋体"/>
                <w:b/>
                <w:bCs/>
                <w:color w:val="auto"/>
                <w:szCs w:val="21"/>
                <w:highlight w:val="none"/>
              </w:rPr>
              <w:t>分数</w:t>
            </w:r>
            <w:bookmarkEnd w:id="19"/>
          </w:p>
        </w:tc>
        <w:tc>
          <w:tcPr>
            <w:tcW w:w="813" w:type="dxa"/>
            <w:noWrap w:val="0"/>
            <w:vAlign w:val="center"/>
          </w:tcPr>
          <w:p w14:paraId="4A9C1653">
            <w:pPr>
              <w:pStyle w:val="25"/>
              <w:widowControl w:val="0"/>
              <w:spacing w:after="0" w:line="400" w:lineRule="exact"/>
              <w:ind w:left="0" w:leftChars="0" w:firstLine="0" w:firstLineChars="0"/>
              <w:jc w:val="center"/>
              <w:outlineLvl w:val="0"/>
              <w:rPr>
                <w:rFonts w:hint="eastAsia" w:ascii="宋体" w:hAnsi="宋体" w:cs="宋体"/>
                <w:b/>
                <w:bCs/>
                <w:color w:val="auto"/>
                <w:szCs w:val="21"/>
                <w:highlight w:val="none"/>
              </w:rPr>
            </w:pPr>
            <w:bookmarkStart w:id="20" w:name="_Toc36479811"/>
            <w:r>
              <w:rPr>
                <w:rFonts w:hint="eastAsia" w:ascii="宋体" w:hAnsi="宋体" w:cs="宋体"/>
                <w:b/>
                <w:bCs/>
                <w:color w:val="auto"/>
                <w:szCs w:val="21"/>
                <w:highlight w:val="none"/>
              </w:rPr>
              <w:t>备注</w:t>
            </w:r>
            <w:bookmarkEnd w:id="20"/>
          </w:p>
        </w:tc>
      </w:tr>
      <w:tr w14:paraId="29513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3" w:hRule="atLeast"/>
        </w:trPr>
        <w:tc>
          <w:tcPr>
            <w:tcW w:w="750" w:type="dxa"/>
            <w:vMerge w:val="restart"/>
            <w:noWrap w:val="0"/>
            <w:vAlign w:val="center"/>
          </w:tcPr>
          <w:p w14:paraId="76CCEF6A">
            <w:pPr>
              <w:pStyle w:val="25"/>
              <w:spacing w:after="0" w:line="400" w:lineRule="exact"/>
              <w:ind w:left="0" w:leftChars="0" w:firstLine="0" w:firstLineChars="0"/>
              <w:jc w:val="center"/>
              <w:outlineLvl w:val="0"/>
              <w:rPr>
                <w:rFonts w:hint="eastAsia" w:ascii="宋体" w:hAnsi="宋体" w:cs="宋体"/>
                <w:bCs/>
                <w:color w:val="auto"/>
                <w:szCs w:val="21"/>
                <w:highlight w:val="none"/>
              </w:rPr>
            </w:pPr>
            <w:bookmarkStart w:id="21" w:name="_Toc36479812"/>
            <w:r>
              <w:rPr>
                <w:rFonts w:hint="eastAsia" w:ascii="宋体" w:hAnsi="宋体" w:cs="宋体"/>
                <w:bCs/>
                <w:color w:val="auto"/>
                <w:szCs w:val="21"/>
                <w:highlight w:val="none"/>
              </w:rPr>
              <w:t>服务</w:t>
            </w:r>
          </w:p>
          <w:p w14:paraId="4FCBE005">
            <w:pPr>
              <w:pStyle w:val="25"/>
              <w:spacing w:after="0" w:line="400" w:lineRule="exact"/>
              <w:ind w:left="0" w:leftChars="0" w:firstLine="0" w:firstLineChars="0"/>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质量</w:t>
            </w:r>
            <w:bookmarkEnd w:id="21"/>
          </w:p>
        </w:tc>
        <w:tc>
          <w:tcPr>
            <w:tcW w:w="3435" w:type="dxa"/>
            <w:noWrap w:val="0"/>
            <w:vAlign w:val="center"/>
          </w:tcPr>
          <w:p w14:paraId="4F03367F">
            <w:pPr>
              <w:pStyle w:val="25"/>
              <w:spacing w:after="0" w:line="400" w:lineRule="exact"/>
              <w:ind w:left="0" w:leftChars="0" w:firstLine="0" w:firstLineChars="0"/>
              <w:jc w:val="left"/>
              <w:outlineLvl w:val="0"/>
              <w:rPr>
                <w:rFonts w:hint="eastAsia" w:ascii="宋体" w:hAnsi="宋体" w:cs="宋体"/>
                <w:bCs/>
                <w:color w:val="auto"/>
                <w:szCs w:val="21"/>
                <w:highlight w:val="none"/>
              </w:rPr>
            </w:pPr>
            <w:bookmarkStart w:id="22" w:name="_Toc36479813"/>
            <w:r>
              <w:rPr>
                <w:rFonts w:hint="eastAsia" w:ascii="宋体" w:hAnsi="宋体" w:cs="宋体"/>
                <w:bCs/>
                <w:color w:val="auto"/>
                <w:szCs w:val="21"/>
                <w:highlight w:val="none"/>
              </w:rPr>
              <w:t>洗涤方应确保被服洗涤质量，加强洗涤用品、洗涤方式的管理，保证被服洗涤干净、整洁、平整，并且彻底烘干，严格认真执行被服洗涤卫生技术标准和规范</w:t>
            </w:r>
            <w:bookmarkEnd w:id="22"/>
            <w:r>
              <w:rPr>
                <w:rFonts w:hint="eastAsia" w:ascii="宋体" w:hAnsi="宋体" w:cs="宋体"/>
                <w:bCs/>
                <w:color w:val="auto"/>
                <w:szCs w:val="21"/>
                <w:highlight w:val="none"/>
              </w:rPr>
              <w:t>。</w:t>
            </w:r>
          </w:p>
        </w:tc>
        <w:tc>
          <w:tcPr>
            <w:tcW w:w="3657" w:type="dxa"/>
            <w:noWrap w:val="0"/>
            <w:vAlign w:val="center"/>
          </w:tcPr>
          <w:p w14:paraId="7B7BAE86">
            <w:pPr>
              <w:pStyle w:val="25"/>
              <w:spacing w:after="0" w:line="400" w:lineRule="exact"/>
              <w:ind w:left="0" w:leftChars="0" w:firstLine="0" w:firstLineChars="0"/>
              <w:jc w:val="left"/>
              <w:outlineLvl w:val="0"/>
              <w:rPr>
                <w:rFonts w:hint="eastAsia" w:ascii="宋体" w:hAnsi="宋体" w:cs="宋体"/>
                <w:bCs/>
                <w:color w:val="auto"/>
                <w:szCs w:val="21"/>
                <w:highlight w:val="none"/>
              </w:rPr>
            </w:pPr>
            <w:bookmarkStart w:id="23" w:name="_Toc36479814"/>
            <w:r>
              <w:rPr>
                <w:rFonts w:hint="eastAsia" w:ascii="宋体" w:hAnsi="宋体" w:cs="宋体"/>
                <w:bCs/>
                <w:color w:val="auto"/>
                <w:szCs w:val="21"/>
                <w:highlight w:val="none"/>
              </w:rPr>
              <w:t>发现布类未洗干净，每次检查50件，每发现一件扣0.5分，四件以上扣2分</w:t>
            </w:r>
            <w:bookmarkEnd w:id="23"/>
            <w:r>
              <w:rPr>
                <w:rFonts w:hint="eastAsia" w:ascii="宋体" w:hAnsi="宋体" w:cs="宋体"/>
                <w:bCs/>
                <w:color w:val="auto"/>
                <w:szCs w:val="21"/>
                <w:highlight w:val="none"/>
              </w:rPr>
              <w:t>。</w:t>
            </w:r>
          </w:p>
        </w:tc>
        <w:tc>
          <w:tcPr>
            <w:tcW w:w="1300" w:type="dxa"/>
            <w:noWrap w:val="0"/>
            <w:vAlign w:val="center"/>
          </w:tcPr>
          <w:p w14:paraId="1822BD66">
            <w:pPr>
              <w:spacing w:line="400" w:lineRule="exact"/>
              <w:jc w:val="left"/>
              <w:rPr>
                <w:rFonts w:hint="eastAsia" w:ascii="宋体" w:hAnsi="宋体" w:cs="宋体"/>
                <w:bCs/>
                <w:color w:val="auto"/>
                <w:kern w:val="24"/>
                <w:szCs w:val="21"/>
                <w:highlight w:val="none"/>
              </w:rPr>
            </w:pPr>
          </w:p>
          <w:p w14:paraId="705935C6">
            <w:pPr>
              <w:pStyle w:val="25"/>
              <w:spacing w:after="0" w:line="400" w:lineRule="exact"/>
              <w:jc w:val="left"/>
              <w:outlineLvl w:val="0"/>
              <w:rPr>
                <w:rFonts w:hint="eastAsia" w:ascii="宋体" w:hAnsi="宋体" w:cs="宋体"/>
                <w:bCs/>
                <w:color w:val="auto"/>
                <w:szCs w:val="21"/>
                <w:highlight w:val="none"/>
              </w:rPr>
            </w:pPr>
          </w:p>
        </w:tc>
        <w:tc>
          <w:tcPr>
            <w:tcW w:w="813" w:type="dxa"/>
            <w:noWrap w:val="0"/>
            <w:vAlign w:val="center"/>
          </w:tcPr>
          <w:p w14:paraId="632DD66C">
            <w:pPr>
              <w:spacing w:line="400" w:lineRule="exact"/>
              <w:jc w:val="left"/>
              <w:rPr>
                <w:rFonts w:hint="eastAsia" w:ascii="宋体" w:hAnsi="宋体" w:cs="宋体"/>
                <w:bCs/>
                <w:color w:val="auto"/>
                <w:kern w:val="24"/>
                <w:szCs w:val="21"/>
                <w:highlight w:val="none"/>
              </w:rPr>
            </w:pPr>
          </w:p>
          <w:p w14:paraId="42AF4151">
            <w:pPr>
              <w:pStyle w:val="25"/>
              <w:spacing w:after="0" w:line="400" w:lineRule="exact"/>
              <w:jc w:val="left"/>
              <w:outlineLvl w:val="0"/>
              <w:rPr>
                <w:rFonts w:hint="eastAsia" w:ascii="宋体" w:hAnsi="宋体" w:cs="宋体"/>
                <w:bCs/>
                <w:color w:val="auto"/>
                <w:szCs w:val="21"/>
                <w:highlight w:val="none"/>
              </w:rPr>
            </w:pPr>
          </w:p>
        </w:tc>
      </w:tr>
      <w:tr w14:paraId="34DF2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1" w:hRule="atLeast"/>
        </w:trPr>
        <w:tc>
          <w:tcPr>
            <w:tcW w:w="750" w:type="dxa"/>
            <w:vMerge w:val="continue"/>
            <w:noWrap w:val="0"/>
            <w:vAlign w:val="center"/>
          </w:tcPr>
          <w:p w14:paraId="6B2ED5DF">
            <w:pPr>
              <w:pStyle w:val="25"/>
              <w:spacing w:after="0" w:line="400" w:lineRule="exact"/>
              <w:jc w:val="center"/>
              <w:outlineLvl w:val="0"/>
              <w:rPr>
                <w:rFonts w:hint="eastAsia" w:ascii="宋体" w:hAnsi="宋体" w:cs="宋体"/>
                <w:bCs/>
                <w:color w:val="auto"/>
                <w:szCs w:val="21"/>
                <w:highlight w:val="none"/>
              </w:rPr>
            </w:pPr>
          </w:p>
        </w:tc>
        <w:tc>
          <w:tcPr>
            <w:tcW w:w="3435" w:type="dxa"/>
            <w:noWrap w:val="0"/>
            <w:vAlign w:val="center"/>
          </w:tcPr>
          <w:p w14:paraId="25CA4913">
            <w:pPr>
              <w:pStyle w:val="25"/>
              <w:spacing w:after="0" w:line="400" w:lineRule="exact"/>
              <w:ind w:left="0" w:leftChars="0" w:firstLine="0" w:firstLineChars="0"/>
              <w:jc w:val="left"/>
              <w:outlineLvl w:val="0"/>
              <w:rPr>
                <w:rFonts w:hint="eastAsia" w:ascii="宋体" w:hAnsi="宋体" w:cs="宋体"/>
                <w:bCs/>
                <w:color w:val="auto"/>
                <w:szCs w:val="21"/>
                <w:highlight w:val="none"/>
              </w:rPr>
            </w:pPr>
            <w:bookmarkStart w:id="24" w:name="_Toc36479815"/>
            <w:r>
              <w:rPr>
                <w:rFonts w:hint="eastAsia" w:ascii="宋体" w:hAnsi="宋体" w:cs="宋体"/>
                <w:color w:val="auto"/>
                <w:szCs w:val="21"/>
                <w:highlight w:val="none"/>
              </w:rPr>
              <w:t>洗涤方对衣服纽扣缺少或破损的及时修复。破损缝补线、布、纽扣等色泽同一、型号相同，确保美观。超过正常损耗的被服破损，应及时用完好品补足</w:t>
            </w:r>
            <w:bookmarkEnd w:id="24"/>
            <w:r>
              <w:rPr>
                <w:rFonts w:hint="eastAsia" w:ascii="宋体" w:hAnsi="宋体" w:cs="宋体"/>
                <w:color w:val="auto"/>
                <w:szCs w:val="21"/>
                <w:highlight w:val="none"/>
              </w:rPr>
              <w:t>。</w:t>
            </w:r>
          </w:p>
        </w:tc>
        <w:tc>
          <w:tcPr>
            <w:tcW w:w="3657" w:type="dxa"/>
            <w:noWrap w:val="0"/>
            <w:vAlign w:val="center"/>
          </w:tcPr>
          <w:p w14:paraId="2DCC7A81">
            <w:pPr>
              <w:pStyle w:val="25"/>
              <w:spacing w:after="0" w:line="400" w:lineRule="exact"/>
              <w:ind w:left="0" w:leftChars="0" w:firstLine="0" w:firstLineChars="0"/>
              <w:jc w:val="left"/>
              <w:rPr>
                <w:rFonts w:hint="eastAsia" w:ascii="宋体" w:hAnsi="宋体" w:cs="宋体"/>
                <w:bCs/>
                <w:color w:val="auto"/>
                <w:szCs w:val="21"/>
                <w:highlight w:val="none"/>
              </w:rPr>
            </w:pPr>
            <w:r>
              <w:rPr>
                <w:rFonts w:hint="eastAsia" w:ascii="宋体" w:hAnsi="宋体" w:cs="宋体"/>
                <w:bCs/>
                <w:color w:val="auto"/>
                <w:szCs w:val="21"/>
                <w:highlight w:val="none"/>
              </w:rPr>
              <w:t>发现布类有破损或者缺少纽扣未及时缝补，每次检查50件，每发现一一件扣0.5分，四件以上扣2分。</w:t>
            </w:r>
          </w:p>
        </w:tc>
        <w:tc>
          <w:tcPr>
            <w:tcW w:w="1300" w:type="dxa"/>
            <w:noWrap w:val="0"/>
            <w:vAlign w:val="center"/>
          </w:tcPr>
          <w:p w14:paraId="769AF7B1">
            <w:pPr>
              <w:spacing w:line="400" w:lineRule="exact"/>
              <w:jc w:val="left"/>
              <w:rPr>
                <w:rFonts w:hint="eastAsia" w:ascii="宋体" w:hAnsi="宋体" w:cs="宋体"/>
                <w:bCs/>
                <w:color w:val="auto"/>
                <w:kern w:val="24"/>
                <w:szCs w:val="21"/>
                <w:highlight w:val="none"/>
              </w:rPr>
            </w:pPr>
          </w:p>
        </w:tc>
        <w:tc>
          <w:tcPr>
            <w:tcW w:w="813" w:type="dxa"/>
            <w:noWrap w:val="0"/>
            <w:vAlign w:val="center"/>
          </w:tcPr>
          <w:p w14:paraId="04A43BF4">
            <w:pPr>
              <w:spacing w:line="400" w:lineRule="exact"/>
              <w:jc w:val="left"/>
              <w:rPr>
                <w:rFonts w:hint="eastAsia" w:ascii="宋体" w:hAnsi="宋体" w:cs="宋体"/>
                <w:bCs/>
                <w:color w:val="auto"/>
                <w:kern w:val="24"/>
                <w:szCs w:val="21"/>
                <w:highlight w:val="none"/>
              </w:rPr>
            </w:pPr>
          </w:p>
        </w:tc>
      </w:tr>
      <w:tr w14:paraId="1E700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50" w:type="dxa"/>
            <w:vMerge w:val="continue"/>
            <w:noWrap w:val="0"/>
            <w:vAlign w:val="center"/>
          </w:tcPr>
          <w:p w14:paraId="6D8302A5">
            <w:pPr>
              <w:pStyle w:val="25"/>
              <w:spacing w:after="0" w:line="400" w:lineRule="exact"/>
              <w:jc w:val="center"/>
              <w:outlineLvl w:val="0"/>
              <w:rPr>
                <w:rFonts w:hint="eastAsia" w:ascii="宋体" w:hAnsi="宋体" w:cs="宋体"/>
                <w:bCs/>
                <w:color w:val="auto"/>
                <w:szCs w:val="21"/>
                <w:highlight w:val="none"/>
              </w:rPr>
            </w:pPr>
          </w:p>
        </w:tc>
        <w:tc>
          <w:tcPr>
            <w:tcW w:w="3435" w:type="dxa"/>
            <w:noWrap w:val="0"/>
            <w:vAlign w:val="center"/>
          </w:tcPr>
          <w:p w14:paraId="57A605D5">
            <w:pPr>
              <w:pStyle w:val="25"/>
              <w:spacing w:after="0" w:line="400" w:lineRule="exact"/>
              <w:ind w:left="0" w:leftChars="0" w:firstLine="0" w:firstLineChars="0"/>
              <w:jc w:val="left"/>
              <w:outlineLvl w:val="0"/>
              <w:rPr>
                <w:rFonts w:hint="eastAsia" w:ascii="宋体" w:hAnsi="宋体" w:cs="宋体"/>
                <w:bCs/>
                <w:color w:val="auto"/>
                <w:szCs w:val="21"/>
                <w:highlight w:val="none"/>
              </w:rPr>
            </w:pPr>
            <w:bookmarkStart w:id="25" w:name="_Toc36479816"/>
            <w:r>
              <w:rPr>
                <w:rFonts w:hint="eastAsia" w:ascii="宋体" w:hAnsi="宋体" w:cs="宋体"/>
                <w:color w:val="auto"/>
                <w:szCs w:val="21"/>
                <w:highlight w:val="none"/>
              </w:rPr>
              <w:t>布类包括被服、污衣袋收发及时</w:t>
            </w:r>
            <w:bookmarkEnd w:id="25"/>
            <w:r>
              <w:rPr>
                <w:rFonts w:hint="eastAsia" w:ascii="宋体" w:hAnsi="宋体" w:cs="宋体"/>
                <w:color w:val="auto"/>
                <w:szCs w:val="21"/>
                <w:highlight w:val="none"/>
              </w:rPr>
              <w:t>。</w:t>
            </w:r>
          </w:p>
        </w:tc>
        <w:tc>
          <w:tcPr>
            <w:tcW w:w="3657" w:type="dxa"/>
            <w:noWrap w:val="0"/>
            <w:vAlign w:val="center"/>
          </w:tcPr>
          <w:p w14:paraId="5A6E344E">
            <w:pPr>
              <w:pStyle w:val="25"/>
              <w:spacing w:after="0" w:line="400" w:lineRule="exact"/>
              <w:ind w:left="0" w:leftChars="0" w:firstLine="0" w:firstLineChars="0"/>
              <w:jc w:val="left"/>
              <w:rPr>
                <w:rFonts w:hint="eastAsia" w:ascii="宋体" w:hAnsi="宋体" w:cs="宋体"/>
                <w:bCs/>
                <w:color w:val="auto"/>
                <w:szCs w:val="21"/>
                <w:highlight w:val="none"/>
              </w:rPr>
            </w:pPr>
            <w:r>
              <w:rPr>
                <w:rFonts w:hint="eastAsia" w:ascii="宋体" w:hAnsi="宋体" w:cs="宋体"/>
                <w:bCs/>
                <w:color w:val="auto"/>
                <w:szCs w:val="21"/>
                <w:highlight w:val="none"/>
              </w:rPr>
              <w:t>拖欠超过7天以上，每次每科室扣0.5分。</w:t>
            </w:r>
          </w:p>
        </w:tc>
        <w:tc>
          <w:tcPr>
            <w:tcW w:w="1300" w:type="dxa"/>
            <w:noWrap w:val="0"/>
            <w:vAlign w:val="center"/>
          </w:tcPr>
          <w:p w14:paraId="6DE99608">
            <w:pPr>
              <w:spacing w:line="400" w:lineRule="exact"/>
              <w:jc w:val="left"/>
              <w:rPr>
                <w:rFonts w:hint="eastAsia" w:ascii="宋体" w:hAnsi="宋体" w:cs="宋体"/>
                <w:bCs/>
                <w:color w:val="auto"/>
                <w:kern w:val="24"/>
                <w:szCs w:val="21"/>
                <w:highlight w:val="none"/>
              </w:rPr>
            </w:pPr>
          </w:p>
        </w:tc>
        <w:tc>
          <w:tcPr>
            <w:tcW w:w="813" w:type="dxa"/>
            <w:noWrap w:val="0"/>
            <w:vAlign w:val="center"/>
          </w:tcPr>
          <w:p w14:paraId="2DB152EF">
            <w:pPr>
              <w:spacing w:line="400" w:lineRule="exact"/>
              <w:jc w:val="left"/>
              <w:rPr>
                <w:rFonts w:hint="eastAsia" w:ascii="宋体" w:hAnsi="宋体" w:cs="宋体"/>
                <w:bCs/>
                <w:color w:val="auto"/>
                <w:kern w:val="24"/>
                <w:szCs w:val="21"/>
                <w:highlight w:val="none"/>
              </w:rPr>
            </w:pPr>
          </w:p>
        </w:tc>
      </w:tr>
      <w:tr w14:paraId="47ED4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750" w:type="dxa"/>
            <w:vMerge w:val="continue"/>
            <w:noWrap w:val="0"/>
            <w:vAlign w:val="center"/>
          </w:tcPr>
          <w:p w14:paraId="5AADC0C3">
            <w:pPr>
              <w:pStyle w:val="25"/>
              <w:spacing w:after="0" w:line="400" w:lineRule="exact"/>
              <w:jc w:val="center"/>
              <w:outlineLvl w:val="0"/>
              <w:rPr>
                <w:rFonts w:hint="eastAsia" w:ascii="宋体" w:hAnsi="宋体" w:cs="宋体"/>
                <w:bCs/>
                <w:color w:val="auto"/>
                <w:szCs w:val="21"/>
                <w:highlight w:val="none"/>
              </w:rPr>
            </w:pPr>
          </w:p>
        </w:tc>
        <w:tc>
          <w:tcPr>
            <w:tcW w:w="3435" w:type="dxa"/>
            <w:noWrap w:val="0"/>
            <w:vAlign w:val="center"/>
          </w:tcPr>
          <w:p w14:paraId="701819BE">
            <w:pPr>
              <w:pStyle w:val="25"/>
              <w:spacing w:after="0" w:line="400" w:lineRule="exact"/>
              <w:ind w:left="0" w:leftChars="0" w:firstLine="0" w:firstLineChars="0"/>
              <w:jc w:val="left"/>
              <w:outlineLvl w:val="0"/>
              <w:rPr>
                <w:rFonts w:hint="eastAsia" w:ascii="宋体" w:hAnsi="宋体" w:cs="宋体"/>
                <w:bCs/>
                <w:color w:val="auto"/>
                <w:szCs w:val="21"/>
                <w:highlight w:val="none"/>
              </w:rPr>
            </w:pPr>
            <w:bookmarkStart w:id="26" w:name="_Toc36479817"/>
            <w:r>
              <w:rPr>
                <w:rFonts w:hint="eastAsia" w:ascii="宋体" w:hAnsi="宋体" w:cs="宋体"/>
                <w:color w:val="auto"/>
                <w:szCs w:val="21"/>
                <w:highlight w:val="none"/>
              </w:rPr>
              <w:t>问题处理及时性</w:t>
            </w:r>
            <w:bookmarkEnd w:id="26"/>
            <w:r>
              <w:rPr>
                <w:rFonts w:hint="eastAsia" w:ascii="宋体" w:hAnsi="宋体" w:cs="宋体"/>
                <w:color w:val="auto"/>
                <w:szCs w:val="21"/>
                <w:highlight w:val="none"/>
              </w:rPr>
              <w:t>。</w:t>
            </w:r>
          </w:p>
        </w:tc>
        <w:tc>
          <w:tcPr>
            <w:tcW w:w="3657" w:type="dxa"/>
            <w:noWrap w:val="0"/>
            <w:vAlign w:val="center"/>
          </w:tcPr>
          <w:p w14:paraId="5F23DD43">
            <w:pPr>
              <w:pStyle w:val="25"/>
              <w:spacing w:after="0" w:line="400" w:lineRule="exact"/>
              <w:ind w:left="0" w:leftChars="0" w:firstLine="0" w:firstLineChars="0"/>
              <w:jc w:val="left"/>
              <w:rPr>
                <w:rFonts w:hint="eastAsia" w:ascii="宋体" w:hAnsi="宋体" w:cs="宋体"/>
                <w:bCs/>
                <w:color w:val="auto"/>
                <w:szCs w:val="21"/>
                <w:highlight w:val="none"/>
              </w:rPr>
            </w:pPr>
            <w:r>
              <w:rPr>
                <w:rFonts w:hint="eastAsia" w:ascii="宋体" w:hAnsi="宋体" w:cs="宋体"/>
                <w:bCs/>
                <w:color w:val="auto"/>
                <w:szCs w:val="21"/>
                <w:highlight w:val="none"/>
              </w:rPr>
              <w:t>对科室反应的问题5个工作日未处理，一次扣0.5分。</w:t>
            </w:r>
          </w:p>
        </w:tc>
        <w:tc>
          <w:tcPr>
            <w:tcW w:w="1300" w:type="dxa"/>
            <w:noWrap w:val="0"/>
            <w:vAlign w:val="center"/>
          </w:tcPr>
          <w:p w14:paraId="3588B914">
            <w:pPr>
              <w:spacing w:line="400" w:lineRule="exact"/>
              <w:jc w:val="left"/>
              <w:rPr>
                <w:rFonts w:hint="eastAsia" w:ascii="宋体" w:hAnsi="宋体" w:cs="宋体"/>
                <w:bCs/>
                <w:color w:val="auto"/>
                <w:kern w:val="24"/>
                <w:szCs w:val="21"/>
                <w:highlight w:val="none"/>
              </w:rPr>
            </w:pPr>
          </w:p>
        </w:tc>
        <w:tc>
          <w:tcPr>
            <w:tcW w:w="813" w:type="dxa"/>
            <w:noWrap w:val="0"/>
            <w:vAlign w:val="center"/>
          </w:tcPr>
          <w:p w14:paraId="72433FD9">
            <w:pPr>
              <w:spacing w:line="400" w:lineRule="exact"/>
              <w:jc w:val="left"/>
              <w:rPr>
                <w:rFonts w:hint="eastAsia" w:ascii="宋体" w:hAnsi="宋体" w:cs="宋体"/>
                <w:bCs/>
                <w:color w:val="auto"/>
                <w:kern w:val="24"/>
                <w:szCs w:val="21"/>
                <w:highlight w:val="none"/>
              </w:rPr>
            </w:pPr>
          </w:p>
        </w:tc>
      </w:tr>
      <w:tr w14:paraId="05F62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50" w:type="dxa"/>
            <w:vMerge w:val="continue"/>
            <w:noWrap w:val="0"/>
            <w:vAlign w:val="center"/>
          </w:tcPr>
          <w:p w14:paraId="6D9E7C73">
            <w:pPr>
              <w:pStyle w:val="25"/>
              <w:spacing w:after="0" w:line="400" w:lineRule="exact"/>
              <w:jc w:val="center"/>
              <w:outlineLvl w:val="0"/>
              <w:rPr>
                <w:rFonts w:hint="eastAsia" w:ascii="宋体" w:hAnsi="宋体" w:cs="宋体"/>
                <w:bCs/>
                <w:color w:val="auto"/>
                <w:szCs w:val="21"/>
                <w:highlight w:val="none"/>
              </w:rPr>
            </w:pPr>
          </w:p>
        </w:tc>
        <w:tc>
          <w:tcPr>
            <w:tcW w:w="3435" w:type="dxa"/>
            <w:noWrap w:val="0"/>
            <w:vAlign w:val="center"/>
          </w:tcPr>
          <w:p w14:paraId="212D11B8">
            <w:pPr>
              <w:pStyle w:val="25"/>
              <w:spacing w:after="0" w:line="400" w:lineRule="exact"/>
              <w:ind w:left="0" w:leftChars="0" w:firstLine="0" w:firstLineChars="0"/>
              <w:jc w:val="left"/>
              <w:outlineLvl w:val="0"/>
              <w:rPr>
                <w:rFonts w:hint="eastAsia" w:ascii="宋体" w:hAnsi="宋体" w:cs="宋体"/>
                <w:bCs/>
                <w:color w:val="auto"/>
                <w:szCs w:val="21"/>
                <w:highlight w:val="none"/>
              </w:rPr>
            </w:pPr>
            <w:bookmarkStart w:id="27" w:name="_Toc36479818"/>
            <w:r>
              <w:rPr>
                <w:rFonts w:hint="eastAsia" w:ascii="宋体" w:hAnsi="宋体" w:cs="宋体"/>
                <w:color w:val="auto"/>
                <w:szCs w:val="21"/>
                <w:highlight w:val="none"/>
              </w:rPr>
              <w:t>布草供应及时性</w:t>
            </w:r>
            <w:bookmarkEnd w:id="27"/>
            <w:r>
              <w:rPr>
                <w:rFonts w:hint="eastAsia" w:ascii="宋体" w:hAnsi="宋体" w:cs="宋体"/>
                <w:color w:val="auto"/>
                <w:szCs w:val="21"/>
                <w:highlight w:val="none"/>
              </w:rPr>
              <w:t>。</w:t>
            </w:r>
          </w:p>
        </w:tc>
        <w:tc>
          <w:tcPr>
            <w:tcW w:w="3657" w:type="dxa"/>
            <w:noWrap w:val="0"/>
            <w:vAlign w:val="center"/>
          </w:tcPr>
          <w:p w14:paraId="396804E6">
            <w:pPr>
              <w:pStyle w:val="25"/>
              <w:spacing w:after="0" w:line="400" w:lineRule="exact"/>
              <w:ind w:left="0" w:leftChars="0" w:firstLine="0" w:firstLineChars="0"/>
              <w:jc w:val="left"/>
              <w:rPr>
                <w:rFonts w:hint="eastAsia" w:ascii="宋体" w:hAnsi="宋体" w:cs="宋体"/>
                <w:bCs/>
                <w:color w:val="auto"/>
                <w:szCs w:val="21"/>
                <w:highlight w:val="none"/>
              </w:rPr>
            </w:pPr>
            <w:r>
              <w:rPr>
                <w:rFonts w:hint="eastAsia" w:ascii="宋体" w:hAnsi="宋体" w:cs="宋体"/>
                <w:bCs/>
                <w:color w:val="auto"/>
                <w:szCs w:val="21"/>
                <w:highlight w:val="none"/>
              </w:rPr>
              <w:t>不按需供应1次，每次扣0.5分。</w:t>
            </w:r>
          </w:p>
        </w:tc>
        <w:tc>
          <w:tcPr>
            <w:tcW w:w="1300" w:type="dxa"/>
            <w:noWrap w:val="0"/>
            <w:vAlign w:val="center"/>
          </w:tcPr>
          <w:p w14:paraId="19207785">
            <w:pPr>
              <w:spacing w:line="400" w:lineRule="exact"/>
              <w:jc w:val="left"/>
              <w:rPr>
                <w:rFonts w:hint="eastAsia" w:ascii="宋体" w:hAnsi="宋体" w:cs="宋体"/>
                <w:bCs/>
                <w:color w:val="auto"/>
                <w:kern w:val="24"/>
                <w:szCs w:val="21"/>
                <w:highlight w:val="none"/>
              </w:rPr>
            </w:pPr>
          </w:p>
        </w:tc>
        <w:tc>
          <w:tcPr>
            <w:tcW w:w="813" w:type="dxa"/>
            <w:noWrap w:val="0"/>
            <w:vAlign w:val="center"/>
          </w:tcPr>
          <w:p w14:paraId="4A729101">
            <w:pPr>
              <w:spacing w:line="400" w:lineRule="exact"/>
              <w:jc w:val="left"/>
              <w:rPr>
                <w:rFonts w:hint="eastAsia" w:ascii="宋体" w:hAnsi="宋体" w:cs="宋体"/>
                <w:bCs/>
                <w:color w:val="auto"/>
                <w:kern w:val="24"/>
                <w:szCs w:val="21"/>
                <w:highlight w:val="none"/>
              </w:rPr>
            </w:pPr>
          </w:p>
        </w:tc>
      </w:tr>
      <w:tr w14:paraId="7F26C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750" w:type="dxa"/>
            <w:vMerge w:val="continue"/>
            <w:noWrap w:val="0"/>
            <w:vAlign w:val="center"/>
          </w:tcPr>
          <w:p w14:paraId="7A365360">
            <w:pPr>
              <w:pStyle w:val="25"/>
              <w:spacing w:after="0" w:line="400" w:lineRule="exact"/>
              <w:jc w:val="center"/>
              <w:outlineLvl w:val="0"/>
              <w:rPr>
                <w:rFonts w:hint="eastAsia" w:ascii="宋体" w:hAnsi="宋体" w:cs="宋体"/>
                <w:bCs/>
                <w:color w:val="auto"/>
                <w:szCs w:val="21"/>
                <w:highlight w:val="none"/>
              </w:rPr>
            </w:pPr>
          </w:p>
        </w:tc>
        <w:tc>
          <w:tcPr>
            <w:tcW w:w="3435" w:type="dxa"/>
            <w:noWrap w:val="0"/>
            <w:vAlign w:val="center"/>
          </w:tcPr>
          <w:p w14:paraId="6157727E">
            <w:pPr>
              <w:pStyle w:val="25"/>
              <w:spacing w:after="0" w:line="400" w:lineRule="exact"/>
              <w:ind w:left="0" w:leftChars="0" w:firstLine="0" w:firstLineChars="0"/>
              <w:jc w:val="left"/>
              <w:outlineLvl w:val="0"/>
              <w:rPr>
                <w:rFonts w:hint="eastAsia" w:ascii="宋体" w:hAnsi="宋体" w:cs="宋体"/>
                <w:bCs/>
                <w:color w:val="auto"/>
                <w:szCs w:val="21"/>
                <w:highlight w:val="none"/>
              </w:rPr>
            </w:pPr>
            <w:bookmarkStart w:id="28" w:name="_Toc36479819"/>
            <w:r>
              <w:rPr>
                <w:rFonts w:hint="eastAsia" w:ascii="宋体" w:hAnsi="宋体" w:cs="宋体"/>
                <w:color w:val="auto"/>
                <w:szCs w:val="21"/>
                <w:highlight w:val="none"/>
              </w:rPr>
              <w:t>洗涤方的工作人员必须配合医院管理人员做好各项工作</w:t>
            </w:r>
            <w:bookmarkEnd w:id="28"/>
            <w:r>
              <w:rPr>
                <w:rFonts w:hint="eastAsia" w:ascii="宋体" w:hAnsi="宋体" w:cs="宋体"/>
                <w:color w:val="auto"/>
                <w:szCs w:val="21"/>
                <w:highlight w:val="none"/>
              </w:rPr>
              <w:t>。</w:t>
            </w:r>
          </w:p>
        </w:tc>
        <w:tc>
          <w:tcPr>
            <w:tcW w:w="3657" w:type="dxa"/>
            <w:noWrap w:val="0"/>
            <w:vAlign w:val="center"/>
          </w:tcPr>
          <w:p w14:paraId="538ABB82">
            <w:pPr>
              <w:pStyle w:val="25"/>
              <w:spacing w:after="0" w:line="400" w:lineRule="exact"/>
              <w:ind w:left="0" w:leftChars="0" w:firstLine="0" w:firstLineChars="0"/>
              <w:jc w:val="left"/>
              <w:rPr>
                <w:rFonts w:hint="eastAsia" w:ascii="宋体" w:hAnsi="宋体" w:cs="宋体"/>
                <w:bCs/>
                <w:color w:val="auto"/>
                <w:szCs w:val="21"/>
                <w:highlight w:val="none"/>
              </w:rPr>
            </w:pPr>
            <w:r>
              <w:rPr>
                <w:rFonts w:hint="eastAsia" w:ascii="宋体" w:hAnsi="宋体" w:cs="宋体"/>
                <w:bCs/>
                <w:color w:val="auto"/>
                <w:szCs w:val="21"/>
                <w:highlight w:val="none"/>
              </w:rPr>
              <w:t>无理与医院人员发生口角或争吵的、不配合做好工作的(按照情节严重) 扣2-3分。</w:t>
            </w:r>
          </w:p>
        </w:tc>
        <w:tc>
          <w:tcPr>
            <w:tcW w:w="1300" w:type="dxa"/>
            <w:noWrap w:val="0"/>
            <w:vAlign w:val="center"/>
          </w:tcPr>
          <w:p w14:paraId="70D8FD1E">
            <w:pPr>
              <w:spacing w:line="400" w:lineRule="exact"/>
              <w:jc w:val="left"/>
              <w:rPr>
                <w:rFonts w:hint="eastAsia" w:ascii="宋体" w:hAnsi="宋体" w:cs="宋体"/>
                <w:bCs/>
                <w:color w:val="auto"/>
                <w:kern w:val="24"/>
                <w:szCs w:val="21"/>
                <w:highlight w:val="none"/>
              </w:rPr>
            </w:pPr>
          </w:p>
        </w:tc>
        <w:tc>
          <w:tcPr>
            <w:tcW w:w="813" w:type="dxa"/>
            <w:noWrap w:val="0"/>
            <w:vAlign w:val="center"/>
          </w:tcPr>
          <w:p w14:paraId="36999FAE">
            <w:pPr>
              <w:spacing w:line="400" w:lineRule="exact"/>
              <w:jc w:val="left"/>
              <w:rPr>
                <w:rFonts w:hint="eastAsia" w:ascii="宋体" w:hAnsi="宋体" w:cs="宋体"/>
                <w:bCs/>
                <w:color w:val="auto"/>
                <w:kern w:val="24"/>
                <w:szCs w:val="21"/>
                <w:highlight w:val="none"/>
              </w:rPr>
            </w:pPr>
          </w:p>
        </w:tc>
      </w:tr>
      <w:tr w14:paraId="58BA4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50" w:type="dxa"/>
            <w:vMerge w:val="continue"/>
            <w:noWrap w:val="0"/>
            <w:vAlign w:val="center"/>
          </w:tcPr>
          <w:p w14:paraId="21C4748B">
            <w:pPr>
              <w:pStyle w:val="25"/>
              <w:spacing w:after="0" w:line="400" w:lineRule="exact"/>
              <w:jc w:val="center"/>
              <w:outlineLvl w:val="0"/>
              <w:rPr>
                <w:rFonts w:hint="eastAsia" w:ascii="宋体" w:hAnsi="宋体" w:cs="宋体"/>
                <w:bCs/>
                <w:color w:val="auto"/>
                <w:szCs w:val="21"/>
                <w:highlight w:val="none"/>
              </w:rPr>
            </w:pPr>
          </w:p>
        </w:tc>
        <w:tc>
          <w:tcPr>
            <w:tcW w:w="3435" w:type="dxa"/>
            <w:noWrap w:val="0"/>
            <w:vAlign w:val="center"/>
          </w:tcPr>
          <w:p w14:paraId="61E874CC">
            <w:pPr>
              <w:pStyle w:val="25"/>
              <w:spacing w:after="0" w:line="400" w:lineRule="exact"/>
              <w:ind w:left="0" w:leftChars="0" w:firstLine="0" w:firstLineChars="0"/>
              <w:jc w:val="left"/>
              <w:outlineLvl w:val="0"/>
              <w:rPr>
                <w:rFonts w:hint="eastAsia" w:ascii="宋体" w:hAnsi="宋体" w:cs="宋体"/>
                <w:bCs/>
                <w:color w:val="auto"/>
                <w:szCs w:val="21"/>
                <w:highlight w:val="none"/>
              </w:rPr>
            </w:pPr>
            <w:bookmarkStart w:id="29" w:name="_Toc36479820"/>
            <w:r>
              <w:rPr>
                <w:rFonts w:hint="eastAsia" w:ascii="宋体" w:hAnsi="宋体" w:cs="宋体"/>
                <w:color w:val="auto"/>
                <w:szCs w:val="21"/>
                <w:highlight w:val="none"/>
              </w:rPr>
              <w:t>洗涤方人员必须遵循院方的一切规章制度</w:t>
            </w:r>
            <w:bookmarkEnd w:id="29"/>
            <w:r>
              <w:rPr>
                <w:rFonts w:hint="eastAsia" w:ascii="宋体" w:hAnsi="宋体" w:cs="宋体"/>
                <w:color w:val="auto"/>
                <w:szCs w:val="21"/>
                <w:highlight w:val="none"/>
              </w:rPr>
              <w:t>。</w:t>
            </w:r>
          </w:p>
        </w:tc>
        <w:tc>
          <w:tcPr>
            <w:tcW w:w="3657" w:type="dxa"/>
            <w:noWrap w:val="0"/>
            <w:vAlign w:val="center"/>
          </w:tcPr>
          <w:p w14:paraId="1F845785">
            <w:pPr>
              <w:pStyle w:val="25"/>
              <w:spacing w:after="0" w:line="400" w:lineRule="exact"/>
              <w:ind w:left="0" w:leftChars="0" w:firstLine="0" w:firstLineChars="0"/>
              <w:jc w:val="left"/>
              <w:rPr>
                <w:rFonts w:hint="eastAsia" w:ascii="宋体" w:hAnsi="宋体" w:cs="宋体"/>
                <w:bCs/>
                <w:color w:val="auto"/>
                <w:szCs w:val="21"/>
                <w:highlight w:val="none"/>
              </w:rPr>
            </w:pPr>
            <w:r>
              <w:rPr>
                <w:rFonts w:hint="eastAsia" w:ascii="宋体" w:hAnsi="宋体" w:cs="宋体"/>
                <w:bCs/>
                <w:color w:val="auto"/>
                <w:szCs w:val="21"/>
                <w:highlight w:val="none"/>
              </w:rPr>
              <w:t>违规者酌情扣分。</w:t>
            </w:r>
          </w:p>
        </w:tc>
        <w:tc>
          <w:tcPr>
            <w:tcW w:w="1300" w:type="dxa"/>
            <w:noWrap w:val="0"/>
            <w:vAlign w:val="center"/>
          </w:tcPr>
          <w:p w14:paraId="6E8B78B3">
            <w:pPr>
              <w:spacing w:line="400" w:lineRule="exact"/>
              <w:jc w:val="left"/>
              <w:rPr>
                <w:rFonts w:hint="eastAsia" w:ascii="宋体" w:hAnsi="宋体" w:cs="宋体"/>
                <w:bCs/>
                <w:color w:val="auto"/>
                <w:kern w:val="24"/>
                <w:szCs w:val="21"/>
                <w:highlight w:val="none"/>
              </w:rPr>
            </w:pPr>
          </w:p>
        </w:tc>
        <w:tc>
          <w:tcPr>
            <w:tcW w:w="813" w:type="dxa"/>
            <w:noWrap w:val="0"/>
            <w:vAlign w:val="center"/>
          </w:tcPr>
          <w:p w14:paraId="7CEDCEFC">
            <w:pPr>
              <w:spacing w:line="400" w:lineRule="exact"/>
              <w:jc w:val="left"/>
              <w:rPr>
                <w:rFonts w:hint="eastAsia" w:ascii="宋体" w:hAnsi="宋体" w:cs="宋体"/>
                <w:bCs/>
                <w:color w:val="auto"/>
                <w:kern w:val="24"/>
                <w:szCs w:val="21"/>
                <w:highlight w:val="none"/>
              </w:rPr>
            </w:pPr>
          </w:p>
        </w:tc>
      </w:tr>
      <w:tr w14:paraId="165CD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trPr>
        <w:tc>
          <w:tcPr>
            <w:tcW w:w="750" w:type="dxa"/>
            <w:vMerge w:val="restart"/>
            <w:noWrap w:val="0"/>
            <w:vAlign w:val="center"/>
          </w:tcPr>
          <w:p w14:paraId="51EB8B0D">
            <w:pPr>
              <w:pStyle w:val="25"/>
              <w:spacing w:after="0" w:line="400" w:lineRule="exact"/>
              <w:ind w:left="0" w:leftChars="0" w:firstLine="0" w:firstLineChars="0"/>
              <w:jc w:val="center"/>
              <w:outlineLvl w:val="0"/>
              <w:rPr>
                <w:rFonts w:hint="eastAsia" w:ascii="宋体" w:hAnsi="宋体" w:cs="宋体"/>
                <w:color w:val="auto"/>
                <w:szCs w:val="21"/>
                <w:highlight w:val="none"/>
              </w:rPr>
            </w:pPr>
            <w:bookmarkStart w:id="30" w:name="_Toc36479821"/>
            <w:r>
              <w:rPr>
                <w:rFonts w:hint="eastAsia" w:ascii="宋体" w:hAnsi="宋体" w:cs="宋体"/>
                <w:color w:val="auto"/>
                <w:szCs w:val="21"/>
                <w:highlight w:val="none"/>
              </w:rPr>
              <w:t>服务规范</w:t>
            </w:r>
            <w:bookmarkEnd w:id="30"/>
          </w:p>
        </w:tc>
        <w:tc>
          <w:tcPr>
            <w:tcW w:w="3435" w:type="dxa"/>
            <w:noWrap w:val="0"/>
            <w:vAlign w:val="center"/>
          </w:tcPr>
          <w:p w14:paraId="7EAAEA6A">
            <w:pPr>
              <w:pStyle w:val="25"/>
              <w:spacing w:after="0" w:line="400" w:lineRule="exact"/>
              <w:ind w:left="0" w:leftChars="0" w:firstLine="0" w:firstLineChars="0"/>
              <w:jc w:val="left"/>
              <w:outlineLvl w:val="0"/>
              <w:rPr>
                <w:rFonts w:hint="eastAsia" w:ascii="宋体" w:hAnsi="宋体" w:cs="宋体"/>
                <w:color w:val="auto"/>
                <w:szCs w:val="21"/>
                <w:highlight w:val="none"/>
              </w:rPr>
            </w:pPr>
            <w:bookmarkStart w:id="31" w:name="_Toc36479822"/>
            <w:r>
              <w:rPr>
                <w:rFonts w:hint="eastAsia" w:ascii="宋体" w:hAnsi="宋体" w:cs="宋体"/>
                <w:color w:val="auto"/>
                <w:szCs w:val="21"/>
                <w:highlight w:val="none"/>
              </w:rPr>
              <w:t>洗涤方工作人员管理车辆停放、洗涤设备等必须确保被服间及通道畅通</w:t>
            </w:r>
            <w:bookmarkEnd w:id="31"/>
            <w:r>
              <w:rPr>
                <w:rFonts w:hint="eastAsia" w:ascii="宋体" w:hAnsi="宋体" w:cs="宋体"/>
                <w:color w:val="auto"/>
                <w:szCs w:val="21"/>
                <w:highlight w:val="none"/>
              </w:rPr>
              <w:t>。</w:t>
            </w:r>
          </w:p>
        </w:tc>
        <w:tc>
          <w:tcPr>
            <w:tcW w:w="3657" w:type="dxa"/>
            <w:noWrap w:val="0"/>
            <w:vAlign w:val="center"/>
          </w:tcPr>
          <w:p w14:paraId="3A2F7E08">
            <w:pPr>
              <w:pStyle w:val="25"/>
              <w:spacing w:after="0" w:line="400" w:lineRule="exact"/>
              <w:ind w:left="0" w:leftChars="0" w:firstLine="0" w:firstLineChars="0"/>
              <w:jc w:val="left"/>
              <w:rPr>
                <w:rFonts w:hint="eastAsia" w:ascii="宋体" w:hAnsi="宋体" w:cs="宋体"/>
                <w:color w:val="auto"/>
                <w:szCs w:val="21"/>
                <w:highlight w:val="none"/>
              </w:rPr>
            </w:pPr>
            <w:r>
              <w:rPr>
                <w:rFonts w:hint="eastAsia" w:ascii="宋体" w:hAnsi="宋体" w:cs="宋体"/>
                <w:color w:val="auto"/>
                <w:szCs w:val="21"/>
                <w:highlight w:val="none"/>
              </w:rPr>
              <w:t>未能在装车配送时及时清理通道垃圾，导致不能保持通畅，车辆闲置期间未按要求整齐停放在制定区域内扣1分。</w:t>
            </w:r>
          </w:p>
        </w:tc>
        <w:tc>
          <w:tcPr>
            <w:tcW w:w="1300" w:type="dxa"/>
            <w:noWrap w:val="0"/>
            <w:vAlign w:val="center"/>
          </w:tcPr>
          <w:p w14:paraId="01F4C7BC">
            <w:pPr>
              <w:spacing w:line="400" w:lineRule="exact"/>
              <w:jc w:val="left"/>
              <w:rPr>
                <w:rFonts w:hint="eastAsia" w:ascii="宋体" w:hAnsi="宋体" w:cs="宋体"/>
                <w:bCs/>
                <w:color w:val="auto"/>
                <w:kern w:val="24"/>
                <w:szCs w:val="21"/>
                <w:highlight w:val="none"/>
              </w:rPr>
            </w:pPr>
          </w:p>
        </w:tc>
        <w:tc>
          <w:tcPr>
            <w:tcW w:w="813" w:type="dxa"/>
            <w:noWrap w:val="0"/>
            <w:vAlign w:val="center"/>
          </w:tcPr>
          <w:p w14:paraId="4480F3EE">
            <w:pPr>
              <w:spacing w:line="400" w:lineRule="exact"/>
              <w:jc w:val="left"/>
              <w:rPr>
                <w:rFonts w:hint="eastAsia" w:ascii="宋体" w:hAnsi="宋体" w:cs="宋体"/>
                <w:bCs/>
                <w:color w:val="auto"/>
                <w:kern w:val="24"/>
                <w:szCs w:val="21"/>
                <w:highlight w:val="none"/>
              </w:rPr>
            </w:pPr>
          </w:p>
        </w:tc>
      </w:tr>
      <w:tr w14:paraId="7FDCE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750" w:type="dxa"/>
            <w:vMerge w:val="continue"/>
            <w:noWrap w:val="0"/>
            <w:vAlign w:val="center"/>
          </w:tcPr>
          <w:p w14:paraId="091079A6">
            <w:pPr>
              <w:pStyle w:val="25"/>
              <w:spacing w:after="0" w:line="400" w:lineRule="exact"/>
              <w:jc w:val="left"/>
              <w:outlineLvl w:val="0"/>
              <w:rPr>
                <w:rFonts w:hint="eastAsia" w:ascii="宋体" w:hAnsi="宋体" w:cs="宋体"/>
                <w:color w:val="auto"/>
                <w:szCs w:val="21"/>
                <w:highlight w:val="none"/>
              </w:rPr>
            </w:pPr>
          </w:p>
        </w:tc>
        <w:tc>
          <w:tcPr>
            <w:tcW w:w="3435" w:type="dxa"/>
            <w:noWrap w:val="0"/>
            <w:vAlign w:val="center"/>
          </w:tcPr>
          <w:p w14:paraId="302B4480">
            <w:pPr>
              <w:pStyle w:val="25"/>
              <w:spacing w:after="0" w:line="400" w:lineRule="exact"/>
              <w:ind w:left="0" w:leftChars="0" w:firstLine="0" w:firstLineChars="0"/>
              <w:jc w:val="left"/>
              <w:outlineLvl w:val="0"/>
              <w:rPr>
                <w:rFonts w:hint="eastAsia" w:ascii="宋体" w:hAnsi="宋体" w:cs="宋体"/>
                <w:color w:val="auto"/>
                <w:szCs w:val="21"/>
                <w:highlight w:val="none"/>
              </w:rPr>
            </w:pPr>
            <w:bookmarkStart w:id="32" w:name="_Toc36479823"/>
            <w:r>
              <w:rPr>
                <w:rFonts w:hint="eastAsia" w:ascii="宋体" w:hAnsi="宋体" w:cs="宋体"/>
                <w:color w:val="auto"/>
                <w:szCs w:val="21"/>
                <w:highlight w:val="none"/>
              </w:rPr>
              <w:t>因洗涤质量、未能准时收送等造成的投诉，必须及时反馈，有效解决</w:t>
            </w:r>
            <w:bookmarkEnd w:id="32"/>
            <w:r>
              <w:rPr>
                <w:rFonts w:hint="eastAsia" w:ascii="宋体" w:hAnsi="宋体" w:cs="宋体"/>
                <w:color w:val="auto"/>
                <w:szCs w:val="21"/>
                <w:highlight w:val="none"/>
              </w:rPr>
              <w:t>。</w:t>
            </w:r>
          </w:p>
        </w:tc>
        <w:tc>
          <w:tcPr>
            <w:tcW w:w="3657" w:type="dxa"/>
            <w:noWrap w:val="0"/>
            <w:vAlign w:val="center"/>
          </w:tcPr>
          <w:p w14:paraId="64EA39E4">
            <w:pPr>
              <w:pStyle w:val="25"/>
              <w:spacing w:after="0" w:line="400" w:lineRule="exact"/>
              <w:ind w:left="0" w:leftChars="0" w:firstLine="0" w:firstLineChars="0"/>
              <w:jc w:val="left"/>
              <w:rPr>
                <w:rFonts w:hint="eastAsia" w:ascii="宋体" w:hAnsi="宋体" w:cs="宋体"/>
                <w:color w:val="auto"/>
                <w:szCs w:val="21"/>
                <w:highlight w:val="none"/>
              </w:rPr>
            </w:pPr>
            <w:r>
              <w:rPr>
                <w:rFonts w:hint="eastAsia" w:ascii="宋体" w:hAnsi="宋体" w:cs="宋体"/>
                <w:color w:val="auto"/>
                <w:szCs w:val="21"/>
                <w:highlight w:val="none"/>
              </w:rPr>
              <w:t>每投诉一次，院方当月对中标单位的考核评分记录中扣0.5分。</w:t>
            </w:r>
          </w:p>
        </w:tc>
        <w:tc>
          <w:tcPr>
            <w:tcW w:w="1300" w:type="dxa"/>
            <w:noWrap w:val="0"/>
            <w:vAlign w:val="center"/>
          </w:tcPr>
          <w:p w14:paraId="55F90474">
            <w:pPr>
              <w:spacing w:line="400" w:lineRule="exact"/>
              <w:jc w:val="left"/>
              <w:rPr>
                <w:rFonts w:hint="eastAsia" w:ascii="宋体" w:hAnsi="宋体" w:cs="宋体"/>
                <w:bCs/>
                <w:color w:val="auto"/>
                <w:kern w:val="24"/>
                <w:szCs w:val="21"/>
                <w:highlight w:val="none"/>
              </w:rPr>
            </w:pPr>
          </w:p>
        </w:tc>
        <w:tc>
          <w:tcPr>
            <w:tcW w:w="813" w:type="dxa"/>
            <w:noWrap w:val="0"/>
            <w:vAlign w:val="center"/>
          </w:tcPr>
          <w:p w14:paraId="591306D6">
            <w:pPr>
              <w:spacing w:line="400" w:lineRule="exact"/>
              <w:jc w:val="left"/>
              <w:rPr>
                <w:rFonts w:hint="eastAsia" w:ascii="宋体" w:hAnsi="宋体" w:cs="宋体"/>
                <w:bCs/>
                <w:color w:val="auto"/>
                <w:kern w:val="24"/>
                <w:szCs w:val="21"/>
                <w:highlight w:val="none"/>
              </w:rPr>
            </w:pPr>
          </w:p>
        </w:tc>
      </w:tr>
      <w:tr w14:paraId="0390E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7842" w:type="dxa"/>
            <w:gridSpan w:val="3"/>
            <w:noWrap w:val="0"/>
            <w:vAlign w:val="center"/>
          </w:tcPr>
          <w:p w14:paraId="3BAA4ED3">
            <w:pPr>
              <w:pStyle w:val="25"/>
              <w:spacing w:after="0" w:line="400" w:lineRule="exact"/>
              <w:jc w:val="center"/>
              <w:rPr>
                <w:rFonts w:hint="eastAsia" w:ascii="宋体" w:hAnsi="宋体" w:cs="宋体"/>
                <w:bCs/>
                <w:color w:val="auto"/>
                <w:szCs w:val="21"/>
                <w:highlight w:val="none"/>
              </w:rPr>
            </w:pPr>
            <w:r>
              <w:rPr>
                <w:rFonts w:hint="eastAsia" w:ascii="宋体" w:hAnsi="宋体" w:cs="宋体"/>
                <w:bCs/>
                <w:color w:val="auto"/>
                <w:szCs w:val="21"/>
                <w:highlight w:val="none"/>
              </w:rPr>
              <w:t>合计</w:t>
            </w:r>
          </w:p>
        </w:tc>
        <w:tc>
          <w:tcPr>
            <w:tcW w:w="1300" w:type="dxa"/>
            <w:noWrap w:val="0"/>
            <w:vAlign w:val="center"/>
          </w:tcPr>
          <w:p w14:paraId="5AD56AAB">
            <w:pPr>
              <w:spacing w:line="400" w:lineRule="exact"/>
              <w:jc w:val="left"/>
              <w:rPr>
                <w:rFonts w:hint="eastAsia" w:ascii="宋体" w:hAnsi="宋体" w:cs="宋体"/>
                <w:bCs/>
                <w:color w:val="auto"/>
                <w:kern w:val="24"/>
                <w:szCs w:val="21"/>
                <w:highlight w:val="none"/>
              </w:rPr>
            </w:pPr>
          </w:p>
        </w:tc>
        <w:tc>
          <w:tcPr>
            <w:tcW w:w="813" w:type="dxa"/>
            <w:noWrap w:val="0"/>
            <w:vAlign w:val="center"/>
          </w:tcPr>
          <w:p w14:paraId="5AD4CE1C">
            <w:pPr>
              <w:spacing w:line="400" w:lineRule="exact"/>
              <w:jc w:val="left"/>
              <w:rPr>
                <w:rFonts w:hint="eastAsia" w:ascii="宋体" w:hAnsi="宋体" w:cs="宋体"/>
                <w:bCs/>
                <w:color w:val="auto"/>
                <w:kern w:val="24"/>
                <w:szCs w:val="21"/>
                <w:highlight w:val="none"/>
              </w:rPr>
            </w:pPr>
          </w:p>
        </w:tc>
      </w:tr>
    </w:tbl>
    <w:p w14:paraId="2C6DDA66">
      <w:pPr>
        <w:pStyle w:val="25"/>
        <w:keepNext w:val="0"/>
        <w:keepLines w:val="0"/>
        <w:pageBreakBefore w:val="0"/>
        <w:widowControl w:val="0"/>
        <w:kinsoku/>
        <w:wordWrap/>
        <w:overflowPunct/>
        <w:topLinePunct w:val="0"/>
        <w:bidi w:val="0"/>
        <w:adjustRightInd w:val="0"/>
        <w:snapToGrid/>
        <w:spacing w:after="0" w:line="360" w:lineRule="auto"/>
        <w:outlineLvl w:val="0"/>
        <w:rPr>
          <w:rFonts w:hint="eastAsia" w:ascii="宋体" w:hAnsi="宋体" w:eastAsia="宋体" w:cs="宋体"/>
          <w:color w:val="auto"/>
          <w:kern w:val="0"/>
          <w:sz w:val="22"/>
          <w:szCs w:val="22"/>
          <w:highlight w:val="none"/>
          <w:lang w:val="en-US" w:eastAsia="zh-CN" w:bidi="ar-SA"/>
        </w:rPr>
      </w:pPr>
      <w:bookmarkStart w:id="33" w:name="_Toc36479824"/>
      <w:r>
        <w:rPr>
          <w:rFonts w:hint="eastAsia" w:ascii="宋体" w:hAnsi="宋体" w:eastAsia="宋体" w:cs="宋体"/>
          <w:color w:val="auto"/>
          <w:kern w:val="0"/>
          <w:sz w:val="22"/>
          <w:szCs w:val="22"/>
          <w:highlight w:val="none"/>
          <w:lang w:val="en-US" w:eastAsia="zh-CN" w:bidi="ar-SA"/>
        </w:rPr>
        <w:t>注：1、如有科室来投诉，核实并确认事实后，根据事态轻重，增加扣分值。</w:t>
      </w:r>
      <w:bookmarkEnd w:id="33"/>
    </w:p>
    <w:p w14:paraId="06BDE3BC">
      <w:pPr>
        <w:keepNext w:val="0"/>
        <w:keepLines w:val="0"/>
        <w:pageBreakBefore w:val="0"/>
        <w:widowControl w:val="0"/>
        <w:numPr>
          <w:ilvl w:val="0"/>
          <w:numId w:val="3"/>
        </w:numPr>
        <w:kinsoku/>
        <w:wordWrap/>
        <w:overflowPunct/>
        <w:topLinePunct w:val="0"/>
        <w:autoSpaceDE w:val="0"/>
        <w:autoSpaceDN w:val="0"/>
        <w:bidi w:val="0"/>
        <w:adjustRightInd w:val="0"/>
        <w:snapToGrid/>
        <w:spacing w:line="360" w:lineRule="auto"/>
        <w:ind w:right="-2" w:firstLine="880" w:firstLineChars="400"/>
        <w:jc w:val="both"/>
        <w:textAlignment w:val="bottom"/>
        <w:rPr>
          <w:rFonts w:hint="eastAsia" w:ascii="宋体" w:hAnsi="宋体" w:eastAsia="宋体" w:cs="宋体"/>
          <w:color w:val="auto"/>
          <w:kern w:val="0"/>
          <w:sz w:val="22"/>
          <w:szCs w:val="22"/>
          <w:highlight w:val="none"/>
          <w:lang w:val="en-US" w:eastAsia="zh-CN" w:bidi="ar-SA"/>
        </w:rPr>
      </w:pPr>
      <w:bookmarkStart w:id="34" w:name="_Toc36479825"/>
      <w:r>
        <w:rPr>
          <w:rFonts w:hint="eastAsia" w:ascii="宋体" w:hAnsi="宋体" w:eastAsia="宋体" w:cs="宋体"/>
          <w:color w:val="auto"/>
          <w:kern w:val="0"/>
          <w:sz w:val="22"/>
          <w:szCs w:val="22"/>
          <w:highlight w:val="none"/>
          <w:lang w:val="en-US" w:eastAsia="zh-CN" w:bidi="ar-SA"/>
        </w:rPr>
        <w:t>院方保留对本考核表有修改权利。</w:t>
      </w:r>
      <w:bookmarkEnd w:id="34"/>
    </w:p>
    <w:p w14:paraId="22EBA030">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right="-2" w:rightChars="0"/>
        <w:jc w:val="both"/>
        <w:textAlignment w:val="bottom"/>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①根据招标文件的服务质量要求及投标文件的承诺，每月一次由院方对乙方服务质量及布草洗涤质量进行考评，服务质量考评分数占30％，布草洗涤质量考评分数占70％。</w:t>
      </w:r>
    </w:p>
    <w:p w14:paraId="5FDF133E">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right="-2" w:rightChars="0"/>
        <w:jc w:val="both"/>
        <w:textAlignment w:val="bottom"/>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②服务质量及违约责任制度：每月服务质量考核总分高于90分（含）为合格。当服务质量考核总分在89分-80分（含）时，每降低1分扣除当月服务费200元。考核总分低于80分时，甲方有权不支付当月服务费，且在合同期内连续两次或累计三次服务考核总分低于80分时，采购人有权单方面终止合同。</w:t>
      </w:r>
    </w:p>
    <w:p w14:paraId="0EA5DC97">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right="-2" w:rightChars="0"/>
        <w:jc w:val="both"/>
        <w:textAlignment w:val="bottom"/>
        <w:rPr>
          <w:rFonts w:hint="eastAsia" w:ascii="仿宋" w:hAnsi="仿宋" w:eastAsia="仿宋" w:cs="仿宋_GB2312"/>
          <w:b/>
          <w:color w:val="auto"/>
          <w:sz w:val="36"/>
          <w:szCs w:val="20"/>
          <w:highlight w:val="none"/>
          <w:lang w:eastAsia="zh-CN"/>
        </w:rPr>
      </w:pPr>
      <w:r>
        <w:rPr>
          <w:rFonts w:hint="eastAsia" w:ascii="宋体" w:hAnsi="宋体" w:eastAsia="宋体" w:cs="宋体"/>
          <w:color w:val="auto"/>
          <w:kern w:val="0"/>
          <w:sz w:val="22"/>
          <w:szCs w:val="22"/>
          <w:highlight w:val="none"/>
          <w:lang w:val="en-US" w:eastAsia="zh-CN" w:bidi="ar-SA"/>
        </w:rPr>
        <w:t>③质量考评制度施行后，给公司的免责时间为三个月。</w:t>
      </w:r>
    </w:p>
    <w:p w14:paraId="0FF05E55">
      <w:pPr>
        <w:jc w:val="center"/>
        <w:rPr>
          <w:rFonts w:hint="eastAsia" w:ascii="仿宋" w:hAnsi="仿宋" w:eastAsia="仿宋" w:cs="仿宋_GB2312"/>
          <w:b/>
          <w:color w:val="auto"/>
          <w:sz w:val="36"/>
          <w:szCs w:val="20"/>
          <w:highlight w:val="none"/>
        </w:rPr>
      </w:pPr>
    </w:p>
    <w:p w14:paraId="467EE56D">
      <w:pPr>
        <w:jc w:val="center"/>
        <w:rPr>
          <w:rFonts w:hint="eastAsia" w:ascii="仿宋" w:hAnsi="仿宋" w:eastAsia="仿宋" w:cs="仿宋_GB2312"/>
          <w:b/>
          <w:color w:val="auto"/>
          <w:sz w:val="36"/>
          <w:szCs w:val="20"/>
          <w:highlight w:val="none"/>
        </w:rPr>
      </w:pPr>
    </w:p>
    <w:p w14:paraId="644FD0CB">
      <w:pPr>
        <w:jc w:val="center"/>
        <w:rPr>
          <w:rFonts w:hint="eastAsia" w:ascii="仿宋" w:hAnsi="仿宋" w:eastAsia="仿宋" w:cs="仿宋_GB2312"/>
          <w:b/>
          <w:color w:val="auto"/>
          <w:sz w:val="36"/>
          <w:szCs w:val="20"/>
          <w:highlight w:val="none"/>
        </w:rPr>
      </w:pPr>
    </w:p>
    <w:p w14:paraId="370CB699">
      <w:pPr>
        <w:jc w:val="center"/>
        <w:rPr>
          <w:rFonts w:hint="eastAsia" w:ascii="仿宋" w:hAnsi="仿宋" w:eastAsia="仿宋" w:cs="仿宋_GB2312"/>
          <w:b/>
          <w:color w:val="auto"/>
          <w:sz w:val="36"/>
          <w:szCs w:val="20"/>
          <w:highlight w:val="none"/>
        </w:rPr>
      </w:pPr>
    </w:p>
    <w:p w14:paraId="371C445D">
      <w:pPr>
        <w:jc w:val="center"/>
        <w:rPr>
          <w:rFonts w:hint="eastAsia" w:ascii="仿宋" w:hAnsi="仿宋" w:eastAsia="仿宋" w:cs="仿宋_GB2312"/>
          <w:b/>
          <w:color w:val="auto"/>
          <w:sz w:val="36"/>
          <w:szCs w:val="20"/>
          <w:highlight w:val="none"/>
        </w:rPr>
      </w:pPr>
    </w:p>
    <w:p w14:paraId="10A6A75F">
      <w:pPr>
        <w:jc w:val="center"/>
        <w:rPr>
          <w:rFonts w:hint="eastAsia" w:ascii="仿宋" w:hAnsi="仿宋" w:eastAsia="仿宋" w:cs="仿宋_GB2312"/>
          <w:b/>
          <w:color w:val="auto"/>
          <w:sz w:val="36"/>
          <w:szCs w:val="20"/>
          <w:highlight w:val="none"/>
        </w:rPr>
      </w:pPr>
    </w:p>
    <w:p w14:paraId="693154CD">
      <w:pPr>
        <w:jc w:val="center"/>
        <w:rPr>
          <w:rFonts w:hint="eastAsia" w:ascii="仿宋" w:hAnsi="仿宋" w:eastAsia="仿宋" w:cs="仿宋_GB2312"/>
          <w:b/>
          <w:color w:val="auto"/>
          <w:sz w:val="36"/>
          <w:szCs w:val="20"/>
          <w:highlight w:val="none"/>
        </w:rPr>
      </w:pPr>
    </w:p>
    <w:p w14:paraId="1F6AF362">
      <w:pPr>
        <w:jc w:val="center"/>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w:t>
      </w:r>
      <w:bookmarkEnd w:id="11"/>
      <w:r>
        <w:rPr>
          <w:rFonts w:hint="eastAsia" w:ascii="仿宋" w:hAnsi="仿宋" w:eastAsia="仿宋" w:cs="仿宋_GB2312"/>
          <w:b/>
          <w:color w:val="auto"/>
          <w:sz w:val="36"/>
          <w:szCs w:val="20"/>
          <w:highlight w:val="none"/>
        </w:rPr>
        <w:t>三章</w:t>
      </w:r>
      <w:r>
        <w:rPr>
          <w:rFonts w:ascii="仿宋" w:hAnsi="仿宋" w:eastAsia="仿宋" w:cs="仿宋_GB2312"/>
          <w:b/>
          <w:color w:val="auto"/>
          <w:sz w:val="36"/>
          <w:szCs w:val="20"/>
          <w:highlight w:val="none"/>
        </w:rPr>
        <w:t xml:space="preserve"> 投标人须知</w:t>
      </w:r>
      <w:bookmarkEnd w:id="12"/>
    </w:p>
    <w:bookmarkEnd w:id="13"/>
    <w:p w14:paraId="5EA34EA2">
      <w:pPr>
        <w:wordWrap w:val="0"/>
        <w:overflowPunct w:val="0"/>
        <w:autoSpaceDE w:val="0"/>
        <w:autoSpaceDN w:val="0"/>
        <w:adjustRightInd/>
        <w:spacing w:before="240" w:beforeLines="100" w:after="240" w:afterLines="100" w:line="360" w:lineRule="atLeast"/>
        <w:jc w:val="center"/>
        <w:rPr>
          <w:rFonts w:ascii="宋体" w:hAnsi="宋体" w:cs="宋体"/>
          <w:b/>
          <w:bCs/>
          <w:color w:val="auto"/>
          <w:sz w:val="28"/>
          <w:szCs w:val="28"/>
          <w:highlight w:val="none"/>
        </w:rPr>
      </w:pPr>
      <w:bookmarkStart w:id="35" w:name="_Toc91899903"/>
      <w:bookmarkStart w:id="36" w:name="第三部分"/>
      <w:bookmarkStart w:id="37" w:name="_Toc164416483"/>
      <w:r>
        <w:rPr>
          <w:rFonts w:hint="eastAsia" w:ascii="宋体" w:hAnsi="宋体" w:cs="宋体"/>
          <w:b/>
          <w:bCs/>
          <w:color w:val="auto"/>
          <w:sz w:val="28"/>
          <w:szCs w:val="28"/>
          <w:highlight w:val="none"/>
        </w:rPr>
        <w:t>电子交易注意事项</w:t>
      </w:r>
    </w:p>
    <w:p w14:paraId="7B90AF15">
      <w:pPr>
        <w:wordWrap w:val="0"/>
        <w:overflowPunct w:val="0"/>
        <w:autoSpaceDE w:val="0"/>
        <w:autoSpaceDN w:val="0"/>
        <w:adjustRightInd/>
        <w:spacing w:line="400" w:lineRule="exact"/>
        <w:ind w:firstLine="240" w:firstLineChars="100"/>
        <w:jc w:val="lef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　政府采购项目电子交易活动适用《浙江省政府采购项目电子交易管理暂行办法》，现将相关注意事项告知如下：</w:t>
      </w:r>
    </w:p>
    <w:p w14:paraId="6F5C3EC3">
      <w:pPr>
        <w:wordWrap w:val="0"/>
        <w:overflowPunct w:val="0"/>
        <w:autoSpaceDE w:val="0"/>
        <w:autoSpaceDN w:val="0"/>
        <w:adjustRightInd/>
        <w:spacing w:line="400" w:lineRule="exact"/>
        <w:ind w:firstLine="240" w:firstLineChars="100"/>
        <w:jc w:val="left"/>
        <w:rPr>
          <w:rFonts w:ascii="宋体" w:hAnsi="宋体" w:cs="宋体"/>
          <w:color w:val="auto"/>
          <w:sz w:val="24"/>
          <w:highlight w:val="none"/>
        </w:rPr>
      </w:pPr>
      <w:r>
        <w:rPr>
          <w:rFonts w:hint="eastAsia" w:ascii="宋体" w:hAnsi="宋体" w:cs="宋体"/>
          <w:color w:val="auto"/>
          <w:sz w:val="24"/>
          <w:highlight w:val="none"/>
        </w:rPr>
        <w:t>　1.采购代理机构按照招标文件规定的时间通过电子交易平台组织开标、开启投标文件，所有供应商均应当准时在线参加，直至评审结束。</w:t>
      </w:r>
    </w:p>
    <w:p w14:paraId="68807553">
      <w:pPr>
        <w:pStyle w:val="58"/>
        <w:widowControl w:val="0"/>
        <w:wordWrap w:val="0"/>
        <w:overflowPunct w:val="0"/>
        <w:autoSpaceDE w:val="0"/>
        <w:autoSpaceDN w:val="0"/>
        <w:adjustRightInd/>
        <w:spacing w:before="0" w:beforeAutospacing="0" w:after="0" w:afterAutospacing="0" w:line="400" w:lineRule="exact"/>
        <w:ind w:firstLine="240" w:firstLineChars="100"/>
        <w:rPr>
          <w:rFonts w:cs="宋体"/>
          <w:color w:val="auto"/>
          <w:kern w:val="2"/>
          <w:highlight w:val="none"/>
        </w:rPr>
      </w:pPr>
      <w:r>
        <w:rPr>
          <w:rFonts w:hint="eastAsia" w:cs="宋体"/>
          <w:color w:val="auto"/>
          <w:kern w:val="2"/>
          <w:highlight w:val="none"/>
        </w:rPr>
        <w:t>　2.采购过程中出现以下情形，导致电子交易平台无法正常运行，或者无法保证电子交易的公平、公正和安全时，采购代理机构可中止电子交易活动：</w:t>
      </w:r>
    </w:p>
    <w:p w14:paraId="7BB767B7">
      <w:pPr>
        <w:pStyle w:val="58"/>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（一）电子交易平台发生故障而无法登录访问的； </w:t>
      </w:r>
    </w:p>
    <w:p w14:paraId="32E62F90">
      <w:pPr>
        <w:pStyle w:val="58"/>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（二）电子交易平台应用或数据库出现错误，不能进行正常操作的；</w:t>
      </w:r>
    </w:p>
    <w:p w14:paraId="3B4F2D4C">
      <w:pPr>
        <w:pStyle w:val="58"/>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（三）电子交易平台发现严重安全漏洞，有潜在泄密危险的；</w:t>
      </w:r>
    </w:p>
    <w:p w14:paraId="0B545EE2">
      <w:pPr>
        <w:pStyle w:val="58"/>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（四）病毒发作导致不能进行正常操作的； </w:t>
      </w:r>
    </w:p>
    <w:p w14:paraId="455BB1CF">
      <w:pPr>
        <w:pStyle w:val="58"/>
        <w:widowControl w:val="0"/>
        <w:wordWrap w:val="0"/>
        <w:overflowPunct w:val="0"/>
        <w:autoSpaceDE w:val="0"/>
        <w:autoSpaceDN w:val="0"/>
        <w:adjustRightInd/>
        <w:spacing w:before="0" w:beforeAutospacing="0" w:after="0" w:afterAutospacing="0" w:line="400" w:lineRule="exact"/>
        <w:ind w:firstLine="645"/>
        <w:rPr>
          <w:rFonts w:cs="宋体"/>
          <w:color w:val="auto"/>
          <w:kern w:val="2"/>
          <w:highlight w:val="none"/>
        </w:rPr>
      </w:pPr>
      <w:r>
        <w:rPr>
          <w:rFonts w:hint="eastAsia" w:cs="宋体"/>
          <w:color w:val="auto"/>
          <w:kern w:val="2"/>
          <w:highlight w:val="none"/>
        </w:rPr>
        <w:t>（五）其他无法保证电子交易的公平、公正和安全的情况。</w:t>
      </w:r>
    </w:p>
    <w:p w14:paraId="6A9EA92E">
      <w:pPr>
        <w:pStyle w:val="58"/>
        <w:widowControl w:val="0"/>
        <w:wordWrap w:val="0"/>
        <w:overflowPunct w:val="0"/>
        <w:autoSpaceDE w:val="0"/>
        <w:autoSpaceDN w:val="0"/>
        <w:adjustRightInd/>
        <w:spacing w:before="0" w:beforeAutospacing="0" w:after="0" w:afterAutospacing="0" w:line="400" w:lineRule="exact"/>
        <w:ind w:firstLine="480"/>
        <w:rPr>
          <w:rFonts w:cs="宋体"/>
          <w:color w:val="auto"/>
          <w:kern w:val="2"/>
          <w:highlight w:val="none"/>
        </w:rPr>
      </w:pPr>
      <w:r>
        <w:rPr>
          <w:rFonts w:hint="eastAsia" w:cs="宋体"/>
          <w:color w:val="auto"/>
          <w:kern w:val="2"/>
          <w:highlight w:val="none"/>
        </w:rPr>
        <w:t>出现前款规定情形，不影响采购公平、公正性的，采购代理机构可以待上述情形消除后继续组织电子交易活动，也可以决定某些环节以纸质形式进行；影响或可能影响采购公平、公正性的，应当重新采购。</w:t>
      </w:r>
    </w:p>
    <w:p w14:paraId="5401C5A6">
      <w:pPr>
        <w:pStyle w:val="58"/>
        <w:widowControl w:val="0"/>
        <w:wordWrap w:val="0"/>
        <w:overflowPunct w:val="0"/>
        <w:autoSpaceDE w:val="0"/>
        <w:autoSpaceDN w:val="0"/>
        <w:adjustRightInd/>
        <w:spacing w:before="0" w:beforeAutospacing="0" w:after="0" w:afterAutospacing="0" w:line="400" w:lineRule="exact"/>
        <w:ind w:firstLine="480"/>
        <w:rPr>
          <w:rFonts w:cs="宋体"/>
          <w:color w:val="auto"/>
          <w:highlight w:val="none"/>
          <w:shd w:val="clear" w:color="auto" w:fill="FFFFFF"/>
        </w:rPr>
      </w:pPr>
      <w:r>
        <w:rPr>
          <w:rFonts w:hint="eastAsia" w:cs="宋体"/>
          <w:color w:val="auto"/>
          <w:highlight w:val="none"/>
          <w:shd w:val="clear" w:color="auto" w:fill="FFFFFF"/>
        </w:rPr>
        <w:t>3.评审中需要供应商对投标文件作出澄清、说明或者补正的，评审小组和供应商应当通过电子交易平台交换数据电文。供应商需在半小时内提交澄清说明或补正，供应商已经明确表示澄清说明或补正完毕的除外。</w:t>
      </w:r>
    </w:p>
    <w:p w14:paraId="764901EF">
      <w:pPr>
        <w:pStyle w:val="61"/>
        <w:wordWrap w:val="0"/>
        <w:overflowPunct w:val="0"/>
        <w:adjustRightInd/>
        <w:spacing w:line="400" w:lineRule="exact"/>
        <w:ind w:firstLine="487"/>
        <w:rPr>
          <w:rFonts w:hAnsi="宋体" w:cs="宋体"/>
          <w:color w:val="auto"/>
          <w:kern w:val="0"/>
          <w:szCs w:val="24"/>
          <w:highlight w:val="none"/>
          <w:shd w:val="clear" w:color="auto" w:fill="FFFFFF"/>
        </w:rPr>
      </w:pPr>
      <w:r>
        <w:rPr>
          <w:rFonts w:hint="eastAsia" w:hAnsi="宋体" w:cs="宋体"/>
          <w:color w:val="auto"/>
          <w:kern w:val="0"/>
          <w:szCs w:val="24"/>
          <w:highlight w:val="none"/>
          <w:shd w:val="clear" w:color="auto" w:fill="FFFFFF"/>
          <w:lang w:val="en-US"/>
        </w:rPr>
        <w:t>4</w:t>
      </w:r>
      <w:r>
        <w:rPr>
          <w:rFonts w:hint="eastAsia" w:hAnsi="宋体" w:cs="宋体"/>
          <w:color w:val="auto"/>
          <w:kern w:val="0"/>
          <w:szCs w:val="24"/>
          <w:highlight w:val="none"/>
          <w:shd w:val="clear" w:color="auto" w:fill="FFFFFF"/>
        </w:rPr>
        <w:t>.供应商须在采购代理机构宣布评审结束、产生中标候选人前时刻关注，配合专家组工作，如有询标（澄清、质疑），在约定时间内（具体时间以询标函上规定的时间为准备）通过</w:t>
      </w:r>
      <w:r>
        <w:rPr>
          <w:rFonts w:hint="eastAsia" w:hAnsi="宋体" w:cs="宋体"/>
          <w:color w:val="auto"/>
          <w:kern w:val="0"/>
          <w:szCs w:val="24"/>
          <w:highlight w:val="none"/>
          <w:shd w:val="clear" w:color="auto" w:fill="FFFFFF"/>
          <w:lang w:val="en-US"/>
        </w:rPr>
        <w:t>CA</w:t>
      </w:r>
      <w:r>
        <w:rPr>
          <w:rFonts w:hint="eastAsia" w:hAnsi="宋体" w:cs="宋体"/>
          <w:color w:val="auto"/>
          <w:kern w:val="0"/>
          <w:szCs w:val="24"/>
          <w:highlight w:val="none"/>
          <w:shd w:val="clear" w:color="auto" w:fill="FFFFFF"/>
        </w:rPr>
        <w:t>进行回复。未按要求回复的，视为放弃澄清。</w:t>
      </w:r>
    </w:p>
    <w:p w14:paraId="4F9698DC">
      <w:pPr>
        <w:rPr>
          <w:color w:val="auto"/>
          <w:highlight w:val="none"/>
        </w:rPr>
      </w:pPr>
    </w:p>
    <w:p w14:paraId="33A4C5BE">
      <w:pPr>
        <w:wordWrap w:val="0"/>
        <w:overflowPunct w:val="0"/>
        <w:autoSpaceDE w:val="0"/>
        <w:autoSpaceDN w:val="0"/>
        <w:snapToGrid w:val="0"/>
        <w:spacing w:line="360" w:lineRule="auto"/>
        <w:jc w:val="center"/>
        <w:rPr>
          <w:rFonts w:ascii="宋体" w:hAnsi="宋体" w:cs="宋体"/>
          <w:b/>
          <w:bCs/>
          <w:color w:val="auto"/>
          <w:sz w:val="28"/>
          <w:highlight w:val="none"/>
        </w:rPr>
      </w:pPr>
      <w:r>
        <w:rPr>
          <w:rFonts w:hint="eastAsia" w:ascii="宋体" w:hAnsi="宋体" w:cs="宋体"/>
          <w:b/>
          <w:bCs/>
          <w:color w:val="auto"/>
          <w:sz w:val="28"/>
          <w:highlight w:val="none"/>
        </w:rPr>
        <w:t>前附表</w:t>
      </w:r>
    </w:p>
    <w:tbl>
      <w:tblPr>
        <w:tblStyle w:val="63"/>
        <w:tblW w:w="9143" w:type="dxa"/>
        <w:tblInd w:w="142" w:type="dxa"/>
        <w:tblLayout w:type="fixed"/>
        <w:tblCellMar>
          <w:top w:w="0" w:type="dxa"/>
          <w:left w:w="108" w:type="dxa"/>
          <w:bottom w:w="0" w:type="dxa"/>
          <w:right w:w="108" w:type="dxa"/>
        </w:tblCellMar>
      </w:tblPr>
      <w:tblGrid>
        <w:gridCol w:w="744"/>
        <w:gridCol w:w="8399"/>
      </w:tblGrid>
      <w:tr w14:paraId="25498602">
        <w:tblPrEx>
          <w:tblCellMar>
            <w:top w:w="0" w:type="dxa"/>
            <w:left w:w="108" w:type="dxa"/>
            <w:bottom w:w="0" w:type="dxa"/>
            <w:right w:w="108" w:type="dxa"/>
          </w:tblCellMar>
        </w:tblPrEx>
        <w:trPr>
          <w:trHeight w:val="618" w:hRule="atLeast"/>
        </w:trPr>
        <w:tc>
          <w:tcPr>
            <w:tcW w:w="744" w:type="dxa"/>
            <w:tcBorders>
              <w:top w:val="single" w:color="auto" w:sz="4" w:space="0"/>
              <w:left w:val="single" w:color="auto" w:sz="4" w:space="0"/>
              <w:bottom w:val="single" w:color="auto" w:sz="4" w:space="0"/>
              <w:right w:val="single" w:color="auto" w:sz="4" w:space="0"/>
            </w:tcBorders>
            <w:shd w:val="clear" w:color="auto" w:fill="EEECE1"/>
            <w:vAlign w:val="center"/>
          </w:tcPr>
          <w:p w14:paraId="1324E929">
            <w:pPr>
              <w:wordWrap w:val="0"/>
              <w:overflowPunct w:val="0"/>
              <w:autoSpaceDE w:val="0"/>
              <w:autoSpaceDN w:val="0"/>
              <w:snapToGrid w:val="0"/>
              <w:spacing w:before="24" w:beforeLines="10" w:after="24" w:afterLines="10" w:line="400" w:lineRule="exac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8399" w:type="dxa"/>
            <w:tcBorders>
              <w:top w:val="single" w:color="auto" w:sz="4" w:space="0"/>
              <w:left w:val="nil"/>
              <w:bottom w:val="single" w:color="auto" w:sz="4" w:space="0"/>
              <w:right w:val="single" w:color="auto" w:sz="4" w:space="0"/>
            </w:tcBorders>
            <w:shd w:val="clear" w:color="auto" w:fill="EEECE1"/>
            <w:vAlign w:val="center"/>
          </w:tcPr>
          <w:p w14:paraId="58B1296D">
            <w:pPr>
              <w:wordWrap w:val="0"/>
              <w:overflowPunct w:val="0"/>
              <w:autoSpaceDE w:val="0"/>
              <w:autoSpaceDN w:val="0"/>
              <w:snapToGrid w:val="0"/>
              <w:spacing w:before="24" w:beforeLines="10" w:after="24" w:afterLines="10" w:line="400" w:lineRule="exact"/>
              <w:jc w:val="center"/>
              <w:rPr>
                <w:rFonts w:ascii="宋体" w:hAnsi="宋体" w:cs="宋体"/>
                <w:b/>
                <w:color w:val="auto"/>
                <w:sz w:val="24"/>
                <w:highlight w:val="none"/>
              </w:rPr>
            </w:pPr>
            <w:r>
              <w:rPr>
                <w:rFonts w:hint="eastAsia" w:ascii="宋体" w:hAnsi="宋体" w:cs="宋体"/>
                <w:b/>
                <w:color w:val="auto"/>
                <w:sz w:val="24"/>
                <w:highlight w:val="none"/>
              </w:rPr>
              <w:t>内容、要求</w:t>
            </w:r>
          </w:p>
        </w:tc>
      </w:tr>
      <w:tr w14:paraId="38913782">
        <w:tblPrEx>
          <w:tblCellMar>
            <w:top w:w="0" w:type="dxa"/>
            <w:left w:w="108" w:type="dxa"/>
            <w:bottom w:w="0" w:type="dxa"/>
            <w:right w:w="108" w:type="dxa"/>
          </w:tblCellMar>
        </w:tblPrEx>
        <w:trPr>
          <w:trHeight w:val="380" w:hRule="atLeast"/>
        </w:trPr>
        <w:tc>
          <w:tcPr>
            <w:tcW w:w="744" w:type="dxa"/>
            <w:tcBorders>
              <w:top w:val="single" w:color="auto" w:sz="4" w:space="0"/>
              <w:left w:val="single" w:color="auto" w:sz="4" w:space="0"/>
              <w:bottom w:val="single" w:color="auto" w:sz="4" w:space="0"/>
              <w:right w:val="single" w:color="auto" w:sz="4" w:space="0"/>
            </w:tcBorders>
            <w:vAlign w:val="center"/>
          </w:tcPr>
          <w:p w14:paraId="549EB40A">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w:t>
            </w:r>
          </w:p>
        </w:tc>
        <w:tc>
          <w:tcPr>
            <w:tcW w:w="8399" w:type="dxa"/>
            <w:tcBorders>
              <w:top w:val="single" w:color="auto" w:sz="4" w:space="0"/>
              <w:left w:val="nil"/>
              <w:bottom w:val="single" w:color="auto" w:sz="4" w:space="0"/>
              <w:right w:val="single" w:color="auto" w:sz="4" w:space="0"/>
            </w:tcBorders>
            <w:vAlign w:val="center"/>
          </w:tcPr>
          <w:p w14:paraId="18E06751">
            <w:pPr>
              <w:pStyle w:val="34"/>
              <w:wordWrap w:val="0"/>
              <w:overflowPunct w:val="0"/>
              <w:autoSpaceDE w:val="0"/>
              <w:autoSpaceDN w:val="0"/>
              <w:adjustRightInd/>
              <w:snapToGrid w:val="0"/>
              <w:spacing w:before="24" w:beforeLines="10" w:after="24" w:afterLines="10" w:line="400" w:lineRule="exact"/>
              <w:rPr>
                <w:rFonts w:hint="eastAsia" w:hAnsi="宋体" w:eastAsia="宋体" w:cs="宋体"/>
                <w:color w:val="auto"/>
                <w:sz w:val="24"/>
                <w:szCs w:val="24"/>
                <w:highlight w:val="none"/>
                <w:lang w:eastAsia="zh-CN"/>
              </w:rPr>
            </w:pPr>
            <w:r>
              <w:rPr>
                <w:rFonts w:hint="eastAsia" w:hAnsi="宋体" w:cs="宋体"/>
                <w:color w:val="auto"/>
                <w:sz w:val="24"/>
                <w:szCs w:val="24"/>
                <w:highlight w:val="none"/>
              </w:rPr>
              <w:t xml:space="preserve">    项目名称：</w:t>
            </w:r>
            <w:r>
              <w:rPr>
                <w:rFonts w:hint="eastAsia" w:hAnsi="宋体" w:cs="宋体"/>
                <w:color w:val="auto"/>
                <w:sz w:val="24"/>
                <w:szCs w:val="24"/>
                <w:highlight w:val="none"/>
                <w:lang w:eastAsia="zh-CN"/>
              </w:rPr>
              <w:t>嘉善县中医医院织物清洗消毒服务项目</w:t>
            </w:r>
          </w:p>
        </w:tc>
      </w:tr>
      <w:tr w14:paraId="10116579">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4251C3D1">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2</w:t>
            </w:r>
          </w:p>
        </w:tc>
        <w:tc>
          <w:tcPr>
            <w:tcW w:w="8399" w:type="dxa"/>
            <w:tcBorders>
              <w:top w:val="single" w:color="auto" w:sz="4" w:space="0"/>
              <w:left w:val="nil"/>
              <w:bottom w:val="single" w:color="auto" w:sz="4" w:space="0"/>
              <w:right w:val="single" w:color="auto" w:sz="4" w:space="0"/>
            </w:tcBorders>
            <w:vAlign w:val="center"/>
          </w:tcPr>
          <w:p w14:paraId="20AE5675">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采购内容：详见第二章。</w:t>
            </w:r>
          </w:p>
        </w:tc>
      </w:tr>
      <w:tr w14:paraId="61A72982">
        <w:tblPrEx>
          <w:tblCellMar>
            <w:top w:w="0" w:type="dxa"/>
            <w:left w:w="108" w:type="dxa"/>
            <w:bottom w:w="0" w:type="dxa"/>
            <w:right w:w="108" w:type="dxa"/>
          </w:tblCellMar>
        </w:tblPrEx>
        <w:trPr>
          <w:trHeight w:val="413" w:hRule="atLeast"/>
        </w:trPr>
        <w:tc>
          <w:tcPr>
            <w:tcW w:w="744" w:type="dxa"/>
            <w:tcBorders>
              <w:top w:val="single" w:color="auto" w:sz="4" w:space="0"/>
              <w:left w:val="single" w:color="auto" w:sz="4" w:space="0"/>
              <w:bottom w:val="single" w:color="auto" w:sz="4" w:space="0"/>
              <w:right w:val="single" w:color="auto" w:sz="4" w:space="0"/>
            </w:tcBorders>
            <w:vAlign w:val="center"/>
          </w:tcPr>
          <w:p w14:paraId="29C88ECA">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3</w:t>
            </w:r>
          </w:p>
        </w:tc>
        <w:tc>
          <w:tcPr>
            <w:tcW w:w="8399" w:type="dxa"/>
            <w:tcBorders>
              <w:top w:val="single" w:color="auto" w:sz="4" w:space="0"/>
              <w:left w:val="nil"/>
              <w:bottom w:val="single" w:color="auto" w:sz="4" w:space="0"/>
              <w:right w:val="single" w:color="auto" w:sz="4" w:space="0"/>
            </w:tcBorders>
            <w:vAlign w:val="center"/>
          </w:tcPr>
          <w:p w14:paraId="1145E774">
            <w:pPr>
              <w:pStyle w:val="58"/>
              <w:widowControl w:val="0"/>
              <w:overflowPunct w:val="0"/>
              <w:topLinePunct/>
              <w:autoSpaceDE w:val="0"/>
              <w:autoSpaceDN w:val="0"/>
              <w:spacing w:before="24" w:beforeLines="10" w:beforeAutospacing="0" w:after="24" w:afterLines="10" w:afterAutospacing="0" w:line="400" w:lineRule="exact"/>
              <w:ind w:firstLine="480" w:firstLineChars="200"/>
              <w:rPr>
                <w:rFonts w:cs="宋体"/>
                <w:color w:val="auto"/>
                <w:highlight w:val="none"/>
              </w:rPr>
            </w:pPr>
            <w:r>
              <w:rPr>
                <w:rFonts w:hint="eastAsia" w:cs="宋体"/>
                <w:color w:val="auto"/>
                <w:highlight w:val="none"/>
              </w:rPr>
              <w:t>项目预算：</w:t>
            </w:r>
            <w:r>
              <w:rPr>
                <w:rFonts w:hint="eastAsia" w:cs="宋体"/>
                <w:color w:val="auto"/>
                <w:sz w:val="24"/>
                <w:highlight w:val="none"/>
                <w:u w:val="single"/>
                <w:lang w:val="en-US" w:eastAsia="zh-CN"/>
              </w:rPr>
              <w:t>87.00</w:t>
            </w:r>
            <w:r>
              <w:rPr>
                <w:rFonts w:hint="eastAsia" w:ascii="宋体" w:hAnsi="宋体" w:cs="宋体"/>
                <w:color w:val="auto"/>
                <w:sz w:val="24"/>
                <w:highlight w:val="none"/>
                <w:u w:val="single"/>
                <w:lang w:val="en-US" w:eastAsia="zh-CN"/>
              </w:rPr>
              <w:t>万元</w:t>
            </w:r>
            <w:r>
              <w:rPr>
                <w:rFonts w:hint="eastAsia" w:cs="宋体"/>
                <w:color w:val="auto"/>
                <w:highlight w:val="none"/>
              </w:rPr>
              <w:t>。</w:t>
            </w:r>
          </w:p>
          <w:p w14:paraId="04BA3478">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最高限价</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u w:val="single"/>
                <w:lang w:val="en-US" w:eastAsia="zh-CN"/>
              </w:rPr>
              <w:t>87.00万元</w:t>
            </w:r>
            <w:r>
              <w:rPr>
                <w:rFonts w:hint="eastAsia" w:ascii="宋体" w:hAnsi="宋体" w:cs="宋体"/>
                <w:color w:val="auto"/>
                <w:sz w:val="24"/>
                <w:highlight w:val="none"/>
              </w:rPr>
              <w:t>，超最高限价的投标文件无效。</w:t>
            </w:r>
          </w:p>
        </w:tc>
      </w:tr>
      <w:tr w14:paraId="45DBCD2C">
        <w:tblPrEx>
          <w:tblCellMar>
            <w:top w:w="0" w:type="dxa"/>
            <w:left w:w="108" w:type="dxa"/>
            <w:bottom w:w="0" w:type="dxa"/>
            <w:right w:w="108" w:type="dxa"/>
          </w:tblCellMar>
        </w:tblPrEx>
        <w:trPr>
          <w:trHeight w:val="254" w:hRule="atLeast"/>
        </w:trPr>
        <w:tc>
          <w:tcPr>
            <w:tcW w:w="744" w:type="dxa"/>
            <w:tcBorders>
              <w:top w:val="single" w:color="auto" w:sz="4" w:space="0"/>
              <w:left w:val="single" w:color="auto" w:sz="4" w:space="0"/>
              <w:bottom w:val="single" w:color="auto" w:sz="4" w:space="0"/>
              <w:right w:val="single" w:color="auto" w:sz="4" w:space="0"/>
            </w:tcBorders>
            <w:vAlign w:val="center"/>
          </w:tcPr>
          <w:p w14:paraId="52E2752B">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4</w:t>
            </w:r>
          </w:p>
        </w:tc>
        <w:tc>
          <w:tcPr>
            <w:tcW w:w="8399" w:type="dxa"/>
            <w:tcBorders>
              <w:top w:val="single" w:color="auto" w:sz="4" w:space="0"/>
              <w:left w:val="nil"/>
              <w:bottom w:val="single" w:color="auto" w:sz="4" w:space="0"/>
              <w:right w:val="single" w:color="auto" w:sz="4" w:space="0"/>
            </w:tcBorders>
            <w:vAlign w:val="center"/>
          </w:tcPr>
          <w:p w14:paraId="5992338E">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投标报价及费用：</w:t>
            </w:r>
          </w:p>
          <w:p w14:paraId="255A8784">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1.本项目投标应以人民币报价；</w:t>
            </w:r>
          </w:p>
          <w:p w14:paraId="0DFF4174">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2.不论投标结果如何，投标人均应自行承担所有与投标有关的全部费用。</w:t>
            </w:r>
          </w:p>
        </w:tc>
      </w:tr>
      <w:tr w14:paraId="7BD6D0BF">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38D70668">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5</w:t>
            </w:r>
          </w:p>
        </w:tc>
        <w:tc>
          <w:tcPr>
            <w:tcW w:w="8399" w:type="dxa"/>
            <w:tcBorders>
              <w:top w:val="single" w:color="auto" w:sz="4" w:space="0"/>
              <w:left w:val="nil"/>
              <w:bottom w:val="single" w:color="auto" w:sz="4" w:space="0"/>
              <w:right w:val="single" w:color="auto" w:sz="4" w:space="0"/>
            </w:tcBorders>
            <w:vAlign w:val="center"/>
          </w:tcPr>
          <w:p w14:paraId="7EC88E5C">
            <w:pPr>
              <w:wordWrap w:val="0"/>
              <w:overflowPunct w:val="0"/>
              <w:autoSpaceDE w:val="0"/>
              <w:autoSpaceDN w:val="0"/>
              <w:adjustRightInd/>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投标保证金：无。</w:t>
            </w:r>
          </w:p>
        </w:tc>
      </w:tr>
      <w:tr w14:paraId="14BB0C3A">
        <w:tblPrEx>
          <w:tblCellMar>
            <w:top w:w="0" w:type="dxa"/>
            <w:left w:w="108" w:type="dxa"/>
            <w:bottom w:w="0" w:type="dxa"/>
            <w:right w:w="108" w:type="dxa"/>
          </w:tblCellMar>
        </w:tblPrEx>
        <w:trPr>
          <w:trHeight w:val="828" w:hRule="atLeast"/>
        </w:trPr>
        <w:tc>
          <w:tcPr>
            <w:tcW w:w="744" w:type="dxa"/>
            <w:tcBorders>
              <w:top w:val="single" w:color="auto" w:sz="4" w:space="0"/>
              <w:left w:val="single" w:color="auto" w:sz="4" w:space="0"/>
              <w:bottom w:val="single" w:color="auto" w:sz="4" w:space="0"/>
              <w:right w:val="single" w:color="auto" w:sz="4" w:space="0"/>
            </w:tcBorders>
            <w:vAlign w:val="center"/>
          </w:tcPr>
          <w:p w14:paraId="6D548228">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6</w:t>
            </w:r>
          </w:p>
        </w:tc>
        <w:tc>
          <w:tcPr>
            <w:tcW w:w="8399" w:type="dxa"/>
            <w:tcBorders>
              <w:top w:val="single" w:color="auto" w:sz="4" w:space="0"/>
              <w:left w:val="nil"/>
              <w:bottom w:val="single" w:color="auto" w:sz="4" w:space="0"/>
              <w:right w:val="single" w:color="auto" w:sz="4" w:space="0"/>
            </w:tcBorders>
            <w:vAlign w:val="center"/>
          </w:tcPr>
          <w:p w14:paraId="744B8EE8">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答疑与澄清：投标人应认真阅读本招标文件，发现其中有误或有不合理要求的，投标人必须在知道或者应当知道之日起七个工作日内以书面形式向采购人一次性提出。采购代理机构对已发出的招标文件进行必要澄清、答复、修改或补充的，应当在招标文件要求提交投标文件截止时间十五日前，在浙江政府采购网(https://zfcg.czt.zj.gov.cn/)上发布更正公告，请投标人在投标截止前及时关注。招标文件的要澄清、答复、修改或补充，一经在上述媒体发布，即视所有投标人都已经收到相关文件。</w:t>
            </w:r>
          </w:p>
        </w:tc>
      </w:tr>
      <w:tr w14:paraId="5F5CCCDA">
        <w:tblPrEx>
          <w:tblCellMar>
            <w:top w:w="0" w:type="dxa"/>
            <w:left w:w="108" w:type="dxa"/>
            <w:bottom w:w="0" w:type="dxa"/>
            <w:right w:w="108" w:type="dxa"/>
          </w:tblCellMar>
        </w:tblPrEx>
        <w:trPr>
          <w:trHeight w:val="586" w:hRule="atLeast"/>
        </w:trPr>
        <w:tc>
          <w:tcPr>
            <w:tcW w:w="744" w:type="dxa"/>
            <w:tcBorders>
              <w:top w:val="single" w:color="auto" w:sz="4" w:space="0"/>
              <w:left w:val="single" w:color="auto" w:sz="4" w:space="0"/>
              <w:bottom w:val="single" w:color="auto" w:sz="4" w:space="0"/>
              <w:right w:val="single" w:color="auto" w:sz="4" w:space="0"/>
            </w:tcBorders>
            <w:vAlign w:val="center"/>
          </w:tcPr>
          <w:p w14:paraId="3A9E219B">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7</w:t>
            </w:r>
          </w:p>
        </w:tc>
        <w:tc>
          <w:tcPr>
            <w:tcW w:w="8399" w:type="dxa"/>
            <w:tcBorders>
              <w:top w:val="single" w:color="auto" w:sz="4" w:space="0"/>
              <w:left w:val="nil"/>
              <w:bottom w:val="single" w:color="auto" w:sz="4" w:space="0"/>
              <w:right w:val="single" w:color="auto" w:sz="4" w:space="0"/>
            </w:tcBorders>
            <w:vAlign w:val="center"/>
          </w:tcPr>
          <w:p w14:paraId="20D01020">
            <w:pPr>
              <w:wordWrap w:val="0"/>
              <w:overflowPunct w:val="0"/>
              <w:autoSpaceDE w:val="0"/>
              <w:autoSpaceDN w:val="0"/>
              <w:snapToGrid w:val="0"/>
              <w:spacing w:before="24" w:beforeLines="10" w:after="24" w:afterLines="10" w:line="400" w:lineRule="exact"/>
              <w:rPr>
                <w:rFonts w:ascii="宋体" w:hAnsi="宋体" w:cs="宋体"/>
                <w:bCs/>
                <w:color w:val="auto"/>
                <w:sz w:val="24"/>
                <w:highlight w:val="none"/>
              </w:rPr>
            </w:pPr>
            <w:r>
              <w:rPr>
                <w:rFonts w:hint="eastAsia" w:ascii="宋体" w:hAnsi="宋体" w:cs="宋体"/>
                <w:bCs/>
                <w:color w:val="auto"/>
                <w:sz w:val="24"/>
                <w:highlight w:val="none"/>
              </w:rPr>
              <w:t xml:space="preserve">    采购公告发布后，在政采云平台已完成注册的供应商登录系统，申请获取采购文件，待审核通过后，可下载采购文件。如果“已申请”标签页显示状态为“审核通过”即为报名成功。</w:t>
            </w:r>
          </w:p>
          <w:p w14:paraId="7F6BFB2F">
            <w:pPr>
              <w:wordWrap w:val="0"/>
              <w:overflowPunct w:val="0"/>
              <w:autoSpaceDE w:val="0"/>
              <w:autoSpaceDN w:val="0"/>
              <w:snapToGrid w:val="0"/>
              <w:spacing w:before="24" w:beforeLines="10" w:after="24" w:afterLines="10" w:line="400" w:lineRule="exact"/>
              <w:rPr>
                <w:rFonts w:ascii="宋体" w:hAnsi="宋体" w:cs="宋体"/>
                <w:bCs/>
                <w:color w:val="auto"/>
                <w:sz w:val="24"/>
                <w:highlight w:val="none"/>
              </w:rPr>
            </w:pPr>
            <w:r>
              <w:rPr>
                <w:rFonts w:hint="eastAsia" w:ascii="宋体" w:hAnsi="宋体" w:cs="宋体"/>
                <w:bCs/>
                <w:color w:val="auto"/>
                <w:sz w:val="24"/>
                <w:highlight w:val="none"/>
              </w:rPr>
              <w:t xml:space="preserve">    路径：用户中心——项目采购——获取采购文件管理。</w:t>
            </w:r>
          </w:p>
          <w:p w14:paraId="3C7F628A">
            <w:pPr>
              <w:wordWrap w:val="0"/>
              <w:overflowPunct w:val="0"/>
              <w:autoSpaceDE w:val="0"/>
              <w:autoSpaceDN w:val="0"/>
              <w:snapToGrid w:val="0"/>
              <w:spacing w:before="24" w:beforeLines="10" w:after="24" w:afterLines="10" w:line="400" w:lineRule="exact"/>
              <w:rPr>
                <w:rFonts w:ascii="宋体" w:hAnsi="宋体" w:cs="宋体"/>
                <w:bCs/>
                <w:color w:val="auto"/>
                <w:sz w:val="24"/>
                <w:highlight w:val="none"/>
              </w:rPr>
            </w:pPr>
            <w:r>
              <w:rPr>
                <w:rFonts w:hint="eastAsia" w:ascii="宋体" w:hAnsi="宋体" w:cs="宋体"/>
                <w:bCs/>
                <w:color w:val="auto"/>
                <w:sz w:val="24"/>
                <w:highlight w:val="none"/>
              </w:rPr>
              <w:t xml:space="preserve">    在“已获取”的状态下，供应商可下载查看招标文件。</w:t>
            </w:r>
          </w:p>
          <w:p w14:paraId="322816B9">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bCs/>
                <w:color w:val="auto"/>
                <w:sz w:val="24"/>
                <w:highlight w:val="none"/>
              </w:rPr>
              <w:t xml:space="preserve">    获取采购文件网址：浙江政府采购网（https://zfcg.czt.zj.gov.cn/）</w:t>
            </w:r>
          </w:p>
        </w:tc>
      </w:tr>
      <w:tr w14:paraId="53403D65">
        <w:tblPrEx>
          <w:tblCellMar>
            <w:top w:w="0" w:type="dxa"/>
            <w:left w:w="108" w:type="dxa"/>
            <w:bottom w:w="0" w:type="dxa"/>
            <w:right w:w="108" w:type="dxa"/>
          </w:tblCellMar>
        </w:tblPrEx>
        <w:trPr>
          <w:trHeight w:val="204" w:hRule="atLeast"/>
        </w:trPr>
        <w:tc>
          <w:tcPr>
            <w:tcW w:w="744" w:type="dxa"/>
            <w:tcBorders>
              <w:top w:val="single" w:color="auto" w:sz="4" w:space="0"/>
              <w:left w:val="single" w:color="auto" w:sz="4" w:space="0"/>
              <w:bottom w:val="single" w:color="auto" w:sz="4" w:space="0"/>
              <w:right w:val="single" w:color="auto" w:sz="4" w:space="0"/>
            </w:tcBorders>
            <w:vAlign w:val="center"/>
          </w:tcPr>
          <w:p w14:paraId="06895703">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8</w:t>
            </w:r>
          </w:p>
        </w:tc>
        <w:tc>
          <w:tcPr>
            <w:tcW w:w="8399" w:type="dxa"/>
            <w:tcBorders>
              <w:top w:val="single" w:color="auto" w:sz="4" w:space="0"/>
              <w:left w:val="nil"/>
              <w:bottom w:val="single" w:color="auto" w:sz="4" w:space="0"/>
              <w:right w:val="single" w:color="auto" w:sz="4" w:space="0"/>
            </w:tcBorders>
            <w:vAlign w:val="center"/>
          </w:tcPr>
          <w:p w14:paraId="09BF10E4">
            <w:pPr>
              <w:wordWrap w:val="0"/>
              <w:overflowPunct w:val="0"/>
              <w:autoSpaceDE w:val="0"/>
              <w:autoSpaceDN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投标文件形式、制作及组成：</w:t>
            </w:r>
          </w:p>
          <w:p w14:paraId="28CBA45B">
            <w:pPr>
              <w:wordWrap w:val="0"/>
              <w:overflowPunct w:val="0"/>
              <w:autoSpaceDE w:val="0"/>
              <w:autoSpaceDN w:val="0"/>
              <w:snapToGrid w:val="0"/>
              <w:spacing w:before="24" w:beforeLines="10" w:after="24" w:afterLines="10" w:line="400" w:lineRule="exact"/>
              <w:rPr>
                <w:rFonts w:ascii="宋体" w:hAnsi="宋体" w:cs="宋体"/>
                <w:color w:val="auto"/>
                <w:kern w:val="0"/>
                <w:sz w:val="24"/>
                <w:highlight w:val="none"/>
              </w:rPr>
            </w:pPr>
            <w:r>
              <w:rPr>
                <w:rFonts w:hint="eastAsia" w:ascii="宋体" w:hAnsi="宋体" w:cs="宋体"/>
                <w:color w:val="auto"/>
                <w:kern w:val="0"/>
                <w:sz w:val="24"/>
                <w:highlight w:val="none"/>
              </w:rPr>
              <w:t xml:space="preserve">    投标人应准备电子加密投标文件，按政采云平台供应商项目采购-电子招投标操作指南（网址：https://service.zcygov.cn/#/knowledges/CW1EtGwBFdiHxlNd6I3m/6IMVAG0BFdiHxlNdQ8Na?keyword）及本招标文件要求递交。</w:t>
            </w:r>
          </w:p>
          <w:p w14:paraId="28C91BDC">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投标文件均由资格文件、商务技术文件、报价文件组成。</w:t>
            </w:r>
          </w:p>
        </w:tc>
      </w:tr>
      <w:tr w14:paraId="6F899C3B">
        <w:tblPrEx>
          <w:tblCellMar>
            <w:top w:w="0" w:type="dxa"/>
            <w:left w:w="108" w:type="dxa"/>
            <w:bottom w:w="0" w:type="dxa"/>
            <w:right w:w="108" w:type="dxa"/>
          </w:tblCellMar>
        </w:tblPrEx>
        <w:trPr>
          <w:trHeight w:val="346" w:hRule="atLeast"/>
        </w:trPr>
        <w:tc>
          <w:tcPr>
            <w:tcW w:w="744" w:type="dxa"/>
            <w:tcBorders>
              <w:top w:val="single" w:color="auto" w:sz="4" w:space="0"/>
              <w:left w:val="single" w:color="auto" w:sz="4" w:space="0"/>
              <w:bottom w:val="single" w:color="auto" w:sz="4" w:space="0"/>
              <w:right w:val="single" w:color="auto" w:sz="4" w:space="0"/>
            </w:tcBorders>
            <w:vAlign w:val="center"/>
          </w:tcPr>
          <w:p w14:paraId="598715E9">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9</w:t>
            </w:r>
          </w:p>
        </w:tc>
        <w:tc>
          <w:tcPr>
            <w:tcW w:w="8399" w:type="dxa"/>
            <w:tcBorders>
              <w:top w:val="single" w:color="auto" w:sz="4" w:space="0"/>
              <w:left w:val="nil"/>
              <w:bottom w:val="single" w:color="auto" w:sz="4" w:space="0"/>
              <w:right w:val="single" w:color="auto" w:sz="4" w:space="0"/>
            </w:tcBorders>
            <w:vAlign w:val="center"/>
          </w:tcPr>
          <w:p w14:paraId="74DDE7A4">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投标截止时间：</w:t>
            </w:r>
            <w:r>
              <w:rPr>
                <w:rFonts w:hint="eastAsia" w:ascii="仿宋_GB2312" w:hAnsi="仿宋" w:eastAsia="仿宋_GB2312"/>
                <w:color w:val="auto"/>
                <w:sz w:val="24"/>
                <w:highlight w:val="none"/>
                <w:u w:val="single"/>
                <w:lang w:eastAsia="zh-CN"/>
              </w:rPr>
              <w:t>2025年4月22日</w:t>
            </w:r>
            <w:r>
              <w:rPr>
                <w:rFonts w:hint="eastAsia" w:ascii="仿宋_GB2312" w:hAnsi="仿宋" w:eastAsia="仿宋_GB2312"/>
                <w:color w:val="auto"/>
                <w:sz w:val="24"/>
                <w:highlight w:val="none"/>
                <w:u w:val="single"/>
                <w:lang w:val="en-US" w:eastAsia="zh-CN"/>
              </w:rPr>
              <w:t>14</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 xml:space="preserve"> </w:t>
            </w:r>
          </w:p>
          <w:p w14:paraId="58BDE393">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投标地点：政采云平台（https://www.zcygov.cn/）</w:t>
            </w:r>
          </w:p>
        </w:tc>
      </w:tr>
      <w:tr w14:paraId="07BA28BA">
        <w:tblPrEx>
          <w:tblCellMar>
            <w:top w:w="0" w:type="dxa"/>
            <w:left w:w="108" w:type="dxa"/>
            <w:bottom w:w="0" w:type="dxa"/>
            <w:right w:w="108" w:type="dxa"/>
          </w:tblCellMar>
        </w:tblPrEx>
        <w:trPr>
          <w:trHeight w:val="313" w:hRule="atLeast"/>
        </w:trPr>
        <w:tc>
          <w:tcPr>
            <w:tcW w:w="744" w:type="dxa"/>
            <w:tcBorders>
              <w:top w:val="single" w:color="auto" w:sz="4" w:space="0"/>
              <w:left w:val="single" w:color="auto" w:sz="4" w:space="0"/>
              <w:bottom w:val="single" w:color="auto" w:sz="4" w:space="0"/>
              <w:right w:val="single" w:color="auto" w:sz="4" w:space="0"/>
            </w:tcBorders>
            <w:vAlign w:val="center"/>
          </w:tcPr>
          <w:p w14:paraId="63FA4A6B">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10</w:t>
            </w:r>
          </w:p>
        </w:tc>
        <w:tc>
          <w:tcPr>
            <w:tcW w:w="8399" w:type="dxa"/>
            <w:tcBorders>
              <w:top w:val="single" w:color="auto" w:sz="4" w:space="0"/>
              <w:left w:val="nil"/>
              <w:bottom w:val="single" w:color="auto" w:sz="4" w:space="0"/>
              <w:right w:val="single" w:color="auto" w:sz="4" w:space="0"/>
            </w:tcBorders>
            <w:vAlign w:val="center"/>
          </w:tcPr>
          <w:p w14:paraId="0A17280E">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b/>
                <w:bCs/>
                <w:color w:val="auto"/>
                <w:kern w:val="0"/>
                <w:sz w:val="24"/>
                <w:highlight w:val="none"/>
              </w:rPr>
              <w:t xml:space="preserve">    </w:t>
            </w:r>
            <w:r>
              <w:rPr>
                <w:rFonts w:hint="eastAsia" w:ascii="宋体" w:hAnsi="宋体" w:cs="宋体"/>
                <w:color w:val="auto"/>
                <w:kern w:val="0"/>
                <w:sz w:val="24"/>
                <w:highlight w:val="none"/>
              </w:rPr>
              <w:t>电子加密投标文件的传输递交：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14:paraId="40826D76">
        <w:tblPrEx>
          <w:tblCellMar>
            <w:top w:w="0" w:type="dxa"/>
            <w:left w:w="108" w:type="dxa"/>
            <w:bottom w:w="0" w:type="dxa"/>
            <w:right w:w="108" w:type="dxa"/>
          </w:tblCellMar>
        </w:tblPrEx>
        <w:trPr>
          <w:trHeight w:val="598" w:hRule="atLeast"/>
        </w:trPr>
        <w:tc>
          <w:tcPr>
            <w:tcW w:w="744" w:type="dxa"/>
            <w:tcBorders>
              <w:top w:val="single" w:color="auto" w:sz="4" w:space="0"/>
              <w:left w:val="single" w:color="auto" w:sz="4" w:space="0"/>
              <w:bottom w:val="single" w:color="auto" w:sz="4" w:space="0"/>
              <w:right w:val="single" w:color="auto" w:sz="4" w:space="0"/>
            </w:tcBorders>
            <w:vAlign w:val="center"/>
          </w:tcPr>
          <w:p w14:paraId="0BED46DA">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11</w:t>
            </w:r>
          </w:p>
        </w:tc>
        <w:tc>
          <w:tcPr>
            <w:tcW w:w="8399" w:type="dxa"/>
            <w:tcBorders>
              <w:top w:val="single" w:color="auto" w:sz="4" w:space="0"/>
              <w:left w:val="nil"/>
              <w:bottom w:val="single" w:color="auto" w:sz="4" w:space="0"/>
              <w:right w:val="single" w:color="auto" w:sz="4" w:space="0"/>
            </w:tcBorders>
            <w:vAlign w:val="center"/>
          </w:tcPr>
          <w:p w14:paraId="30F14C42">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开标时间：</w:t>
            </w:r>
            <w:r>
              <w:rPr>
                <w:rFonts w:hint="eastAsia" w:ascii="仿宋_GB2312" w:hAnsi="仿宋" w:eastAsia="仿宋_GB2312"/>
                <w:color w:val="auto"/>
                <w:sz w:val="24"/>
                <w:highlight w:val="none"/>
                <w:u w:val="single"/>
                <w:lang w:eastAsia="zh-CN"/>
              </w:rPr>
              <w:t>2025年4月22日</w:t>
            </w:r>
            <w:r>
              <w:rPr>
                <w:rFonts w:hint="eastAsia" w:ascii="仿宋_GB2312" w:hAnsi="仿宋" w:eastAsia="仿宋_GB2312"/>
                <w:color w:val="auto"/>
                <w:sz w:val="24"/>
                <w:highlight w:val="none"/>
                <w:u w:val="single"/>
                <w:lang w:val="en-US" w:eastAsia="zh-CN"/>
              </w:rPr>
              <w:t>14</w:t>
            </w:r>
            <w:r>
              <w:rPr>
                <w:rFonts w:hint="eastAsia" w:ascii="仿宋_GB2312" w:hAnsi="仿宋" w:eastAsia="仿宋_GB2312"/>
                <w:color w:val="auto"/>
                <w:sz w:val="24"/>
                <w:highlight w:val="none"/>
                <w:u w:val="single"/>
              </w:rPr>
              <w:t>点30分</w:t>
            </w:r>
            <w:r>
              <w:rPr>
                <w:rFonts w:hint="eastAsia" w:ascii="仿宋_GB2312" w:hAnsi="仿宋" w:eastAsia="仿宋_GB2312"/>
                <w:bCs/>
                <w:color w:val="auto"/>
                <w:sz w:val="24"/>
                <w:highlight w:val="none"/>
                <w:u w:val="single"/>
              </w:rPr>
              <w:t xml:space="preserve"> </w:t>
            </w:r>
          </w:p>
          <w:p w14:paraId="0B61E2EC">
            <w:pPr>
              <w:wordWrap w:val="0"/>
              <w:overflowPunct w:val="0"/>
              <w:autoSpaceDE w:val="0"/>
              <w:autoSpaceDN w:val="0"/>
              <w:snapToGrid w:val="0"/>
              <w:spacing w:before="24" w:beforeLines="10" w:after="24" w:afterLines="10" w:line="400" w:lineRule="exact"/>
              <w:rPr>
                <w:rFonts w:ascii="宋体" w:hAnsi="宋体" w:cs="宋体"/>
                <w:color w:val="auto"/>
                <w:sz w:val="24"/>
                <w:highlight w:val="none"/>
                <w:shd w:val="clear" w:color="auto" w:fill="FFFFFF"/>
              </w:rPr>
            </w:pPr>
            <w:r>
              <w:rPr>
                <w:rFonts w:hint="eastAsia" w:ascii="宋体" w:hAnsi="宋体" w:cs="宋体"/>
                <w:color w:val="auto"/>
                <w:sz w:val="24"/>
                <w:highlight w:val="none"/>
              </w:rPr>
              <w:t xml:space="preserve">    开标地点：政采云平台（https://www.zcygov.cn/）</w:t>
            </w:r>
          </w:p>
          <w:p w14:paraId="71F9A3BA">
            <w:pPr>
              <w:wordWrap w:val="0"/>
              <w:overflowPunct w:val="0"/>
              <w:autoSpaceDE w:val="0"/>
              <w:autoSpaceDN w:val="0"/>
              <w:snapToGrid w:val="0"/>
              <w:spacing w:before="24" w:beforeLines="10" w:after="24" w:afterLines="10" w:line="400" w:lineRule="exact"/>
              <w:rPr>
                <w:rFonts w:ascii="宋体" w:hAnsi="宋体" w:cs="宋体"/>
                <w:b/>
                <w:color w:val="auto"/>
                <w:sz w:val="24"/>
                <w:highlight w:val="none"/>
              </w:rPr>
            </w:pPr>
            <w:r>
              <w:rPr>
                <w:rFonts w:hint="eastAsia" w:ascii="宋体" w:hAnsi="宋体" w:cs="宋体"/>
                <w:b/>
                <w:bCs/>
                <w:color w:val="auto"/>
                <w:sz w:val="24"/>
                <w:highlight w:val="none"/>
                <w:shd w:val="clear" w:color="auto" w:fill="FFFFFF"/>
              </w:rPr>
              <w:t xml:space="preserve">    供应商无需到开标现场，但须准时在线参加，直至评审结束。</w:t>
            </w:r>
          </w:p>
        </w:tc>
      </w:tr>
      <w:tr w14:paraId="5A31E096">
        <w:tblPrEx>
          <w:tblCellMar>
            <w:top w:w="0" w:type="dxa"/>
            <w:left w:w="108" w:type="dxa"/>
            <w:bottom w:w="0" w:type="dxa"/>
            <w:right w:w="108" w:type="dxa"/>
          </w:tblCellMar>
        </w:tblPrEx>
        <w:trPr>
          <w:trHeight w:val="350" w:hRule="atLeast"/>
        </w:trPr>
        <w:tc>
          <w:tcPr>
            <w:tcW w:w="744" w:type="dxa"/>
            <w:tcBorders>
              <w:top w:val="single" w:color="auto" w:sz="4" w:space="0"/>
              <w:left w:val="single" w:color="auto" w:sz="4" w:space="0"/>
              <w:bottom w:val="single" w:color="auto" w:sz="4" w:space="0"/>
              <w:right w:val="single" w:color="auto" w:sz="4" w:space="0"/>
            </w:tcBorders>
            <w:vAlign w:val="center"/>
          </w:tcPr>
          <w:p w14:paraId="0C40974F">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12</w:t>
            </w:r>
          </w:p>
        </w:tc>
        <w:tc>
          <w:tcPr>
            <w:tcW w:w="8399" w:type="dxa"/>
            <w:tcBorders>
              <w:top w:val="single" w:color="auto" w:sz="4" w:space="0"/>
              <w:left w:val="nil"/>
              <w:bottom w:val="single" w:color="auto" w:sz="4" w:space="0"/>
              <w:right w:val="single" w:color="auto" w:sz="4" w:space="0"/>
            </w:tcBorders>
            <w:vAlign w:val="center"/>
          </w:tcPr>
          <w:p w14:paraId="6DC57A3C">
            <w:pPr>
              <w:wordWrap w:val="0"/>
              <w:overflowPunct w:val="0"/>
              <w:autoSpaceDE w:val="0"/>
              <w:autoSpaceDN w:val="0"/>
              <w:adjustRightInd/>
              <w:snapToGrid w:val="0"/>
              <w:spacing w:before="24" w:beforeLines="10" w:after="24" w:afterLines="10" w:line="400" w:lineRule="exact"/>
              <w:textAlignment w:val="bottom"/>
              <w:rPr>
                <w:rFonts w:ascii="宋体" w:hAnsi="宋体" w:cs="宋体"/>
                <w:color w:val="auto"/>
                <w:sz w:val="24"/>
                <w:highlight w:val="none"/>
              </w:rPr>
            </w:pPr>
            <w:r>
              <w:rPr>
                <w:rFonts w:hint="eastAsia" w:ascii="宋体" w:hAnsi="宋体" w:cs="宋体"/>
                <w:color w:val="auto"/>
                <w:sz w:val="24"/>
                <w:highlight w:val="none"/>
              </w:rPr>
              <w:t xml:space="preserve">    评标办法及评分标准：详见第四章。</w:t>
            </w:r>
          </w:p>
        </w:tc>
      </w:tr>
      <w:tr w14:paraId="22027728">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0C0EBB34">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13</w:t>
            </w:r>
          </w:p>
        </w:tc>
        <w:tc>
          <w:tcPr>
            <w:tcW w:w="8399" w:type="dxa"/>
            <w:tcBorders>
              <w:top w:val="single" w:color="auto" w:sz="4" w:space="0"/>
              <w:left w:val="nil"/>
              <w:bottom w:val="single" w:color="auto" w:sz="4" w:space="0"/>
              <w:right w:val="single" w:color="auto" w:sz="4" w:space="0"/>
            </w:tcBorders>
            <w:vAlign w:val="center"/>
          </w:tcPr>
          <w:p w14:paraId="5C686DA6">
            <w:pPr>
              <w:wordWrap w:val="0"/>
              <w:overflowPunct w:val="0"/>
              <w:autoSpaceDE w:val="0"/>
              <w:autoSpaceDN w:val="0"/>
              <w:snapToGrid w:val="0"/>
              <w:spacing w:before="24" w:beforeLines="10" w:after="24" w:afterLines="10" w:line="400" w:lineRule="exact"/>
              <w:textAlignment w:val="bottom"/>
              <w:rPr>
                <w:rFonts w:ascii="宋体" w:hAnsi="宋体" w:cs="宋体"/>
                <w:color w:val="auto"/>
                <w:sz w:val="24"/>
                <w:highlight w:val="none"/>
              </w:rPr>
            </w:pPr>
            <w:r>
              <w:rPr>
                <w:rFonts w:hint="eastAsia" w:ascii="宋体" w:hAnsi="宋体" w:cs="宋体"/>
                <w:color w:val="auto"/>
                <w:sz w:val="24"/>
                <w:highlight w:val="none"/>
              </w:rPr>
              <w:t xml:space="preserve">    中标公告及中标通知书：中标、成交供应商确定之日起2个工作日内，中标公告发布于浙江省政府采购网(http://zfcg.czt.zj.gov.cn/)等网站或媒体，公告期限为1个工作日。各参加政府采购活动的供应商认为该中标结果和采购过程等使自己的权益受到损害的，可以自本公告期限届满之日（本公告发布之日后第2个工作日）起7个工作日内，以书面形式向采购人或受其委托的采购代理机构提出质疑。质疑供应商对采购人、采购代理机构的答复不满意或者采购人、采购代理机构未在规定的时间内作出答复的，可以再答复期满后十五个工作日内向同级政府采购监督管理部门投诉。质疑函范本、投诉书范本请到浙江政府采购网下载专区下载。在公告中标结果的同时，向中标人发出中标通知书</w:t>
            </w:r>
          </w:p>
        </w:tc>
      </w:tr>
      <w:tr w14:paraId="63D7C2D3">
        <w:tblPrEx>
          <w:tblCellMar>
            <w:top w:w="0" w:type="dxa"/>
            <w:left w:w="108" w:type="dxa"/>
            <w:bottom w:w="0" w:type="dxa"/>
            <w:right w:w="108" w:type="dxa"/>
          </w:tblCellMar>
        </w:tblPrEx>
        <w:trPr>
          <w:trHeight w:val="70" w:hRule="atLeast"/>
        </w:trPr>
        <w:tc>
          <w:tcPr>
            <w:tcW w:w="744" w:type="dxa"/>
            <w:tcBorders>
              <w:top w:val="single" w:color="auto" w:sz="4" w:space="0"/>
              <w:left w:val="single" w:color="auto" w:sz="4" w:space="0"/>
              <w:bottom w:val="single" w:color="auto" w:sz="4" w:space="0"/>
              <w:right w:val="single" w:color="auto" w:sz="4" w:space="0"/>
            </w:tcBorders>
            <w:vAlign w:val="center"/>
          </w:tcPr>
          <w:p w14:paraId="0032AA58">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14</w:t>
            </w:r>
          </w:p>
        </w:tc>
        <w:tc>
          <w:tcPr>
            <w:tcW w:w="8399" w:type="dxa"/>
            <w:tcBorders>
              <w:top w:val="single" w:color="auto" w:sz="4" w:space="0"/>
              <w:left w:val="nil"/>
              <w:bottom w:val="single" w:color="auto" w:sz="4" w:space="0"/>
              <w:right w:val="single" w:color="auto" w:sz="4" w:space="0"/>
            </w:tcBorders>
            <w:vAlign w:val="center"/>
          </w:tcPr>
          <w:p w14:paraId="1F837D3D">
            <w:pPr>
              <w:wordWrap w:val="0"/>
              <w:overflowPunct w:val="0"/>
              <w:autoSpaceDE w:val="0"/>
              <w:autoSpaceDN w:val="0"/>
              <w:snapToGrid w:val="0"/>
              <w:spacing w:before="24" w:beforeLines="10" w:after="24" w:afterLines="10" w:line="400" w:lineRule="exact"/>
              <w:textAlignment w:val="bottom"/>
              <w:rPr>
                <w:rFonts w:ascii="宋体" w:hAnsi="宋体" w:cs="宋体"/>
                <w:color w:val="auto"/>
                <w:sz w:val="24"/>
                <w:highlight w:val="none"/>
              </w:rPr>
            </w:pPr>
            <w:r>
              <w:rPr>
                <w:rFonts w:hint="eastAsia" w:ascii="宋体" w:hAnsi="宋体" w:cs="宋体"/>
                <w:color w:val="auto"/>
                <w:sz w:val="24"/>
                <w:highlight w:val="none"/>
              </w:rPr>
              <w:t xml:space="preserve">    合同公告：本项目政府采购合同将于签订之日起2个工作日内发布于上述媒体，但政府采购合同中涉及国家秘密、商业秘密的内容除外。</w:t>
            </w:r>
          </w:p>
        </w:tc>
      </w:tr>
      <w:tr w14:paraId="73C1C3FE">
        <w:tblPrEx>
          <w:tblCellMar>
            <w:top w:w="0" w:type="dxa"/>
            <w:left w:w="108" w:type="dxa"/>
            <w:bottom w:w="0" w:type="dxa"/>
            <w:right w:w="108" w:type="dxa"/>
          </w:tblCellMar>
        </w:tblPrEx>
        <w:trPr>
          <w:trHeight w:val="285" w:hRule="atLeast"/>
        </w:trPr>
        <w:tc>
          <w:tcPr>
            <w:tcW w:w="744" w:type="dxa"/>
            <w:tcBorders>
              <w:top w:val="single" w:color="auto" w:sz="4" w:space="0"/>
              <w:left w:val="single" w:color="auto" w:sz="4" w:space="0"/>
              <w:bottom w:val="single" w:color="auto" w:sz="4" w:space="0"/>
              <w:right w:val="single" w:color="auto" w:sz="4" w:space="0"/>
            </w:tcBorders>
            <w:vAlign w:val="center"/>
          </w:tcPr>
          <w:p w14:paraId="369DA2A6">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15</w:t>
            </w:r>
          </w:p>
        </w:tc>
        <w:tc>
          <w:tcPr>
            <w:tcW w:w="8399" w:type="dxa"/>
            <w:tcBorders>
              <w:top w:val="single" w:color="auto" w:sz="4" w:space="0"/>
              <w:left w:val="nil"/>
              <w:bottom w:val="single" w:color="auto" w:sz="4" w:space="0"/>
              <w:right w:val="single" w:color="auto" w:sz="4" w:space="0"/>
            </w:tcBorders>
            <w:vAlign w:val="center"/>
          </w:tcPr>
          <w:p w14:paraId="7DE946CB">
            <w:pPr>
              <w:wordWrap w:val="0"/>
              <w:overflowPunct w:val="0"/>
              <w:autoSpaceDE w:val="0"/>
              <w:autoSpaceDN w:val="0"/>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rPr>
              <w:t>履约保证金:本项目不设置。</w:t>
            </w:r>
          </w:p>
        </w:tc>
      </w:tr>
      <w:tr w14:paraId="0DE5B728">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6127AE64">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16</w:t>
            </w:r>
          </w:p>
        </w:tc>
        <w:tc>
          <w:tcPr>
            <w:tcW w:w="8399" w:type="dxa"/>
            <w:tcBorders>
              <w:top w:val="single" w:color="auto" w:sz="4" w:space="0"/>
              <w:left w:val="nil"/>
              <w:bottom w:val="single" w:color="auto" w:sz="4" w:space="0"/>
              <w:right w:val="single" w:color="auto" w:sz="4" w:space="0"/>
            </w:tcBorders>
            <w:vAlign w:val="center"/>
          </w:tcPr>
          <w:p w14:paraId="5EA48145">
            <w:pPr>
              <w:wordWrap w:val="0"/>
              <w:overflowPunct w:val="0"/>
              <w:autoSpaceDE w:val="0"/>
              <w:autoSpaceDN w:val="0"/>
              <w:snapToGrid w:val="0"/>
              <w:spacing w:before="24" w:beforeLines="10" w:after="24" w:afterLines="10" w:line="40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付款方式：结算付款必须按照医院集中支付管理办法及相关规定执行，依据《考核标准》对服务提供商进行考核结算，原则上以一个月为结算单位，每个月进行付款一次。</w:t>
            </w:r>
            <w:r>
              <w:rPr>
                <w:rFonts w:hint="eastAsia" w:ascii="宋体" w:hAnsi="宋体" w:cs="宋体"/>
                <w:color w:val="auto"/>
                <w:kern w:val="0"/>
                <w:sz w:val="24"/>
                <w:highlight w:val="none"/>
                <w:lang w:eastAsia="zh-CN"/>
              </w:rPr>
              <w:t>注：付款前中标单位应按规定向采购人开具正规发票</w:t>
            </w:r>
          </w:p>
        </w:tc>
      </w:tr>
      <w:tr w14:paraId="00D41EF3">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7AEBE2A9">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17</w:t>
            </w:r>
          </w:p>
        </w:tc>
        <w:tc>
          <w:tcPr>
            <w:tcW w:w="8399" w:type="dxa"/>
            <w:tcBorders>
              <w:top w:val="single" w:color="auto" w:sz="4" w:space="0"/>
              <w:left w:val="nil"/>
              <w:bottom w:val="single" w:color="auto" w:sz="4" w:space="0"/>
              <w:right w:val="single" w:color="auto" w:sz="4" w:space="0"/>
            </w:tcBorders>
            <w:vAlign w:val="center"/>
          </w:tcPr>
          <w:p w14:paraId="242DA85B">
            <w:pPr>
              <w:wordWrap w:val="0"/>
              <w:overflowPunct w:val="0"/>
              <w:autoSpaceDE w:val="0"/>
              <w:autoSpaceDN w:val="0"/>
              <w:snapToGrid w:val="0"/>
              <w:spacing w:before="24" w:beforeLines="10" w:after="24" w:afterLines="10"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现场踏勘：投标人根据自身情况自行踏勘（费用自理）</w:t>
            </w:r>
          </w:p>
        </w:tc>
      </w:tr>
      <w:tr w14:paraId="591F8C59">
        <w:tblPrEx>
          <w:tblCellMar>
            <w:top w:w="0" w:type="dxa"/>
            <w:left w:w="108" w:type="dxa"/>
            <w:bottom w:w="0" w:type="dxa"/>
            <w:right w:w="108" w:type="dxa"/>
          </w:tblCellMar>
        </w:tblPrEx>
        <w:trPr>
          <w:trHeight w:val="260" w:hRule="atLeast"/>
        </w:trPr>
        <w:tc>
          <w:tcPr>
            <w:tcW w:w="744" w:type="dxa"/>
            <w:tcBorders>
              <w:top w:val="single" w:color="auto" w:sz="4" w:space="0"/>
              <w:left w:val="single" w:color="auto" w:sz="4" w:space="0"/>
              <w:bottom w:val="single" w:color="auto" w:sz="4" w:space="0"/>
              <w:right w:val="single" w:color="auto" w:sz="4" w:space="0"/>
            </w:tcBorders>
            <w:vAlign w:val="center"/>
          </w:tcPr>
          <w:p w14:paraId="5A7B20C6">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18</w:t>
            </w:r>
          </w:p>
        </w:tc>
        <w:tc>
          <w:tcPr>
            <w:tcW w:w="8399" w:type="dxa"/>
            <w:tcBorders>
              <w:top w:val="single" w:color="auto" w:sz="4" w:space="0"/>
              <w:left w:val="nil"/>
              <w:bottom w:val="single" w:color="auto" w:sz="4" w:space="0"/>
              <w:right w:val="single" w:color="auto" w:sz="4" w:space="0"/>
            </w:tcBorders>
            <w:vAlign w:val="center"/>
          </w:tcPr>
          <w:p w14:paraId="5F6450EF">
            <w:pPr>
              <w:wordWrap w:val="0"/>
              <w:overflowPunct w:val="0"/>
              <w:autoSpaceDE w:val="0"/>
              <w:autoSpaceDN w:val="0"/>
              <w:adjustRightInd/>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投标文件有效期：</w:t>
            </w:r>
            <w:r>
              <w:rPr>
                <w:rFonts w:hint="eastAsia" w:ascii="宋体" w:hAnsi="宋体" w:cs="宋体"/>
                <w:color w:val="auto"/>
                <w:sz w:val="24"/>
                <w:highlight w:val="none"/>
                <w:u w:val="single"/>
              </w:rPr>
              <w:t xml:space="preserve"> 90 </w:t>
            </w:r>
            <w:r>
              <w:rPr>
                <w:rFonts w:hint="eastAsia" w:ascii="宋体" w:hAnsi="宋体" w:cs="宋体"/>
                <w:color w:val="auto"/>
                <w:sz w:val="24"/>
                <w:highlight w:val="none"/>
              </w:rPr>
              <w:t>天。</w:t>
            </w:r>
          </w:p>
        </w:tc>
      </w:tr>
      <w:tr w14:paraId="4DF1FDB6">
        <w:tblPrEx>
          <w:tblCellMar>
            <w:top w:w="0" w:type="dxa"/>
            <w:left w:w="108" w:type="dxa"/>
            <w:bottom w:w="0" w:type="dxa"/>
            <w:right w:w="108" w:type="dxa"/>
          </w:tblCellMar>
        </w:tblPrEx>
        <w:trPr>
          <w:trHeight w:val="260" w:hRule="atLeast"/>
        </w:trPr>
        <w:tc>
          <w:tcPr>
            <w:tcW w:w="744" w:type="dxa"/>
            <w:tcBorders>
              <w:top w:val="single" w:color="auto" w:sz="4" w:space="0"/>
              <w:left w:val="single" w:color="auto" w:sz="4" w:space="0"/>
              <w:bottom w:val="single" w:color="auto" w:sz="4" w:space="0"/>
              <w:right w:val="single" w:color="auto" w:sz="4" w:space="0"/>
            </w:tcBorders>
            <w:vAlign w:val="center"/>
          </w:tcPr>
          <w:p w14:paraId="5D97CBF4">
            <w:pPr>
              <w:wordWrap w:val="0"/>
              <w:overflowPunct w:val="0"/>
              <w:autoSpaceDE w:val="0"/>
              <w:autoSpaceDN w:val="0"/>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19</w:t>
            </w:r>
          </w:p>
        </w:tc>
        <w:tc>
          <w:tcPr>
            <w:tcW w:w="8399" w:type="dxa"/>
            <w:tcBorders>
              <w:top w:val="single" w:color="auto" w:sz="4" w:space="0"/>
              <w:left w:val="nil"/>
              <w:bottom w:val="single" w:color="auto" w:sz="4" w:space="0"/>
              <w:right w:val="single" w:color="auto" w:sz="4" w:space="0"/>
            </w:tcBorders>
            <w:vAlign w:val="center"/>
          </w:tcPr>
          <w:p w14:paraId="177C2A5A">
            <w:pPr>
              <w:pStyle w:val="34"/>
              <w:wordWrap w:val="0"/>
              <w:overflowPunct w:val="0"/>
              <w:autoSpaceDE w:val="0"/>
              <w:autoSpaceDN w:val="0"/>
              <w:snapToGrid w:val="0"/>
              <w:spacing w:before="24" w:beforeLines="10" w:after="24" w:afterLines="10" w:line="400" w:lineRule="exact"/>
              <w:rPr>
                <w:rFonts w:hAnsi="宋体" w:cs="宋体"/>
                <w:color w:val="auto"/>
                <w:sz w:val="24"/>
                <w:szCs w:val="24"/>
                <w:highlight w:val="none"/>
              </w:rPr>
            </w:pPr>
            <w:r>
              <w:rPr>
                <w:rFonts w:hint="eastAsia" w:hAnsi="宋体" w:cs="宋体"/>
                <w:color w:val="auto"/>
                <w:sz w:val="24"/>
                <w:szCs w:val="24"/>
                <w:highlight w:val="none"/>
              </w:rPr>
              <w:t xml:space="preserve">    承诺符合浙财采监【2013】24号《关于规范政府采购供应商资格设定及资格审查的通知》第六条规定，且未被“信用中国”（www.creditchina.gov.cn）和中国政府采购网（www.ccgp.gov.cn）列入失信被执行人、重大税收违法案件当事人名单、政府采购严重违法失信行为记录名单。</w:t>
            </w:r>
          </w:p>
        </w:tc>
      </w:tr>
      <w:tr w14:paraId="17B4F24B">
        <w:tblPrEx>
          <w:tblCellMar>
            <w:top w:w="0" w:type="dxa"/>
            <w:left w:w="108" w:type="dxa"/>
            <w:bottom w:w="0" w:type="dxa"/>
            <w:right w:w="108" w:type="dxa"/>
          </w:tblCellMar>
        </w:tblPrEx>
        <w:trPr>
          <w:trHeight w:val="279" w:hRule="atLeast"/>
        </w:trPr>
        <w:tc>
          <w:tcPr>
            <w:tcW w:w="744" w:type="dxa"/>
            <w:tcBorders>
              <w:top w:val="single" w:color="auto" w:sz="4" w:space="0"/>
              <w:left w:val="single" w:color="auto" w:sz="4" w:space="0"/>
              <w:bottom w:val="single" w:color="auto" w:sz="4" w:space="0"/>
              <w:right w:val="single" w:color="auto" w:sz="4" w:space="0"/>
            </w:tcBorders>
            <w:vAlign w:val="center"/>
          </w:tcPr>
          <w:p w14:paraId="41E5C033">
            <w:pPr>
              <w:wordWrap w:val="0"/>
              <w:overflowPunct w:val="0"/>
              <w:autoSpaceDE w:val="0"/>
              <w:autoSpaceDN w:val="0"/>
              <w:adjustRightInd/>
              <w:snapToGrid w:val="0"/>
              <w:spacing w:before="24" w:beforeLines="10" w:after="24" w:afterLines="10" w:line="400" w:lineRule="exact"/>
              <w:jc w:val="center"/>
              <w:rPr>
                <w:rFonts w:ascii="宋体" w:hAnsi="宋体" w:cs="宋体"/>
                <w:color w:val="auto"/>
                <w:sz w:val="24"/>
                <w:highlight w:val="none"/>
              </w:rPr>
            </w:pPr>
            <w:r>
              <w:rPr>
                <w:rFonts w:hint="eastAsia" w:ascii="宋体" w:hAnsi="宋体" w:cs="宋体"/>
                <w:color w:val="auto"/>
                <w:sz w:val="24"/>
                <w:highlight w:val="none"/>
              </w:rPr>
              <w:t>20</w:t>
            </w:r>
          </w:p>
        </w:tc>
        <w:tc>
          <w:tcPr>
            <w:tcW w:w="8399" w:type="dxa"/>
            <w:tcBorders>
              <w:top w:val="single" w:color="auto" w:sz="4" w:space="0"/>
              <w:left w:val="nil"/>
              <w:bottom w:val="single" w:color="auto" w:sz="4" w:space="0"/>
              <w:right w:val="single" w:color="auto" w:sz="4" w:space="0"/>
            </w:tcBorders>
            <w:vAlign w:val="center"/>
          </w:tcPr>
          <w:p w14:paraId="73D732F1">
            <w:pPr>
              <w:wordWrap w:val="0"/>
              <w:overflowPunct w:val="0"/>
              <w:autoSpaceDE w:val="0"/>
              <w:autoSpaceDN w:val="0"/>
              <w:adjustRightInd/>
              <w:snapToGrid w:val="0"/>
              <w:spacing w:before="24" w:beforeLines="10" w:after="24" w:afterLines="10" w:line="400" w:lineRule="exact"/>
              <w:rPr>
                <w:rFonts w:ascii="宋体" w:hAnsi="宋体" w:cs="宋体"/>
                <w:color w:val="auto"/>
                <w:sz w:val="24"/>
                <w:highlight w:val="none"/>
              </w:rPr>
            </w:pPr>
            <w:r>
              <w:rPr>
                <w:rFonts w:hint="eastAsia" w:ascii="宋体" w:hAnsi="宋体" w:cs="宋体"/>
                <w:color w:val="auto"/>
                <w:sz w:val="24"/>
                <w:highlight w:val="none"/>
              </w:rPr>
              <w:t xml:space="preserve">    解释：本招标文件的解释权属于采购单位和嘉兴市银建工程咨询评估有限公司。</w:t>
            </w:r>
          </w:p>
        </w:tc>
      </w:tr>
    </w:tbl>
    <w:p w14:paraId="691909EC">
      <w:pPr>
        <w:pStyle w:val="34"/>
        <w:wordWrap w:val="0"/>
        <w:overflowPunct w:val="0"/>
        <w:autoSpaceDE w:val="0"/>
        <w:autoSpaceDN w:val="0"/>
        <w:snapToGrid w:val="0"/>
        <w:spacing w:line="400" w:lineRule="exact"/>
        <w:outlineLvl w:val="0"/>
        <w:rPr>
          <w:rFonts w:hAnsi="宋体" w:cs="宋体"/>
          <w:b/>
          <w:color w:val="auto"/>
          <w:sz w:val="24"/>
          <w:szCs w:val="24"/>
          <w:highlight w:val="none"/>
        </w:rPr>
      </w:pPr>
    </w:p>
    <w:p w14:paraId="063EE835">
      <w:pPr>
        <w:pStyle w:val="34"/>
        <w:numPr>
          <w:ilvl w:val="0"/>
          <w:numId w:val="4"/>
        </w:numPr>
        <w:wordWrap w:val="0"/>
        <w:overflowPunct w:val="0"/>
        <w:autoSpaceDE w:val="0"/>
        <w:autoSpaceDN w:val="0"/>
        <w:snapToGrid w:val="0"/>
        <w:spacing w:line="360" w:lineRule="auto"/>
        <w:outlineLvl w:val="0"/>
        <w:rPr>
          <w:rFonts w:hAnsi="宋体" w:cs="宋体"/>
          <w:b/>
          <w:color w:val="auto"/>
          <w:sz w:val="28"/>
          <w:szCs w:val="28"/>
          <w:highlight w:val="none"/>
        </w:rPr>
      </w:pPr>
      <w:r>
        <w:rPr>
          <w:rFonts w:hint="eastAsia" w:hAnsi="宋体" w:cs="宋体"/>
          <w:b/>
          <w:color w:val="auto"/>
          <w:sz w:val="28"/>
          <w:szCs w:val="28"/>
          <w:highlight w:val="none"/>
        </w:rPr>
        <w:t>总  则</w:t>
      </w:r>
    </w:p>
    <w:p w14:paraId="278C001A">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（一）适用范围</w:t>
      </w:r>
    </w:p>
    <w:p w14:paraId="018089C8">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本招标文件适用于本项目的招标、投标、评标、定标、验收、合同履约、付款等行为（法律、法规另有规定的，从其规定）。</w:t>
      </w:r>
    </w:p>
    <w:p w14:paraId="575CEF6B">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（二）定义</w:t>
      </w:r>
    </w:p>
    <w:p w14:paraId="5549C33D">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1.招标采购单位系指组织本次招标的代理机构（“采购人”）和采购单位。</w:t>
      </w:r>
    </w:p>
    <w:p w14:paraId="4C45C62D">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2.“投标人”系指向招标方提交投标文件的单位或个人。</w:t>
      </w:r>
    </w:p>
    <w:p w14:paraId="1AE7488D">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3.“产品”系指供方按招标文件规定，须向采购人提供的一切设备、保险、税金、备品备件、工具、手册及其它有关技术资料和材料。</w:t>
      </w:r>
    </w:p>
    <w:p w14:paraId="337727E1">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4.“服务”系指招标文件规定投标人须承担的设计、安装、调试、技术协助、校准、培训、技术指导以及其他类似的义务。</w:t>
      </w:r>
    </w:p>
    <w:p w14:paraId="2940C518">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5.“项目”系指投标人按招标文件规定向采购人提供的产品和服务。</w:t>
      </w:r>
    </w:p>
    <w:p w14:paraId="534F2719">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6.“书面形式”包括信函、传真、电报等。</w:t>
      </w:r>
    </w:p>
    <w:p w14:paraId="63647240">
      <w:pPr>
        <w:wordWrap w:val="0"/>
        <w:overflowPunct w:val="0"/>
        <w:autoSpaceDE w:val="0"/>
        <w:autoSpaceDN w:val="0"/>
        <w:snapToGrid w:val="0"/>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7.“▲”系指实质性要求条款</w:t>
      </w:r>
      <w:r>
        <w:rPr>
          <w:rFonts w:hint="eastAsia" w:ascii="宋体" w:hAnsi="宋体" w:cs="宋体"/>
          <w:color w:val="auto"/>
          <w:sz w:val="24"/>
          <w:highlight w:val="none"/>
          <w:lang w:eastAsia="zh-CN"/>
        </w:rPr>
        <w:t>，</w:t>
      </w:r>
      <w:r>
        <w:rPr>
          <w:rFonts w:hint="eastAsia" w:ascii="宋体" w:hAnsi="宋体" w:cs="宋体"/>
          <w:color w:val="auto"/>
          <w:sz w:val="24"/>
          <w:highlight w:val="none"/>
        </w:rPr>
        <w:t>不满足实质性要求条款的投标文件无效</w:t>
      </w:r>
      <w:r>
        <w:rPr>
          <w:rFonts w:hint="eastAsia" w:ascii="宋体" w:hAnsi="宋体" w:cs="宋体"/>
          <w:color w:val="auto"/>
          <w:sz w:val="24"/>
          <w:highlight w:val="none"/>
          <w:lang w:eastAsia="zh-CN"/>
        </w:rPr>
        <w:t>。</w:t>
      </w:r>
    </w:p>
    <w:p w14:paraId="155DDA76">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8.“★”系指重要技术指标。</w:t>
      </w:r>
    </w:p>
    <w:p w14:paraId="56F37E04">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（三）招标方式</w:t>
      </w:r>
    </w:p>
    <w:p w14:paraId="00BF1DD1">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本次招标采用公开招标方式进行。</w:t>
      </w:r>
    </w:p>
    <w:p w14:paraId="68A3FA6C">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（四）投标委托</w:t>
      </w:r>
    </w:p>
    <w:p w14:paraId="46EFC770">
      <w:pPr>
        <w:pStyle w:val="25"/>
        <w:wordWrap w:val="0"/>
        <w:overflowPunct w:val="0"/>
        <w:autoSpaceDE w:val="0"/>
        <w:autoSpaceDN w:val="0"/>
        <w:snapToGrid w:val="0"/>
        <w:spacing w:line="360" w:lineRule="auto"/>
        <w:jc w:val="left"/>
        <w:rPr>
          <w:rFonts w:cs="宋体"/>
          <w:color w:val="auto"/>
          <w:highlight w:val="none"/>
        </w:rPr>
      </w:pPr>
      <w:r>
        <w:rPr>
          <w:rFonts w:hint="eastAsia" w:cs="宋体"/>
          <w:color w:val="auto"/>
          <w:highlight w:val="none"/>
        </w:rPr>
        <w:t>供应商无需到开标现场，但须准时在线参加，直至评审结束。</w:t>
      </w:r>
    </w:p>
    <w:p w14:paraId="64962BFB">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（五）投标费用</w:t>
      </w:r>
    </w:p>
    <w:p w14:paraId="18E7328D">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不论投标结果如何，投标人均应自行承担所有与投标有关的全部费用（招标文件有相反规定除外）。</w:t>
      </w:r>
    </w:p>
    <w:p w14:paraId="526B24D4">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（六）联合体投标</w:t>
      </w:r>
    </w:p>
    <w:p w14:paraId="6BA8A367">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本项目不接受联合体投标。</w:t>
      </w:r>
    </w:p>
    <w:p w14:paraId="1D181624">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（七）转包与分包</w:t>
      </w:r>
    </w:p>
    <w:p w14:paraId="3F6AC8A3">
      <w:pPr>
        <w:wordWrap w:val="0"/>
        <w:overflowPunct w:val="0"/>
        <w:autoSpaceDE w:val="0"/>
        <w:autoSpaceDN w:val="0"/>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1.本项目不允许转包。</w:t>
      </w:r>
    </w:p>
    <w:p w14:paraId="0F366EFD">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2.本项目不可以分包。</w:t>
      </w:r>
    </w:p>
    <w:p w14:paraId="792A1A02">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（八）是否允许采购进口产品</w:t>
      </w:r>
    </w:p>
    <w:p w14:paraId="3F501C04">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本项目不允许采购进口产品。</w:t>
      </w:r>
    </w:p>
    <w:p w14:paraId="3E315BC4">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 xml:space="preserve"> ▲（九）特别说明：</w:t>
      </w:r>
    </w:p>
    <w:p w14:paraId="1EA568AC">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47788E42">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0C32813">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非单一产品采购项目，采购人应当根据采购项目技术构成、产品价格比重等合理确定核心产品，并在招标文件中载明。多家投标人提供的核心产品品牌相同的，按前两款规定处理。</w:t>
      </w:r>
    </w:p>
    <w:p w14:paraId="65E643C0">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2.投标人投标所使用的资格、信誉、荣誉、业绩与企业认证必须为本投标人所拥有。</w:t>
      </w:r>
    </w:p>
    <w:p w14:paraId="18FF6EDD">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3.投标人应仔细阅读招标文件的所有内容，按照招标文件的要求提交投标文件，并对所提供的全部资料的真实性承担法律责任。</w:t>
      </w:r>
    </w:p>
    <w:p w14:paraId="00C4142B">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39C33FD6">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（十）质疑和投诉</w:t>
      </w:r>
    </w:p>
    <w:p w14:paraId="2F17D683">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投标人认为招标文件、招标过程或中标结果使自己的合法权益受到损害的，应当在知道或者应知其权益受到损害之日起七个工作日内，以书面形式向采购人、采购代理机构提出质疑。投标人对招标采购单位的质疑答复不满意或者招标采购单位未在规定时间内作出答复的，可以在答复期满后十五个工作日内向同级采购监管部门投诉。</w:t>
      </w:r>
    </w:p>
    <w:p w14:paraId="41E2ABA4">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2B0DD0">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质疑、投诉应当采用书面形式，质疑书、投诉书均应明确阐述招标文件、招标过程或中标结果中使自己合法权益受到损害的实质性内容，提供相关事实、依据和证据及其来源或线索，便于有关单位调查、答复和处理。</w:t>
      </w:r>
    </w:p>
    <w:p w14:paraId="285B4D1B">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3.供应商须在法定质疑期内一次性提出针对同一采购程序环节的质疑。</w:t>
      </w:r>
    </w:p>
    <w:p w14:paraId="455F625B">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4.供应商认为采购代理机构在质疑答复程序中启用的调查和复评等程序，在该程序操作过程未明显违反法律禁止性规定时，不得提出疑义。</w:t>
      </w:r>
    </w:p>
    <w:p w14:paraId="73C81655">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5.质疑函须采用财政部发布的政府采购供应商质疑函范本（参考样式可从浙江政府采购网下载专区下载），否则采购代理机构有权要求质疑供应商改正后重新提出。</w:t>
      </w:r>
    </w:p>
    <w:p w14:paraId="08A2F9C5">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6.政府采购供应商可以通过登录“浙江政务服务网”（http://www.zjzwfw.gov.cn/），搜索关键字“政府采购投诉处理”，或者选择“部门窗口—省财政厅—行政裁决—政府采购投诉处理”，点击“在线办理”，即可进行在线投诉。财政部门审查受理、处理决定等政府采购投诉处理相关文书均在线送达，政府采购投诉供应商明确表示需要邮寄的除外。</w:t>
      </w:r>
    </w:p>
    <w:p w14:paraId="641321E5">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7.供应商也可通过邮寄方式寄递政府采购投诉材料，邮寄地址为涉及政府采购项目采购人预算级次相应的财政部门。政府采购投诉材料中须写明邮箱地址、传真号码，财政部门审查受理、处理决定等相关文书可通过电子邮件、传真等形式送达，供应商明确表示需要邮寄的除外。</w:t>
      </w:r>
    </w:p>
    <w:p w14:paraId="41DB27C1">
      <w:pPr>
        <w:wordWrap w:val="0"/>
        <w:overflowPunct w:val="0"/>
        <w:autoSpaceDE w:val="0"/>
        <w:autoSpaceDN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8.在线或者邮寄政府采购投诉材料当日下班时间点后收到的视为下一个工作日收到。</w:t>
      </w:r>
    </w:p>
    <w:p w14:paraId="69987F9A">
      <w:pPr>
        <w:pStyle w:val="34"/>
        <w:wordWrap w:val="0"/>
        <w:overflowPunct w:val="0"/>
        <w:autoSpaceDE w:val="0"/>
        <w:autoSpaceDN w:val="0"/>
        <w:snapToGrid w:val="0"/>
        <w:spacing w:line="360" w:lineRule="auto"/>
        <w:outlineLvl w:val="0"/>
        <w:rPr>
          <w:rFonts w:hAnsi="宋体" w:cs="宋体"/>
          <w:b/>
          <w:color w:val="auto"/>
          <w:sz w:val="28"/>
          <w:szCs w:val="28"/>
          <w:highlight w:val="none"/>
        </w:rPr>
      </w:pPr>
      <w:r>
        <w:rPr>
          <w:rFonts w:hint="eastAsia" w:hAnsi="宋体" w:cs="宋体"/>
          <w:b/>
          <w:color w:val="auto"/>
          <w:sz w:val="28"/>
          <w:szCs w:val="28"/>
          <w:highlight w:val="none"/>
        </w:rPr>
        <w:t>二、招标文件</w:t>
      </w:r>
    </w:p>
    <w:p w14:paraId="463B418B">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（一）招标文件的构成。本招标文件由以下部份组成：</w:t>
      </w:r>
    </w:p>
    <w:p w14:paraId="3DA76331">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1.招标公告</w:t>
      </w:r>
    </w:p>
    <w:p w14:paraId="7895C733">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2.招标需求</w:t>
      </w:r>
    </w:p>
    <w:p w14:paraId="1CF62E27">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3.投标人须知</w:t>
      </w:r>
    </w:p>
    <w:p w14:paraId="253FBB8A">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4.评标办法及标准</w:t>
      </w:r>
    </w:p>
    <w:p w14:paraId="4628C173">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5.合同主要条款</w:t>
      </w:r>
    </w:p>
    <w:p w14:paraId="18BCC118">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6.投标文件格式</w:t>
      </w:r>
    </w:p>
    <w:p w14:paraId="1CB1BFBA">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7.本项目招标文件的澄清、答复、修改、补充的内容</w:t>
      </w:r>
    </w:p>
    <w:p w14:paraId="74541134">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（二）投标人的风险</w:t>
      </w:r>
    </w:p>
    <w:p w14:paraId="6B93E00C">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投标人没有按照招标文件要求提供全部资料，或者投标人没有对招标文件在各方面作出实质性响应是投标人的风险，并可能导致其投标为无效标。</w:t>
      </w:r>
    </w:p>
    <w:p w14:paraId="2471144A">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 xml:space="preserve">（三）招标文件的澄清与修改 </w:t>
      </w:r>
    </w:p>
    <w:p w14:paraId="49EF6E12">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1.投标人应认真阅读本招标文件，发现其中有误或有不合理要求的，投标人必须在知道或者应当知道之日起七个工作日内以书面形式向采购人一次性提出。采购代理机构对已发出的招标文件进行必要澄清、答复、修改或补充的，应当在招标文件要求提交投标文件截止时间十五日前，在浙江政府采购网(https://zfcg.czt.zj.gov.cn/)上发布更正公告，请投标人在投标截止前及时关注。招标文件的要澄清、答复、修改或补充，一经在上述媒体发布，即视所有投标人都已经收到相关文件。</w:t>
      </w:r>
    </w:p>
    <w:p w14:paraId="7EA01E13">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2.采购代理机构以公告形式答复投标人要求澄清的问题，但不包含问题来源；除上述媒体发布的答复以外的其他澄清方式及澄清内容均无效。</w:t>
      </w:r>
    </w:p>
    <w:p w14:paraId="2DE91CF6">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3.招标文件澄清、答复、修改、补充的内容为招标文件的组成部分。当招标文件与招标文件的答复、澄清、修改、补充通知就同一内容的表述不一致时，以最后发出的文件为准。</w:t>
      </w:r>
    </w:p>
    <w:p w14:paraId="5617D00C">
      <w:pPr>
        <w:pStyle w:val="54"/>
        <w:wordWrap w:val="0"/>
        <w:overflowPunct w:val="0"/>
        <w:autoSpaceDE w:val="0"/>
        <w:autoSpaceDN w:val="0"/>
        <w:rPr>
          <w:rFonts w:ascii="宋体" w:hAnsi="宋体" w:cs="宋体"/>
          <w:color w:val="auto"/>
          <w:szCs w:val="24"/>
          <w:highlight w:val="none"/>
        </w:rPr>
      </w:pPr>
      <w:r>
        <w:rPr>
          <w:rFonts w:hint="eastAsia" w:ascii="宋体" w:hAnsi="宋体" w:cs="宋体"/>
          <w:color w:val="auto"/>
          <w:szCs w:val="24"/>
          <w:highlight w:val="none"/>
        </w:rPr>
        <w:t>4.招标文件的澄清、答复、修改或补充都应该通过本代理机构以法定形式发布，采购人非通过本机构，不得擅自澄清、答复、修改或补充招标文件。</w:t>
      </w:r>
    </w:p>
    <w:p w14:paraId="4A77B369">
      <w:pPr>
        <w:pStyle w:val="34"/>
        <w:wordWrap w:val="0"/>
        <w:overflowPunct w:val="0"/>
        <w:autoSpaceDE w:val="0"/>
        <w:autoSpaceDN w:val="0"/>
        <w:snapToGrid w:val="0"/>
        <w:spacing w:line="360" w:lineRule="auto"/>
        <w:outlineLvl w:val="0"/>
        <w:rPr>
          <w:rFonts w:hAnsi="宋体" w:cs="宋体"/>
          <w:b/>
          <w:color w:val="auto"/>
          <w:sz w:val="28"/>
          <w:szCs w:val="28"/>
          <w:highlight w:val="none"/>
        </w:rPr>
      </w:pPr>
      <w:r>
        <w:rPr>
          <w:rFonts w:hint="eastAsia" w:hAnsi="宋体" w:cs="宋体"/>
          <w:b/>
          <w:color w:val="auto"/>
          <w:sz w:val="28"/>
          <w:szCs w:val="28"/>
          <w:highlight w:val="none"/>
        </w:rPr>
        <w:t>三、投标文件的编制</w:t>
      </w:r>
    </w:p>
    <w:p w14:paraId="60B78AB1">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(一)总体要求</w:t>
      </w:r>
    </w:p>
    <w:p w14:paraId="217BB0B8">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1.投标人应仔细阅读招标文件的所有内容，按本文件的要求提供投标文件，并保证所提供的全部资料的真实性，以使其投标文件对招标文件作出实质性响应，否则，投标文件可能视为无效投标文件。</w:t>
      </w:r>
    </w:p>
    <w:p w14:paraId="1D85D76C">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2.投标文件及投标人与采购有关的来往通知，函件和文件均应使用中文。</w:t>
      </w:r>
    </w:p>
    <w:p w14:paraId="6FD54B7A">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3.投标文件的形式：投标文件为电子加密投标文件，按“政府采购项目电子交易管理操作指南-供应商”及本招标文件要求制作、加密并递交。</w:t>
      </w:r>
    </w:p>
    <w:p w14:paraId="74C46047">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（二）投标文件的组成</w:t>
      </w:r>
    </w:p>
    <w:p w14:paraId="2A1834C6">
      <w:pPr>
        <w:pStyle w:val="34"/>
        <w:wordWrap w:val="0"/>
        <w:overflowPunct w:val="0"/>
        <w:autoSpaceDE w:val="0"/>
        <w:autoSpaceDN w:val="0"/>
        <w:snapToGrid w:val="0"/>
        <w:spacing w:line="360" w:lineRule="auto"/>
        <w:ind w:firstLine="482" w:firstLineChars="200"/>
        <w:outlineLvl w:val="0"/>
        <w:rPr>
          <w:rFonts w:hAnsi="宋体" w:cs="宋体"/>
          <w:b/>
          <w:color w:val="auto"/>
          <w:sz w:val="24"/>
          <w:szCs w:val="24"/>
          <w:highlight w:val="none"/>
        </w:rPr>
      </w:pPr>
      <w:r>
        <w:rPr>
          <w:rFonts w:hint="eastAsia" w:hAnsi="宋体" w:cs="宋体"/>
          <w:b/>
          <w:color w:val="auto"/>
          <w:sz w:val="24"/>
          <w:szCs w:val="24"/>
          <w:highlight w:val="none"/>
        </w:rPr>
        <w:t>本项目所涉投标文件格式请详见第六章，未给出的格式请自拟。资格文件及商务技术文件中不得出现报价，否则投标文件将被视为无效。投标文件中所须加盖公章部分均采用CA签章。</w:t>
      </w:r>
    </w:p>
    <w:p w14:paraId="23B6DEC6">
      <w:pPr>
        <w:pStyle w:val="34"/>
        <w:wordWrap w:val="0"/>
        <w:overflowPunct w:val="0"/>
        <w:autoSpaceDE w:val="0"/>
        <w:autoSpaceDN w:val="0"/>
        <w:snapToGrid w:val="0"/>
        <w:spacing w:line="360" w:lineRule="auto"/>
        <w:ind w:firstLine="482" w:firstLineChars="200"/>
        <w:rPr>
          <w:rFonts w:hAnsi="宋体" w:cs="宋体"/>
          <w:b/>
          <w:bCs/>
          <w:color w:val="auto"/>
          <w:sz w:val="24"/>
          <w:szCs w:val="24"/>
          <w:highlight w:val="none"/>
        </w:rPr>
      </w:pPr>
      <w:r>
        <w:rPr>
          <w:rFonts w:hint="eastAsia" w:hAnsi="宋体" w:cs="宋体"/>
          <w:b/>
          <w:bCs/>
          <w:color w:val="auto"/>
          <w:sz w:val="24"/>
          <w:szCs w:val="24"/>
          <w:highlight w:val="none"/>
        </w:rPr>
        <w:t>投标文件由资格文件、商务技术文件、报价文件三部分组成。</w:t>
      </w:r>
    </w:p>
    <w:p w14:paraId="475C4907">
      <w:pPr>
        <w:pStyle w:val="34"/>
        <w:wordWrap w:val="0"/>
        <w:overflowPunct w:val="0"/>
        <w:autoSpaceDE w:val="0"/>
        <w:autoSpaceDN w:val="0"/>
        <w:snapToGrid w:val="0"/>
        <w:spacing w:line="360" w:lineRule="auto"/>
        <w:ind w:firstLine="482" w:firstLineChars="200"/>
        <w:rPr>
          <w:rFonts w:hAnsi="宋体" w:cs="宋体"/>
          <w:b/>
          <w:bCs/>
          <w:color w:val="auto"/>
          <w:sz w:val="24"/>
          <w:szCs w:val="24"/>
          <w:highlight w:val="none"/>
        </w:rPr>
      </w:pPr>
      <w:r>
        <w:rPr>
          <w:rFonts w:hint="eastAsia" w:hAnsi="宋体" w:cs="宋体"/>
          <w:b/>
          <w:bCs/>
          <w:color w:val="auto"/>
          <w:sz w:val="24"/>
          <w:szCs w:val="24"/>
          <w:highlight w:val="none"/>
        </w:rPr>
        <w:t>1.资格文件（资格文件所需的证明材料均需加盖供应商公章）：</w:t>
      </w:r>
    </w:p>
    <w:p w14:paraId="3410E98A">
      <w:pPr>
        <w:numPr>
          <w:ilvl w:val="0"/>
          <w:numId w:val="5"/>
        </w:numPr>
        <w:tabs>
          <w:tab w:val="left" w:pos="1418"/>
        </w:tabs>
        <w:snapToGrid w:val="0"/>
        <w:spacing w:line="360" w:lineRule="auto"/>
        <w:ind w:left="0" w:firstLine="705" w:firstLineChars="294"/>
        <w:jc w:val="left"/>
        <w:rPr>
          <w:rFonts w:ascii="宋体" w:hAnsi="宋体"/>
          <w:color w:val="auto"/>
          <w:sz w:val="24"/>
          <w:highlight w:val="none"/>
        </w:rPr>
      </w:pPr>
      <w:r>
        <w:rPr>
          <w:rFonts w:hint="eastAsia" w:cs="宋体"/>
          <w:color w:val="auto"/>
          <w:sz w:val="24"/>
          <w:highlight w:val="none"/>
        </w:rPr>
        <w:t>营业执照</w:t>
      </w:r>
    </w:p>
    <w:p w14:paraId="67B29643">
      <w:pPr>
        <w:numPr>
          <w:ilvl w:val="0"/>
          <w:numId w:val="5"/>
        </w:numPr>
        <w:tabs>
          <w:tab w:val="left" w:pos="1418"/>
        </w:tabs>
        <w:snapToGrid w:val="0"/>
        <w:spacing w:line="360" w:lineRule="auto"/>
        <w:ind w:left="0" w:firstLine="705" w:firstLineChars="294"/>
        <w:jc w:val="left"/>
        <w:rPr>
          <w:rFonts w:ascii="宋体" w:hAnsi="宋体"/>
          <w:color w:val="auto"/>
          <w:sz w:val="24"/>
          <w:highlight w:val="none"/>
        </w:rPr>
      </w:pPr>
      <w:r>
        <w:rPr>
          <w:rFonts w:hint="eastAsia" w:ascii="宋体" w:hAnsi="宋体"/>
          <w:color w:val="auto"/>
          <w:sz w:val="24"/>
          <w:highlight w:val="none"/>
        </w:rPr>
        <w:t>符合参加政府采购活动应当具备的一般条件的承诺函（格式见第六章）</w:t>
      </w:r>
    </w:p>
    <w:p w14:paraId="620C4C2D">
      <w:pPr>
        <w:numPr>
          <w:ilvl w:val="0"/>
          <w:numId w:val="5"/>
        </w:numPr>
        <w:tabs>
          <w:tab w:val="left" w:pos="1418"/>
        </w:tabs>
        <w:snapToGrid w:val="0"/>
        <w:spacing w:line="360" w:lineRule="auto"/>
        <w:ind w:left="0" w:firstLine="705" w:firstLineChars="294"/>
        <w:jc w:val="left"/>
        <w:rPr>
          <w:rFonts w:ascii="宋体" w:hAnsi="宋体"/>
          <w:color w:val="auto"/>
          <w:sz w:val="24"/>
          <w:highlight w:val="none"/>
        </w:rPr>
      </w:pPr>
      <w:r>
        <w:rPr>
          <w:rFonts w:hint="eastAsia" w:ascii="宋体" w:hAnsi="宋体"/>
          <w:color w:val="auto"/>
          <w:sz w:val="24"/>
          <w:highlight w:val="none"/>
        </w:rPr>
        <w:t>中小企业声明函或监狱和戒毒企业企业证明材料或残疾人福利性单位声明函（格式见第六章）</w:t>
      </w:r>
    </w:p>
    <w:p w14:paraId="6F460D01">
      <w:pPr>
        <w:pStyle w:val="58"/>
        <w:widowControl w:val="0"/>
        <w:overflowPunct w:val="0"/>
        <w:autoSpaceDE w:val="0"/>
        <w:autoSpaceDN w:val="0"/>
        <w:adjustRightInd/>
        <w:spacing w:before="0" w:beforeAutospacing="0" w:after="0" w:afterAutospacing="0" w:line="360" w:lineRule="auto"/>
        <w:ind w:firstLine="481"/>
        <w:rPr>
          <w:rFonts w:cs="宋体"/>
          <w:b/>
          <w:bCs/>
          <w:color w:val="auto"/>
          <w:highlight w:val="none"/>
        </w:rPr>
      </w:pPr>
      <w:r>
        <w:rPr>
          <w:rFonts w:hint="eastAsia" w:cs="宋体"/>
          <w:b/>
          <w:bCs/>
          <w:color w:val="auto"/>
          <w:highlight w:val="none"/>
        </w:rPr>
        <w:t>2.商务技术文件</w:t>
      </w:r>
    </w:p>
    <w:p w14:paraId="7C06A2DE">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自评表（格式见第六章）</w:t>
      </w:r>
    </w:p>
    <w:p w14:paraId="08D0A32B">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投标声明书（格式见第六章）</w:t>
      </w:r>
    </w:p>
    <w:p w14:paraId="2AEEDBA8">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法定代表人授权委托书（格式见第六章）</w:t>
      </w:r>
    </w:p>
    <w:p w14:paraId="2E7E3311">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诚信承诺书（格式见第六章）</w:t>
      </w:r>
    </w:p>
    <w:p w14:paraId="26D796DB">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投标人基本情况表（格式见第六章）</w:t>
      </w:r>
    </w:p>
    <w:p w14:paraId="10965F55">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项目业绩</w:t>
      </w:r>
      <w:r>
        <w:rPr>
          <w:rFonts w:hint="eastAsia" w:asciiTheme="minorEastAsia" w:hAnsiTheme="minorEastAsia" w:eastAsiaTheme="minorEastAsia" w:cstheme="minorEastAsia"/>
          <w:color w:val="auto"/>
          <w:sz w:val="24"/>
          <w:highlight w:val="none"/>
        </w:rPr>
        <w:t>（格式见第六章同类项目业绩一览表）</w:t>
      </w:r>
    </w:p>
    <w:p w14:paraId="50D0E25A">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优惠条件</w:t>
      </w:r>
    </w:p>
    <w:p w14:paraId="43346C30">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合理化建议</w:t>
      </w:r>
      <w:bookmarkStart w:id="57" w:name="_GoBack"/>
      <w:bookmarkEnd w:id="57"/>
    </w:p>
    <w:p w14:paraId="7B992060">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总体实施方案</w:t>
      </w:r>
    </w:p>
    <w:p w14:paraId="01008E91">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洗涤设备、配套设施情况</w:t>
      </w:r>
    </w:p>
    <w:p w14:paraId="6B4C8239">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人员配置方案（格式见第六章项目实施人员表）</w:t>
      </w:r>
    </w:p>
    <w:p w14:paraId="1D45EC10">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应急预案</w:t>
      </w:r>
    </w:p>
    <w:p w14:paraId="58AEB83E">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职业保护、保险、环保等保障措施</w:t>
      </w:r>
    </w:p>
    <w:p w14:paraId="22CC2822">
      <w:pPr>
        <w:numPr>
          <w:ilvl w:val="0"/>
          <w:numId w:val="6"/>
        </w:numPr>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投标人根据评标办法及采购需求需要提供的其他资料（如有）</w:t>
      </w:r>
    </w:p>
    <w:p w14:paraId="3657D212">
      <w:pPr>
        <w:pStyle w:val="34"/>
        <w:wordWrap w:val="0"/>
        <w:overflowPunct w:val="0"/>
        <w:autoSpaceDE w:val="0"/>
        <w:autoSpaceDN w:val="0"/>
        <w:spacing w:line="360" w:lineRule="auto"/>
        <w:ind w:firstLine="482" w:firstLineChars="200"/>
        <w:rPr>
          <w:rFonts w:hAnsi="宋体" w:cs="宋体"/>
          <w:b/>
          <w:bCs/>
          <w:color w:val="auto"/>
          <w:sz w:val="24"/>
          <w:szCs w:val="24"/>
          <w:highlight w:val="none"/>
        </w:rPr>
      </w:pPr>
      <w:r>
        <w:rPr>
          <w:rFonts w:hint="eastAsia" w:hAnsi="宋体" w:cs="宋体"/>
          <w:b/>
          <w:bCs/>
          <w:color w:val="auto"/>
          <w:sz w:val="24"/>
          <w:szCs w:val="24"/>
          <w:highlight w:val="none"/>
        </w:rPr>
        <w:t>3.报价文件：</w:t>
      </w:r>
    </w:p>
    <w:p w14:paraId="2696ABAC">
      <w:pPr>
        <w:numPr>
          <w:ilvl w:val="0"/>
          <w:numId w:val="7"/>
        </w:numPr>
        <w:tabs>
          <w:tab w:val="left" w:pos="851"/>
          <w:tab w:val="left" w:pos="1134"/>
        </w:tabs>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hAnsi="宋体" w:cs="宋体"/>
          <w:color w:val="auto"/>
          <w:sz w:val="24"/>
          <w:highlight w:val="none"/>
        </w:rPr>
        <w:t>投标函（格式见第六章）</w:t>
      </w:r>
    </w:p>
    <w:p w14:paraId="2876618E">
      <w:pPr>
        <w:numPr>
          <w:ilvl w:val="0"/>
          <w:numId w:val="7"/>
        </w:numPr>
        <w:tabs>
          <w:tab w:val="left" w:pos="851"/>
          <w:tab w:val="left" w:pos="1134"/>
        </w:tabs>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hAnsi="宋体" w:cs="宋体"/>
          <w:color w:val="auto"/>
          <w:sz w:val="24"/>
          <w:highlight w:val="none"/>
        </w:rPr>
        <w:t>开标一览表（格式见第六章）</w:t>
      </w:r>
    </w:p>
    <w:p w14:paraId="55828449">
      <w:pPr>
        <w:numPr>
          <w:ilvl w:val="0"/>
          <w:numId w:val="7"/>
        </w:numPr>
        <w:tabs>
          <w:tab w:val="left" w:pos="851"/>
          <w:tab w:val="left" w:pos="1134"/>
        </w:tabs>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投标报价明细表</w:t>
      </w:r>
      <w:r>
        <w:rPr>
          <w:rFonts w:hint="eastAsia" w:hAnsi="宋体" w:cs="宋体"/>
          <w:color w:val="auto"/>
          <w:sz w:val="24"/>
          <w:highlight w:val="none"/>
        </w:rPr>
        <w:t>（格式见第六章）</w:t>
      </w:r>
    </w:p>
    <w:p w14:paraId="29AD112F">
      <w:pPr>
        <w:numPr>
          <w:ilvl w:val="0"/>
          <w:numId w:val="7"/>
        </w:numPr>
        <w:tabs>
          <w:tab w:val="left" w:pos="851"/>
          <w:tab w:val="left" w:pos="1134"/>
        </w:tabs>
        <w:snapToGrid w:val="0"/>
        <w:spacing w:line="360" w:lineRule="auto"/>
        <w:ind w:left="0" w:firstLine="480" w:firstLineChars="200"/>
        <w:jc w:val="left"/>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投标人针对报价需要说明的其他文件和说明（如有）</w:t>
      </w:r>
    </w:p>
    <w:p w14:paraId="29C3936E">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b/>
          <w:bCs/>
          <w:color w:val="auto"/>
          <w:sz w:val="24"/>
          <w:highlight w:val="none"/>
        </w:rPr>
        <w:t xml:space="preserve">  </w:t>
      </w:r>
      <w:r>
        <w:rPr>
          <w:rFonts w:hint="eastAsia" w:ascii="宋体" w:hAnsi="宋体" w:cs="宋体"/>
          <w:color w:val="auto"/>
          <w:sz w:val="24"/>
          <w:highlight w:val="none"/>
        </w:rPr>
        <w:t xml:space="preserve">  4.投标文件内容填写说明 </w:t>
      </w:r>
    </w:p>
    <w:p w14:paraId="486D96F1">
      <w:pPr>
        <w:wordWrap w:val="0"/>
        <w:overflowPunct w:val="0"/>
        <w:autoSpaceDE w:val="0"/>
        <w:autoSpaceDN w:val="0"/>
        <w:snapToGrid w:val="0"/>
        <w:spacing w:line="360" w:lineRule="auto"/>
        <w:jc w:val="left"/>
        <w:rPr>
          <w:rFonts w:ascii="宋体" w:hAnsi="宋体" w:cs="宋体"/>
          <w:bCs/>
          <w:color w:val="auto"/>
          <w:sz w:val="24"/>
          <w:highlight w:val="none"/>
        </w:rPr>
      </w:pPr>
      <w:r>
        <w:rPr>
          <w:rFonts w:hint="eastAsia" w:ascii="宋体" w:hAnsi="宋体" w:cs="宋体"/>
          <w:color w:val="auto"/>
          <w:sz w:val="24"/>
          <w:highlight w:val="none"/>
        </w:rPr>
        <w:t xml:space="preserve">   （1）投标人应在认真阅读招标文件所有内容的基础上，按照招标文件的要求编制完整的投标文件。投标文件应按照招标文件中规定的统一格式填写：</w:t>
      </w:r>
      <w:r>
        <w:rPr>
          <w:rFonts w:hint="eastAsia" w:ascii="宋体" w:hAnsi="宋体" w:cs="宋体"/>
          <w:bCs/>
          <w:color w:val="auto"/>
          <w:sz w:val="24"/>
          <w:highlight w:val="none"/>
        </w:rPr>
        <w:t>电子投标文件按政采云平台供应商项目采购-电子招投标操作指南（网址：https://service.zcygov.cn/#/knowledges/CW1EtGwBFdiHxlNd6I3m/6IMVAG0BFdiHxlNdQ8Na?keyword）及本招标文件要求制作、加密。</w:t>
      </w:r>
    </w:p>
    <w:p w14:paraId="2FC19FF0">
      <w:pPr>
        <w:wordWrap w:val="0"/>
        <w:overflowPunct w:val="0"/>
        <w:autoSpaceDE w:val="0"/>
        <w:autoSpaceDN w:val="0"/>
        <w:snapToGrid w:val="0"/>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（2）招标文件对投标文件格式有要求的应按格式逐项填写内容，不准有空项；无相应内容可填的项应填写“无”、“未测试”、“没有相应指标”等明确的回答文字。</w:t>
      </w:r>
      <w:r>
        <w:rPr>
          <w:rFonts w:hint="eastAsia" w:ascii="宋体" w:hAnsi="宋体" w:cs="宋体"/>
          <w:color w:val="auto"/>
          <w:sz w:val="24"/>
          <w:highlight w:val="none"/>
          <w:lang w:val="en-US" w:eastAsia="zh-CN"/>
        </w:rPr>
        <w:t>否则作投标无效处理。</w:t>
      </w:r>
    </w:p>
    <w:p w14:paraId="446FE1A4">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（3）投标人必须保证投标文件所提供的全部资料真实可靠，并接受采购人对其中任何资料进一步审查的要求。</w:t>
      </w:r>
    </w:p>
    <w:p w14:paraId="57888077">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（4）《开标一览表》为在开标仪式上唱标的内容，要求按格式填写、统一规范，不得自行增减内容。</w:t>
      </w:r>
    </w:p>
    <w:p w14:paraId="1C42D654">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（5）投标文件须对招标文件中的内容做出实质性的和完整的响应，否则其投标将被拒绝。如果投标文件填报的内容资料不详，或没有提供招标文件中所要求的全部资料及数据，将会导致投标被拒绝。</w:t>
      </w:r>
    </w:p>
    <w:p w14:paraId="17610164">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6）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采购人可以拒绝其投标文件。</w:t>
      </w:r>
    </w:p>
    <w:p w14:paraId="63473ABD">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（7）投标响应文件不得涂改和增删，如有错漏必须修改。</w:t>
      </w:r>
    </w:p>
    <w:p w14:paraId="5BDA2CA9">
      <w:pPr>
        <w:wordWrap w:val="0"/>
        <w:overflowPunct w:val="0"/>
        <w:autoSpaceDE w:val="0"/>
        <w:autoSpaceDN w:val="0"/>
        <w:snapToGrid w:val="0"/>
        <w:spacing w:line="360" w:lineRule="auto"/>
        <w:rPr>
          <w:rFonts w:ascii="宋体" w:hAnsi="宋体" w:cs="宋体"/>
          <w:b/>
          <w:bCs/>
          <w:color w:val="auto"/>
          <w:sz w:val="24"/>
          <w:highlight w:val="none"/>
        </w:rPr>
      </w:pPr>
      <w:r>
        <w:rPr>
          <w:rFonts w:hint="eastAsia" w:ascii="宋体" w:hAnsi="宋体" w:cs="宋体"/>
          <w:color w:val="auto"/>
          <w:sz w:val="24"/>
          <w:highlight w:val="none"/>
        </w:rPr>
        <w:t xml:space="preserve">    （8）由于字迹模糊或表达不清引起的后果由供应商负责。</w:t>
      </w:r>
    </w:p>
    <w:p w14:paraId="53EAD513">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（三）投标文件的语言及计量</w:t>
      </w:r>
    </w:p>
    <w:p w14:paraId="0CC37082">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▲1投标文件以及投标方与招标方就有关投标事宜的所有来往函电，均应以中文汉语书写。除签名、盖章、专用名称等特殊情形外，以中文汉语以外的文字表述的投标文件视同未提供。</w:t>
      </w:r>
    </w:p>
    <w:p w14:paraId="43B99E08">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▲2投标计量单位，招标文件已有明确规定的，使用招标文件规定的计量单位；招标文件没有规定的，应采用中华人民共和国法定计量单位（货币单位：人民币元），否则视同未响应。</w:t>
      </w:r>
    </w:p>
    <w:p w14:paraId="0BD54819">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（四）投标报价</w:t>
      </w:r>
    </w:p>
    <w:p w14:paraId="1AA86D6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1.投标报价应按招标文件中相关附表格式填写。</w:t>
      </w:r>
    </w:p>
    <w:p w14:paraId="7C68E361">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▲2.投标报价是履行合同的最终价格，</w:t>
      </w:r>
      <w:r>
        <w:rPr>
          <w:rFonts w:hint="eastAsia" w:ascii="宋体" w:hAnsi="宋体" w:cs="宋体"/>
          <w:color w:val="auto"/>
          <w:sz w:val="24"/>
          <w:highlight w:val="none"/>
          <w:lang w:eastAsia="zh-CN"/>
        </w:rPr>
        <w:t>报价按固定单价方式进行报价，</w:t>
      </w:r>
      <w:r>
        <w:rPr>
          <w:rFonts w:hint="eastAsia" w:ascii="宋体" w:hAnsi="宋体" w:cs="宋体"/>
          <w:color w:val="auto"/>
          <w:sz w:val="24"/>
          <w:highlight w:val="none"/>
          <w:lang w:eastAsia="zh-CN"/>
        </w:rPr>
        <w:t>按当月实际床日数量*中标单价结算</w:t>
      </w:r>
      <w:r>
        <w:rPr>
          <w:rFonts w:hint="eastAsia" w:ascii="Calibri" w:hAnsi="宋体"/>
          <w:b w:val="0"/>
          <w:bCs w:val="0"/>
          <w:color w:val="auto"/>
          <w:kern w:val="0"/>
          <w:sz w:val="24"/>
          <w:szCs w:val="24"/>
          <w:highlight w:val="none"/>
          <w:lang w:val="en-US" w:eastAsia="zh-CN"/>
        </w:rPr>
        <w:t>。报价应包括完成本项目所有工作内容所需的人员、设备、材料、劳务、管理、风险、规费、税金（增值税等）、利润、政策性文件上各项应有费用等一切相关费用。各投标人所填写的投标报价在合同实施期间不因市场因素而变动，投标人发生差错遗漏的费用均不再调整（除招标文件另有说明外）</w:t>
      </w:r>
      <w:r>
        <w:rPr>
          <w:rFonts w:hint="eastAsia" w:ascii="宋体" w:hAnsi="宋体" w:cs="宋体"/>
          <w:color w:val="auto"/>
          <w:sz w:val="24"/>
          <w:highlight w:val="none"/>
        </w:rPr>
        <w:t>。</w:t>
      </w:r>
    </w:p>
    <w:p w14:paraId="491FBF3B">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▲3.投标文件只允许有一个报价，有选择的或有条件的报价将不予接受。</w:t>
      </w:r>
    </w:p>
    <w:p w14:paraId="689B75FE">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（五）投标文件的有效期</w:t>
      </w:r>
    </w:p>
    <w:p w14:paraId="3A004A99">
      <w:pPr>
        <w:pStyle w:val="16"/>
        <w:widowControl w:val="0"/>
        <w:tabs>
          <w:tab w:val="left" w:pos="720"/>
          <w:tab w:val="clear" w:pos="390"/>
        </w:tabs>
        <w:wordWrap w:val="0"/>
        <w:overflowPunct w:val="0"/>
        <w:autoSpaceDE w:val="0"/>
        <w:autoSpaceDN w:val="0"/>
        <w:snapToGrid w:val="0"/>
        <w:spacing w:after="0" w:afterLines="0" w:line="360" w:lineRule="auto"/>
        <w:ind w:left="0" w:firstLine="480" w:firstLineChars="200"/>
        <w:rPr>
          <w:rFonts w:ascii="宋体" w:hAnsi="宋体" w:cs="宋体"/>
          <w:color w:val="auto"/>
          <w:szCs w:val="24"/>
          <w:highlight w:val="none"/>
        </w:rPr>
      </w:pPr>
      <w:r>
        <w:rPr>
          <w:rFonts w:hint="eastAsia" w:ascii="宋体" w:hAnsi="宋体" w:cs="宋体"/>
          <w:color w:val="auto"/>
          <w:szCs w:val="24"/>
          <w:highlight w:val="none"/>
        </w:rPr>
        <w:t>▲1.自投标截止日起</w:t>
      </w:r>
      <w:r>
        <w:rPr>
          <w:rFonts w:hint="eastAsia" w:ascii="宋体" w:hAnsi="宋体" w:cs="宋体"/>
          <w:color w:val="auto"/>
          <w:szCs w:val="24"/>
          <w:highlight w:val="none"/>
          <w:u w:val="single"/>
        </w:rPr>
        <w:t xml:space="preserve"> 90</w:t>
      </w:r>
      <w:r>
        <w:rPr>
          <w:rFonts w:hint="eastAsia" w:ascii="宋体" w:hAnsi="宋体" w:cs="宋体"/>
          <w:color w:val="auto"/>
          <w:szCs w:val="24"/>
          <w:highlight w:val="none"/>
        </w:rPr>
        <w:t>天投标文件应保持有效。有效期不足的投标文件将被拒绝。</w:t>
      </w:r>
    </w:p>
    <w:p w14:paraId="20756BA8">
      <w:pPr>
        <w:pStyle w:val="16"/>
        <w:widowControl w:val="0"/>
        <w:tabs>
          <w:tab w:val="left" w:pos="720"/>
          <w:tab w:val="clear" w:pos="390"/>
        </w:tabs>
        <w:wordWrap w:val="0"/>
        <w:overflowPunct w:val="0"/>
        <w:autoSpaceDE w:val="0"/>
        <w:autoSpaceDN w:val="0"/>
        <w:snapToGrid w:val="0"/>
        <w:spacing w:after="0" w:afterLines="0" w:line="360" w:lineRule="auto"/>
        <w:ind w:left="0" w:firstLine="480" w:firstLineChars="200"/>
        <w:rPr>
          <w:rFonts w:ascii="宋体" w:hAnsi="宋体" w:cs="宋体"/>
          <w:color w:val="auto"/>
          <w:szCs w:val="24"/>
          <w:highlight w:val="none"/>
        </w:rPr>
      </w:pPr>
      <w:r>
        <w:rPr>
          <w:rFonts w:hint="eastAsia" w:ascii="宋体" w:hAnsi="宋体" w:cs="宋体"/>
          <w:color w:val="auto"/>
          <w:szCs w:val="24"/>
          <w:highlight w:val="none"/>
        </w:rPr>
        <w:t>2.在特殊情况下，采购人可与投标人协商延长投标书的有效期，这种要求和答复均以书面形式进行。</w:t>
      </w:r>
    </w:p>
    <w:p w14:paraId="60880E66">
      <w:pPr>
        <w:wordWrap w:val="0"/>
        <w:overflowPunct w:val="0"/>
        <w:autoSpaceDE w:val="0"/>
        <w:autoSpaceDN w:val="0"/>
        <w:snapToGrid w:val="0"/>
        <w:spacing w:line="360" w:lineRule="auto"/>
        <w:ind w:firstLine="480" w:firstLineChars="200"/>
        <w:jc w:val="left"/>
        <w:outlineLvl w:val="0"/>
        <w:rPr>
          <w:rFonts w:ascii="宋体" w:hAnsi="宋体" w:cs="宋体"/>
          <w:color w:val="auto"/>
          <w:sz w:val="24"/>
          <w:highlight w:val="none"/>
        </w:rPr>
      </w:pPr>
      <w:r>
        <w:rPr>
          <w:rFonts w:hint="eastAsia" w:ascii="宋体" w:hAnsi="宋体" w:cs="宋体"/>
          <w:color w:val="auto"/>
          <w:sz w:val="24"/>
          <w:highlight w:val="none"/>
        </w:rPr>
        <w:t>3.中标人的投标文件自开标之日起至合同履行完毕止均应保持有效。</w:t>
      </w:r>
    </w:p>
    <w:p w14:paraId="4394AF5A">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（六）投标保证金：无</w:t>
      </w:r>
    </w:p>
    <w:p w14:paraId="4BA4373C">
      <w:pPr>
        <w:pStyle w:val="34"/>
        <w:wordWrap w:val="0"/>
        <w:overflowPunct w:val="0"/>
        <w:autoSpaceDE w:val="0"/>
        <w:autoSpaceDN w:val="0"/>
        <w:snapToGrid w:val="0"/>
        <w:spacing w:line="360" w:lineRule="auto"/>
        <w:outlineLvl w:val="0"/>
        <w:rPr>
          <w:rFonts w:hAnsi="宋体" w:cs="宋体"/>
          <w:b/>
          <w:color w:val="auto"/>
          <w:sz w:val="24"/>
          <w:szCs w:val="24"/>
          <w:highlight w:val="none"/>
        </w:rPr>
      </w:pPr>
      <w:bookmarkStart w:id="38" w:name="_Toc359856802"/>
      <w:r>
        <w:rPr>
          <w:rFonts w:hint="eastAsia" w:hAnsi="宋体" w:cs="宋体"/>
          <w:b/>
          <w:color w:val="auto"/>
          <w:sz w:val="24"/>
          <w:szCs w:val="24"/>
          <w:highlight w:val="none"/>
        </w:rPr>
        <w:t>（七）投标文件的签署及规定</w:t>
      </w:r>
      <w:bookmarkEnd w:id="38"/>
    </w:p>
    <w:p w14:paraId="5E750E51">
      <w:pPr>
        <w:wordWrap w:val="0"/>
        <w:overflowPunct w:val="0"/>
        <w:autoSpaceDE w:val="0"/>
        <w:autoSpaceDN w:val="0"/>
        <w:snapToGrid w:val="0"/>
        <w:spacing w:line="360" w:lineRule="auto"/>
        <w:ind w:firstLine="480" w:firstLineChars="200"/>
        <w:jc w:val="left"/>
        <w:outlineLvl w:val="1"/>
        <w:rPr>
          <w:rFonts w:ascii="宋体" w:hAnsi="宋体" w:cs="宋体"/>
          <w:bCs/>
          <w:color w:val="auto"/>
          <w:sz w:val="24"/>
          <w:highlight w:val="none"/>
        </w:rPr>
      </w:pPr>
      <w:r>
        <w:rPr>
          <w:rFonts w:hint="eastAsia" w:ascii="宋体" w:hAnsi="宋体" w:cs="宋体"/>
          <w:bCs/>
          <w:color w:val="auto"/>
          <w:sz w:val="24"/>
          <w:highlight w:val="none"/>
        </w:rPr>
        <w:t>电子投标文件按政采云平台供应商项目采购-电子招投标操作指南（网址：</w:t>
      </w:r>
      <w:r>
        <w:rPr>
          <w:color w:val="auto"/>
          <w:highlight w:val="none"/>
        </w:rPr>
        <w:fldChar w:fldCharType="begin"/>
      </w:r>
      <w:r>
        <w:rPr>
          <w:color w:val="auto"/>
          <w:highlight w:val="none"/>
        </w:rPr>
        <w:instrText xml:space="preserve"> HYPERLINK "https://help.zcy.gov.cn/web/site_2/2018/12-28/2573.html）及本招标文件规定的格式和顺序编制电子投标文件并进行关联定位。" </w:instrText>
      </w:r>
      <w:r>
        <w:rPr>
          <w:color w:val="auto"/>
          <w:highlight w:val="none"/>
        </w:rPr>
        <w:fldChar w:fldCharType="separate"/>
      </w:r>
      <w:r>
        <w:rPr>
          <w:rFonts w:hint="eastAsia" w:ascii="宋体" w:hAnsi="宋体" w:cs="宋体"/>
          <w:bCs/>
          <w:color w:val="auto"/>
          <w:sz w:val="24"/>
          <w:highlight w:val="none"/>
        </w:rPr>
        <w:t>https://service.zcygov.cn/#/knowledges/CW1EtGwBFdiHxlNd6I3m/6IMVAG0BFdiHxlNdQ8Na?keyword</w:t>
      </w:r>
      <w:r>
        <w:rPr>
          <w:rStyle w:val="77"/>
          <w:rFonts w:hint="eastAsia" w:ascii="宋体" w:hAnsi="宋体" w:cs="宋体"/>
          <w:bCs/>
          <w:color w:val="auto"/>
          <w:sz w:val="24"/>
          <w:highlight w:val="none"/>
        </w:rPr>
        <w:t>）及本招标文件规定的格式和顺序编制电子投标文件并进行关联定位。</w:t>
      </w:r>
      <w:r>
        <w:rPr>
          <w:rStyle w:val="77"/>
          <w:rFonts w:hint="eastAsia" w:ascii="宋体" w:hAnsi="宋体" w:cs="宋体"/>
          <w:bCs/>
          <w:color w:val="auto"/>
          <w:sz w:val="24"/>
          <w:highlight w:val="none"/>
        </w:rPr>
        <w:fldChar w:fldCharType="end"/>
      </w:r>
    </w:p>
    <w:p w14:paraId="49AB3495">
      <w:pPr>
        <w:pStyle w:val="34"/>
        <w:wordWrap w:val="0"/>
        <w:overflowPunct w:val="0"/>
        <w:autoSpaceDE w:val="0"/>
        <w:autoSpaceDN w:val="0"/>
        <w:snapToGrid w:val="0"/>
        <w:spacing w:line="360" w:lineRule="auto"/>
        <w:outlineLvl w:val="0"/>
        <w:rPr>
          <w:rFonts w:hAnsi="宋体" w:cs="宋体"/>
          <w:b/>
          <w:color w:val="auto"/>
          <w:sz w:val="24"/>
          <w:szCs w:val="24"/>
          <w:highlight w:val="none"/>
        </w:rPr>
      </w:pPr>
      <w:bookmarkStart w:id="39" w:name="_Toc356371437"/>
      <w:bookmarkStart w:id="40" w:name="_Toc359856803"/>
      <w:r>
        <w:rPr>
          <w:rFonts w:hint="eastAsia" w:hAnsi="宋体" w:cs="宋体"/>
          <w:b/>
          <w:color w:val="auto"/>
          <w:sz w:val="24"/>
          <w:szCs w:val="24"/>
          <w:highlight w:val="none"/>
        </w:rPr>
        <w:t>（八）投标文件的递交</w:t>
      </w:r>
      <w:bookmarkEnd w:id="39"/>
      <w:bookmarkEnd w:id="40"/>
    </w:p>
    <w:p w14:paraId="2D45C2E0">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1.递交投标文件截止期</w:t>
      </w:r>
    </w:p>
    <w:p w14:paraId="1F13E835">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w:t>
      </w:r>
    </w:p>
    <w:p w14:paraId="4CDD0AAE">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2.投标文件的修改和撤销</w:t>
      </w:r>
    </w:p>
    <w:p w14:paraId="6FF84BD0">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（1）投标人在递交投标文件后，可以修改或撤回其投标文件：递交投标文件截止时间之前补充或者修改电子投标文件的，应当先行撤回原文件，补充、修改后重新传输递交。</w:t>
      </w:r>
    </w:p>
    <w:p w14:paraId="078E70BD">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（2）投标人修改后的投标文件应按原来的规定编制、密封、标记和递交。</w:t>
      </w:r>
    </w:p>
    <w:p w14:paraId="6F8ED2BC">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（3）在递交投标文件截止期之后，投标人不得对其投标文件做任何修改。</w:t>
      </w:r>
    </w:p>
    <w:p w14:paraId="5C2131E4">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（4）递交投标文件截止期后，投标人不得撤回其投标文件。</w:t>
      </w:r>
    </w:p>
    <w:p w14:paraId="2872D97B">
      <w:pPr>
        <w:wordWrap w:val="0"/>
        <w:overflowPunct w:val="0"/>
        <w:autoSpaceDE w:val="0"/>
        <w:autoSpaceDN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（5）实质上没有响应本文件要求的投标文件将被拒绝。投标人不得通过修正或撤销不合要求的偏离或保留从而使其投标文件成为实质上响应的文件。</w:t>
      </w:r>
    </w:p>
    <w:p w14:paraId="16B1F2E0">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3.备份投标文件</w:t>
      </w:r>
    </w:p>
    <w:p w14:paraId="39266AC4">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（1）</w:t>
      </w:r>
      <w:r>
        <w:rPr>
          <w:rFonts w:hint="eastAsia" w:ascii="宋体" w:hAnsi="宋体" w:cs="宋体"/>
          <w:color w:val="auto"/>
          <w:sz w:val="24"/>
          <w:highlight w:val="none"/>
        </w:rPr>
        <w:t>投标人在电子交易平台传输递交投标文件后，还可以在投标截止时间前直接提交或者以邮政快递方式递交备份投标文件1份，但采购人、采购机构不强制或变相强制投标人提交备份投标文件。</w:t>
      </w:r>
    </w:p>
    <w:p w14:paraId="7565C55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（2）</w:t>
      </w:r>
      <w:r>
        <w:rPr>
          <w:rFonts w:hint="eastAsia" w:ascii="宋体" w:hAnsi="宋体" w:cs="宋体"/>
          <w:color w:val="auto"/>
          <w:sz w:val="24"/>
          <w:highlight w:val="none"/>
        </w:rPr>
        <w:t>备份投标文件须在“政采云投标客户端”制作生成，并储存在</w:t>
      </w:r>
      <w:r>
        <w:rPr>
          <w:rFonts w:hint="eastAsia" w:ascii="宋体" w:hAnsi="宋体" w:cs="宋体"/>
          <w:b/>
          <w:bCs/>
          <w:color w:val="auto"/>
          <w:sz w:val="24"/>
          <w:highlight w:val="none"/>
        </w:rPr>
        <w:t>（U盘）</w:t>
      </w:r>
      <w:r>
        <w:rPr>
          <w:rFonts w:hint="eastAsia" w:ascii="宋体" w:hAnsi="宋体" w:cs="宋体"/>
          <w:color w:val="auto"/>
          <w:sz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493A4215">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（3）</w:t>
      </w:r>
      <w:r>
        <w:rPr>
          <w:rFonts w:hint="eastAsia" w:ascii="宋体" w:hAnsi="宋体" w:cs="宋体"/>
          <w:color w:val="auto"/>
          <w:sz w:val="24"/>
          <w:highlight w:val="none"/>
        </w:rPr>
        <w:t>直接提交备份投标文件的，投标人应于投标截止时间前在招标公告中载明的开标地点将备份投标文件提交给采购机构，采购机构将拒绝接受逾期送达的备份投标文件。</w:t>
      </w:r>
    </w:p>
    <w:p w14:paraId="3F7B6E3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（4）</w:t>
      </w:r>
      <w:r>
        <w:rPr>
          <w:rFonts w:hint="eastAsia" w:ascii="宋体" w:hAnsi="宋体" w:cs="宋体"/>
          <w:color w:val="auto"/>
          <w:sz w:val="24"/>
          <w:highlight w:val="none"/>
        </w:rPr>
        <w:t>以邮政快递方式递交备份投标文件的，投标人应先将备份投标文件按要求密封和标记，再进行邮政快递包装后邮寄。</w:t>
      </w:r>
    </w:p>
    <w:p w14:paraId="5BB7BB0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（5）</w:t>
      </w:r>
      <w:r>
        <w:rPr>
          <w:rFonts w:hint="eastAsia" w:ascii="宋体" w:hAnsi="宋体" w:cs="宋体"/>
          <w:color w:val="auto"/>
          <w:sz w:val="24"/>
          <w:highlight w:val="none"/>
        </w:rPr>
        <w:t>投标人仅提交备份投标文件，没有在电子交易平台传输递交投标文件的，投标无效。</w:t>
      </w:r>
    </w:p>
    <w:p w14:paraId="1D8B623F">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（九）投标无效的情形</w:t>
      </w:r>
    </w:p>
    <w:p w14:paraId="6167C07F">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eastAsia="zh-CN"/>
        </w:rPr>
        <w:t>参与同一个采购包（标段）的供应商存在下列情形之一且无法合理解释的</w:t>
      </w:r>
      <w:r>
        <w:rPr>
          <w:rFonts w:hint="eastAsia" w:ascii="宋体" w:hAnsi="宋体" w:cs="宋体"/>
          <w:color w:val="auto"/>
          <w:sz w:val="24"/>
          <w:highlight w:val="none"/>
        </w:rPr>
        <w:t>，其投标（响应）文件无效：</w:t>
      </w:r>
    </w:p>
    <w:p w14:paraId="37FA203B">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(一)不同投标人的投标文件由同一单位或者个人编制；</w:t>
      </w:r>
    </w:p>
    <w:p w14:paraId="6642E7E4">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(二)不同投标人委托同一单位或者个人办理投标事宜；</w:t>
      </w:r>
    </w:p>
    <w:p w14:paraId="0E874C73">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(三)不同投标人的投标文件载明的项目管理成员或者联系人员为同一人；</w:t>
      </w:r>
    </w:p>
    <w:p w14:paraId="03C2C8C8">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(四)不同投标人的投标文件异常一致或者投标报价呈规律性差异；</w:t>
      </w:r>
    </w:p>
    <w:p w14:paraId="0742A6CE">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(五)不同投标人的投标文件相互混装；</w:t>
      </w:r>
    </w:p>
    <w:p w14:paraId="03519C4D">
      <w:pPr>
        <w:wordWrap w:val="0"/>
        <w:overflowPunct w:val="0"/>
        <w:autoSpaceDE w:val="0"/>
        <w:autoSpaceDN w:val="0"/>
        <w:snapToGrid w:val="0"/>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(六)不同投标人的投标保证金从同一单位或者个人的账户转出</w:t>
      </w:r>
      <w:r>
        <w:rPr>
          <w:rFonts w:hint="eastAsia" w:ascii="宋体" w:hAnsi="宋体" w:cs="宋体"/>
          <w:color w:val="auto"/>
          <w:sz w:val="24"/>
          <w:highlight w:val="none"/>
          <w:lang w:eastAsia="zh-CN"/>
        </w:rPr>
        <w:t>；</w:t>
      </w:r>
    </w:p>
    <w:p w14:paraId="0CFA951C">
      <w:pPr>
        <w:wordWrap w:val="0"/>
        <w:overflowPunct w:val="0"/>
        <w:autoSpaceDE w:val="0"/>
        <w:autoSpaceDN w:val="0"/>
        <w:snapToGrid w:val="0"/>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(七)不同供应商的电子投标（响应）文件上传计算机的网卡MAC地址或硬盘序列号等硬件信息相同的；</w:t>
      </w:r>
    </w:p>
    <w:p w14:paraId="152D5678">
      <w:pPr>
        <w:wordWrap w:val="0"/>
        <w:overflowPunct w:val="0"/>
        <w:autoSpaceDE w:val="0"/>
        <w:autoSpaceDN w:val="0"/>
        <w:snapToGrid w:val="0"/>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(八)上传的电子投标（响应）文件若出现使用本项目其他投标（响应）供应商的数字证书加密的，或者加盖本项目其他投标（响应）供应商的电子印章的；</w:t>
      </w:r>
    </w:p>
    <w:p w14:paraId="4160EA6C">
      <w:pPr>
        <w:wordWrap w:val="0"/>
        <w:overflowPunct w:val="0"/>
        <w:autoSpaceDE w:val="0"/>
        <w:autoSpaceDN w:val="0"/>
        <w:snapToGrid w:val="0"/>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(九)不同供应商的投标（响应）文件的内容存在3处（含）以上错误一致的；</w:t>
      </w:r>
    </w:p>
    <w:p w14:paraId="1EAF362E">
      <w:pPr>
        <w:wordWrap w:val="0"/>
        <w:overflowPunct w:val="0"/>
        <w:autoSpaceDE w:val="0"/>
        <w:autoSpaceDN w:val="0"/>
        <w:snapToGrid w:val="0"/>
        <w:spacing w:line="360" w:lineRule="auto"/>
        <w:ind w:firstLine="480" w:firstLineChars="200"/>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(十)不同供应商联系人为同一人或不同联系人的联系电话一致的；</w:t>
      </w:r>
    </w:p>
    <w:p w14:paraId="59BFE6CE">
      <w:pPr>
        <w:wordWrap w:val="0"/>
        <w:overflowPunct w:val="0"/>
        <w:autoSpaceDE w:val="0"/>
        <w:autoSpaceDN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728C8A2D">
      <w:pPr>
        <w:numPr>
          <w:ilvl w:val="0"/>
          <w:numId w:val="8"/>
        </w:numPr>
        <w:wordWrap w:val="0"/>
        <w:overflowPunct w:val="0"/>
        <w:autoSpaceDE w:val="0"/>
        <w:autoSpaceDN w:val="0"/>
        <w:snapToGrid w:val="0"/>
        <w:spacing w:line="360" w:lineRule="auto"/>
        <w:ind w:firstLine="466" w:firstLineChars="200"/>
        <w:jc w:val="left"/>
        <w:rPr>
          <w:rFonts w:ascii="宋体" w:hAnsi="宋体" w:cs="宋体"/>
          <w:b/>
          <w:bCs/>
          <w:color w:val="auto"/>
          <w:sz w:val="24"/>
          <w:highlight w:val="none"/>
        </w:rPr>
      </w:pPr>
      <w:r>
        <w:rPr>
          <w:rFonts w:hint="eastAsia" w:ascii="宋体" w:hAnsi="宋体" w:cs="宋体"/>
          <w:b/>
          <w:bCs/>
          <w:color w:val="auto"/>
          <w:spacing w:val="-4"/>
          <w:sz w:val="24"/>
          <w:highlight w:val="none"/>
        </w:rPr>
        <w:t>电</w:t>
      </w:r>
      <w:r>
        <w:rPr>
          <w:rFonts w:hint="eastAsia" w:ascii="宋体" w:hAnsi="宋体" w:cs="宋体"/>
          <w:b/>
          <w:bCs/>
          <w:color w:val="auto"/>
          <w:sz w:val="24"/>
          <w:highlight w:val="none"/>
        </w:rPr>
        <w:t xml:space="preserve">子加密投标文件解密失败的；   </w:t>
      </w:r>
    </w:p>
    <w:p w14:paraId="66588AE3">
      <w:pPr>
        <w:wordWrap w:val="0"/>
        <w:overflowPunct w:val="0"/>
        <w:autoSpaceDE w:val="0"/>
        <w:autoSpaceDN w:val="0"/>
        <w:snapToGrid w:val="0"/>
        <w:spacing w:line="360" w:lineRule="auto"/>
        <w:jc w:val="left"/>
        <w:rPr>
          <w:rFonts w:ascii="宋体" w:hAnsi="宋体" w:cs="宋体"/>
          <w:b/>
          <w:bCs/>
          <w:color w:val="auto"/>
          <w:sz w:val="24"/>
          <w:highlight w:val="none"/>
        </w:rPr>
      </w:pPr>
      <w:r>
        <w:rPr>
          <w:rFonts w:hint="eastAsia" w:ascii="宋体" w:hAnsi="宋体" w:cs="宋体"/>
          <w:b/>
          <w:bCs/>
          <w:color w:val="auto"/>
          <w:sz w:val="24"/>
          <w:highlight w:val="none"/>
        </w:rPr>
        <w:t xml:space="preserve">    2.没有通过资格审查的，投标文件将被视为无效。</w:t>
      </w:r>
    </w:p>
    <w:p w14:paraId="0CDC826A">
      <w:pPr>
        <w:wordWrap w:val="0"/>
        <w:overflowPunct w:val="0"/>
        <w:autoSpaceDE w:val="0"/>
        <w:autoSpaceDN w:val="0"/>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3.在符合性审查和资信商务评审时，如发现下列情形之一的，投标文件将被视为无效：</w:t>
      </w:r>
    </w:p>
    <w:p w14:paraId="19A6DB3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（1）电子投标文件未按规定要求提供电子签章的。</w:t>
      </w:r>
    </w:p>
    <w:p w14:paraId="01ACD0C1">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（2）在资格文件或商务技术文件中出现报价的；</w:t>
      </w:r>
    </w:p>
    <w:p w14:paraId="41DA62EA">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（3）资格证明文件不全的，或者不符合招标文件标明的资格要求的；</w:t>
      </w:r>
    </w:p>
    <w:p w14:paraId="56CF9C34">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（4）投标文件无法定代表人签字（或盖章）,或未</w:t>
      </w:r>
      <w:r>
        <w:rPr>
          <w:rFonts w:hint="eastAsia" w:ascii="宋体" w:hAnsi="宋体" w:cs="宋体"/>
          <w:bCs/>
          <w:color w:val="auto"/>
          <w:kern w:val="0"/>
          <w:sz w:val="24"/>
          <w:highlight w:val="none"/>
        </w:rPr>
        <w:t>提供法定代表人授权委托书、投标声明书或者填写项目不齐全的；</w:t>
      </w:r>
    </w:p>
    <w:p w14:paraId="16757685">
      <w:pPr>
        <w:wordWrap w:val="0"/>
        <w:overflowPunct w:val="0"/>
        <w:autoSpaceDE w:val="0"/>
        <w:autoSpaceDN w:val="0"/>
        <w:snapToGrid w:val="0"/>
        <w:spacing w:line="360" w:lineRule="auto"/>
        <w:ind w:firstLine="480" w:firstLineChars="200"/>
        <w:rPr>
          <w:rFonts w:ascii="宋体" w:hAnsi="宋体" w:cs="宋体"/>
          <w:bCs/>
          <w:color w:val="auto"/>
          <w:kern w:val="0"/>
          <w:sz w:val="24"/>
          <w:highlight w:val="none"/>
        </w:rPr>
      </w:pPr>
      <w:r>
        <w:rPr>
          <w:rFonts w:hint="eastAsia" w:ascii="宋体" w:hAnsi="宋体" w:cs="宋体"/>
          <w:color w:val="auto"/>
          <w:sz w:val="24"/>
          <w:highlight w:val="none"/>
        </w:rPr>
        <w:t>（5）投标代表人未能出具身份证明或与法定代表人授权委托人身份不符的；</w:t>
      </w:r>
    </w:p>
    <w:p w14:paraId="38CBA612">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（6）投标文件项目不齐全或者内容虚假的；</w:t>
      </w:r>
    </w:p>
    <w:p w14:paraId="6BAC8355">
      <w:pPr>
        <w:pStyle w:val="25"/>
        <w:wordWrap w:val="0"/>
        <w:overflowPunct w:val="0"/>
        <w:autoSpaceDE w:val="0"/>
        <w:autoSpaceDN w:val="0"/>
        <w:snapToGrid w:val="0"/>
        <w:spacing w:line="360" w:lineRule="auto"/>
        <w:rPr>
          <w:rFonts w:cs="宋体"/>
          <w:snapToGrid w:val="0"/>
          <w:color w:val="auto"/>
          <w:highlight w:val="none"/>
        </w:rPr>
      </w:pPr>
      <w:r>
        <w:rPr>
          <w:rFonts w:hint="eastAsia" w:cs="宋体"/>
          <w:color w:val="auto"/>
          <w:highlight w:val="none"/>
        </w:rPr>
        <w:t>（</w:t>
      </w:r>
      <w:r>
        <w:rPr>
          <w:rFonts w:hint="eastAsia" w:cs="宋体"/>
          <w:snapToGrid w:val="0"/>
          <w:color w:val="auto"/>
          <w:highlight w:val="none"/>
        </w:rPr>
        <w:t>7）</w:t>
      </w:r>
      <w:r>
        <w:rPr>
          <w:rFonts w:hint="eastAsia" w:cs="宋体"/>
          <w:color w:val="auto"/>
          <w:highlight w:val="none"/>
        </w:rPr>
        <w:t>投标文件的实质性内容未使用中文表述、意思表述不明确、前后矛盾或者使用计量单位不符合招标文件要求的（经评标委员会认定并允许其当场更正的笔误除外）；</w:t>
      </w:r>
    </w:p>
    <w:p w14:paraId="5E464737">
      <w:pPr>
        <w:pStyle w:val="25"/>
        <w:wordWrap w:val="0"/>
        <w:overflowPunct w:val="0"/>
        <w:autoSpaceDE w:val="0"/>
        <w:autoSpaceDN w:val="0"/>
        <w:snapToGrid w:val="0"/>
        <w:spacing w:line="360" w:lineRule="auto"/>
        <w:rPr>
          <w:rFonts w:cs="宋体"/>
          <w:snapToGrid w:val="0"/>
          <w:color w:val="auto"/>
          <w:highlight w:val="none"/>
        </w:rPr>
      </w:pPr>
      <w:r>
        <w:rPr>
          <w:rFonts w:hint="eastAsia" w:cs="宋体"/>
          <w:color w:val="auto"/>
          <w:highlight w:val="none"/>
        </w:rPr>
        <w:t>（8）</w:t>
      </w:r>
      <w:r>
        <w:rPr>
          <w:rFonts w:hint="eastAsia" w:cs="宋体"/>
          <w:snapToGrid w:val="0"/>
          <w:color w:val="auto"/>
          <w:highlight w:val="none"/>
        </w:rPr>
        <w:t>投标有效期、服务期等商务条款不能满足招标文件要求的；</w:t>
      </w:r>
    </w:p>
    <w:p w14:paraId="4D4B598A">
      <w:pPr>
        <w:pStyle w:val="25"/>
        <w:wordWrap w:val="0"/>
        <w:overflowPunct w:val="0"/>
        <w:autoSpaceDE w:val="0"/>
        <w:autoSpaceDN w:val="0"/>
        <w:snapToGrid w:val="0"/>
        <w:spacing w:line="360" w:lineRule="auto"/>
        <w:rPr>
          <w:rFonts w:cs="宋体"/>
          <w:snapToGrid w:val="0"/>
          <w:color w:val="auto"/>
          <w:highlight w:val="none"/>
        </w:rPr>
      </w:pPr>
      <w:r>
        <w:rPr>
          <w:rFonts w:hint="eastAsia" w:cs="宋体"/>
          <w:color w:val="auto"/>
          <w:highlight w:val="none"/>
        </w:rPr>
        <w:t>（</w:t>
      </w:r>
      <w:r>
        <w:rPr>
          <w:rFonts w:hint="eastAsia" w:cs="宋体"/>
          <w:snapToGrid w:val="0"/>
          <w:color w:val="auto"/>
          <w:highlight w:val="none"/>
        </w:rPr>
        <w:t>9）</w:t>
      </w:r>
      <w:r>
        <w:rPr>
          <w:rFonts w:hint="eastAsia" w:cs="宋体"/>
          <w:color w:val="auto"/>
          <w:highlight w:val="none"/>
        </w:rPr>
        <w:t>不符合本采购文件中的实质性要求条款</w:t>
      </w:r>
      <w:r>
        <w:rPr>
          <w:rFonts w:hint="eastAsia" w:cs="宋体"/>
          <w:snapToGrid w:val="0"/>
          <w:color w:val="auto"/>
          <w:highlight w:val="none"/>
        </w:rPr>
        <w:t>；</w:t>
      </w:r>
    </w:p>
    <w:p w14:paraId="5AF782EB">
      <w:pPr>
        <w:pStyle w:val="25"/>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4.在技术评审时，如发现下列情形之一的，投标文件将被视为无效：</w:t>
      </w:r>
    </w:p>
    <w:p w14:paraId="4D8CD685">
      <w:pPr>
        <w:pStyle w:val="25"/>
        <w:snapToGrid w:val="0"/>
        <w:spacing w:line="360" w:lineRule="auto"/>
        <w:ind w:firstLine="470" w:firstLineChars="196"/>
        <w:rPr>
          <w:rFonts w:cs="宋体"/>
          <w:color w:val="auto"/>
          <w:highlight w:val="none"/>
        </w:rPr>
      </w:pPr>
      <w:r>
        <w:rPr>
          <w:rFonts w:hint="eastAsia" w:cs="宋体"/>
          <w:color w:val="auto"/>
          <w:highlight w:val="none"/>
        </w:rPr>
        <w:t>（1）投标文件标明的响应或偏离与事实不符或虚假投标的；</w:t>
      </w:r>
    </w:p>
    <w:p w14:paraId="777DE9E7">
      <w:pPr>
        <w:pStyle w:val="25"/>
        <w:snapToGrid w:val="0"/>
        <w:spacing w:line="360" w:lineRule="auto"/>
        <w:ind w:firstLine="470" w:firstLineChars="196"/>
        <w:rPr>
          <w:rFonts w:cs="宋体"/>
          <w:color w:val="auto"/>
          <w:highlight w:val="none"/>
        </w:rPr>
      </w:pPr>
      <w:r>
        <w:rPr>
          <w:rFonts w:hint="eastAsia" w:cs="宋体"/>
          <w:color w:val="auto"/>
          <w:highlight w:val="none"/>
        </w:rPr>
        <w:t>（2）明显不符合采购文件要求的服务内容，或者与采购文件中标“▲”的服务需求、主要功能项目发生实质性偏离的；</w:t>
      </w:r>
    </w:p>
    <w:p w14:paraId="5525D904">
      <w:pPr>
        <w:pStyle w:val="25"/>
        <w:snapToGrid w:val="0"/>
        <w:spacing w:line="360" w:lineRule="auto"/>
        <w:ind w:firstLine="470" w:firstLineChars="196"/>
        <w:rPr>
          <w:rFonts w:cs="宋体"/>
          <w:color w:val="auto"/>
          <w:highlight w:val="none"/>
        </w:rPr>
      </w:pPr>
      <w:r>
        <w:rPr>
          <w:rFonts w:hint="eastAsia" w:cs="宋体"/>
          <w:color w:val="auto"/>
          <w:highlight w:val="none"/>
        </w:rPr>
        <w:t>（3）投标技术方案不明确，存在一个或一个以上备选（替代）投标方案的；</w:t>
      </w:r>
    </w:p>
    <w:p w14:paraId="3FD903C9">
      <w:pPr>
        <w:pStyle w:val="25"/>
        <w:snapToGrid w:val="0"/>
        <w:spacing w:line="360" w:lineRule="auto"/>
        <w:ind w:firstLine="470" w:firstLineChars="196"/>
        <w:rPr>
          <w:color w:val="auto"/>
          <w:highlight w:val="none"/>
        </w:rPr>
      </w:pPr>
      <w:r>
        <w:rPr>
          <w:rFonts w:hint="eastAsia" w:cs="宋体"/>
          <w:color w:val="auto"/>
          <w:highlight w:val="none"/>
        </w:rPr>
        <w:t>（4）与其他参加本次投标供应商的投标文件（技术文件）的文字表述内容相同连续20行以上或者差错相同2处以上的</w:t>
      </w:r>
      <w:r>
        <w:rPr>
          <w:rFonts w:hint="eastAsia"/>
          <w:color w:val="auto"/>
          <w:highlight w:val="none"/>
        </w:rPr>
        <w:t>。</w:t>
      </w:r>
    </w:p>
    <w:p w14:paraId="6F19C7C5">
      <w:pPr>
        <w:pStyle w:val="25"/>
        <w:wordWrap w:val="0"/>
        <w:overflowPunct w:val="0"/>
        <w:autoSpaceDE w:val="0"/>
        <w:autoSpaceDN w:val="0"/>
        <w:snapToGrid w:val="0"/>
        <w:spacing w:line="360" w:lineRule="auto"/>
        <w:rPr>
          <w:rFonts w:cs="宋体"/>
          <w:color w:val="auto"/>
          <w:highlight w:val="none"/>
        </w:rPr>
      </w:pPr>
      <w:r>
        <w:rPr>
          <w:rFonts w:hint="eastAsia"/>
          <w:color w:val="auto"/>
          <w:highlight w:val="none"/>
        </w:rPr>
        <w:t>（5）</w:t>
      </w:r>
      <w:r>
        <w:rPr>
          <w:rFonts w:hint="eastAsia" w:cs="宋体"/>
          <w:color w:val="auto"/>
          <w:highlight w:val="none"/>
        </w:rPr>
        <w:t>不符合本采购文件中的实质性要求条款；</w:t>
      </w:r>
    </w:p>
    <w:p w14:paraId="306C509F">
      <w:pPr>
        <w:pStyle w:val="25"/>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5.在报价评审时，如发现下列情形之一的，投标文件将被视为无效：</w:t>
      </w:r>
    </w:p>
    <w:p w14:paraId="14DF5900">
      <w:pPr>
        <w:pStyle w:val="25"/>
        <w:snapToGrid w:val="0"/>
        <w:spacing w:line="360" w:lineRule="auto"/>
        <w:rPr>
          <w:color w:val="auto"/>
          <w:highlight w:val="none"/>
        </w:rPr>
      </w:pPr>
      <w:r>
        <w:rPr>
          <w:rFonts w:hint="eastAsia"/>
          <w:color w:val="auto"/>
          <w:highlight w:val="none"/>
        </w:rPr>
        <w:t>（1）未采用人民币报价或者未按照采购文件标明的币种报价的；</w:t>
      </w:r>
    </w:p>
    <w:p w14:paraId="0A45978F">
      <w:pPr>
        <w:pStyle w:val="25"/>
        <w:snapToGrid w:val="0"/>
        <w:spacing w:line="360" w:lineRule="auto"/>
        <w:rPr>
          <w:color w:val="auto"/>
          <w:highlight w:val="none"/>
        </w:rPr>
      </w:pPr>
      <w:r>
        <w:rPr>
          <w:rFonts w:hint="eastAsia"/>
          <w:color w:val="auto"/>
          <w:highlight w:val="none"/>
        </w:rPr>
        <w:t>（2）投标报价具有选择性，或者开标价格与投标文件承诺的优惠（折扣）价格不一致的；</w:t>
      </w:r>
    </w:p>
    <w:p w14:paraId="7D0B69E2">
      <w:pPr>
        <w:pStyle w:val="25"/>
        <w:snapToGrid w:val="0"/>
        <w:spacing w:line="360" w:lineRule="auto"/>
        <w:rPr>
          <w:color w:val="auto"/>
          <w:highlight w:val="none"/>
        </w:rPr>
      </w:pPr>
      <w:r>
        <w:rPr>
          <w:rFonts w:hint="eastAsia"/>
          <w:color w:val="auto"/>
          <w:highlight w:val="none"/>
        </w:rPr>
        <w:t>（3）报价文件内容与商务、技术文件内容严重不一致，评标委员会无法评审的；</w:t>
      </w:r>
    </w:p>
    <w:p w14:paraId="4CA53831">
      <w:pPr>
        <w:pStyle w:val="25"/>
        <w:snapToGrid w:val="0"/>
        <w:spacing w:line="360" w:lineRule="auto"/>
        <w:rPr>
          <w:color w:val="auto"/>
          <w:highlight w:val="none"/>
        </w:rPr>
      </w:pPr>
      <w:r>
        <w:rPr>
          <w:rFonts w:hint="eastAsia"/>
          <w:color w:val="auto"/>
          <w:highlight w:val="none"/>
        </w:rPr>
        <w:t>（4）评标委员会认定属投标人自身原因有重大漏项的。</w:t>
      </w:r>
    </w:p>
    <w:p w14:paraId="6BC0B673">
      <w:pPr>
        <w:pStyle w:val="25"/>
        <w:snapToGrid w:val="0"/>
        <w:spacing w:line="360" w:lineRule="auto"/>
        <w:rPr>
          <w:color w:val="auto"/>
          <w:highlight w:val="none"/>
        </w:rPr>
      </w:pPr>
      <w:r>
        <w:rPr>
          <w:rFonts w:hint="eastAsia"/>
          <w:color w:val="auto"/>
          <w:highlight w:val="none"/>
        </w:rPr>
        <w:t>（5）评标委员会认为投标人的报价明显低于其他通过符合性审查投标人的报价，有可能影响产品质量或者不能诚信履约，要求其通过“政采云”平台在规定的时间内提供经CA签章的材料，投标人不能提供证明其报价合理性材料的。</w:t>
      </w:r>
    </w:p>
    <w:p w14:paraId="457DFC83">
      <w:pPr>
        <w:pStyle w:val="25"/>
        <w:snapToGrid w:val="0"/>
        <w:spacing w:line="360" w:lineRule="auto"/>
        <w:rPr>
          <w:color w:val="auto"/>
          <w:highlight w:val="none"/>
        </w:rPr>
      </w:pPr>
      <w:r>
        <w:rPr>
          <w:rFonts w:hint="eastAsia"/>
          <w:color w:val="auto"/>
          <w:highlight w:val="none"/>
        </w:rPr>
        <w:t>（6）报价超过采购文件中规定的预算金额或者最高限价的。</w:t>
      </w:r>
    </w:p>
    <w:p w14:paraId="53D3951C">
      <w:pPr>
        <w:pStyle w:val="25"/>
        <w:snapToGrid w:val="0"/>
        <w:spacing w:line="360" w:lineRule="auto"/>
        <w:rPr>
          <w:color w:val="auto"/>
          <w:highlight w:val="none"/>
        </w:rPr>
      </w:pPr>
      <w:r>
        <w:rPr>
          <w:rFonts w:hint="eastAsia"/>
          <w:color w:val="auto"/>
          <w:highlight w:val="none"/>
        </w:rPr>
        <w:t>（7）报价文件无法定代表人或授权代表签字（或盖章）的；</w:t>
      </w:r>
    </w:p>
    <w:p w14:paraId="1F9686EE">
      <w:pPr>
        <w:pStyle w:val="25"/>
        <w:snapToGrid w:val="0"/>
        <w:spacing w:line="360" w:lineRule="auto"/>
        <w:rPr>
          <w:color w:val="auto"/>
          <w:highlight w:val="none"/>
        </w:rPr>
      </w:pPr>
      <w:r>
        <w:rPr>
          <w:rFonts w:hint="eastAsia"/>
          <w:color w:val="auto"/>
          <w:highlight w:val="none"/>
        </w:rPr>
        <w:t>（8）报价文件格式不规范、项目不齐全或者内容虚假的；</w:t>
      </w:r>
    </w:p>
    <w:p w14:paraId="7EFF0381">
      <w:pPr>
        <w:pStyle w:val="25"/>
        <w:snapToGrid w:val="0"/>
        <w:spacing w:line="360" w:lineRule="auto"/>
        <w:rPr>
          <w:color w:val="auto"/>
          <w:highlight w:val="none"/>
        </w:rPr>
      </w:pPr>
      <w:r>
        <w:rPr>
          <w:rFonts w:hint="eastAsia"/>
          <w:color w:val="auto"/>
          <w:highlight w:val="none"/>
        </w:rPr>
        <w:t>（9）报价文件的实质性内容未使用中文表述、意思表述不明确、前后矛盾或者使用计量单位不符合招标文件要求的（经评标委员会认定并允许其当场更正的笔误除外）；</w:t>
      </w:r>
    </w:p>
    <w:p w14:paraId="4EA27771">
      <w:pPr>
        <w:pStyle w:val="25"/>
        <w:snapToGrid w:val="0"/>
        <w:spacing w:line="360" w:lineRule="auto"/>
        <w:rPr>
          <w:rFonts w:hint="eastAsia" w:eastAsia="宋体"/>
          <w:color w:val="auto"/>
          <w:highlight w:val="none"/>
          <w:lang w:val="en-US" w:eastAsia="zh-CN"/>
        </w:rPr>
      </w:pPr>
      <w:r>
        <w:rPr>
          <w:rFonts w:hint="eastAsia"/>
          <w:color w:val="auto"/>
          <w:highlight w:val="none"/>
        </w:rPr>
        <w:t>（10）未实质性响应采购文件要求或者投标文件有采购方不能接受的附加条件的</w:t>
      </w:r>
      <w:r>
        <w:rPr>
          <w:rFonts w:hint="eastAsia"/>
          <w:color w:val="auto"/>
          <w:highlight w:val="none"/>
          <w:lang w:eastAsia="zh-CN"/>
        </w:rPr>
        <w:t>（</w:t>
      </w:r>
      <w:r>
        <w:rPr>
          <w:rFonts w:hint="eastAsia" w:ascii="宋体" w:hAnsi="宋体" w:eastAsia="宋体" w:cs="宋体"/>
          <w:b/>
          <w:bCs/>
          <w:color w:val="auto"/>
          <w:highlight w:val="none"/>
        </w:rPr>
        <w:t>投标人的商务技术分低于商务技术分总分60%的，视为采购人不能接受的附加条件</w:t>
      </w:r>
      <w:r>
        <w:rPr>
          <w:rFonts w:hint="eastAsia"/>
          <w:color w:val="auto"/>
          <w:highlight w:val="none"/>
          <w:lang w:eastAsia="zh-CN"/>
        </w:rPr>
        <w:t>）</w:t>
      </w:r>
      <w:r>
        <w:rPr>
          <w:rFonts w:hint="eastAsia"/>
          <w:color w:val="auto"/>
          <w:highlight w:val="none"/>
        </w:rPr>
        <w:t>；</w:t>
      </w:r>
    </w:p>
    <w:p w14:paraId="79E99653">
      <w:pPr>
        <w:pStyle w:val="25"/>
        <w:wordWrap w:val="0"/>
        <w:overflowPunct w:val="0"/>
        <w:autoSpaceDE w:val="0"/>
        <w:autoSpaceDN w:val="0"/>
        <w:snapToGrid w:val="0"/>
        <w:spacing w:line="360" w:lineRule="auto"/>
        <w:ind w:firstLine="482"/>
        <w:rPr>
          <w:rFonts w:cs="宋体"/>
          <w:b/>
          <w:color w:val="auto"/>
          <w:highlight w:val="none"/>
        </w:rPr>
      </w:pPr>
      <w:r>
        <w:rPr>
          <w:rFonts w:hint="eastAsia" w:cs="宋体"/>
          <w:b/>
          <w:color w:val="auto"/>
          <w:highlight w:val="none"/>
        </w:rPr>
        <w:t>6.被拒绝的投标文件为无效；</w:t>
      </w:r>
    </w:p>
    <w:p w14:paraId="62D1AFED">
      <w:pPr>
        <w:pStyle w:val="25"/>
        <w:wordWrap w:val="0"/>
        <w:overflowPunct w:val="0"/>
        <w:autoSpaceDE w:val="0"/>
        <w:autoSpaceDN w:val="0"/>
        <w:snapToGrid w:val="0"/>
        <w:spacing w:line="360" w:lineRule="auto"/>
        <w:ind w:firstLine="482"/>
        <w:rPr>
          <w:rFonts w:cs="宋体"/>
          <w:b/>
          <w:color w:val="auto"/>
          <w:highlight w:val="none"/>
        </w:rPr>
      </w:pPr>
      <w:r>
        <w:rPr>
          <w:rFonts w:hint="eastAsia" w:cs="宋体"/>
          <w:b/>
          <w:color w:val="auto"/>
          <w:highlight w:val="none"/>
        </w:rPr>
        <w:t>7.存在带“▲”条款的负偏离的；</w:t>
      </w:r>
    </w:p>
    <w:p w14:paraId="29D07706">
      <w:pPr>
        <w:pStyle w:val="25"/>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8.本招标文件其他部分已规定为无效标的情形；</w:t>
      </w:r>
    </w:p>
    <w:p w14:paraId="4DCFA36D">
      <w:pPr>
        <w:pStyle w:val="25"/>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9.评标专家认定的其他必须按无效标处理的。</w:t>
      </w:r>
    </w:p>
    <w:p w14:paraId="5DC57150">
      <w:pPr>
        <w:pStyle w:val="25"/>
        <w:wordWrap w:val="0"/>
        <w:overflowPunct w:val="0"/>
        <w:autoSpaceDE w:val="0"/>
        <w:autoSpaceDN w:val="0"/>
        <w:snapToGrid w:val="0"/>
        <w:spacing w:line="360" w:lineRule="auto"/>
        <w:ind w:firstLine="482"/>
        <w:rPr>
          <w:rFonts w:cs="宋体"/>
          <w:b/>
          <w:bCs/>
          <w:color w:val="auto"/>
          <w:highlight w:val="none"/>
        </w:rPr>
      </w:pPr>
      <w:r>
        <w:rPr>
          <w:rFonts w:hint="eastAsia" w:cs="宋体"/>
          <w:b/>
          <w:bCs/>
          <w:color w:val="auto"/>
          <w:highlight w:val="none"/>
        </w:rPr>
        <w:t>（十）出现以下情形，导致电子交易平台无法正常运行，或者无法保证电子交易的公平、公正和安全时，中止电子交易活动：</w:t>
      </w:r>
    </w:p>
    <w:p w14:paraId="76066457">
      <w:pPr>
        <w:pStyle w:val="25"/>
        <w:wordWrap w:val="0"/>
        <w:overflowPunct w:val="0"/>
        <w:autoSpaceDE w:val="0"/>
        <w:autoSpaceDN w:val="0"/>
        <w:snapToGrid w:val="0"/>
        <w:spacing w:line="360" w:lineRule="auto"/>
        <w:rPr>
          <w:rFonts w:cs="宋体"/>
          <w:color w:val="auto"/>
          <w:highlight w:val="none"/>
        </w:rPr>
      </w:pPr>
      <w:r>
        <w:rPr>
          <w:rFonts w:hint="eastAsia" w:cs="宋体"/>
          <w:color w:val="auto"/>
          <w:highlight w:val="none"/>
        </w:rPr>
        <w:t>1.电子交易平台发生故障而无法登录访问的；</w:t>
      </w:r>
    </w:p>
    <w:p w14:paraId="6E469E88">
      <w:pPr>
        <w:pStyle w:val="25"/>
        <w:wordWrap w:val="0"/>
        <w:overflowPunct w:val="0"/>
        <w:autoSpaceDE w:val="0"/>
        <w:autoSpaceDN w:val="0"/>
        <w:snapToGrid w:val="0"/>
        <w:spacing w:line="360" w:lineRule="auto"/>
        <w:rPr>
          <w:rFonts w:cs="宋体"/>
          <w:color w:val="auto"/>
          <w:highlight w:val="none"/>
        </w:rPr>
      </w:pPr>
      <w:r>
        <w:rPr>
          <w:rFonts w:hint="eastAsia" w:cs="宋体"/>
          <w:color w:val="auto"/>
          <w:highlight w:val="none"/>
        </w:rPr>
        <w:t>2.电子交易平台应用或数据库出现错误，不能进行正常操作的；</w:t>
      </w:r>
    </w:p>
    <w:p w14:paraId="08C6B339">
      <w:pPr>
        <w:pStyle w:val="25"/>
        <w:wordWrap w:val="0"/>
        <w:overflowPunct w:val="0"/>
        <w:autoSpaceDE w:val="0"/>
        <w:autoSpaceDN w:val="0"/>
        <w:snapToGrid w:val="0"/>
        <w:spacing w:line="360" w:lineRule="auto"/>
        <w:rPr>
          <w:rFonts w:cs="宋体"/>
          <w:color w:val="auto"/>
          <w:highlight w:val="none"/>
        </w:rPr>
      </w:pPr>
      <w:r>
        <w:rPr>
          <w:rFonts w:hint="eastAsia" w:cs="宋体"/>
          <w:color w:val="auto"/>
          <w:highlight w:val="none"/>
        </w:rPr>
        <w:t>3.电子交易平台发现严重安全漏洞，有潜在泄密危险的；</w:t>
      </w:r>
    </w:p>
    <w:p w14:paraId="3340F36C">
      <w:pPr>
        <w:pStyle w:val="25"/>
        <w:wordWrap w:val="0"/>
        <w:overflowPunct w:val="0"/>
        <w:autoSpaceDE w:val="0"/>
        <w:autoSpaceDN w:val="0"/>
        <w:snapToGrid w:val="0"/>
        <w:spacing w:line="360" w:lineRule="auto"/>
        <w:rPr>
          <w:rFonts w:cs="宋体"/>
          <w:color w:val="auto"/>
          <w:highlight w:val="none"/>
        </w:rPr>
      </w:pPr>
      <w:r>
        <w:rPr>
          <w:rFonts w:hint="eastAsia" w:cs="宋体"/>
          <w:color w:val="auto"/>
          <w:highlight w:val="none"/>
        </w:rPr>
        <w:t>4.病毒发作导致不能进行正常操作的；</w:t>
      </w:r>
    </w:p>
    <w:p w14:paraId="6D9BBBCF">
      <w:pPr>
        <w:pStyle w:val="25"/>
        <w:wordWrap w:val="0"/>
        <w:overflowPunct w:val="0"/>
        <w:autoSpaceDE w:val="0"/>
        <w:autoSpaceDN w:val="0"/>
        <w:snapToGrid w:val="0"/>
        <w:spacing w:line="360" w:lineRule="auto"/>
        <w:rPr>
          <w:rFonts w:cs="宋体"/>
          <w:color w:val="auto"/>
          <w:highlight w:val="none"/>
        </w:rPr>
      </w:pPr>
      <w:r>
        <w:rPr>
          <w:rFonts w:hint="eastAsia" w:cs="宋体"/>
          <w:color w:val="auto"/>
          <w:highlight w:val="none"/>
        </w:rPr>
        <w:t>5.其他无法保证电子交易的公平、公正和安全的情况。</w:t>
      </w:r>
    </w:p>
    <w:p w14:paraId="293C6530">
      <w:pPr>
        <w:pStyle w:val="25"/>
        <w:wordWrap w:val="0"/>
        <w:overflowPunct w:val="0"/>
        <w:autoSpaceDE w:val="0"/>
        <w:autoSpaceDN w:val="0"/>
        <w:snapToGrid w:val="0"/>
        <w:spacing w:line="360" w:lineRule="auto"/>
        <w:rPr>
          <w:rFonts w:cs="宋体"/>
          <w:color w:val="auto"/>
          <w:highlight w:val="none"/>
        </w:rPr>
      </w:pPr>
      <w:r>
        <w:rPr>
          <w:rFonts w:hint="eastAsia" w:cs="宋体"/>
          <w:color w:val="auto"/>
          <w:highlight w:val="none"/>
        </w:rPr>
        <w:t>出现前款规定情形，不影响采购公平、公正性的，采购代理机构可以待上述情形消除后继续组织电子交易活动，也可以决定某些环节以纸质形式进行；影响或可能影响采购公平、公正性的，重新采购。</w:t>
      </w:r>
    </w:p>
    <w:p w14:paraId="6B65B51E">
      <w:pPr>
        <w:pStyle w:val="34"/>
        <w:wordWrap w:val="0"/>
        <w:overflowPunct w:val="0"/>
        <w:autoSpaceDE w:val="0"/>
        <w:autoSpaceDN w:val="0"/>
        <w:snapToGrid w:val="0"/>
        <w:spacing w:line="360" w:lineRule="auto"/>
        <w:outlineLvl w:val="0"/>
        <w:rPr>
          <w:rFonts w:hAnsi="宋体" w:cs="宋体"/>
          <w:b/>
          <w:color w:val="auto"/>
          <w:sz w:val="28"/>
          <w:szCs w:val="28"/>
          <w:highlight w:val="none"/>
        </w:rPr>
      </w:pPr>
      <w:r>
        <w:rPr>
          <w:rFonts w:hint="eastAsia" w:hAnsi="宋体" w:cs="宋体"/>
          <w:b/>
          <w:color w:val="auto"/>
          <w:sz w:val="28"/>
          <w:szCs w:val="28"/>
          <w:highlight w:val="none"/>
        </w:rPr>
        <w:t>四、开标</w:t>
      </w:r>
    </w:p>
    <w:p w14:paraId="248AE47E">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（一）开标准备</w:t>
      </w:r>
    </w:p>
    <w:p w14:paraId="063049BF">
      <w:pPr>
        <w:wordWrap w:val="0"/>
        <w:overflowPunct w:val="0"/>
        <w:autoSpaceDE w:val="0"/>
        <w:autoSpaceDN w:val="0"/>
        <w:snapToGrid w:val="0"/>
        <w:spacing w:line="360" w:lineRule="auto"/>
        <w:ind w:firstLine="482" w:firstLineChars="200"/>
        <w:jc w:val="left"/>
        <w:rPr>
          <w:rFonts w:ascii="宋体" w:hAnsi="宋体" w:cs="宋体"/>
          <w:b/>
          <w:color w:val="auto"/>
          <w:kern w:val="0"/>
          <w:sz w:val="24"/>
          <w:highlight w:val="none"/>
        </w:rPr>
      </w:pPr>
      <w:r>
        <w:rPr>
          <w:rFonts w:hint="eastAsia" w:ascii="宋体" w:hAnsi="宋体" w:cs="宋体"/>
          <w:b/>
          <w:color w:val="auto"/>
          <w:sz w:val="24"/>
          <w:highlight w:val="none"/>
        </w:rPr>
        <w:t>采购代理机构原则上采用电子评标，按照招标文件规定的时间通过“政府采购云平台”组织开标、开启投标文件，所有供应商可以派授权代表参加或准时在线参加。</w:t>
      </w:r>
      <w:r>
        <w:rPr>
          <w:rFonts w:hint="eastAsia" w:ascii="宋体" w:hAnsi="宋体" w:cs="宋体"/>
          <w:b/>
          <w:color w:val="auto"/>
          <w:kern w:val="0"/>
          <w:sz w:val="24"/>
          <w:highlight w:val="none"/>
        </w:rPr>
        <w:t>供应商如不参加开标会议的，视同认可开标结果，事后不得对采购相关人员、招标过程和招标结果提出异议，同时供应商因未在线参加开标而导致投标文件无法按时解密等一切后果由供应商自己承担。</w:t>
      </w:r>
    </w:p>
    <w:p w14:paraId="33B73FD9">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 xml:space="preserve"> (二) 采购人或者采购代理机构职责</w:t>
      </w:r>
    </w:p>
    <w:p w14:paraId="42245C36">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采购人或者采购代理机构负责组织评标工作，并履行下列职责：</w:t>
      </w:r>
    </w:p>
    <w:p w14:paraId="18F6CD80">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1.核对评审专家身份和采购人代表授权函，对评审专家在政府采购活动中的职责履行情况予以记录，并及时将有关违法违规行为向财政部门报告；</w:t>
      </w:r>
    </w:p>
    <w:p w14:paraId="43157912">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2.宣布评标纪律；</w:t>
      </w:r>
    </w:p>
    <w:p w14:paraId="33242EC6">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3.公布投标人名单，告知评审专家应当回避的情形；</w:t>
      </w:r>
    </w:p>
    <w:p w14:paraId="45222C0B">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4.组织评标委员会推选评标组长，采购人代表不得担任组长；</w:t>
      </w:r>
    </w:p>
    <w:p w14:paraId="7AC61CA0">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5.在评标期间采取必要的通讯管理措施，保证评标活动不受外界干扰；</w:t>
      </w:r>
    </w:p>
    <w:p w14:paraId="2B8A0193">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6.根据评标委员会的要求介绍政府采购相关政策法规、招标文件；</w:t>
      </w:r>
    </w:p>
    <w:p w14:paraId="3F50C588">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7.维护评标秩序，监督评标委员会依照招标文件规定的评标程序、方法和标准进行独立评审，及时制止和纠正采购人代表、评审专家的倾向性言论或者违法违规行为；</w:t>
      </w:r>
    </w:p>
    <w:p w14:paraId="66711B8D">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8.核对评标结果，有本办法第六十四条规定情形的，要求评标委员会复核或者书面说明理由，评标委员会拒绝的，应予记录并向本级财政部门报告；</w:t>
      </w:r>
    </w:p>
    <w:p w14:paraId="25915E05">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9.评审工作完成后，按照规定向评审专家支付劳务报酬和异地评审差旅费，不得向评审专家以外的其他人员支付评审劳务报酬；</w:t>
      </w:r>
    </w:p>
    <w:p w14:paraId="00B91FF2">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10.处理与评标有关的其他事项。</w:t>
      </w:r>
    </w:p>
    <w:p w14:paraId="36A5EDDB">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（三）开标程序</w:t>
      </w:r>
    </w:p>
    <w:p w14:paraId="42D49DE6">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本项目原则上采用政采云电子招投标开标及评审程序，但有下情形之一的，按以下情况处理：</w:t>
      </w:r>
    </w:p>
    <w:p w14:paraId="5BB03AC4">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1.开标会由采购代理机构主持，主持人宣布开标会议开始；</w:t>
      </w:r>
    </w:p>
    <w:p w14:paraId="56D03B39">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2.主持人介绍参加开标会的人员名单； </w:t>
      </w:r>
    </w:p>
    <w:p w14:paraId="7A974A76">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3.主持人宣布评标期间的有关事项；告知应当回避的情形,提请有关人员回避；</w:t>
      </w:r>
    </w:p>
    <w:p w14:paraId="7DDD6AA2">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4.电子投标文件开标:</w:t>
      </w:r>
    </w:p>
    <w:p w14:paraId="590C272B">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（1）投标截止时间后，投标人登录政采云平台，用“项目采购-开标评标”功能对电子投标文件进行在线解密。在线解密电子投标文件时间为开标时间起半个小时内。</w:t>
      </w:r>
    </w:p>
    <w:p w14:paraId="25183593">
      <w:pPr>
        <w:wordWrap w:val="0"/>
        <w:overflowPunct w:val="0"/>
        <w:autoSpaceDE w:val="0"/>
        <w:autoSpaceDN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（2）由采购人代表对资格审查文件进行评审，评标委员会对技术商务文件进行评审。</w:t>
      </w:r>
    </w:p>
    <w:p w14:paraId="320E12F9">
      <w:pPr>
        <w:wordWrap w:val="0"/>
        <w:overflowPunct w:val="0"/>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（3）在系统上公开资格审查和技术商务评审结果；</w:t>
      </w:r>
    </w:p>
    <w:p w14:paraId="73E21913">
      <w:pPr>
        <w:wordWrap w:val="0"/>
        <w:overflowPunct w:val="0"/>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（4）在系统上公开报价开标情况；</w:t>
      </w:r>
    </w:p>
    <w:p w14:paraId="7AA579DC">
      <w:pPr>
        <w:wordWrap w:val="0"/>
        <w:overflowPunct w:val="0"/>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（5）评标委员会对报价情况进行评审；</w:t>
      </w:r>
    </w:p>
    <w:p w14:paraId="6630FA5F">
      <w:pPr>
        <w:wordWrap w:val="0"/>
        <w:overflowPunct w:val="0"/>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（6）在系统上公布评审结果。</w:t>
      </w:r>
    </w:p>
    <w:p w14:paraId="24F3B95B">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特别说明：政采云公司如对电子化开标及评审程序有调整的，按调整后的程序操作。</w:t>
      </w:r>
    </w:p>
    <w:p w14:paraId="08D9607C">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五、评标</w:t>
      </w:r>
    </w:p>
    <w:p w14:paraId="6CDD822F">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（一）</w:t>
      </w:r>
      <w:r>
        <w:rPr>
          <w:rFonts w:hint="eastAsia" w:hAnsi="宋体" w:cs="宋体"/>
          <w:b/>
          <w:bCs/>
          <w:color w:val="auto"/>
          <w:sz w:val="24"/>
          <w:szCs w:val="24"/>
          <w:highlight w:val="none"/>
        </w:rPr>
        <w:t>组建评标委员会</w:t>
      </w:r>
    </w:p>
    <w:p w14:paraId="2CF9EA66">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本项目评标委员会由采购人代表和相关专业专家组成，采购人代表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名，专家评委</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名，评标委员会负责具体评标事务，并独立履行下列职责：</w:t>
      </w:r>
    </w:p>
    <w:p w14:paraId="4DC6A9A6">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1.审查、评价投标文件是否符合招标文件的商务、技术等实质性要求；</w:t>
      </w:r>
    </w:p>
    <w:p w14:paraId="7AED0377">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2.要求投标人对投标文件有关事项作出澄清或者说明；</w:t>
      </w:r>
    </w:p>
    <w:p w14:paraId="71AE844E">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3.对投标文件进行比较和评价；</w:t>
      </w:r>
    </w:p>
    <w:p w14:paraId="38664EDB">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4.确定中标候选人名单，以及根据采购人委托直接确定中标人；</w:t>
      </w:r>
    </w:p>
    <w:p w14:paraId="724D0FBA">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5.向采购人、采购代理机构或者有关部门报告评标中发现的违法行为。</w:t>
      </w:r>
    </w:p>
    <w:p w14:paraId="373D44E3">
      <w:pPr>
        <w:wordWrap w:val="0"/>
        <w:overflowPunct w:val="0"/>
        <w:autoSpaceDE w:val="0"/>
        <w:autoSpaceDN w:val="0"/>
        <w:spacing w:line="360" w:lineRule="auto"/>
        <w:ind w:firstLine="482" w:firstLineChars="200"/>
        <w:rPr>
          <w:rFonts w:ascii="宋体" w:hAnsi="宋体" w:cs="宋体"/>
          <w:b/>
          <w:color w:val="auto"/>
          <w:sz w:val="24"/>
          <w:highlight w:val="none"/>
          <w:u w:val="single"/>
        </w:rPr>
      </w:pPr>
      <w:r>
        <w:rPr>
          <w:rFonts w:hint="eastAsia" w:ascii="宋体" w:hAnsi="宋体" w:cs="宋体"/>
          <w:b/>
          <w:color w:val="auto"/>
          <w:sz w:val="24"/>
          <w:highlight w:val="none"/>
          <w:u w:val="single"/>
        </w:rPr>
        <w:t>除采购人代表、评标现场组织人员外，采购人的其他工作人员以及与评标工作无关的人员不得进入评标现场。</w:t>
      </w:r>
    </w:p>
    <w:p w14:paraId="779F2A8F">
      <w:pPr>
        <w:pStyle w:val="34"/>
        <w:wordWrap w:val="0"/>
        <w:overflowPunct w:val="0"/>
        <w:autoSpaceDE w:val="0"/>
        <w:autoSpaceDN w:val="0"/>
        <w:snapToGrid w:val="0"/>
        <w:spacing w:line="360" w:lineRule="auto"/>
        <w:rPr>
          <w:rFonts w:hAnsi="宋体" w:cs="宋体"/>
          <w:b/>
          <w:bCs/>
          <w:color w:val="auto"/>
          <w:sz w:val="24"/>
          <w:szCs w:val="24"/>
          <w:highlight w:val="none"/>
        </w:rPr>
      </w:pPr>
      <w:r>
        <w:rPr>
          <w:rFonts w:hint="eastAsia" w:hAnsi="宋体" w:cs="宋体"/>
          <w:b/>
          <w:color w:val="auto"/>
          <w:sz w:val="24"/>
          <w:szCs w:val="24"/>
          <w:highlight w:val="none"/>
        </w:rPr>
        <w:t>（二）</w:t>
      </w:r>
      <w:r>
        <w:rPr>
          <w:rFonts w:hint="eastAsia" w:hAnsi="宋体" w:cs="宋体"/>
          <w:b/>
          <w:bCs/>
          <w:color w:val="auto"/>
          <w:sz w:val="24"/>
          <w:szCs w:val="24"/>
          <w:highlight w:val="none"/>
        </w:rPr>
        <w:t>评标的方式</w:t>
      </w:r>
    </w:p>
    <w:p w14:paraId="62FE2A77">
      <w:pPr>
        <w:pStyle w:val="34"/>
        <w:wordWrap w:val="0"/>
        <w:overflowPunct w:val="0"/>
        <w:autoSpaceDE w:val="0"/>
        <w:autoSpaceDN w:val="0"/>
        <w:snapToGrid w:val="0"/>
        <w:spacing w:line="360" w:lineRule="auto"/>
        <w:rPr>
          <w:rFonts w:hAnsi="宋体" w:cs="宋体"/>
          <w:color w:val="auto"/>
          <w:sz w:val="24"/>
          <w:szCs w:val="24"/>
          <w:highlight w:val="none"/>
        </w:rPr>
      </w:pPr>
      <w:r>
        <w:rPr>
          <w:rFonts w:hint="eastAsia" w:hAnsi="宋体" w:cs="宋体"/>
          <w:color w:val="auto"/>
          <w:sz w:val="24"/>
          <w:szCs w:val="24"/>
          <w:highlight w:val="none"/>
        </w:rPr>
        <w:t xml:space="preserve">     本项目采用不公开方式评标，评标的依据为招标文件和投标文件。</w:t>
      </w:r>
    </w:p>
    <w:p w14:paraId="1F826E8D">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（三）评标程序</w:t>
      </w:r>
    </w:p>
    <w:p w14:paraId="1F97B80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采购人可以在评标前说明项目背景和采购需求，说明内容不得含有歧视性、倾向性意见，不得超出招标文件所述范围。说明应当提交书面材料，并随采购文件一并存档。</w:t>
      </w:r>
    </w:p>
    <w:p w14:paraId="43B2596D">
      <w:pPr>
        <w:wordWrap w:val="0"/>
        <w:overflowPunct w:val="0"/>
        <w:autoSpaceDE w:val="0"/>
        <w:autoSpaceDN w:val="0"/>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1.形式审查</w:t>
      </w:r>
    </w:p>
    <w:p w14:paraId="6CF0D654">
      <w:pPr>
        <w:wordWrap w:val="0"/>
        <w:overflowPunct w:val="0"/>
        <w:autoSpaceDE w:val="0"/>
        <w:autoSpaceDN w:val="0"/>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采购人代表和代理机构工作人员协助评标委员会对投标人的资格和投标文件的完整性、合法性等进行审查。</w:t>
      </w:r>
    </w:p>
    <w:p w14:paraId="37A51EA6">
      <w:pPr>
        <w:wordWrap w:val="0"/>
        <w:overflowPunct w:val="0"/>
        <w:autoSpaceDE w:val="0"/>
        <w:autoSpaceDN w:val="0"/>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2.实质审查与比较</w:t>
      </w:r>
    </w:p>
    <w:p w14:paraId="0D4ABD1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（1）评标委员会审查投标文件的实质性内容是否符合招标文件的实质性要求。</w:t>
      </w:r>
    </w:p>
    <w:p w14:paraId="731169A4">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（2）评标委员会将根据投标人的投标文件进行审查、核对,如有疑问,将对投标人进行询标,投标人要向评标委员会澄清有关问题,并最终以书面形式进行答复。</w:t>
      </w:r>
    </w:p>
    <w:p w14:paraId="63CECDF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投标人代表未到场、未在线或者拒绝澄清或者澄清的内容改变了投标文件的实质性内容的，评标委员会有权对该投标文件作出不利于投标人的评判。</w:t>
      </w:r>
    </w:p>
    <w:p w14:paraId="02A640AB">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（3）各投标人的技术得分为所有评委的有效评分的算术平均数，由指定专人进行计算复核。</w:t>
      </w:r>
    </w:p>
    <w:p w14:paraId="23606B58">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（4）嘉兴市银建工程咨询评估有限公司工作人员协助评标委员会根据本项目的评分标准计算各投标人的商务报价得分。</w:t>
      </w:r>
    </w:p>
    <w:p w14:paraId="1075BEB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（5）评标委员会完成评标后,评委对各部分得分汇总,计算出本项目最终得分、性价比、评标价等。评标委员会按评标原则推荐中标候选人同时起草评标报告。</w:t>
      </w:r>
    </w:p>
    <w:p w14:paraId="10BCD353">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（四）澄清问题的形式</w:t>
      </w:r>
    </w:p>
    <w:p w14:paraId="4C5440F8">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对投标文件中含义不明确、同类问题表述不一致或者有明显文字和计算错误的内容，评标委员会可要求供应商作出必要的澄清、说明或者纠正。</w:t>
      </w:r>
    </w:p>
    <w:p w14:paraId="3CFB691E">
      <w:pPr>
        <w:wordWrap w:val="0"/>
        <w:overflowPunct w:val="0"/>
        <w:autoSpaceDE w:val="0"/>
        <w:autoSpaceDN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14:paraId="5703CF75">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2.如果供应商代表拒绝或未按评标委员会要求在“政采云”平台作出在线回复且无其他有效回复方式的，评标委员会可以对其作出无效标处理。</w:t>
      </w:r>
    </w:p>
    <w:p w14:paraId="6CD10F84">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（五）</w:t>
      </w:r>
      <w:r>
        <w:rPr>
          <w:rFonts w:hint="eastAsia" w:hAnsi="宋体" w:cs="宋体"/>
          <w:b/>
          <w:bCs/>
          <w:color w:val="auto"/>
          <w:sz w:val="24"/>
          <w:szCs w:val="24"/>
          <w:highlight w:val="none"/>
        </w:rPr>
        <w:t>错误修正</w:t>
      </w:r>
    </w:p>
    <w:p w14:paraId="78AEC82B">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投标文件报价出现前后不一致的，除招标文件另有规定外按照下列规定修正：</w:t>
      </w:r>
    </w:p>
    <w:p w14:paraId="3BF50DC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1.投标文件中开标一览表（报价表）内容与投标文件中相应内容不一致的，以开标一览表（报价表）为准；</w:t>
      </w:r>
    </w:p>
    <w:p w14:paraId="3E7CE197">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2.大写金额和小写金额不一致的，以大写金额为准；</w:t>
      </w:r>
    </w:p>
    <w:p w14:paraId="4FFBF1BC">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3.单价金额小数点或者百分比有明显错位的，以开标一览表的总价为准，并修改单价；</w:t>
      </w:r>
    </w:p>
    <w:p w14:paraId="54829AC6">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4.总价金额与按单价汇总金额不一致的，以单价金额计算结果为准；</w:t>
      </w:r>
    </w:p>
    <w:p w14:paraId="50831A52">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5.电子投标流程中，客户端填写的报价与以pdf格式上传文件中的报价不一致的，应以Pdf格式上传文件中的报价为准。</w:t>
      </w:r>
    </w:p>
    <w:p w14:paraId="525AE436">
      <w:pPr>
        <w:pStyle w:val="34"/>
        <w:wordWrap w:val="0"/>
        <w:overflowPunct w:val="0"/>
        <w:autoSpaceDE w:val="0"/>
        <w:autoSpaceDN w:val="0"/>
        <w:snapToGrid w:val="0"/>
        <w:spacing w:line="360" w:lineRule="auto"/>
        <w:ind w:firstLine="482" w:firstLineChars="200"/>
        <w:rPr>
          <w:rFonts w:hAnsi="宋体" w:cs="宋体"/>
          <w:b/>
          <w:bCs/>
          <w:color w:val="auto"/>
          <w:sz w:val="24"/>
          <w:szCs w:val="24"/>
          <w:highlight w:val="none"/>
        </w:rPr>
      </w:pPr>
      <w:r>
        <w:rPr>
          <w:rFonts w:hint="eastAsia" w:hAnsi="宋体" w:cs="宋体"/>
          <w:b/>
          <w:bCs/>
          <w:color w:val="auto"/>
          <w:sz w:val="24"/>
          <w:szCs w:val="24"/>
          <w:highlight w:val="none"/>
        </w:rPr>
        <w:t>同时出现两种以上不一致的，按照前款规定的顺序修正。修正后的报价按照《政府采购货物与服务招标投标管理办法（第87号令）》第五十一条第二款的规定经投标人确认后产生约束力，投标人不确认的，其投标无效。</w:t>
      </w:r>
    </w:p>
    <w:p w14:paraId="2E3D3A76">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（六）</w:t>
      </w:r>
      <w:r>
        <w:rPr>
          <w:rFonts w:hint="eastAsia" w:hAnsi="宋体" w:cs="宋体"/>
          <w:b/>
          <w:bCs/>
          <w:color w:val="auto"/>
          <w:sz w:val="24"/>
          <w:szCs w:val="24"/>
          <w:highlight w:val="none"/>
        </w:rPr>
        <w:t>评标原则和评标办法</w:t>
      </w:r>
    </w:p>
    <w:p w14:paraId="7EA3A3AF">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3FE570AE">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2.评标办法。本项目评标办法是</w:t>
      </w:r>
      <w:r>
        <w:rPr>
          <w:rFonts w:hint="eastAsia" w:ascii="宋体" w:hAnsi="宋体" w:cs="宋体"/>
          <w:color w:val="auto"/>
          <w:sz w:val="24"/>
          <w:highlight w:val="none"/>
          <w:u w:val="single"/>
        </w:rPr>
        <w:t xml:space="preserve"> 综合评分法 </w:t>
      </w:r>
      <w:r>
        <w:rPr>
          <w:rFonts w:hint="eastAsia" w:ascii="宋体" w:hAnsi="宋体" w:cs="宋体"/>
          <w:color w:val="auto"/>
          <w:sz w:val="24"/>
          <w:highlight w:val="none"/>
        </w:rPr>
        <w:t>，具体评标内容及评分标准等详见《第四章：评标办法及评分标准》。</w:t>
      </w:r>
    </w:p>
    <w:p w14:paraId="13C0F1E4">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（七）</w:t>
      </w:r>
      <w:r>
        <w:rPr>
          <w:rFonts w:hint="eastAsia" w:hAnsi="宋体" w:cs="宋体"/>
          <w:b/>
          <w:bCs/>
          <w:color w:val="auto"/>
          <w:sz w:val="24"/>
          <w:szCs w:val="24"/>
          <w:highlight w:val="none"/>
        </w:rPr>
        <w:t>评标过程的监控</w:t>
      </w:r>
    </w:p>
    <w:p w14:paraId="23B9365B">
      <w:pPr>
        <w:pStyle w:val="34"/>
        <w:wordWrap w:val="0"/>
        <w:overflowPunct w:val="0"/>
        <w:autoSpaceDE w:val="0"/>
        <w:autoSpaceDN w:val="0"/>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本项目评标过程实行全程录音、录像监控，有1名相关人员进行现场监督。投标人在评标过程中所进行的试图影响评标结果的不公正活动，可能导致其投标被拒绝。</w:t>
      </w:r>
    </w:p>
    <w:p w14:paraId="6650CA46">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六、定标</w:t>
      </w:r>
    </w:p>
    <w:p w14:paraId="11D0BC62">
      <w:pPr>
        <w:wordWrap w:val="0"/>
        <w:overflowPunct w:val="0"/>
        <w:autoSpaceDE w:val="0"/>
        <w:autoSpaceDN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1.确定中标人。本项目由采购人确定中标人。</w:t>
      </w:r>
    </w:p>
    <w:p w14:paraId="0AF35A52">
      <w:pPr>
        <w:wordWrap w:val="0"/>
        <w:overflowPunct w:val="0"/>
        <w:autoSpaceDE w:val="0"/>
        <w:autoSpaceDN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采购代理机构应当自评审结束之日起2个工作日内将评审报告送交采购人。采购人应当自收到评审报告之日起5个工作日内在评标报告确定的中标候选人名单中按顺序确定中标人。</w:t>
      </w:r>
    </w:p>
    <w:p w14:paraId="347C0616">
      <w:pPr>
        <w:wordWrap w:val="0"/>
        <w:overflowPunct w:val="0"/>
        <w:autoSpaceDE w:val="0"/>
        <w:autoSpaceDN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如有投标人对评标结果提出质疑的，采购人可在质疑处理完毕后确定中标人</w:t>
      </w:r>
    </w:p>
    <w:p w14:paraId="360CFC9D">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2.采购人或者采购代理机构应当自中标供应商确定之日起2个工作日内，发出中标通知书，并在省级以上人民政府财政部门指定的媒体上公告中标结果。</w:t>
      </w:r>
    </w:p>
    <w:p w14:paraId="16CE85F6">
      <w:pPr>
        <w:pStyle w:val="34"/>
        <w:wordWrap w:val="0"/>
        <w:overflowPunct w:val="0"/>
        <w:autoSpaceDE w:val="0"/>
        <w:autoSpaceDN w:val="0"/>
        <w:snapToGrid w:val="0"/>
        <w:spacing w:line="360" w:lineRule="auto"/>
        <w:outlineLvl w:val="0"/>
        <w:rPr>
          <w:rFonts w:hAnsi="宋体" w:cs="宋体"/>
          <w:b/>
          <w:color w:val="auto"/>
          <w:sz w:val="24"/>
          <w:szCs w:val="24"/>
          <w:highlight w:val="none"/>
        </w:rPr>
      </w:pPr>
      <w:r>
        <w:rPr>
          <w:rFonts w:hint="eastAsia" w:hAnsi="宋体" w:cs="宋体"/>
          <w:b/>
          <w:color w:val="auto"/>
          <w:sz w:val="24"/>
          <w:szCs w:val="24"/>
          <w:highlight w:val="none"/>
        </w:rPr>
        <w:t>七、合同授予</w:t>
      </w:r>
    </w:p>
    <w:p w14:paraId="40930D78">
      <w:pPr>
        <w:pStyle w:val="34"/>
        <w:wordWrap w:val="0"/>
        <w:overflowPunct w:val="0"/>
        <w:autoSpaceDE w:val="0"/>
        <w:autoSpaceDN w:val="0"/>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（一）签订合同</w:t>
      </w:r>
    </w:p>
    <w:p w14:paraId="58F149E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1.采购人与中标人应当在《中标通知书》发出之日起30日内签订政府采购合同。同时，采购代理机构对合同内容进行审查，如发现与采购结果和投标承诺内容不一致的，将予以纠正。</w:t>
      </w:r>
    </w:p>
    <w:p w14:paraId="36F33759">
      <w:pPr>
        <w:wordWrap w:val="0"/>
        <w:overflowPunct w:val="0"/>
        <w:autoSpaceDE w:val="0"/>
        <w:autoSpaceDN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2.中标人拖延、拒签合同的,将被列入不良行为记录或黑名单，由此产生的一切不利后果由中标人自行承担。</w:t>
      </w:r>
    </w:p>
    <w:p w14:paraId="71198CAC">
      <w:pPr>
        <w:pStyle w:val="34"/>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八、终止招标</w:t>
      </w:r>
    </w:p>
    <w:p w14:paraId="26903826">
      <w:pPr>
        <w:pStyle w:val="34"/>
        <w:snapToGrid w:val="0"/>
        <w:spacing w:line="360" w:lineRule="auto"/>
        <w:ind w:firstLine="480" w:firstLineChars="200"/>
        <w:rPr>
          <w:rFonts w:hAnsi="宋体" w:cs="宋体"/>
          <w:b/>
          <w:color w:val="auto"/>
          <w:sz w:val="28"/>
          <w:szCs w:val="28"/>
          <w:highlight w:val="none"/>
        </w:rPr>
      </w:pPr>
      <w:r>
        <w:rPr>
          <w:rFonts w:hint="eastAsia" w:hAnsi="宋体" w:cs="宋体"/>
          <w:color w:val="auto"/>
          <w:sz w:val="24"/>
          <w:szCs w:val="24"/>
          <w:highlight w:val="none"/>
        </w:rPr>
        <w:t>终止招标的，采购人或者采购代理机构应当及时在原公告发布媒体上发布终止公告，并将项目实施情况和采购任务取消原因报告本级财政部门。</w:t>
      </w:r>
      <w:bookmarkStart w:id="41" w:name="_Toc2572"/>
    </w:p>
    <w:bookmarkEnd w:id="35"/>
    <w:bookmarkEnd w:id="41"/>
    <w:p w14:paraId="29E6FBE9">
      <w:pPr>
        <w:pStyle w:val="34"/>
        <w:snapToGrid w:val="0"/>
        <w:spacing w:line="360" w:lineRule="auto"/>
        <w:rPr>
          <w:rFonts w:hAnsi="宋体" w:cs="宋体"/>
          <w:b/>
          <w:color w:val="auto"/>
          <w:sz w:val="24"/>
          <w:szCs w:val="24"/>
          <w:highlight w:val="none"/>
        </w:rPr>
      </w:pPr>
      <w:bookmarkStart w:id="42" w:name="_Hlt74729768"/>
      <w:bookmarkEnd w:id="42"/>
      <w:bookmarkStart w:id="43" w:name="_Hlt68072990"/>
      <w:bookmarkEnd w:id="43"/>
      <w:bookmarkStart w:id="44" w:name="_Hlt75236101"/>
      <w:bookmarkEnd w:id="44"/>
      <w:bookmarkStart w:id="45" w:name="_Hlt68072998"/>
      <w:bookmarkEnd w:id="45"/>
      <w:bookmarkStart w:id="46" w:name="_Hlt68057669"/>
      <w:bookmarkEnd w:id="46"/>
      <w:bookmarkStart w:id="47" w:name="_Hlt68403820"/>
      <w:bookmarkEnd w:id="47"/>
      <w:bookmarkStart w:id="48" w:name="_Hlt74707468"/>
      <w:bookmarkEnd w:id="48"/>
      <w:bookmarkStart w:id="49" w:name="_Hlt75236290"/>
      <w:bookmarkEnd w:id="49"/>
      <w:bookmarkStart w:id="50" w:name="_Hlt68073093"/>
      <w:bookmarkEnd w:id="50"/>
      <w:bookmarkStart w:id="51" w:name="_Hlt74730295"/>
      <w:bookmarkEnd w:id="51"/>
      <w:bookmarkStart w:id="52" w:name="_Hlt75236011"/>
      <w:bookmarkEnd w:id="52"/>
      <w:bookmarkStart w:id="53" w:name="_Hlt74714665"/>
      <w:bookmarkEnd w:id="53"/>
      <w:r>
        <w:rPr>
          <w:rFonts w:hint="eastAsia" w:hAnsi="宋体" w:cs="宋体"/>
          <w:b/>
          <w:color w:val="auto"/>
          <w:sz w:val="24"/>
          <w:szCs w:val="24"/>
          <w:highlight w:val="none"/>
        </w:rPr>
        <w:t>九、招标代理费</w:t>
      </w:r>
    </w:p>
    <w:p w14:paraId="238C81A3">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1、根据“国家发展和改革委员会办公厅《关于招标代理服务收费有关问题的通知》（发改办价格【2003】857号）”规定，招标代理机构向中标人收取招标代理服务费。</w:t>
      </w:r>
    </w:p>
    <w:p w14:paraId="03FAF59C">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2、中标人应在收取《中标通知书》时向采购代理机构交纳招标代理服务费，服务费的收费标准按国家计委(计价格[2011]534号)文规定计算:</w:t>
      </w:r>
    </w:p>
    <w:tbl>
      <w:tblPr>
        <w:tblStyle w:val="63"/>
        <w:tblW w:w="4306"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53"/>
        <w:gridCol w:w="2153"/>
      </w:tblGrid>
      <w:tr w14:paraId="182B24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363" w:hRule="atLeast"/>
          <w:jc w:val="center"/>
        </w:trPr>
        <w:tc>
          <w:tcPr>
            <w:tcW w:w="2153" w:type="dxa"/>
            <w:tcBorders>
              <w:top w:val="double" w:color="auto" w:sz="4" w:space="0"/>
              <w:left w:val="double" w:color="auto" w:sz="4" w:space="0"/>
              <w:bottom w:val="single" w:color="auto" w:sz="6" w:space="0"/>
              <w:right w:val="single" w:color="auto" w:sz="6" w:space="0"/>
            </w:tcBorders>
            <w:shd w:val="clear" w:color="auto" w:fill="D9D9D9"/>
            <w:vAlign w:val="center"/>
          </w:tcPr>
          <w:p w14:paraId="0DB0ADA8">
            <w:pPr>
              <w:spacing w:line="360" w:lineRule="auto"/>
              <w:jc w:val="center"/>
              <w:rPr>
                <w:rFonts w:ascii="宋体" w:hAnsi="宋体"/>
                <w:b/>
                <w:color w:val="auto"/>
                <w:sz w:val="24"/>
                <w:highlight w:val="none"/>
              </w:rPr>
            </w:pPr>
            <w:r>
              <w:rPr>
                <w:rFonts w:hint="eastAsia" w:ascii="宋体" w:hAnsi="宋体"/>
                <w:b/>
                <w:color w:val="auto"/>
                <w:sz w:val="24"/>
                <w:highlight w:val="none"/>
              </w:rPr>
              <w:t>中标金额（万元）</w:t>
            </w:r>
          </w:p>
        </w:tc>
        <w:tc>
          <w:tcPr>
            <w:tcW w:w="2153" w:type="dxa"/>
            <w:tcBorders>
              <w:top w:val="double" w:color="auto" w:sz="4" w:space="0"/>
              <w:left w:val="single" w:color="auto" w:sz="6" w:space="0"/>
              <w:bottom w:val="single" w:color="auto" w:sz="6" w:space="0"/>
              <w:right w:val="double" w:color="auto" w:sz="4" w:space="0"/>
            </w:tcBorders>
            <w:shd w:val="clear" w:color="auto" w:fill="D9D9D9"/>
            <w:vAlign w:val="center"/>
          </w:tcPr>
          <w:p w14:paraId="42E2D341">
            <w:pPr>
              <w:spacing w:line="360" w:lineRule="auto"/>
              <w:jc w:val="center"/>
              <w:rPr>
                <w:rFonts w:ascii="宋体" w:hAnsi="宋体"/>
                <w:b/>
                <w:color w:val="auto"/>
                <w:sz w:val="24"/>
                <w:highlight w:val="none"/>
              </w:rPr>
            </w:pPr>
            <w:r>
              <w:rPr>
                <w:rFonts w:hint="eastAsia" w:ascii="宋体" w:hAnsi="宋体"/>
                <w:b/>
                <w:color w:val="auto"/>
                <w:sz w:val="24"/>
                <w:highlight w:val="none"/>
              </w:rPr>
              <w:t>服务招标收费费率</w:t>
            </w:r>
          </w:p>
        </w:tc>
      </w:tr>
      <w:tr w14:paraId="70FC78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5" w:hRule="atLeast"/>
          <w:jc w:val="center"/>
        </w:trPr>
        <w:tc>
          <w:tcPr>
            <w:tcW w:w="2153" w:type="dxa"/>
            <w:tcBorders>
              <w:top w:val="single" w:color="auto" w:sz="6" w:space="0"/>
              <w:left w:val="double" w:color="auto" w:sz="4" w:space="0"/>
              <w:bottom w:val="single" w:color="auto" w:sz="6" w:space="0"/>
              <w:right w:val="single" w:color="auto" w:sz="6" w:space="0"/>
            </w:tcBorders>
            <w:vAlign w:val="center"/>
          </w:tcPr>
          <w:p w14:paraId="57E4A023">
            <w:pPr>
              <w:spacing w:line="360" w:lineRule="auto"/>
              <w:jc w:val="center"/>
              <w:rPr>
                <w:rFonts w:ascii="宋体" w:hAnsi="宋体"/>
                <w:b/>
                <w:color w:val="auto"/>
                <w:sz w:val="24"/>
                <w:highlight w:val="none"/>
              </w:rPr>
            </w:pPr>
            <w:r>
              <w:rPr>
                <w:rFonts w:hint="eastAsia" w:ascii="宋体" w:hAnsi="宋体"/>
                <w:b/>
                <w:color w:val="auto"/>
                <w:sz w:val="24"/>
                <w:highlight w:val="none"/>
              </w:rPr>
              <w:t>100以下</w:t>
            </w:r>
          </w:p>
        </w:tc>
        <w:tc>
          <w:tcPr>
            <w:tcW w:w="2153" w:type="dxa"/>
            <w:tcBorders>
              <w:top w:val="single" w:color="auto" w:sz="6" w:space="0"/>
              <w:left w:val="single" w:color="auto" w:sz="6" w:space="0"/>
              <w:bottom w:val="single" w:color="auto" w:sz="6" w:space="0"/>
              <w:right w:val="double" w:color="auto" w:sz="4" w:space="0"/>
            </w:tcBorders>
            <w:vAlign w:val="center"/>
          </w:tcPr>
          <w:p w14:paraId="60CC4854">
            <w:pPr>
              <w:spacing w:line="360" w:lineRule="auto"/>
              <w:jc w:val="center"/>
              <w:rPr>
                <w:rFonts w:ascii="宋体" w:hAnsi="宋体"/>
                <w:b/>
                <w:color w:val="auto"/>
                <w:sz w:val="24"/>
                <w:highlight w:val="none"/>
              </w:rPr>
            </w:pPr>
            <w:r>
              <w:rPr>
                <w:rFonts w:hint="eastAsia" w:ascii="宋体" w:hAnsi="宋体"/>
                <w:b/>
                <w:color w:val="auto"/>
                <w:sz w:val="24"/>
                <w:highlight w:val="none"/>
              </w:rPr>
              <w:t>1.50%</w:t>
            </w:r>
          </w:p>
        </w:tc>
      </w:tr>
    </w:tbl>
    <w:p w14:paraId="3C410199">
      <w:pPr>
        <w:snapToGrid w:val="0"/>
        <w:spacing w:line="360" w:lineRule="auto"/>
        <w:jc w:val="left"/>
        <w:rPr>
          <w:rFonts w:ascii="宋体" w:hAnsi="宋体"/>
          <w:color w:val="auto"/>
          <w:sz w:val="24"/>
          <w:highlight w:val="none"/>
        </w:rPr>
      </w:pPr>
      <w:r>
        <w:rPr>
          <w:rFonts w:hint="eastAsia" w:ascii="宋体" w:hAnsi="宋体"/>
          <w:color w:val="auto"/>
          <w:sz w:val="24"/>
          <w:highlight w:val="none"/>
        </w:rPr>
        <w:t>例如：某项目服务类招标代理业务中标金额为</w:t>
      </w:r>
      <w:r>
        <w:rPr>
          <w:rFonts w:hint="eastAsia" w:ascii="宋体" w:hAnsi="宋体"/>
          <w:color w:val="auto"/>
          <w:sz w:val="24"/>
          <w:highlight w:val="none"/>
          <w:lang w:val="en-US" w:eastAsia="zh-CN"/>
        </w:rPr>
        <w:t>100</w:t>
      </w:r>
      <w:r>
        <w:rPr>
          <w:rFonts w:hint="eastAsia" w:ascii="宋体" w:hAnsi="宋体"/>
          <w:color w:val="auto"/>
          <w:sz w:val="24"/>
          <w:highlight w:val="none"/>
        </w:rPr>
        <w:t>万元，计算中标服务费收费额如下：</w:t>
      </w:r>
    </w:p>
    <w:p w14:paraId="399C2CC4">
      <w:pPr>
        <w:snapToGrid w:val="0"/>
        <w:spacing w:line="360" w:lineRule="auto"/>
        <w:ind w:left="959" w:leftChars="228" w:hanging="480" w:hangingChars="200"/>
        <w:jc w:val="left"/>
        <w:rPr>
          <w:rStyle w:val="973"/>
          <w:rFonts w:ascii="宋体" w:hAnsi="宋体"/>
          <w:color w:val="auto"/>
          <w:sz w:val="24"/>
          <w:highlight w:val="none"/>
        </w:rPr>
      </w:pPr>
      <w:r>
        <w:rPr>
          <w:rStyle w:val="972"/>
          <w:rFonts w:ascii="宋体" w:hAnsi="宋体"/>
          <w:color w:val="auto"/>
          <w:sz w:val="24"/>
          <w:highlight w:val="none"/>
        </w:rPr>
        <w:t>100万元×1.5%=</w:t>
      </w:r>
      <w:r>
        <w:rPr>
          <w:rStyle w:val="972"/>
          <w:rFonts w:hint="eastAsia" w:ascii="宋体" w:hAnsi="宋体"/>
          <w:color w:val="auto"/>
          <w:sz w:val="24"/>
          <w:highlight w:val="none"/>
          <w:lang w:val="en-US"/>
        </w:rPr>
        <w:t>15000</w:t>
      </w:r>
      <w:r>
        <w:rPr>
          <w:rStyle w:val="972"/>
          <w:rFonts w:ascii="宋体" w:hAnsi="宋体"/>
          <w:color w:val="auto"/>
          <w:sz w:val="24"/>
          <w:highlight w:val="none"/>
        </w:rPr>
        <w:t>元</w:t>
      </w:r>
    </w:p>
    <w:p w14:paraId="2AC4D0DC">
      <w:pPr>
        <w:snapToGrid w:val="0"/>
        <w:spacing w:line="360" w:lineRule="auto"/>
        <w:ind w:firstLine="600" w:firstLineChars="250"/>
        <w:jc w:val="left"/>
        <w:rPr>
          <w:rFonts w:ascii="宋体" w:hAnsi="宋体"/>
          <w:bCs/>
          <w:color w:val="auto"/>
          <w:sz w:val="24"/>
          <w:highlight w:val="none"/>
          <w:lang w:val="zh-CN"/>
        </w:rPr>
      </w:pPr>
      <w:r>
        <w:rPr>
          <w:rFonts w:hint="eastAsia" w:ascii="宋体" w:hAnsi="宋体"/>
          <w:color w:val="auto"/>
          <w:sz w:val="24"/>
          <w:highlight w:val="none"/>
        </w:rPr>
        <w:t>3、本项目以服务招标收费标准的</w:t>
      </w:r>
      <w:r>
        <w:rPr>
          <w:rFonts w:hint="eastAsia" w:ascii="宋体" w:hAnsi="宋体"/>
          <w:color w:val="auto"/>
          <w:sz w:val="24"/>
          <w:highlight w:val="none"/>
          <w:lang w:val="en-US" w:eastAsia="zh-CN"/>
        </w:rPr>
        <w:t>80</w:t>
      </w:r>
      <w:r>
        <w:rPr>
          <w:rFonts w:hint="eastAsia" w:ascii="宋体" w:hAnsi="宋体"/>
          <w:color w:val="auto"/>
          <w:sz w:val="24"/>
          <w:highlight w:val="none"/>
        </w:rPr>
        <w:t>%收取中标服务费</w:t>
      </w:r>
      <w:r>
        <w:rPr>
          <w:rFonts w:hint="eastAsia" w:ascii="宋体" w:hAnsi="宋体"/>
          <w:bCs/>
          <w:color w:val="auto"/>
          <w:sz w:val="24"/>
          <w:highlight w:val="none"/>
          <w:lang w:val="zh-CN"/>
        </w:rPr>
        <w:t>。</w:t>
      </w:r>
    </w:p>
    <w:p w14:paraId="61399369">
      <w:pPr>
        <w:tabs>
          <w:tab w:val="left" w:pos="1862"/>
        </w:tabs>
        <w:snapToGrid w:val="0"/>
        <w:spacing w:line="360" w:lineRule="auto"/>
        <w:ind w:firstLine="1080" w:firstLineChars="450"/>
        <w:jc w:val="left"/>
        <w:rPr>
          <w:rFonts w:ascii="宋体" w:hAnsi="宋体"/>
          <w:color w:val="auto"/>
          <w:sz w:val="24"/>
          <w:highlight w:val="none"/>
        </w:rPr>
      </w:pPr>
      <w:r>
        <w:rPr>
          <w:rFonts w:hint="eastAsia" w:ascii="宋体" w:hAnsi="宋体"/>
          <w:color w:val="auto"/>
          <w:sz w:val="24"/>
          <w:highlight w:val="none"/>
        </w:rPr>
        <w:t xml:space="preserve">计收费 = </w:t>
      </w:r>
      <w:r>
        <w:rPr>
          <w:rStyle w:val="972"/>
          <w:rFonts w:hint="eastAsia" w:ascii="宋体" w:hAnsi="宋体"/>
          <w:color w:val="auto"/>
          <w:sz w:val="24"/>
          <w:highlight w:val="none"/>
          <w:lang w:val="en-US"/>
        </w:rPr>
        <w:t>15000</w:t>
      </w:r>
      <w:r>
        <w:rPr>
          <w:rFonts w:hint="eastAsia" w:ascii="宋体" w:hAnsi="宋体"/>
          <w:color w:val="auto"/>
          <w:sz w:val="24"/>
          <w:highlight w:val="none"/>
        </w:rPr>
        <w:t>元×</w:t>
      </w:r>
      <w:r>
        <w:rPr>
          <w:rFonts w:hint="eastAsia" w:ascii="宋体" w:hAnsi="宋体"/>
          <w:color w:val="auto"/>
          <w:sz w:val="24"/>
          <w:highlight w:val="none"/>
          <w:lang w:val="en-US" w:eastAsia="zh-CN"/>
        </w:rPr>
        <w:t>80</w:t>
      </w:r>
      <w:r>
        <w:rPr>
          <w:rFonts w:hint="eastAsia" w:ascii="宋体" w:hAnsi="宋体"/>
          <w:color w:val="auto"/>
          <w:sz w:val="24"/>
          <w:highlight w:val="none"/>
        </w:rPr>
        <w:t xml:space="preserve">%= </w:t>
      </w:r>
      <w:r>
        <w:rPr>
          <w:rFonts w:hint="eastAsia" w:ascii="宋体" w:hAnsi="宋体"/>
          <w:color w:val="auto"/>
          <w:sz w:val="24"/>
          <w:highlight w:val="none"/>
          <w:lang w:val="en-US" w:eastAsia="zh-CN"/>
        </w:rPr>
        <w:t>12000</w:t>
      </w:r>
      <w:r>
        <w:rPr>
          <w:rFonts w:hint="eastAsia" w:ascii="宋体" w:hAnsi="宋体"/>
          <w:color w:val="auto"/>
          <w:sz w:val="24"/>
          <w:highlight w:val="none"/>
        </w:rPr>
        <w:t>元</w:t>
      </w:r>
    </w:p>
    <w:p w14:paraId="736DBC10">
      <w:pPr>
        <w:snapToGrid w:val="0"/>
        <w:spacing w:line="360" w:lineRule="auto"/>
        <w:ind w:firstLine="600" w:firstLineChars="250"/>
        <w:jc w:val="left"/>
        <w:rPr>
          <w:rFonts w:ascii="宋体" w:hAnsi="宋体"/>
          <w:color w:val="auto"/>
          <w:sz w:val="24"/>
          <w:highlight w:val="none"/>
        </w:rPr>
      </w:pPr>
      <w:r>
        <w:rPr>
          <w:rFonts w:hint="eastAsia" w:ascii="宋体" w:hAnsi="宋体"/>
          <w:color w:val="auto"/>
          <w:sz w:val="24"/>
          <w:highlight w:val="none"/>
        </w:rPr>
        <w:t>4、服务费的货币为人民币。</w:t>
      </w:r>
    </w:p>
    <w:p w14:paraId="40FD7435">
      <w:pPr>
        <w:snapToGrid w:val="0"/>
        <w:spacing w:line="360" w:lineRule="auto"/>
        <w:ind w:firstLine="600" w:firstLineChars="250"/>
        <w:jc w:val="left"/>
        <w:rPr>
          <w:rFonts w:ascii="宋体" w:hAnsi="宋体"/>
          <w:color w:val="auto"/>
          <w:sz w:val="24"/>
          <w:highlight w:val="none"/>
        </w:rPr>
      </w:pPr>
      <w:r>
        <w:rPr>
          <w:rFonts w:hint="eastAsia" w:ascii="宋体" w:hAnsi="宋体"/>
          <w:color w:val="auto"/>
          <w:sz w:val="24"/>
          <w:highlight w:val="none"/>
        </w:rPr>
        <w:t>5、服务费支付方式：一次性以银行划账、电汇、汇票或支票的形式支付。</w:t>
      </w:r>
    </w:p>
    <w:p w14:paraId="00594611">
      <w:pPr>
        <w:snapToGrid w:val="0"/>
        <w:spacing w:line="360" w:lineRule="auto"/>
        <w:ind w:firstLine="600" w:firstLineChars="250"/>
        <w:jc w:val="left"/>
        <w:rPr>
          <w:rFonts w:ascii="宋体" w:hAnsi="宋体"/>
          <w:color w:val="auto"/>
          <w:sz w:val="24"/>
          <w:highlight w:val="none"/>
        </w:rPr>
      </w:pPr>
      <w:r>
        <w:rPr>
          <w:rFonts w:hint="eastAsia" w:ascii="宋体" w:hAnsi="宋体"/>
          <w:color w:val="auto"/>
          <w:sz w:val="24"/>
          <w:highlight w:val="none"/>
        </w:rPr>
        <w:t>6、服务费以银行划账方式按下列要求提交：</w:t>
      </w:r>
    </w:p>
    <w:p w14:paraId="6876D7BA">
      <w:pPr>
        <w:tabs>
          <w:tab w:val="left" w:pos="0"/>
        </w:tabs>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户名：嘉兴市银建工程咨询评估有限公司嘉善大云分公司</w:t>
      </w:r>
    </w:p>
    <w:p w14:paraId="289BF6FA">
      <w:pPr>
        <w:tabs>
          <w:tab w:val="left" w:pos="0"/>
        </w:tabs>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开户行：嘉兴银行股份有限公司长三角一体化示范区（浙江嘉善）支行</w:t>
      </w:r>
    </w:p>
    <w:p w14:paraId="52A18964">
      <w:pPr>
        <w:tabs>
          <w:tab w:val="left" w:pos="0"/>
        </w:tabs>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账号：8010000013852</w:t>
      </w:r>
    </w:p>
    <w:p w14:paraId="0854FAF3">
      <w:pPr>
        <w:tabs>
          <w:tab w:val="left" w:pos="0"/>
        </w:tabs>
        <w:spacing w:line="360" w:lineRule="auto"/>
        <w:ind w:firstLine="480" w:firstLineChars="200"/>
        <w:rPr>
          <w:rFonts w:ascii="宋体" w:hAnsi="宋体"/>
          <w:color w:val="auto"/>
          <w:sz w:val="24"/>
          <w:highlight w:val="none"/>
        </w:rPr>
      </w:pPr>
      <w:r>
        <w:rPr>
          <w:rFonts w:hint="eastAsia" w:ascii="宋体" w:hAnsi="宋体"/>
          <w:color w:val="auto"/>
          <w:sz w:val="24"/>
          <w:highlight w:val="none"/>
        </w:rPr>
        <w:t>7、服务费支付时间：服务费必须在中标人领取《中标通知书》时一次性付清，如果中标人未能按时交纳服务费，采购代理机构/采购人保留取消其中标资格并追究其法律责任的权利。</w:t>
      </w:r>
    </w:p>
    <w:p w14:paraId="1E92E436">
      <w:pPr>
        <w:tabs>
          <w:tab w:val="left" w:pos="0"/>
        </w:tabs>
        <w:spacing w:line="360" w:lineRule="auto"/>
        <w:ind w:firstLine="480" w:firstLineChars="200"/>
        <w:rPr>
          <w:rFonts w:hint="eastAsia" w:ascii="仿宋_GB2312" w:hAnsi="仿宋" w:eastAsia="宋体" w:cs="Helvetica"/>
          <w:color w:val="auto"/>
          <w:kern w:val="0"/>
          <w:sz w:val="28"/>
          <w:szCs w:val="28"/>
          <w:highlight w:val="none"/>
          <w:lang w:val="en-US" w:eastAsia="zh-CN"/>
        </w:rPr>
        <w:sectPr>
          <w:pgSz w:w="11906" w:h="16838"/>
          <w:pgMar w:top="1134" w:right="1134" w:bottom="1134" w:left="1134" w:header="851" w:footer="992" w:gutter="0"/>
          <w:pgBorders>
            <w:top w:val="none" w:sz="0" w:space="0"/>
            <w:left w:val="none" w:sz="0" w:space="0"/>
            <w:bottom w:val="none" w:sz="0" w:space="0"/>
            <w:right w:val="none" w:sz="0" w:space="0"/>
          </w:pgBorders>
          <w:cols w:space="0" w:num="1"/>
          <w:titlePg/>
          <w:rtlGutter w:val="0"/>
          <w:docGrid w:linePitch="312" w:charSpace="0"/>
        </w:sectPr>
      </w:pPr>
      <w:r>
        <w:rPr>
          <w:rFonts w:hint="eastAsia" w:ascii="宋体" w:hAnsi="宋体"/>
          <w:color w:val="auto"/>
          <w:sz w:val="24"/>
          <w:highlight w:val="none"/>
        </w:rPr>
        <w:t>8、服务费不在投标报价中单列，由各投标人自行考虑在投标报价中，请注明款项用途及项目名称，以便收款人确认</w:t>
      </w:r>
      <w:r>
        <w:rPr>
          <w:rFonts w:hint="eastAsia" w:ascii="宋体" w:hAnsi="宋体"/>
          <w:color w:val="auto"/>
          <w:sz w:val="24"/>
          <w:highlight w:val="none"/>
          <w:lang w:eastAsia="zh-CN"/>
        </w:rPr>
        <w:t>。</w:t>
      </w:r>
    </w:p>
    <w:bookmarkEnd w:id="36"/>
    <w:bookmarkEnd w:id="37"/>
    <w:p w14:paraId="66A11DFA">
      <w:pPr>
        <w:snapToGrid w:val="0"/>
        <w:spacing w:line="360" w:lineRule="auto"/>
        <w:jc w:val="center"/>
        <w:rPr>
          <w:rFonts w:ascii="仿宋" w:hAnsi="仿宋" w:eastAsia="仿宋" w:cs="仿宋_GB2312"/>
          <w:b/>
          <w:color w:val="auto"/>
          <w:sz w:val="36"/>
          <w:szCs w:val="36"/>
          <w:highlight w:val="none"/>
        </w:rPr>
      </w:pPr>
      <w:bookmarkStart w:id="54" w:name="第四部分"/>
      <w:r>
        <w:rPr>
          <w:rFonts w:hint="eastAsia" w:ascii="仿宋" w:hAnsi="仿宋" w:eastAsia="仿宋" w:cs="仿宋_GB2312"/>
          <w:b/>
          <w:color w:val="auto"/>
          <w:sz w:val="36"/>
          <w:szCs w:val="36"/>
          <w:highlight w:val="none"/>
        </w:rPr>
        <w:t>第四章 评标办法及评分标准</w:t>
      </w:r>
    </w:p>
    <w:bookmarkEnd w:id="54"/>
    <w:p w14:paraId="4AD7A997">
      <w:pPr>
        <w:spacing w:line="480" w:lineRule="exact"/>
        <w:ind w:firstLine="420"/>
        <w:rPr>
          <w:rFonts w:ascii="宋体" w:hAnsi="宋体" w:cs="宋体"/>
          <w:color w:val="auto"/>
          <w:sz w:val="24"/>
          <w:highlight w:val="none"/>
        </w:rPr>
      </w:pPr>
      <w:bookmarkStart w:id="55" w:name="_Toc406403000"/>
      <w:r>
        <w:rPr>
          <w:rFonts w:hint="eastAsia" w:ascii="宋体" w:hAnsi="宋体" w:cs="宋体"/>
          <w:color w:val="auto"/>
          <w:sz w:val="24"/>
          <w:highlight w:val="none"/>
        </w:rPr>
        <w:t>为公正、公平、科学地选择中标人，根据《中华人民共和国政府采购法》等有关法律法规的规定，并结合本项目的实际，制定本办法。</w:t>
      </w:r>
    </w:p>
    <w:p w14:paraId="25BAC326">
      <w:pPr>
        <w:pStyle w:val="55"/>
        <w:spacing w:line="480" w:lineRule="exact"/>
        <w:rPr>
          <w:rFonts w:ascii="宋体" w:hAnsi="宋体" w:cs="宋体"/>
          <w:color w:val="auto"/>
          <w:sz w:val="24"/>
          <w:highlight w:val="none"/>
        </w:rPr>
      </w:pPr>
      <w:r>
        <w:rPr>
          <w:rFonts w:hint="eastAsia" w:ascii="宋体" w:hAnsi="宋体" w:cs="宋体"/>
          <w:color w:val="auto"/>
          <w:sz w:val="24"/>
          <w:highlight w:val="none"/>
        </w:rPr>
        <w:t>本办法适用于</w:t>
      </w:r>
      <w:r>
        <w:rPr>
          <w:rFonts w:hint="eastAsia" w:ascii="宋体" w:hAnsi="宋体" w:cs="宋体"/>
          <w:color w:val="auto"/>
          <w:sz w:val="24"/>
          <w:highlight w:val="none"/>
          <w:lang w:eastAsia="zh-CN"/>
        </w:rPr>
        <w:t>嘉善县中医医院织物清洗消毒服务项目</w:t>
      </w:r>
      <w:r>
        <w:rPr>
          <w:rFonts w:hint="eastAsia" w:ascii="宋体" w:hAnsi="宋体" w:cs="宋体"/>
          <w:color w:val="auto"/>
          <w:sz w:val="24"/>
          <w:highlight w:val="none"/>
        </w:rPr>
        <w:t>的评标。</w:t>
      </w:r>
    </w:p>
    <w:p w14:paraId="5412BE2D">
      <w:pPr>
        <w:spacing w:line="480" w:lineRule="exact"/>
        <w:rPr>
          <w:rFonts w:ascii="宋体" w:hAnsi="宋体" w:cs="宋体"/>
          <w:b/>
          <w:color w:val="auto"/>
          <w:sz w:val="24"/>
          <w:highlight w:val="none"/>
        </w:rPr>
      </w:pPr>
      <w:r>
        <w:rPr>
          <w:rFonts w:hint="eastAsia" w:ascii="宋体" w:hAnsi="宋体" w:cs="宋体"/>
          <w:b/>
          <w:color w:val="auto"/>
          <w:sz w:val="24"/>
          <w:highlight w:val="none"/>
        </w:rPr>
        <w:t>一 、总则</w:t>
      </w:r>
    </w:p>
    <w:p w14:paraId="7436A090">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本次评标采用综合评分法，总分为100分，</w:t>
      </w:r>
      <w:r>
        <w:rPr>
          <w:rFonts w:hint="eastAsia" w:ascii="宋体" w:hAnsi="宋体"/>
          <w:color w:val="auto"/>
          <w:sz w:val="24"/>
          <w:highlight w:val="none"/>
        </w:rPr>
        <w:t>其中价格分</w:t>
      </w:r>
      <w:r>
        <w:rPr>
          <w:rFonts w:hint="eastAsia" w:ascii="宋体" w:hAnsi="宋体"/>
          <w:color w:val="auto"/>
          <w:sz w:val="24"/>
          <w:highlight w:val="none"/>
          <w:lang w:val="en-US" w:eastAsia="zh-CN"/>
        </w:rPr>
        <w:t>20</w:t>
      </w:r>
      <w:r>
        <w:rPr>
          <w:rFonts w:hint="eastAsia" w:ascii="宋体" w:hAnsi="宋体"/>
          <w:color w:val="auto"/>
          <w:sz w:val="24"/>
          <w:highlight w:val="none"/>
        </w:rPr>
        <w:t>分、商务技术</w:t>
      </w:r>
      <w:r>
        <w:rPr>
          <w:rFonts w:hint="eastAsia" w:ascii="宋体" w:hAnsi="宋体"/>
          <w:color w:val="auto"/>
          <w:sz w:val="24"/>
          <w:highlight w:val="none"/>
          <w:lang w:val="en-US" w:eastAsia="zh-CN"/>
        </w:rPr>
        <w:t>80</w:t>
      </w:r>
      <w:r>
        <w:rPr>
          <w:rFonts w:hint="eastAsia" w:ascii="宋体" w:hAnsi="宋体"/>
          <w:color w:val="auto"/>
          <w:sz w:val="24"/>
          <w:highlight w:val="none"/>
        </w:rPr>
        <w:t>分（其中：商务资信分</w:t>
      </w:r>
      <w:r>
        <w:rPr>
          <w:rFonts w:hint="eastAsia" w:ascii="宋体" w:hAnsi="宋体"/>
          <w:color w:val="auto"/>
          <w:sz w:val="24"/>
          <w:highlight w:val="none"/>
          <w:lang w:val="en-US" w:eastAsia="zh-CN"/>
        </w:rPr>
        <w:t>10</w:t>
      </w:r>
      <w:r>
        <w:rPr>
          <w:rFonts w:hint="eastAsia" w:ascii="宋体" w:hAnsi="宋体"/>
          <w:color w:val="auto"/>
          <w:sz w:val="24"/>
          <w:highlight w:val="none"/>
        </w:rPr>
        <w:t>分，技术分</w:t>
      </w:r>
      <w:r>
        <w:rPr>
          <w:rFonts w:hint="eastAsia" w:ascii="宋体" w:hAnsi="宋体"/>
          <w:color w:val="auto"/>
          <w:sz w:val="24"/>
          <w:highlight w:val="none"/>
          <w:lang w:val="en-US" w:eastAsia="zh-CN"/>
        </w:rPr>
        <w:t>70</w:t>
      </w:r>
      <w:r>
        <w:rPr>
          <w:rFonts w:hint="eastAsia" w:ascii="宋体" w:hAnsi="宋体"/>
          <w:color w:val="auto"/>
          <w:sz w:val="24"/>
          <w:highlight w:val="none"/>
        </w:rPr>
        <w:t>分）</w:t>
      </w:r>
      <w:r>
        <w:rPr>
          <w:rFonts w:hint="eastAsia" w:ascii="宋体" w:hAnsi="宋体"/>
          <w:color w:val="auto"/>
          <w:sz w:val="24"/>
          <w:highlight w:val="none"/>
        </w:rPr>
        <w:t>。中标候选资格按评标综合得分由高到低顺序排列，得分相同的，按投标报价由低到高顺序排列；得分且投标报价相同的，按技术分得分总分由高到低顺序排列，仍不能分出前后的，以电子投标文件解密先后顺序确定。综合得分排名第一的供应商为第一成交候选供应商，综合得分排名第二的供应商为第二成交候选供应商，其他供应商的成交候选资格依此类推，评分过程中采用四舍五入法，并保留小数2位。中标人拒绝与采购人签订合同的，采购人可以按照评审报告推荐的中标候选人名单顺序，确定下一候选人为中标人，也可以重新开展政府采购活动。</w:t>
      </w:r>
    </w:p>
    <w:p w14:paraId="6474EAF7">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投标人评标综合得分=价格分+商务技术分</w:t>
      </w:r>
    </w:p>
    <w:p w14:paraId="54ED5464">
      <w:pPr>
        <w:spacing w:line="480" w:lineRule="exact"/>
        <w:rPr>
          <w:rFonts w:ascii="宋体" w:hAnsi="宋体"/>
          <w:b/>
          <w:color w:val="auto"/>
          <w:sz w:val="24"/>
          <w:highlight w:val="none"/>
        </w:rPr>
      </w:pPr>
      <w:r>
        <w:rPr>
          <w:rFonts w:hint="eastAsia" w:ascii="宋体" w:hAnsi="宋体"/>
          <w:b/>
          <w:color w:val="auto"/>
          <w:sz w:val="24"/>
          <w:highlight w:val="none"/>
        </w:rPr>
        <w:t>二</w:t>
      </w:r>
      <w:r>
        <w:rPr>
          <w:rFonts w:ascii="宋体" w:hAnsi="宋体"/>
          <w:b/>
          <w:color w:val="auto"/>
          <w:sz w:val="24"/>
          <w:highlight w:val="none"/>
        </w:rPr>
        <w:t xml:space="preserve"> </w:t>
      </w:r>
      <w:r>
        <w:rPr>
          <w:rFonts w:hint="eastAsia" w:ascii="宋体" w:hAnsi="宋体"/>
          <w:b/>
          <w:color w:val="auto"/>
          <w:sz w:val="24"/>
          <w:highlight w:val="none"/>
        </w:rPr>
        <w:t>、评标内容及标准</w:t>
      </w:r>
    </w:p>
    <w:p w14:paraId="209740D4">
      <w:pPr>
        <w:pStyle w:val="25"/>
        <w:ind w:firstLine="482"/>
        <w:rPr>
          <w:b/>
          <w:bCs/>
          <w:color w:val="auto"/>
          <w:highlight w:val="none"/>
        </w:rPr>
      </w:pPr>
      <w:r>
        <w:rPr>
          <w:b/>
          <w:color w:val="auto"/>
          <w:highlight w:val="none"/>
        </w:rPr>
        <w:t>（一）</w:t>
      </w:r>
      <w:r>
        <w:rPr>
          <w:b/>
          <w:bCs/>
          <w:color w:val="auto"/>
          <w:highlight w:val="none"/>
        </w:rPr>
        <w:t>价格分（</w:t>
      </w:r>
      <w:r>
        <w:rPr>
          <w:rFonts w:hint="eastAsia"/>
          <w:b/>
          <w:bCs/>
          <w:color w:val="auto"/>
          <w:highlight w:val="none"/>
          <w:lang w:val="en-US" w:eastAsia="zh-CN"/>
        </w:rPr>
        <w:t>20</w:t>
      </w:r>
      <w:r>
        <w:rPr>
          <w:rFonts w:hint="eastAsia"/>
          <w:b/>
          <w:bCs/>
          <w:color w:val="auto"/>
          <w:highlight w:val="none"/>
        </w:rPr>
        <w:t>分）</w:t>
      </w:r>
    </w:p>
    <w:p w14:paraId="2A5916DB">
      <w:pPr>
        <w:pStyle w:val="25"/>
        <w:rPr>
          <w:color w:val="auto"/>
          <w:highlight w:val="none"/>
        </w:rPr>
      </w:pPr>
      <w:r>
        <w:rPr>
          <w:rFonts w:hint="eastAsia"/>
          <w:color w:val="auto"/>
          <w:highlight w:val="none"/>
        </w:rPr>
        <w:t>1.价格分采用低价优先法计算，即满足招标文件要求且投标价格最低的投标报价为评标基准价，其他投标人的价格分按照下列公式计算：</w:t>
      </w:r>
    </w:p>
    <w:p w14:paraId="596C1A53">
      <w:pPr>
        <w:spacing w:line="480" w:lineRule="exact"/>
        <w:ind w:firstLine="480" w:firstLineChars="200"/>
        <w:rPr>
          <w:rFonts w:hAnsi="宋体"/>
          <w:bCs/>
          <w:color w:val="auto"/>
          <w:sz w:val="24"/>
          <w:highlight w:val="none"/>
        </w:rPr>
      </w:pPr>
      <w:r>
        <w:rPr>
          <w:rFonts w:hint="eastAsia" w:ascii="宋体" w:hAnsi="宋体"/>
          <w:color w:val="auto"/>
          <w:sz w:val="24"/>
          <w:highlight w:val="none"/>
        </w:rPr>
        <w:t>价格分=（评标基准价/投标报价）×</w:t>
      </w:r>
      <w:r>
        <w:rPr>
          <w:rFonts w:hint="eastAsia" w:ascii="宋体" w:hAnsi="宋体"/>
          <w:color w:val="auto"/>
          <w:sz w:val="24"/>
          <w:highlight w:val="none"/>
          <w:lang w:val="en-US" w:eastAsia="zh-CN"/>
        </w:rPr>
        <w:t>20</w:t>
      </w:r>
      <w:r>
        <w:rPr>
          <w:rFonts w:hint="eastAsia" w:ascii="宋体" w:hAnsi="宋体"/>
          <w:color w:val="auto"/>
          <w:sz w:val="24"/>
          <w:highlight w:val="none"/>
        </w:rPr>
        <w:t>%</w:t>
      </w:r>
      <w:r>
        <w:rPr>
          <w:rFonts w:hint="eastAsia" w:ascii="宋体" w:hAnsi="宋体"/>
          <w:color w:val="auto"/>
          <w:sz w:val="24"/>
          <w:highlight w:val="none"/>
        </w:rPr>
        <w:t>×100</w:t>
      </w:r>
    </w:p>
    <w:p w14:paraId="43077EB1">
      <w:pPr>
        <w:spacing w:line="480" w:lineRule="exact"/>
        <w:ind w:firstLine="480" w:firstLineChars="200"/>
        <w:rPr>
          <w:rFonts w:hAnsi="宋体"/>
          <w:bCs/>
          <w:color w:val="auto"/>
          <w:sz w:val="24"/>
          <w:highlight w:val="none"/>
        </w:rPr>
      </w:pPr>
      <w:r>
        <w:rPr>
          <w:rFonts w:hint="eastAsia" w:hAnsi="宋体"/>
          <w:bCs/>
          <w:color w:val="auto"/>
          <w:sz w:val="24"/>
          <w:highlight w:val="none"/>
        </w:rPr>
        <w:t>2.投标人的投标报价超过采购人设定的最高限价，将作为无效标。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7C50C74">
      <w:pPr>
        <w:pStyle w:val="25"/>
        <w:spacing w:before="120" w:beforeLines="50" w:after="120" w:afterLines="50" w:line="360" w:lineRule="auto"/>
        <w:ind w:firstLine="482"/>
        <w:rPr>
          <w:rFonts w:hint="default" w:eastAsia="宋体" w:cs="宋体"/>
          <w:b/>
          <w:color w:val="auto"/>
          <w:highlight w:val="none"/>
          <w:lang w:val="en-US" w:eastAsia="zh-CN"/>
        </w:rPr>
      </w:pPr>
      <w:r>
        <w:rPr>
          <w:rFonts w:hint="eastAsia" w:cs="宋体"/>
          <w:b/>
          <w:color w:val="auto"/>
          <w:highlight w:val="none"/>
          <w:lang w:val="en-US" w:eastAsia="zh-CN"/>
        </w:rPr>
        <w:t>3.</w:t>
      </w:r>
      <w:r>
        <w:rPr>
          <w:rFonts w:hint="eastAsia" w:ascii="宋体" w:hAnsi="宋体" w:cs="宋体"/>
          <w:b/>
          <w:color w:val="auto"/>
          <w:sz w:val="24"/>
          <w:szCs w:val="24"/>
          <w:highlight w:val="none"/>
          <w:lang w:val="en-US" w:eastAsia="zh-CN"/>
        </w:rPr>
        <w:t>投标人的商务技术分低于商务技术分总分60%的，视为采购人不能接受的附加条件，投标文件将被视为无效。</w:t>
      </w:r>
    </w:p>
    <w:p w14:paraId="73CB8793">
      <w:pPr>
        <w:pStyle w:val="25"/>
        <w:spacing w:before="120" w:beforeLines="50" w:after="120" w:afterLines="50" w:line="360" w:lineRule="auto"/>
        <w:ind w:firstLine="482"/>
        <w:rPr>
          <w:color w:val="auto"/>
          <w:highlight w:val="none"/>
        </w:rPr>
      </w:pPr>
      <w:r>
        <w:rPr>
          <w:rFonts w:hint="eastAsia" w:cs="宋体"/>
          <w:b/>
          <w:color w:val="auto"/>
          <w:highlight w:val="none"/>
        </w:rPr>
        <w:t>（二）商务资信分（</w:t>
      </w:r>
      <w:r>
        <w:rPr>
          <w:rFonts w:hint="eastAsia" w:cs="宋体"/>
          <w:b/>
          <w:color w:val="auto"/>
          <w:highlight w:val="none"/>
          <w:lang w:val="en-US" w:eastAsia="zh-CN"/>
        </w:rPr>
        <w:t>10</w:t>
      </w:r>
      <w:r>
        <w:rPr>
          <w:rFonts w:hint="eastAsia" w:cs="宋体"/>
          <w:b/>
          <w:color w:val="auto"/>
          <w:highlight w:val="none"/>
        </w:rPr>
        <w:t>分）</w:t>
      </w:r>
    </w:p>
    <w:tbl>
      <w:tblPr>
        <w:tblStyle w:val="63"/>
        <w:tblW w:w="9356" w:type="dxa"/>
        <w:jc w:val="center"/>
        <w:tblLayout w:type="fixed"/>
        <w:tblCellMar>
          <w:top w:w="0" w:type="dxa"/>
          <w:left w:w="108" w:type="dxa"/>
          <w:bottom w:w="0" w:type="dxa"/>
          <w:right w:w="108" w:type="dxa"/>
        </w:tblCellMar>
      </w:tblPr>
      <w:tblGrid>
        <w:gridCol w:w="726"/>
        <w:gridCol w:w="1286"/>
        <w:gridCol w:w="6087"/>
        <w:gridCol w:w="1257"/>
      </w:tblGrid>
      <w:tr w14:paraId="61BF72D0">
        <w:tblPrEx>
          <w:tblCellMar>
            <w:top w:w="0" w:type="dxa"/>
            <w:left w:w="108" w:type="dxa"/>
            <w:bottom w:w="0" w:type="dxa"/>
            <w:right w:w="108" w:type="dxa"/>
          </w:tblCellMar>
        </w:tblPrEx>
        <w:trPr>
          <w:trHeight w:val="1274" w:hRule="exact"/>
          <w:jc w:val="center"/>
        </w:trPr>
        <w:tc>
          <w:tcPr>
            <w:tcW w:w="726" w:type="dxa"/>
            <w:vMerge w:val="restart"/>
            <w:tcBorders>
              <w:top w:val="single" w:color="auto" w:sz="4" w:space="0"/>
              <w:left w:val="single" w:color="auto" w:sz="4" w:space="0"/>
              <w:right w:val="single" w:color="auto" w:sz="4" w:space="0"/>
            </w:tcBorders>
            <w:vAlign w:val="bottom"/>
          </w:tcPr>
          <w:p w14:paraId="20001C98">
            <w:pPr>
              <w:pStyle w:val="83"/>
              <w:widowControl/>
              <w:tabs>
                <w:tab w:val="left" w:pos="0"/>
                <w:tab w:val="clear" w:pos="8268"/>
              </w:tabs>
              <w:spacing w:line="400" w:lineRule="atLeast"/>
              <w:ind w:firstLine="0" w:firstLineChars="0"/>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商资信分</w:t>
            </w:r>
            <w:r>
              <w:rPr>
                <w:rFonts w:hint="eastAsia" w:asciiTheme="minorEastAsia" w:hAnsiTheme="minorEastAsia" w:eastAsiaTheme="minorEastAsia" w:cstheme="minorEastAsia"/>
                <w:color w:val="auto"/>
                <w:kern w:val="0"/>
                <w:sz w:val="21"/>
                <w:szCs w:val="21"/>
                <w:highlight w:val="none"/>
                <w:lang w:val="en-US" w:eastAsia="zh-CN"/>
              </w:rPr>
              <w:t>10</w:t>
            </w:r>
            <w:r>
              <w:rPr>
                <w:rFonts w:hint="eastAsia" w:asciiTheme="minorEastAsia" w:hAnsiTheme="minorEastAsia" w:eastAsiaTheme="minorEastAsia" w:cstheme="minorEastAsia"/>
                <w:color w:val="auto"/>
                <w:kern w:val="0"/>
                <w:sz w:val="21"/>
                <w:szCs w:val="21"/>
                <w:highlight w:val="none"/>
              </w:rPr>
              <w:t>分</w:t>
            </w:r>
          </w:p>
          <w:p w14:paraId="6FBB07F7">
            <w:pPr>
              <w:pStyle w:val="83"/>
              <w:tabs>
                <w:tab w:val="left" w:pos="0"/>
                <w:tab w:val="clear" w:pos="8268"/>
              </w:tabs>
              <w:spacing w:line="302" w:lineRule="auto"/>
              <w:ind w:firstLine="420"/>
              <w:jc w:val="center"/>
              <w:rPr>
                <w:rFonts w:hint="eastAsia" w:asciiTheme="minorEastAsia" w:hAnsiTheme="minorEastAsia" w:eastAsiaTheme="minorEastAsia" w:cstheme="minorEastAsia"/>
                <w:color w:val="auto"/>
                <w:kern w:val="0"/>
                <w:sz w:val="21"/>
                <w:szCs w:val="21"/>
                <w:highlight w:val="none"/>
              </w:rPr>
            </w:pPr>
          </w:p>
          <w:p w14:paraId="5E0A49AD">
            <w:pPr>
              <w:pStyle w:val="83"/>
              <w:tabs>
                <w:tab w:val="left" w:pos="0"/>
                <w:tab w:val="clear" w:pos="8268"/>
              </w:tabs>
              <w:spacing w:line="302" w:lineRule="auto"/>
              <w:jc w:val="center"/>
              <w:rPr>
                <w:rFonts w:hint="eastAsia" w:asciiTheme="minorEastAsia" w:hAnsiTheme="minorEastAsia" w:eastAsiaTheme="minorEastAsia" w:cstheme="minorEastAsia"/>
                <w:color w:val="auto"/>
                <w:sz w:val="21"/>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14:paraId="499E02FA">
            <w:pPr>
              <w:jc w:val="center"/>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Cs/>
                <w:color w:val="auto"/>
                <w:kern w:val="0"/>
                <w:sz w:val="21"/>
                <w:szCs w:val="21"/>
                <w:highlight w:val="none"/>
                <w:lang w:eastAsia="zh-CN" w:bidi="ar"/>
              </w:rPr>
              <w:t>项目业绩</w:t>
            </w:r>
          </w:p>
        </w:tc>
        <w:tc>
          <w:tcPr>
            <w:tcW w:w="6087" w:type="dxa"/>
            <w:tcBorders>
              <w:top w:val="single" w:color="auto" w:sz="4" w:space="0"/>
              <w:left w:val="single" w:color="auto" w:sz="4" w:space="0"/>
              <w:bottom w:val="single" w:color="auto" w:sz="4" w:space="0"/>
              <w:right w:val="single" w:color="auto" w:sz="4" w:space="0"/>
            </w:tcBorders>
            <w:vAlign w:val="center"/>
          </w:tcPr>
          <w:p w14:paraId="5FE74FA4">
            <w:pPr>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val="0"/>
                <w:bCs/>
                <w:snapToGrid/>
                <w:color w:val="auto"/>
                <w:kern w:val="0"/>
                <w:sz w:val="21"/>
                <w:szCs w:val="21"/>
                <w:highlight w:val="none"/>
                <w:lang w:val="en-US" w:eastAsia="zh-CN" w:bidi="ar"/>
              </w:rPr>
              <w:t>投标人近三年（自投标截止日起往前追溯3年，以合同签订时间为准）以来具</w:t>
            </w:r>
            <w:r>
              <w:rPr>
                <w:rFonts w:hint="eastAsia" w:asciiTheme="minorEastAsia" w:hAnsiTheme="minorEastAsia" w:eastAsiaTheme="minorEastAsia" w:cstheme="minorEastAsia"/>
                <w:color w:val="auto"/>
                <w:kern w:val="0"/>
                <w:sz w:val="21"/>
                <w:szCs w:val="21"/>
                <w:highlight w:val="none"/>
                <w:lang w:val="en-US" w:eastAsia="zh-CN"/>
              </w:rPr>
              <w:t>有同类项目业绩的，每提供一份得1分，最高得2分。（</w:t>
            </w:r>
            <w:r>
              <w:rPr>
                <w:rFonts w:hint="eastAsia" w:asciiTheme="minorEastAsia" w:hAnsiTheme="minorEastAsia" w:eastAsiaTheme="minorEastAsia" w:cstheme="minorEastAsia"/>
                <w:color w:val="auto"/>
                <w:kern w:val="0"/>
                <w:sz w:val="21"/>
                <w:szCs w:val="21"/>
                <w:highlight w:val="none"/>
              </w:rPr>
              <w:t>提供合同原件扫描件</w:t>
            </w:r>
            <w:r>
              <w:rPr>
                <w:rFonts w:hint="eastAsia" w:asciiTheme="minorEastAsia" w:hAnsiTheme="minorEastAsia" w:eastAsiaTheme="minorEastAsia" w:cstheme="minorEastAsia"/>
                <w:color w:val="auto"/>
                <w:kern w:val="0"/>
                <w:sz w:val="21"/>
                <w:szCs w:val="21"/>
                <w:highlight w:val="none"/>
                <w:lang w:eastAsia="zh-CN"/>
              </w:rPr>
              <w:t>并加盖公章、</w:t>
            </w:r>
            <w:r>
              <w:rPr>
                <w:rFonts w:hint="eastAsia" w:asciiTheme="minorEastAsia" w:hAnsiTheme="minorEastAsia" w:eastAsiaTheme="minorEastAsia" w:cstheme="minorEastAsia"/>
                <w:color w:val="auto"/>
                <w:kern w:val="0"/>
                <w:sz w:val="21"/>
                <w:szCs w:val="21"/>
                <w:highlight w:val="none"/>
                <w:lang w:val="en-US" w:eastAsia="zh-CN"/>
              </w:rPr>
              <w:t>验收证明材料</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kern w:val="0"/>
                <w:sz w:val="21"/>
                <w:szCs w:val="21"/>
                <w:highlight w:val="none"/>
                <w:lang w:eastAsia="zh-CN"/>
              </w:rPr>
              <w:t>要求清晰可辨，</w:t>
            </w:r>
            <w:r>
              <w:rPr>
                <w:rFonts w:hint="eastAsia" w:asciiTheme="minorEastAsia" w:hAnsiTheme="minorEastAsia" w:eastAsiaTheme="minorEastAsia" w:cstheme="minorEastAsia"/>
                <w:color w:val="auto"/>
                <w:kern w:val="0"/>
                <w:sz w:val="21"/>
                <w:szCs w:val="21"/>
                <w:highlight w:val="none"/>
              </w:rPr>
              <w:t>否则不得分</w:t>
            </w:r>
            <w:r>
              <w:rPr>
                <w:rFonts w:hint="eastAsia" w:asciiTheme="minorEastAsia" w:hAnsiTheme="minorEastAsia" w:eastAsiaTheme="minorEastAsia" w:cstheme="minorEastAsia"/>
                <w:color w:val="auto"/>
                <w:kern w:val="0"/>
                <w:sz w:val="21"/>
                <w:szCs w:val="21"/>
                <w:highlight w:val="none"/>
                <w:lang w:val="en-US" w:eastAsia="zh-CN"/>
              </w:rPr>
              <w:t>）</w:t>
            </w:r>
          </w:p>
        </w:tc>
        <w:tc>
          <w:tcPr>
            <w:tcW w:w="1257" w:type="dxa"/>
            <w:tcBorders>
              <w:top w:val="single" w:color="auto" w:sz="4" w:space="0"/>
              <w:left w:val="single" w:color="auto" w:sz="4" w:space="0"/>
              <w:bottom w:val="single" w:color="auto" w:sz="4" w:space="0"/>
              <w:right w:val="single" w:color="auto" w:sz="4" w:space="0"/>
            </w:tcBorders>
            <w:vAlign w:val="center"/>
          </w:tcPr>
          <w:p w14:paraId="002B188D">
            <w:pPr>
              <w:jc w:val="center"/>
              <w:rPr>
                <w:rFonts w:hint="eastAsia" w:asciiTheme="minorEastAsia" w:hAnsiTheme="minorEastAsia" w:eastAsiaTheme="minorEastAsia" w:cstheme="minorEastAsia"/>
                <w:color w:val="auto"/>
                <w:kern w:val="0"/>
                <w:sz w:val="21"/>
                <w:szCs w:val="21"/>
                <w:highlight w:val="none"/>
                <w:lang w:eastAsia="zh-CN"/>
              </w:rPr>
            </w:pPr>
            <w:r>
              <w:rPr>
                <w:rFonts w:hint="eastAsia" w:asciiTheme="minorEastAsia" w:hAnsiTheme="minorEastAsia" w:eastAsiaTheme="minorEastAsia" w:cstheme="minorEastAsia"/>
                <w:bCs/>
                <w:color w:val="auto"/>
                <w:kern w:val="0"/>
                <w:sz w:val="21"/>
                <w:szCs w:val="21"/>
                <w:highlight w:val="none"/>
                <w:lang w:val="en-US" w:eastAsia="zh-CN" w:bidi="ar"/>
              </w:rPr>
              <w:t>2分</w:t>
            </w:r>
          </w:p>
        </w:tc>
      </w:tr>
      <w:tr w14:paraId="4B910954">
        <w:tblPrEx>
          <w:tblCellMar>
            <w:top w:w="0" w:type="dxa"/>
            <w:left w:w="108" w:type="dxa"/>
            <w:bottom w:w="0" w:type="dxa"/>
            <w:right w:w="108" w:type="dxa"/>
          </w:tblCellMar>
        </w:tblPrEx>
        <w:trPr>
          <w:trHeight w:val="1061" w:hRule="exact"/>
          <w:jc w:val="center"/>
        </w:trPr>
        <w:tc>
          <w:tcPr>
            <w:tcW w:w="726" w:type="dxa"/>
            <w:vMerge w:val="continue"/>
            <w:tcBorders>
              <w:left w:val="single" w:color="auto" w:sz="4" w:space="0"/>
              <w:right w:val="single" w:color="auto" w:sz="4" w:space="0"/>
            </w:tcBorders>
            <w:vAlign w:val="bottom"/>
          </w:tcPr>
          <w:p w14:paraId="00A051B2">
            <w:pPr>
              <w:pStyle w:val="83"/>
              <w:tabs>
                <w:tab w:val="left" w:pos="0"/>
                <w:tab w:val="clear" w:pos="8268"/>
              </w:tabs>
              <w:spacing w:line="302" w:lineRule="auto"/>
              <w:jc w:val="center"/>
              <w:rPr>
                <w:rFonts w:hint="eastAsia" w:asciiTheme="minorEastAsia" w:hAnsiTheme="minorEastAsia" w:eastAsiaTheme="minorEastAsia" w:cstheme="minorEastAsia"/>
                <w:color w:val="auto"/>
                <w:sz w:val="21"/>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14:paraId="10CFD5A9">
            <w:pPr>
              <w:spacing w:line="300" w:lineRule="exact"/>
              <w:jc w:val="center"/>
              <w:rPr>
                <w:rFonts w:hint="eastAsia" w:asciiTheme="minorEastAsia" w:hAnsiTheme="minorEastAsia" w:eastAsiaTheme="minorEastAsia" w:cstheme="minorEastAsia"/>
                <w:bCs/>
                <w:color w:val="auto"/>
                <w:kern w:val="0"/>
                <w:sz w:val="21"/>
                <w:szCs w:val="21"/>
                <w:highlight w:val="none"/>
                <w:lang w:eastAsia="zh-CN" w:bidi="ar"/>
              </w:rPr>
            </w:pPr>
            <w:r>
              <w:rPr>
                <w:rFonts w:hint="eastAsia" w:ascii="宋体" w:hAnsi="宋体" w:eastAsia="宋体" w:cs="宋体"/>
                <w:color w:val="auto"/>
                <w:kern w:val="0"/>
                <w:sz w:val="20"/>
                <w:szCs w:val="20"/>
                <w:highlight w:val="none"/>
                <w:lang w:val="en-US" w:eastAsia="zh-CN" w:bidi="ar-SA"/>
              </w:rPr>
              <w:t>优惠条件</w:t>
            </w:r>
          </w:p>
        </w:tc>
        <w:tc>
          <w:tcPr>
            <w:tcW w:w="6087" w:type="dxa"/>
            <w:tcBorders>
              <w:top w:val="single" w:color="auto" w:sz="4" w:space="0"/>
              <w:left w:val="single" w:color="auto" w:sz="4" w:space="0"/>
              <w:bottom w:val="single" w:color="auto" w:sz="4" w:space="0"/>
              <w:right w:val="single" w:color="auto" w:sz="4" w:space="0"/>
            </w:tcBorders>
            <w:vAlign w:val="center"/>
          </w:tcPr>
          <w:p w14:paraId="598E03D2">
            <w:pPr>
              <w:spacing w:line="300" w:lineRule="exact"/>
              <w:jc w:val="left"/>
              <w:rPr>
                <w:rFonts w:hint="eastAsia" w:asciiTheme="minorEastAsia" w:hAnsiTheme="minorEastAsia" w:eastAsiaTheme="minorEastAsia" w:cstheme="minorEastAsia"/>
                <w:b w:val="0"/>
                <w:bCs/>
                <w:snapToGrid/>
                <w:color w:val="auto"/>
                <w:kern w:val="0"/>
                <w:sz w:val="21"/>
                <w:szCs w:val="21"/>
                <w:highlight w:val="none"/>
                <w:lang w:val="en-US" w:eastAsia="zh-CN" w:bidi="ar"/>
              </w:rPr>
            </w:pPr>
            <w:r>
              <w:rPr>
                <w:rFonts w:hint="eastAsia" w:ascii="宋体" w:hAnsi="宋体" w:eastAsia="宋体" w:cs="宋体"/>
                <w:color w:val="auto"/>
                <w:kern w:val="0"/>
                <w:sz w:val="20"/>
                <w:szCs w:val="20"/>
                <w:highlight w:val="none"/>
                <w:lang w:val="en-US" w:eastAsia="zh-CN" w:bidi="ar-SA"/>
              </w:rPr>
              <w:t>本次投标单位对最终用户的优惠条件（以投标文件内文字明确为准）</w:t>
            </w:r>
            <w:r>
              <w:rPr>
                <w:rFonts w:hint="eastAsia" w:asciiTheme="minorEastAsia" w:hAnsiTheme="minorEastAsia" w:eastAsiaTheme="minorEastAsia" w:cstheme="minorEastAsia"/>
                <w:color w:val="auto"/>
                <w:sz w:val="21"/>
                <w:szCs w:val="21"/>
                <w:highlight w:val="none"/>
                <w:lang w:eastAsia="zh-CN"/>
              </w:rPr>
              <w:t>（评分范围：</w:t>
            </w:r>
            <w:r>
              <w:rPr>
                <w:rFonts w:hint="eastAsia" w:asciiTheme="minorEastAsia" w:hAnsiTheme="minorEastAsia" w:eastAsiaTheme="minorEastAsia" w:cstheme="minorEastAsia"/>
                <w:color w:val="auto"/>
                <w:sz w:val="21"/>
                <w:szCs w:val="21"/>
                <w:highlight w:val="none"/>
                <w:lang w:val="en-US" w:eastAsia="zh-CN"/>
              </w:rPr>
              <w:t>0.5，1，1.5，2，2.5，3，3.5，4分</w:t>
            </w:r>
            <w:r>
              <w:rPr>
                <w:rFonts w:hint="eastAsia" w:asciiTheme="minorEastAsia" w:hAnsiTheme="minorEastAsia" w:eastAsiaTheme="minorEastAsia" w:cstheme="minorEastAsia"/>
                <w:color w:val="auto"/>
                <w:sz w:val="21"/>
                <w:szCs w:val="21"/>
                <w:highlight w:val="none"/>
                <w:lang w:eastAsia="zh-CN"/>
              </w:rPr>
              <w:t>）</w:t>
            </w:r>
          </w:p>
        </w:tc>
        <w:tc>
          <w:tcPr>
            <w:tcW w:w="1257" w:type="dxa"/>
            <w:tcBorders>
              <w:top w:val="single" w:color="auto" w:sz="4" w:space="0"/>
              <w:left w:val="single" w:color="auto" w:sz="4" w:space="0"/>
              <w:bottom w:val="single" w:color="auto" w:sz="4" w:space="0"/>
              <w:right w:val="single" w:color="auto" w:sz="4" w:space="0"/>
            </w:tcBorders>
            <w:vAlign w:val="center"/>
          </w:tcPr>
          <w:p w14:paraId="10157132">
            <w:pPr>
              <w:spacing w:line="300" w:lineRule="exact"/>
              <w:jc w:val="center"/>
              <w:rPr>
                <w:rFonts w:hint="eastAsia" w:asciiTheme="minorEastAsia" w:hAnsiTheme="minorEastAsia" w:eastAsiaTheme="minorEastAsia" w:cstheme="minorEastAsia"/>
                <w:bCs/>
                <w:color w:val="auto"/>
                <w:kern w:val="0"/>
                <w:sz w:val="21"/>
                <w:szCs w:val="21"/>
                <w:highlight w:val="none"/>
                <w:lang w:val="en-US" w:eastAsia="zh-CN" w:bidi="ar"/>
              </w:rPr>
            </w:pPr>
            <w:r>
              <w:rPr>
                <w:rFonts w:hint="eastAsia" w:ascii="宋体" w:hAnsi="宋体" w:eastAsia="宋体" w:cs="宋体"/>
                <w:color w:val="auto"/>
                <w:kern w:val="0"/>
                <w:sz w:val="20"/>
                <w:szCs w:val="20"/>
                <w:highlight w:val="none"/>
                <w:lang w:val="en-US" w:eastAsia="zh-CN" w:bidi="ar-SA"/>
              </w:rPr>
              <w:t>4分</w:t>
            </w:r>
          </w:p>
        </w:tc>
      </w:tr>
      <w:tr w14:paraId="0384E163">
        <w:tblPrEx>
          <w:tblCellMar>
            <w:top w:w="0" w:type="dxa"/>
            <w:left w:w="108" w:type="dxa"/>
            <w:bottom w:w="0" w:type="dxa"/>
            <w:right w:w="108" w:type="dxa"/>
          </w:tblCellMar>
        </w:tblPrEx>
        <w:trPr>
          <w:trHeight w:val="999" w:hRule="exact"/>
          <w:jc w:val="center"/>
        </w:trPr>
        <w:tc>
          <w:tcPr>
            <w:tcW w:w="726" w:type="dxa"/>
            <w:vMerge w:val="continue"/>
            <w:tcBorders>
              <w:left w:val="single" w:color="auto" w:sz="4" w:space="0"/>
              <w:bottom w:val="single" w:color="auto" w:sz="4" w:space="0"/>
              <w:right w:val="single" w:color="auto" w:sz="4" w:space="0"/>
            </w:tcBorders>
            <w:vAlign w:val="bottom"/>
          </w:tcPr>
          <w:p w14:paraId="41C9CBC1">
            <w:pPr>
              <w:pStyle w:val="83"/>
              <w:tabs>
                <w:tab w:val="left" w:pos="0"/>
                <w:tab w:val="clear" w:pos="8268"/>
              </w:tabs>
              <w:spacing w:line="302" w:lineRule="auto"/>
              <w:jc w:val="center"/>
              <w:rPr>
                <w:rFonts w:hint="eastAsia" w:asciiTheme="minorEastAsia" w:hAnsiTheme="minorEastAsia" w:eastAsiaTheme="minorEastAsia" w:cstheme="minorEastAsia"/>
                <w:color w:val="auto"/>
                <w:sz w:val="21"/>
                <w:szCs w:val="21"/>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14:paraId="2CBBE8FE">
            <w:pPr>
              <w:spacing w:line="300" w:lineRule="exact"/>
              <w:jc w:val="center"/>
              <w:rPr>
                <w:rFonts w:hint="eastAsia" w:asciiTheme="minorEastAsia" w:hAnsiTheme="minorEastAsia" w:eastAsiaTheme="minorEastAsia" w:cstheme="minorEastAsia"/>
                <w:bCs/>
                <w:color w:val="auto"/>
                <w:kern w:val="0"/>
                <w:sz w:val="21"/>
                <w:szCs w:val="21"/>
                <w:highlight w:val="none"/>
                <w:lang w:eastAsia="zh-CN" w:bidi="ar"/>
              </w:rPr>
            </w:pPr>
            <w:r>
              <w:rPr>
                <w:rFonts w:hint="eastAsia" w:ascii="宋体" w:hAnsi="宋体" w:eastAsia="宋体" w:cs="宋体"/>
                <w:color w:val="auto"/>
                <w:kern w:val="0"/>
                <w:sz w:val="20"/>
                <w:szCs w:val="20"/>
                <w:highlight w:val="none"/>
                <w:lang w:val="en-US" w:eastAsia="zh-CN" w:bidi="ar-SA"/>
              </w:rPr>
              <w:t>合理化建议</w:t>
            </w:r>
          </w:p>
        </w:tc>
        <w:tc>
          <w:tcPr>
            <w:tcW w:w="6087" w:type="dxa"/>
            <w:tcBorders>
              <w:top w:val="single" w:color="auto" w:sz="4" w:space="0"/>
              <w:left w:val="single" w:color="auto" w:sz="4" w:space="0"/>
              <w:bottom w:val="single" w:color="auto" w:sz="4" w:space="0"/>
              <w:right w:val="single" w:color="auto" w:sz="4" w:space="0"/>
            </w:tcBorders>
            <w:vAlign w:val="center"/>
          </w:tcPr>
          <w:p w14:paraId="5B1887D4">
            <w:pPr>
              <w:spacing w:line="300" w:lineRule="exact"/>
              <w:jc w:val="left"/>
              <w:rPr>
                <w:rFonts w:hint="eastAsia" w:asciiTheme="minorEastAsia" w:hAnsiTheme="minorEastAsia" w:eastAsiaTheme="minorEastAsia" w:cstheme="minorEastAsia"/>
                <w:b w:val="0"/>
                <w:bCs/>
                <w:snapToGrid/>
                <w:color w:val="auto"/>
                <w:kern w:val="0"/>
                <w:sz w:val="21"/>
                <w:szCs w:val="21"/>
                <w:highlight w:val="none"/>
                <w:lang w:val="en-US" w:eastAsia="zh-CN" w:bidi="ar"/>
              </w:rPr>
            </w:pPr>
            <w:r>
              <w:rPr>
                <w:rFonts w:hint="eastAsia" w:ascii="宋体" w:hAnsi="宋体" w:eastAsia="宋体" w:cs="宋体"/>
                <w:color w:val="auto"/>
                <w:kern w:val="0"/>
                <w:sz w:val="20"/>
                <w:szCs w:val="20"/>
                <w:highlight w:val="none"/>
                <w:lang w:val="en-US" w:eastAsia="zh-CN" w:bidi="ar-SA"/>
              </w:rPr>
              <w:t>根据投标人对本项目实际情况的了解及结合对本项目的理解，针对本项目提供合理化建议和措施，应与本项目相关。</w:t>
            </w:r>
            <w:r>
              <w:rPr>
                <w:rFonts w:hint="eastAsia" w:asciiTheme="minorEastAsia" w:hAnsiTheme="minorEastAsia" w:eastAsiaTheme="minorEastAsia" w:cstheme="minorEastAsia"/>
                <w:color w:val="auto"/>
                <w:sz w:val="21"/>
                <w:szCs w:val="21"/>
                <w:highlight w:val="none"/>
                <w:lang w:eastAsia="zh-CN"/>
              </w:rPr>
              <w:t>（评分范围：</w:t>
            </w:r>
            <w:r>
              <w:rPr>
                <w:rFonts w:hint="eastAsia" w:asciiTheme="minorEastAsia" w:hAnsiTheme="minorEastAsia" w:eastAsiaTheme="minorEastAsia" w:cstheme="minorEastAsia"/>
                <w:color w:val="auto"/>
                <w:sz w:val="21"/>
                <w:szCs w:val="21"/>
                <w:highlight w:val="none"/>
                <w:lang w:val="en-US" w:eastAsia="zh-CN"/>
              </w:rPr>
              <w:t>0.5，1，1.5，2，2.5，3，3.5，4分</w:t>
            </w:r>
            <w:r>
              <w:rPr>
                <w:rFonts w:hint="eastAsia" w:asciiTheme="minorEastAsia" w:hAnsiTheme="minorEastAsia" w:eastAsiaTheme="minorEastAsia" w:cstheme="minorEastAsia"/>
                <w:color w:val="auto"/>
                <w:sz w:val="21"/>
                <w:szCs w:val="21"/>
                <w:highlight w:val="none"/>
                <w:lang w:eastAsia="zh-CN"/>
              </w:rPr>
              <w:t>）</w:t>
            </w:r>
          </w:p>
        </w:tc>
        <w:tc>
          <w:tcPr>
            <w:tcW w:w="1257" w:type="dxa"/>
            <w:tcBorders>
              <w:top w:val="single" w:color="auto" w:sz="4" w:space="0"/>
              <w:left w:val="single" w:color="auto" w:sz="4" w:space="0"/>
              <w:bottom w:val="single" w:color="auto" w:sz="4" w:space="0"/>
              <w:right w:val="single" w:color="auto" w:sz="4" w:space="0"/>
            </w:tcBorders>
            <w:vAlign w:val="center"/>
          </w:tcPr>
          <w:p w14:paraId="2B696ECE">
            <w:pPr>
              <w:spacing w:line="300" w:lineRule="exact"/>
              <w:jc w:val="center"/>
              <w:rPr>
                <w:rFonts w:hint="eastAsia" w:asciiTheme="minorEastAsia" w:hAnsiTheme="minorEastAsia" w:eastAsiaTheme="minorEastAsia" w:cstheme="minorEastAsia"/>
                <w:bCs/>
                <w:color w:val="auto"/>
                <w:kern w:val="0"/>
                <w:sz w:val="21"/>
                <w:szCs w:val="21"/>
                <w:highlight w:val="none"/>
                <w:lang w:val="en-US" w:eastAsia="zh-CN" w:bidi="ar"/>
              </w:rPr>
            </w:pPr>
            <w:r>
              <w:rPr>
                <w:rFonts w:hint="eastAsia" w:ascii="宋体" w:hAnsi="宋体" w:eastAsia="宋体" w:cs="宋体"/>
                <w:color w:val="auto"/>
                <w:kern w:val="0"/>
                <w:sz w:val="20"/>
                <w:szCs w:val="20"/>
                <w:highlight w:val="none"/>
                <w:lang w:val="en-US" w:eastAsia="zh-CN" w:bidi="ar-SA"/>
              </w:rPr>
              <w:t>4分</w:t>
            </w:r>
          </w:p>
        </w:tc>
      </w:tr>
    </w:tbl>
    <w:p w14:paraId="10307282">
      <w:pPr>
        <w:snapToGrid w:val="0"/>
        <w:spacing w:before="72" w:beforeLines="30" w:line="400" w:lineRule="exact"/>
        <w:jc w:val="left"/>
        <w:outlineLvl w:val="1"/>
        <w:rPr>
          <w:rFonts w:ascii="宋体" w:hAnsi="宋体" w:cs="宋体"/>
          <w:b/>
          <w:color w:val="auto"/>
          <w:sz w:val="24"/>
          <w:highlight w:val="none"/>
        </w:rPr>
      </w:pPr>
      <w:r>
        <w:rPr>
          <w:rFonts w:hint="eastAsia" w:ascii="宋体" w:hAnsi="宋体"/>
          <w:b/>
          <w:color w:val="auto"/>
          <w:sz w:val="24"/>
          <w:highlight w:val="none"/>
        </w:rPr>
        <w:t>（</w:t>
      </w:r>
      <w:r>
        <w:rPr>
          <w:rFonts w:ascii="宋体" w:hAnsi="宋体"/>
          <w:b/>
          <w:color w:val="auto"/>
          <w:sz w:val="24"/>
          <w:highlight w:val="none"/>
        </w:rPr>
        <w:t>三</w:t>
      </w:r>
      <w:r>
        <w:rPr>
          <w:rFonts w:hint="eastAsia" w:ascii="宋体" w:hAnsi="宋体"/>
          <w:b/>
          <w:color w:val="auto"/>
          <w:sz w:val="24"/>
          <w:highlight w:val="none"/>
        </w:rPr>
        <w:t>）技术分</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70</w:t>
      </w:r>
      <w:r>
        <w:rPr>
          <w:rFonts w:hint="eastAsia" w:ascii="宋体" w:hAnsi="宋体" w:cs="宋体"/>
          <w:b/>
          <w:color w:val="auto"/>
          <w:sz w:val="24"/>
          <w:highlight w:val="none"/>
        </w:rPr>
        <w:t>分）</w:t>
      </w:r>
    </w:p>
    <w:tbl>
      <w:tblPr>
        <w:tblStyle w:val="63"/>
        <w:tblW w:w="9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302"/>
        <w:gridCol w:w="6065"/>
        <w:gridCol w:w="1245"/>
      </w:tblGrid>
      <w:tr w14:paraId="5079A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708" w:type="dxa"/>
            <w:vMerge w:val="restart"/>
            <w:tcBorders>
              <w:tl2br w:val="nil"/>
              <w:tr2bl w:val="nil"/>
            </w:tcBorders>
            <w:vAlign w:val="center"/>
          </w:tcPr>
          <w:p w14:paraId="249967A3">
            <w:pPr>
              <w:pStyle w:val="83"/>
              <w:widowControl/>
              <w:tabs>
                <w:tab w:val="left" w:pos="0"/>
                <w:tab w:val="clear" w:pos="8268"/>
              </w:tabs>
              <w:spacing w:line="400" w:lineRule="atLeast"/>
              <w:ind w:firstLine="0" w:firstLineChars="0"/>
              <w:jc w:val="center"/>
              <w:rPr>
                <w:rStyle w:val="972"/>
                <w:rFonts w:hint="eastAsia" w:asciiTheme="minorEastAsia" w:hAnsiTheme="minorEastAsia" w:eastAsiaTheme="minorEastAsia" w:cstheme="minorEastAsia"/>
                <w:color w:val="auto"/>
                <w:sz w:val="21"/>
                <w:szCs w:val="21"/>
                <w:highlight w:val="none"/>
              </w:rPr>
            </w:pPr>
            <w:r>
              <w:rPr>
                <w:rStyle w:val="972"/>
                <w:rFonts w:hint="eastAsia" w:asciiTheme="minorEastAsia" w:hAnsiTheme="minorEastAsia" w:eastAsiaTheme="minorEastAsia" w:cstheme="minorEastAsia"/>
                <w:color w:val="auto"/>
                <w:sz w:val="21"/>
                <w:szCs w:val="21"/>
                <w:highlight w:val="none"/>
              </w:rPr>
              <w:t>技术分</w:t>
            </w:r>
            <w:r>
              <w:rPr>
                <w:rStyle w:val="972"/>
                <w:rFonts w:hint="eastAsia" w:asciiTheme="minorEastAsia" w:hAnsiTheme="minorEastAsia" w:eastAsiaTheme="minorEastAsia" w:cstheme="minorEastAsia"/>
                <w:color w:val="auto"/>
                <w:sz w:val="21"/>
                <w:szCs w:val="21"/>
                <w:highlight w:val="none"/>
                <w:lang w:val="en-US"/>
              </w:rPr>
              <w:t>70</w:t>
            </w:r>
            <w:r>
              <w:rPr>
                <w:rStyle w:val="972"/>
                <w:rFonts w:hint="eastAsia" w:asciiTheme="minorEastAsia" w:hAnsiTheme="minorEastAsia" w:eastAsiaTheme="minorEastAsia" w:cstheme="minorEastAsia"/>
                <w:color w:val="auto"/>
                <w:sz w:val="21"/>
                <w:szCs w:val="21"/>
                <w:highlight w:val="none"/>
              </w:rPr>
              <w:t>分</w:t>
            </w:r>
          </w:p>
          <w:p w14:paraId="3E26AAB9">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restart"/>
            <w:tcBorders>
              <w:tl2br w:val="nil"/>
              <w:tr2bl w:val="nil"/>
            </w:tcBorders>
            <w:vAlign w:val="center"/>
          </w:tcPr>
          <w:p w14:paraId="551719AA">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总体实施方案</w:t>
            </w:r>
          </w:p>
        </w:tc>
        <w:tc>
          <w:tcPr>
            <w:tcW w:w="6065" w:type="dxa"/>
            <w:tcBorders>
              <w:tl2br w:val="nil"/>
              <w:tr2bl w:val="nil"/>
            </w:tcBorders>
            <w:shd w:val="clear" w:color="auto" w:fill="auto"/>
            <w:vAlign w:val="center"/>
          </w:tcPr>
          <w:p w14:paraId="1F350AC0">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根据投标人总体实施方案中的洗涤服务理念、服务标准及内容、工作目标及服务流程设置情况进行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p>
        </w:tc>
        <w:tc>
          <w:tcPr>
            <w:tcW w:w="1245" w:type="dxa"/>
            <w:tcBorders>
              <w:tl2br w:val="nil"/>
              <w:tr2bl w:val="nil"/>
            </w:tcBorders>
            <w:vAlign w:val="center"/>
          </w:tcPr>
          <w:p w14:paraId="7EB0716A">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30C32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708" w:type="dxa"/>
            <w:vMerge w:val="continue"/>
            <w:tcBorders>
              <w:tl2br w:val="nil"/>
              <w:tr2bl w:val="nil"/>
            </w:tcBorders>
            <w:vAlign w:val="center"/>
          </w:tcPr>
          <w:p w14:paraId="0FAC3DBC">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continue"/>
            <w:tcBorders>
              <w:tl2br w:val="nil"/>
              <w:tr2bl w:val="nil"/>
            </w:tcBorders>
            <w:vAlign w:val="center"/>
          </w:tcPr>
          <w:p w14:paraId="641BFCD2">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rPr>
            </w:pPr>
          </w:p>
        </w:tc>
        <w:tc>
          <w:tcPr>
            <w:tcW w:w="6065" w:type="dxa"/>
            <w:tcBorders>
              <w:tl2br w:val="nil"/>
              <w:tr2bl w:val="nil"/>
            </w:tcBorders>
            <w:vAlign w:val="center"/>
          </w:tcPr>
          <w:p w14:paraId="6FA95BA1">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根据投标人总体实施方案中内部机构设置、管理体系设置、绩效分配方案、考核反馈机制、激励机制等进行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p>
        </w:tc>
        <w:tc>
          <w:tcPr>
            <w:tcW w:w="1245" w:type="dxa"/>
            <w:tcBorders>
              <w:tl2br w:val="nil"/>
              <w:tr2bl w:val="nil"/>
            </w:tcBorders>
            <w:vAlign w:val="center"/>
          </w:tcPr>
          <w:p w14:paraId="2C4490EE">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2BB34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708" w:type="dxa"/>
            <w:vMerge w:val="continue"/>
            <w:tcBorders>
              <w:tl2br w:val="nil"/>
              <w:tr2bl w:val="nil"/>
            </w:tcBorders>
            <w:vAlign w:val="center"/>
          </w:tcPr>
          <w:p w14:paraId="2EC9C7E8">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continue"/>
            <w:tcBorders>
              <w:tl2br w:val="nil"/>
              <w:tr2bl w:val="nil"/>
            </w:tcBorders>
            <w:vAlign w:val="center"/>
          </w:tcPr>
          <w:p w14:paraId="727672AD">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rPr>
            </w:pPr>
          </w:p>
        </w:tc>
        <w:tc>
          <w:tcPr>
            <w:tcW w:w="6065" w:type="dxa"/>
            <w:tcBorders>
              <w:tl2br w:val="nil"/>
              <w:tr2bl w:val="nil"/>
            </w:tcBorders>
            <w:vAlign w:val="center"/>
          </w:tcPr>
          <w:p w14:paraId="6533091E">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根据投标人提供的对脏污织物进行分类分拣、收集收纳、存放流程设置、要求及标准以及运送方案的路线规划、对接方式等内容进行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p>
        </w:tc>
        <w:tc>
          <w:tcPr>
            <w:tcW w:w="1245" w:type="dxa"/>
            <w:tcBorders>
              <w:tl2br w:val="nil"/>
              <w:tr2bl w:val="nil"/>
            </w:tcBorders>
            <w:vAlign w:val="center"/>
          </w:tcPr>
          <w:p w14:paraId="08D75F90">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6F3AD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jc w:val="center"/>
        </w:trPr>
        <w:tc>
          <w:tcPr>
            <w:tcW w:w="708" w:type="dxa"/>
            <w:vMerge w:val="continue"/>
            <w:tcBorders>
              <w:tl2br w:val="nil"/>
              <w:tr2bl w:val="nil"/>
            </w:tcBorders>
            <w:vAlign w:val="center"/>
          </w:tcPr>
          <w:p w14:paraId="542CE113">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continue"/>
            <w:tcBorders>
              <w:tl2br w:val="nil"/>
              <w:tr2bl w:val="nil"/>
            </w:tcBorders>
            <w:vAlign w:val="center"/>
          </w:tcPr>
          <w:p w14:paraId="0494C990">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rPr>
            </w:pPr>
          </w:p>
        </w:tc>
        <w:tc>
          <w:tcPr>
            <w:tcW w:w="6065" w:type="dxa"/>
            <w:tcBorders>
              <w:tl2br w:val="nil"/>
              <w:tr2bl w:val="nil"/>
            </w:tcBorders>
            <w:vAlign w:val="center"/>
          </w:tcPr>
          <w:p w14:paraId="1B97A145">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根据投标人提供的脏污织物分类洗涤方案进行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rPr>
              <w:t>包括但不限于各类织物、各类科室的织物分类洗涤方式、消毒方式、使用的清洁产品、重点清洁部分及洗涤服务的细节要求等。</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4C4D5704">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08EEC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708" w:type="dxa"/>
            <w:vMerge w:val="continue"/>
            <w:tcBorders>
              <w:tl2br w:val="nil"/>
              <w:tr2bl w:val="nil"/>
            </w:tcBorders>
            <w:vAlign w:val="center"/>
          </w:tcPr>
          <w:p w14:paraId="47B25EEC">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continue"/>
            <w:tcBorders>
              <w:tl2br w:val="nil"/>
              <w:tr2bl w:val="nil"/>
            </w:tcBorders>
            <w:vAlign w:val="center"/>
          </w:tcPr>
          <w:p w14:paraId="55985DF0">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rPr>
            </w:pPr>
          </w:p>
        </w:tc>
        <w:tc>
          <w:tcPr>
            <w:tcW w:w="6065" w:type="dxa"/>
            <w:tcBorders>
              <w:tl2br w:val="nil"/>
              <w:tr2bl w:val="nil"/>
            </w:tcBorders>
            <w:vAlign w:val="center"/>
          </w:tcPr>
          <w:p w14:paraId="200A584E">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根据投标人提供的织物消毒隔离方案（严格按照项目要求分类洗涤，如何执行消毒隔离以及清洁达标标准的制定等）进行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60052185">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55C3A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708" w:type="dxa"/>
            <w:vMerge w:val="continue"/>
            <w:tcBorders>
              <w:tl2br w:val="nil"/>
              <w:tr2bl w:val="nil"/>
            </w:tcBorders>
            <w:vAlign w:val="center"/>
          </w:tcPr>
          <w:p w14:paraId="1579E69D">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continue"/>
            <w:tcBorders>
              <w:tl2br w:val="nil"/>
              <w:tr2bl w:val="nil"/>
            </w:tcBorders>
            <w:vAlign w:val="center"/>
          </w:tcPr>
          <w:p w14:paraId="1BDBC677">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rPr>
            </w:pPr>
          </w:p>
        </w:tc>
        <w:tc>
          <w:tcPr>
            <w:tcW w:w="6065" w:type="dxa"/>
            <w:tcBorders>
              <w:tl2br w:val="nil"/>
              <w:tr2bl w:val="nil"/>
            </w:tcBorders>
            <w:vAlign w:val="center"/>
          </w:tcPr>
          <w:p w14:paraId="37F5AC6D">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spacing w:val="-2"/>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根据投标人提供的织物烘干整理方案（要求医用织物烘干彻底，外观平整，折叠规范，不影响临床使用等服务）进行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700492A3">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5A202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708" w:type="dxa"/>
            <w:vMerge w:val="continue"/>
            <w:tcBorders>
              <w:tl2br w:val="nil"/>
              <w:tr2bl w:val="nil"/>
            </w:tcBorders>
            <w:vAlign w:val="center"/>
          </w:tcPr>
          <w:p w14:paraId="4075171A">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continue"/>
            <w:tcBorders>
              <w:tl2br w:val="nil"/>
              <w:tr2bl w:val="nil"/>
            </w:tcBorders>
            <w:vAlign w:val="center"/>
          </w:tcPr>
          <w:p w14:paraId="054F460C">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rPr>
            </w:pPr>
          </w:p>
        </w:tc>
        <w:tc>
          <w:tcPr>
            <w:tcW w:w="6065" w:type="dxa"/>
            <w:tcBorders>
              <w:tl2br w:val="nil"/>
              <w:tr2bl w:val="nil"/>
            </w:tcBorders>
            <w:vAlign w:val="center"/>
          </w:tcPr>
          <w:p w14:paraId="714B5AFD">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根据投标人提供的织物缝补、破损及遗失方案进行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rPr>
              <w:t>，包括但不限于</w:t>
            </w:r>
            <w:r>
              <w:rPr>
                <w:rFonts w:hint="eastAsia" w:asciiTheme="minorEastAsia" w:hAnsiTheme="minorEastAsia" w:eastAsiaTheme="minorEastAsia" w:cstheme="minorEastAsia"/>
                <w:snapToGrid w:val="0"/>
                <w:color w:val="auto"/>
                <w:sz w:val="21"/>
                <w:szCs w:val="21"/>
                <w:highlight w:val="none"/>
              </w:rPr>
              <w:t>缝制质量要求的精度、手感顺滑程度以及耐用性，破损遗失方案的处理方式及补救措施等。</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40DF4B8B">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4AB79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atLeast"/>
          <w:jc w:val="center"/>
        </w:trPr>
        <w:tc>
          <w:tcPr>
            <w:tcW w:w="708" w:type="dxa"/>
            <w:vMerge w:val="continue"/>
            <w:tcBorders>
              <w:tl2br w:val="nil"/>
              <w:tr2bl w:val="nil"/>
            </w:tcBorders>
            <w:vAlign w:val="center"/>
          </w:tcPr>
          <w:p w14:paraId="29AA777D">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continue"/>
            <w:tcBorders>
              <w:tl2br w:val="nil"/>
              <w:tr2bl w:val="nil"/>
            </w:tcBorders>
            <w:vAlign w:val="center"/>
          </w:tcPr>
          <w:p w14:paraId="14779984">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eastAsia="zh-CN"/>
              </w:rPr>
            </w:pPr>
          </w:p>
        </w:tc>
        <w:tc>
          <w:tcPr>
            <w:tcW w:w="6065" w:type="dxa"/>
            <w:tcBorders>
              <w:tl2br w:val="nil"/>
              <w:tr2bl w:val="nil"/>
            </w:tcBorders>
            <w:vAlign w:val="center"/>
          </w:tcPr>
          <w:p w14:paraId="3D21B108">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根据投标人提供的清洁织物储存及运送方案进行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rPr>
              <w:t>，包括但不限于清洁后织物的折叠、存放方式，存放区域的防脏污、隔离、消毒情况，干净织物的运送过程的保障措施等。</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26E2D237">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50D30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708" w:type="dxa"/>
            <w:vMerge w:val="continue"/>
            <w:tcBorders>
              <w:tl2br w:val="nil"/>
              <w:tr2bl w:val="nil"/>
            </w:tcBorders>
            <w:vAlign w:val="center"/>
          </w:tcPr>
          <w:p w14:paraId="17A01441">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continue"/>
            <w:tcBorders>
              <w:tl2br w:val="nil"/>
              <w:tr2bl w:val="nil"/>
            </w:tcBorders>
            <w:vAlign w:val="center"/>
          </w:tcPr>
          <w:p w14:paraId="17078591">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eastAsia="zh-CN"/>
              </w:rPr>
            </w:pPr>
          </w:p>
        </w:tc>
        <w:tc>
          <w:tcPr>
            <w:tcW w:w="6065" w:type="dxa"/>
            <w:tcBorders>
              <w:tl2br w:val="nil"/>
              <w:tr2bl w:val="nil"/>
            </w:tcBorders>
            <w:vAlign w:val="center"/>
          </w:tcPr>
          <w:p w14:paraId="6780D6FD">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sz w:val="21"/>
                <w:szCs w:val="21"/>
                <w:highlight w:val="none"/>
              </w:rPr>
              <w:t>根据投标人提供的被服管理方案（如专人专管、管理制度、管理人员的服务要求及服务标准以及被服交接流程等情况进行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461D4419">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5F1F0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atLeast"/>
          <w:jc w:val="center"/>
        </w:trPr>
        <w:tc>
          <w:tcPr>
            <w:tcW w:w="708" w:type="dxa"/>
            <w:vMerge w:val="continue"/>
            <w:tcBorders>
              <w:tl2br w:val="nil"/>
              <w:tr2bl w:val="nil"/>
            </w:tcBorders>
            <w:vAlign w:val="center"/>
          </w:tcPr>
          <w:p w14:paraId="4923AFA8">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vMerge w:val="continue"/>
            <w:tcBorders>
              <w:tl2br w:val="nil"/>
              <w:tr2bl w:val="nil"/>
            </w:tcBorders>
            <w:vAlign w:val="center"/>
          </w:tcPr>
          <w:p w14:paraId="60A27C7D">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eastAsia="zh-CN"/>
              </w:rPr>
            </w:pPr>
          </w:p>
        </w:tc>
        <w:tc>
          <w:tcPr>
            <w:tcW w:w="6065" w:type="dxa"/>
            <w:tcBorders>
              <w:tl2br w:val="nil"/>
              <w:tr2bl w:val="nil"/>
            </w:tcBorders>
            <w:vAlign w:val="center"/>
          </w:tcPr>
          <w:p w14:paraId="7AED04CE">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sz w:val="21"/>
                <w:szCs w:val="21"/>
                <w:highlight w:val="none"/>
              </w:rPr>
              <w:t>根据投标人提供的织物洗涤设备、辅助物品、运送车辆、工作区域等所投入使用的用品、设施的清洁方案（根据方案中物品设备设施及区域专类专用，专人专做、清洁强度频次以及清洁达标标准等）进行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16A550C7">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681BF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08" w:type="dxa"/>
            <w:vMerge w:val="continue"/>
            <w:tcBorders>
              <w:tl2br w:val="nil"/>
              <w:tr2bl w:val="nil"/>
            </w:tcBorders>
            <w:vAlign w:val="center"/>
          </w:tcPr>
          <w:p w14:paraId="2429D375">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tcBorders>
              <w:tl2br w:val="nil"/>
              <w:tr2bl w:val="nil"/>
            </w:tcBorders>
            <w:vAlign w:val="center"/>
          </w:tcPr>
          <w:p w14:paraId="062A7A47">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洗涤设备、配套设施情况</w:t>
            </w:r>
          </w:p>
        </w:tc>
        <w:tc>
          <w:tcPr>
            <w:tcW w:w="6065" w:type="dxa"/>
            <w:tcBorders>
              <w:tl2br w:val="nil"/>
              <w:tr2bl w:val="nil"/>
            </w:tcBorders>
            <w:vAlign w:val="center"/>
          </w:tcPr>
          <w:p w14:paraId="022D9125">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sz w:val="21"/>
                <w:szCs w:val="21"/>
                <w:highlight w:val="none"/>
              </w:rPr>
              <w:t>根据投标人对本项目拟投入洗涤设备、车辆、清洁用品等配套设施的数量、品牌、规格型号、使用年限、质保期及具体技术指标情况进行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26070A81">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59FE2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708" w:type="dxa"/>
            <w:vMerge w:val="continue"/>
            <w:tcBorders>
              <w:tl2br w:val="nil"/>
              <w:tr2bl w:val="nil"/>
            </w:tcBorders>
            <w:vAlign w:val="center"/>
          </w:tcPr>
          <w:p w14:paraId="395878C0">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tcBorders>
              <w:tl2br w:val="nil"/>
              <w:tr2bl w:val="nil"/>
            </w:tcBorders>
            <w:vAlign w:val="center"/>
          </w:tcPr>
          <w:p w14:paraId="55D58FA7">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bCs/>
                <w:color w:val="auto"/>
                <w:kern w:val="0"/>
                <w:sz w:val="21"/>
                <w:szCs w:val="21"/>
                <w:highlight w:val="none"/>
              </w:rPr>
            </w:pPr>
            <w:r>
              <w:rPr>
                <w:rFonts w:hint="eastAsia" w:asciiTheme="minorEastAsia" w:hAnsiTheme="minorEastAsia" w:eastAsiaTheme="minorEastAsia" w:cstheme="minorEastAsia"/>
                <w:color w:val="auto"/>
                <w:sz w:val="21"/>
                <w:szCs w:val="21"/>
                <w:highlight w:val="none"/>
              </w:rPr>
              <w:t>人员配置方案</w:t>
            </w:r>
          </w:p>
        </w:tc>
        <w:tc>
          <w:tcPr>
            <w:tcW w:w="6065" w:type="dxa"/>
            <w:tcBorders>
              <w:tl2br w:val="nil"/>
              <w:tr2bl w:val="nil"/>
            </w:tcBorders>
            <w:vAlign w:val="center"/>
          </w:tcPr>
          <w:p w14:paraId="6212B2C7">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bCs/>
                <w:color w:val="auto"/>
                <w:kern w:val="0"/>
                <w:sz w:val="21"/>
                <w:szCs w:val="21"/>
                <w:highlight w:val="none"/>
              </w:rPr>
            </w:pPr>
            <w:r>
              <w:rPr>
                <w:rFonts w:hint="eastAsia" w:asciiTheme="minorEastAsia" w:hAnsiTheme="minorEastAsia" w:eastAsiaTheme="minorEastAsia" w:cstheme="minorEastAsia"/>
                <w:color w:val="auto"/>
                <w:sz w:val="21"/>
                <w:szCs w:val="21"/>
                <w:highlight w:val="none"/>
              </w:rPr>
              <w:t>根据投标人配置的人员数量、职称、学历、工作经验、健康要求等内容进行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7FE41B8A">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6F9C3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jc w:val="center"/>
        </w:trPr>
        <w:tc>
          <w:tcPr>
            <w:tcW w:w="708" w:type="dxa"/>
            <w:vMerge w:val="continue"/>
            <w:tcBorders>
              <w:tl2br w:val="nil"/>
              <w:tr2bl w:val="nil"/>
            </w:tcBorders>
            <w:vAlign w:val="center"/>
          </w:tcPr>
          <w:p w14:paraId="0ED896DD">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tcBorders>
              <w:tl2br w:val="nil"/>
              <w:tr2bl w:val="nil"/>
            </w:tcBorders>
            <w:vAlign w:val="center"/>
          </w:tcPr>
          <w:p w14:paraId="51E7B838">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应急预案</w:t>
            </w:r>
          </w:p>
        </w:tc>
        <w:tc>
          <w:tcPr>
            <w:tcW w:w="6065" w:type="dxa"/>
            <w:tcBorders>
              <w:tl2br w:val="nil"/>
              <w:tr2bl w:val="nil"/>
            </w:tcBorders>
            <w:vAlign w:val="center"/>
          </w:tcPr>
          <w:p w14:paraId="6A927AF2">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根据投标人提供的如遇停水、停电及设施工作不正常时的应急预案及突发事件导致洗涤服务量剧增时采取的应急预案及保证措施进行</w:t>
            </w:r>
            <w:r>
              <w:rPr>
                <w:rFonts w:hint="eastAsia" w:asciiTheme="minorEastAsia" w:hAnsiTheme="minorEastAsia" w:eastAsiaTheme="minorEastAsia" w:cstheme="minorEastAsia"/>
                <w:color w:val="auto"/>
                <w:sz w:val="21"/>
                <w:szCs w:val="21"/>
                <w:highlight w:val="none"/>
                <w:lang w:eastAsia="zh-CN"/>
              </w:rPr>
              <w:t>打分。</w:t>
            </w:r>
            <w:r>
              <w:rPr>
                <w:rFonts w:hint="eastAsia" w:asciiTheme="minorEastAsia" w:hAnsiTheme="minorEastAsia" w:eastAsiaTheme="minorEastAsia" w:cstheme="minorEastAsia"/>
                <w:color w:val="auto"/>
                <w:sz w:val="21"/>
                <w:szCs w:val="21"/>
                <w:highlight w:val="none"/>
                <w:lang w:eastAsia="zh-CN" w:bidi="ar"/>
              </w:rPr>
              <w:t>（评分范围：0.5，1，1.5，2，2.5，3，3.5，4，4.5，5分）</w:t>
            </w:r>
            <w:r>
              <w:rPr>
                <w:rFonts w:hint="eastAsia" w:asciiTheme="minorEastAsia" w:hAnsiTheme="minorEastAsia" w:eastAsiaTheme="minorEastAsia" w:cstheme="minorEastAsia"/>
                <w:color w:val="auto"/>
                <w:sz w:val="21"/>
                <w:szCs w:val="21"/>
                <w:highlight w:val="none"/>
              </w:rPr>
              <w:t>。</w:t>
            </w:r>
          </w:p>
        </w:tc>
        <w:tc>
          <w:tcPr>
            <w:tcW w:w="1245" w:type="dxa"/>
            <w:tcBorders>
              <w:tl2br w:val="nil"/>
              <w:tr2bl w:val="nil"/>
            </w:tcBorders>
            <w:vAlign w:val="center"/>
          </w:tcPr>
          <w:p w14:paraId="017554A8">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r w14:paraId="50E16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708" w:type="dxa"/>
            <w:vMerge w:val="continue"/>
            <w:tcBorders>
              <w:tl2br w:val="nil"/>
              <w:tr2bl w:val="nil"/>
            </w:tcBorders>
            <w:vAlign w:val="center"/>
          </w:tcPr>
          <w:p w14:paraId="6731AD98">
            <w:pPr>
              <w:pStyle w:val="83"/>
              <w:widowControl/>
              <w:tabs>
                <w:tab w:val="left" w:pos="0"/>
                <w:tab w:val="clear" w:pos="8268"/>
              </w:tabs>
              <w:spacing w:line="360" w:lineRule="atLeast"/>
              <w:jc w:val="center"/>
              <w:rPr>
                <w:rFonts w:hint="eastAsia" w:asciiTheme="minorEastAsia" w:hAnsiTheme="minorEastAsia" w:eastAsiaTheme="minorEastAsia" w:cstheme="minorEastAsia"/>
                <w:color w:val="auto"/>
                <w:sz w:val="21"/>
                <w:szCs w:val="21"/>
                <w:highlight w:val="none"/>
              </w:rPr>
            </w:pPr>
          </w:p>
        </w:tc>
        <w:tc>
          <w:tcPr>
            <w:tcW w:w="1302" w:type="dxa"/>
            <w:tcBorders>
              <w:tl2br w:val="nil"/>
              <w:tr2bl w:val="nil"/>
            </w:tcBorders>
            <w:vAlign w:val="center"/>
          </w:tcPr>
          <w:p w14:paraId="160CBCCD">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sz w:val="21"/>
                <w:szCs w:val="21"/>
                <w:highlight w:val="none"/>
              </w:rPr>
              <w:t>职业保护、保险、环保等保障措施</w:t>
            </w:r>
          </w:p>
        </w:tc>
        <w:tc>
          <w:tcPr>
            <w:tcW w:w="6065" w:type="dxa"/>
            <w:tcBorders>
              <w:tl2br w:val="nil"/>
              <w:tr2bl w:val="nil"/>
            </w:tcBorders>
            <w:vAlign w:val="center"/>
          </w:tcPr>
          <w:p w14:paraId="6506DBCE">
            <w:pPr>
              <w:keepNext w:val="0"/>
              <w:keepLines w:val="0"/>
              <w:pageBreakBefore w:val="0"/>
              <w:widowControl w:val="0"/>
              <w:kinsoku/>
              <w:wordWrap/>
              <w:overflowPunct/>
              <w:topLinePunct w:val="0"/>
              <w:autoSpaceDE/>
              <w:autoSpaceDN/>
              <w:bidi w:val="0"/>
              <w:snapToGrid/>
              <w:spacing w:line="264" w:lineRule="auto"/>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根据投标人提供的职业保护机制、人身保险保障措施以及环境环保的方式</w:t>
            </w:r>
            <w:r>
              <w:rPr>
                <w:rFonts w:hint="eastAsia" w:asciiTheme="minorEastAsia" w:hAnsiTheme="minorEastAsia" w:eastAsiaTheme="minorEastAsia" w:cstheme="minorEastAsia"/>
                <w:color w:val="auto"/>
                <w:sz w:val="21"/>
                <w:szCs w:val="21"/>
                <w:highlight w:val="none"/>
                <w:lang w:val="en-US" w:eastAsia="zh-CN"/>
              </w:rPr>
              <w:t>方</w:t>
            </w:r>
            <w:r>
              <w:rPr>
                <w:rFonts w:hint="eastAsia" w:asciiTheme="minorEastAsia" w:hAnsiTheme="minorEastAsia" w:eastAsiaTheme="minorEastAsia" w:cstheme="minorEastAsia"/>
                <w:color w:val="auto"/>
                <w:sz w:val="21"/>
                <w:szCs w:val="21"/>
                <w:highlight w:val="none"/>
              </w:rPr>
              <w:t>法等内容</w:t>
            </w:r>
            <w:r>
              <w:rPr>
                <w:rFonts w:hint="eastAsia" w:asciiTheme="minorEastAsia" w:hAnsiTheme="minorEastAsia" w:eastAsiaTheme="minorEastAsia" w:cstheme="minorEastAsia"/>
                <w:color w:val="auto"/>
                <w:sz w:val="21"/>
                <w:szCs w:val="21"/>
                <w:highlight w:val="none"/>
                <w:lang w:eastAsia="zh-CN"/>
              </w:rPr>
              <w:t>进行打分。</w:t>
            </w:r>
            <w:r>
              <w:rPr>
                <w:rFonts w:hint="eastAsia" w:asciiTheme="minorEastAsia" w:hAnsiTheme="minorEastAsia" w:eastAsiaTheme="minorEastAsia" w:cstheme="minorEastAsia"/>
                <w:color w:val="auto"/>
                <w:sz w:val="21"/>
                <w:szCs w:val="21"/>
                <w:highlight w:val="none"/>
                <w:lang w:eastAsia="zh-CN" w:bidi="ar"/>
              </w:rPr>
              <w:t>（评分范围：0.5，1，1.5，2，2.5，3，3.5，4，4.5，5分）</w:t>
            </w:r>
          </w:p>
        </w:tc>
        <w:tc>
          <w:tcPr>
            <w:tcW w:w="1245" w:type="dxa"/>
            <w:tcBorders>
              <w:tl2br w:val="nil"/>
              <w:tr2bl w:val="nil"/>
            </w:tcBorders>
            <w:vAlign w:val="center"/>
          </w:tcPr>
          <w:p w14:paraId="2488A526">
            <w:pPr>
              <w:keepNext w:val="0"/>
              <w:keepLines w:val="0"/>
              <w:pageBreakBefore w:val="0"/>
              <w:widowControl w:val="0"/>
              <w:kinsoku/>
              <w:wordWrap/>
              <w:overflowPunct/>
              <w:topLinePunct w:val="0"/>
              <w:autoSpaceDE/>
              <w:autoSpaceDN/>
              <w:bidi w:val="0"/>
              <w:snapToGrid/>
              <w:spacing w:line="264"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5分</w:t>
            </w:r>
          </w:p>
        </w:tc>
      </w:tr>
    </w:tbl>
    <w:p w14:paraId="1157E4D3">
      <w:pPr>
        <w:pStyle w:val="5"/>
        <w:spacing w:line="480" w:lineRule="exact"/>
        <w:ind w:left="0" w:firstLine="0"/>
        <w:rPr>
          <w:rFonts w:hint="eastAsia"/>
          <w:color w:val="auto"/>
          <w:sz w:val="24"/>
          <w:szCs w:val="24"/>
          <w:highlight w:val="none"/>
        </w:rPr>
      </w:pPr>
      <w:r>
        <w:rPr>
          <w:rFonts w:hint="eastAsia"/>
          <w:color w:val="auto"/>
          <w:sz w:val="24"/>
          <w:szCs w:val="24"/>
          <w:highlight w:val="none"/>
        </w:rPr>
        <w:t>注：以上项目若缺项，则该项得0分。</w:t>
      </w:r>
    </w:p>
    <w:p w14:paraId="5DDD24E4">
      <w:pPr>
        <w:rPr>
          <w:color w:val="auto"/>
          <w:highlight w:val="none"/>
        </w:rPr>
      </w:pPr>
    </w:p>
    <w:p w14:paraId="435E5E7C">
      <w:pPr>
        <w:spacing w:before="120" w:beforeLines="50" w:line="360" w:lineRule="auto"/>
        <w:jc w:val="both"/>
        <w:rPr>
          <w:rFonts w:hint="eastAsia" w:ascii="仿宋" w:hAnsi="仿宋" w:eastAsia="仿宋" w:cs="仿宋_GB2312"/>
          <w:b/>
          <w:color w:val="auto"/>
          <w:sz w:val="36"/>
          <w:szCs w:val="36"/>
          <w:highlight w:val="none"/>
        </w:rPr>
      </w:pPr>
    </w:p>
    <w:p w14:paraId="338DCEEA">
      <w:pPr>
        <w:spacing w:before="120" w:beforeLines="50" w:line="360" w:lineRule="auto"/>
        <w:jc w:val="center"/>
        <w:rPr>
          <w:rFonts w:hint="eastAsia" w:ascii="仿宋" w:hAnsi="仿宋" w:eastAsia="仿宋" w:cs="仿宋_GB2312"/>
          <w:b/>
          <w:color w:val="auto"/>
          <w:sz w:val="36"/>
          <w:szCs w:val="36"/>
          <w:highlight w:val="none"/>
        </w:rPr>
      </w:pPr>
    </w:p>
    <w:p w14:paraId="7E2535A2">
      <w:pPr>
        <w:spacing w:before="120" w:beforeLines="50" w:line="360" w:lineRule="auto"/>
        <w:jc w:val="center"/>
        <w:rPr>
          <w:rFonts w:hint="eastAsia" w:ascii="仿宋" w:hAnsi="仿宋" w:eastAsia="仿宋" w:cs="仿宋_GB2312"/>
          <w:b/>
          <w:color w:val="auto"/>
          <w:sz w:val="36"/>
          <w:szCs w:val="36"/>
          <w:highlight w:val="none"/>
        </w:rPr>
      </w:pPr>
    </w:p>
    <w:p w14:paraId="3BABF53F">
      <w:pPr>
        <w:spacing w:before="120" w:beforeLines="50" w:line="360" w:lineRule="auto"/>
        <w:jc w:val="center"/>
        <w:rPr>
          <w:rFonts w:hint="eastAsia" w:ascii="仿宋" w:hAnsi="仿宋" w:eastAsia="仿宋" w:cs="仿宋_GB2312"/>
          <w:b/>
          <w:color w:val="auto"/>
          <w:sz w:val="36"/>
          <w:szCs w:val="36"/>
          <w:highlight w:val="none"/>
        </w:rPr>
      </w:pPr>
    </w:p>
    <w:p w14:paraId="448394AD">
      <w:pPr>
        <w:spacing w:before="120" w:beforeLines="50" w:line="360" w:lineRule="auto"/>
        <w:jc w:val="center"/>
        <w:rPr>
          <w:rFonts w:hint="eastAsia" w:ascii="仿宋" w:hAnsi="仿宋" w:eastAsia="仿宋" w:cs="仿宋_GB2312"/>
          <w:b/>
          <w:color w:val="auto"/>
          <w:sz w:val="36"/>
          <w:szCs w:val="36"/>
          <w:highlight w:val="none"/>
        </w:rPr>
      </w:pPr>
    </w:p>
    <w:p w14:paraId="6DA23330">
      <w:pPr>
        <w:spacing w:before="120" w:beforeLines="50" w:line="360" w:lineRule="auto"/>
        <w:jc w:val="center"/>
        <w:rPr>
          <w:rFonts w:hint="eastAsia" w:ascii="仿宋" w:hAnsi="仿宋" w:eastAsia="仿宋" w:cs="仿宋_GB2312"/>
          <w:b/>
          <w:color w:val="auto"/>
          <w:sz w:val="36"/>
          <w:szCs w:val="36"/>
          <w:highlight w:val="none"/>
        </w:rPr>
      </w:pPr>
    </w:p>
    <w:p w14:paraId="4FBA68C4">
      <w:pPr>
        <w:spacing w:before="120" w:beforeLines="50" w:line="360" w:lineRule="auto"/>
        <w:jc w:val="both"/>
        <w:rPr>
          <w:rFonts w:hint="eastAsia" w:ascii="仿宋" w:hAnsi="仿宋" w:eastAsia="仿宋" w:cs="仿宋_GB2312"/>
          <w:b/>
          <w:color w:val="auto"/>
          <w:sz w:val="36"/>
          <w:szCs w:val="36"/>
          <w:highlight w:val="none"/>
        </w:rPr>
      </w:pPr>
    </w:p>
    <w:p w14:paraId="48881A6F">
      <w:pPr>
        <w:spacing w:before="120" w:beforeLines="50" w:line="360" w:lineRule="auto"/>
        <w:jc w:val="center"/>
        <w:rPr>
          <w:rFonts w:hint="eastAsia" w:ascii="仿宋" w:hAnsi="仿宋" w:eastAsia="仿宋" w:cs="仿宋_GB2312"/>
          <w:b/>
          <w:color w:val="auto"/>
          <w:sz w:val="36"/>
          <w:szCs w:val="36"/>
          <w:highlight w:val="none"/>
        </w:rPr>
      </w:pPr>
    </w:p>
    <w:p w14:paraId="3E73FB81">
      <w:pPr>
        <w:spacing w:before="120" w:beforeLines="50" w:line="360" w:lineRule="auto"/>
        <w:jc w:val="center"/>
        <w:rPr>
          <w:rFonts w:hint="eastAsia" w:ascii="仿宋" w:hAnsi="仿宋" w:eastAsia="仿宋" w:cs="仿宋_GB2312"/>
          <w:b/>
          <w:color w:val="auto"/>
          <w:sz w:val="36"/>
          <w:szCs w:val="36"/>
          <w:highlight w:val="none"/>
        </w:rPr>
      </w:pPr>
    </w:p>
    <w:p w14:paraId="4167B9BD">
      <w:pPr>
        <w:spacing w:before="120" w:beforeLines="50" w:line="360" w:lineRule="auto"/>
        <w:jc w:val="center"/>
        <w:rPr>
          <w:rFonts w:hint="eastAsia" w:ascii="仿宋" w:hAnsi="仿宋" w:eastAsia="仿宋" w:cs="仿宋_GB2312"/>
          <w:b/>
          <w:color w:val="auto"/>
          <w:sz w:val="36"/>
          <w:szCs w:val="36"/>
          <w:highlight w:val="none"/>
        </w:rPr>
      </w:pPr>
    </w:p>
    <w:p w14:paraId="14D42722">
      <w:pPr>
        <w:spacing w:before="120" w:beforeLines="50" w:line="360" w:lineRule="auto"/>
        <w:jc w:val="both"/>
        <w:rPr>
          <w:rFonts w:hint="eastAsia" w:ascii="仿宋" w:hAnsi="仿宋" w:eastAsia="仿宋" w:cs="仿宋_GB2312"/>
          <w:b/>
          <w:color w:val="auto"/>
          <w:sz w:val="36"/>
          <w:szCs w:val="36"/>
          <w:highlight w:val="none"/>
        </w:rPr>
      </w:pPr>
    </w:p>
    <w:p w14:paraId="65BDB8A9">
      <w:pPr>
        <w:spacing w:before="120" w:beforeLines="50" w:line="360" w:lineRule="auto"/>
        <w:jc w:val="center"/>
        <w:rPr>
          <w:color w:val="auto"/>
          <w:highlight w:val="none"/>
        </w:rPr>
      </w:pPr>
      <w:r>
        <w:rPr>
          <w:rFonts w:hint="eastAsia" w:ascii="仿宋" w:hAnsi="仿宋" w:eastAsia="仿宋" w:cs="仿宋_GB2312"/>
          <w:b/>
          <w:color w:val="auto"/>
          <w:sz w:val="36"/>
          <w:szCs w:val="36"/>
          <w:highlight w:val="none"/>
        </w:rPr>
        <w:t>第五章  嘉善县政府采购合同（指引）</w:t>
      </w:r>
    </w:p>
    <w:p w14:paraId="1F0732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ascii="宋体" w:hAnsi="宋体" w:cs="宋体"/>
          <w:color w:val="auto"/>
          <w:kern w:val="0"/>
          <w:sz w:val="28"/>
          <w:szCs w:val="28"/>
          <w:highlight w:val="none"/>
        </w:rPr>
      </w:pPr>
      <w:r>
        <w:rPr>
          <w:rFonts w:hint="eastAsia" w:ascii="宋体" w:hAnsi="宋体" w:cs="宋体"/>
          <w:color w:val="auto"/>
          <w:kern w:val="0"/>
          <w:sz w:val="28"/>
          <w:szCs w:val="28"/>
          <w:highlight w:val="none"/>
        </w:rPr>
        <w:t>一、通用必备条款部分</w:t>
      </w:r>
    </w:p>
    <w:p w14:paraId="1D0077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合同编号：</w:t>
      </w:r>
    </w:p>
    <w:p w14:paraId="6499BE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政府采购计划（预算）确认书编号：</w:t>
      </w:r>
      <w:r>
        <w:rPr>
          <w:rFonts w:hint="eastAsia" w:ascii="宋体" w:hAnsi="宋体" w:cs="Arial"/>
          <w:color w:val="auto"/>
          <w:kern w:val="0"/>
          <w:sz w:val="24"/>
          <w:highlight w:val="none"/>
        </w:rPr>
        <w:t>善财采确临[2025]398号</w:t>
      </w:r>
    </w:p>
    <w:p w14:paraId="5582AB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预算金额：</w:t>
      </w:r>
      <w:r>
        <w:rPr>
          <w:rFonts w:hint="eastAsia" w:ascii="宋体" w:hAnsi="宋体" w:cs="宋体"/>
          <w:color w:val="auto"/>
          <w:kern w:val="0"/>
          <w:sz w:val="24"/>
          <w:highlight w:val="none"/>
          <w:lang w:val="en-US" w:eastAsia="zh-CN"/>
        </w:rPr>
        <w:t>87.00万元</w:t>
      </w:r>
    </w:p>
    <w:p w14:paraId="620205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采购人（以下称甲方）：</w:t>
      </w:r>
      <w:r>
        <w:rPr>
          <w:rFonts w:hint="eastAsia" w:ascii="宋体" w:hAnsi="宋体" w:cs="宋体"/>
          <w:color w:val="auto"/>
          <w:kern w:val="0"/>
          <w:sz w:val="24"/>
          <w:highlight w:val="none"/>
          <w:lang w:eastAsia="zh-CN"/>
        </w:rPr>
        <w:t>嘉善县中医医院</w:t>
      </w:r>
    </w:p>
    <w:p w14:paraId="46B307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供应商（以下称乙方）：</w:t>
      </w:r>
    </w:p>
    <w:p w14:paraId="36E220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采购代理机构：嘉兴市银建工程咨询评估有限公司</w:t>
      </w:r>
    </w:p>
    <w:p w14:paraId="2064F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采购方式：</w:t>
      </w:r>
      <w:r>
        <w:rPr>
          <w:rFonts w:hint="eastAsia" w:ascii="宋体" w:hAnsi="宋体" w:cs="Arial"/>
          <w:color w:val="auto"/>
          <w:kern w:val="0"/>
          <w:sz w:val="24"/>
          <w:highlight w:val="none"/>
        </w:rPr>
        <w:t>公开招标</w:t>
      </w:r>
    </w:p>
    <w:p w14:paraId="6496D6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采购文件编号：</w:t>
      </w:r>
      <w:r>
        <w:rPr>
          <w:rFonts w:hint="eastAsia" w:ascii="宋体" w:hAnsi="宋体" w:cs="宋体"/>
          <w:color w:val="auto"/>
          <w:kern w:val="0"/>
          <w:sz w:val="24"/>
          <w:highlight w:val="none"/>
          <w:lang w:eastAsia="zh-CN"/>
        </w:rPr>
        <w:t>JXYJ2025006</w:t>
      </w:r>
      <w:r>
        <w:rPr>
          <w:rFonts w:hint="eastAsia" w:ascii="宋体" w:hAnsi="宋体" w:cs="宋体"/>
          <w:color w:val="auto"/>
          <w:kern w:val="0"/>
          <w:sz w:val="24"/>
          <w:highlight w:val="none"/>
        </w:rPr>
        <w:t>（G）</w:t>
      </w:r>
    </w:p>
    <w:p w14:paraId="7345F4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根据《中华人民共和国政府采购法》、《中华人民共和国民法典》等法律法规的规定，甲乙双方按照</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嘉善县中医医院织物清洗消毒服务项目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项目采购结果签订本合同。</w:t>
      </w:r>
    </w:p>
    <w:p w14:paraId="74EAF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第一条 合同组成</w:t>
      </w:r>
    </w:p>
    <w:p w14:paraId="35D6C5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本次政府采购活动的相关文件为本合同的组成部分，这些文件包括但不限于：</w:t>
      </w:r>
    </w:p>
    <w:p w14:paraId="45BAF5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（1）本合同文本；</w:t>
      </w:r>
    </w:p>
    <w:p w14:paraId="6A1EDE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（2）采购文件与投标文件（或采购响应文件）；</w:t>
      </w:r>
    </w:p>
    <w:p w14:paraId="54532E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（3）中标或成交通知书；</w:t>
      </w:r>
    </w:p>
    <w:p w14:paraId="150104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组成本合同的所有文件必须为书面形式。政府采购合同备案时，须提供以上（1）、（3）两项，如由社会中介机构代理，须提供代理协议，合同如有变更的，须提供变更协议。</w:t>
      </w:r>
    </w:p>
    <w:p w14:paraId="655D12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第二条 合同标的与相关属性</w:t>
      </w:r>
    </w:p>
    <w:p w14:paraId="7BB21F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1、本次采购的是</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嘉善县中医医院织物清洗消毒服务</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66161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2、乙方是否属于中小微企业：</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是□否</w:t>
      </w:r>
    </w:p>
    <w:p w14:paraId="09375C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3、本合同项下产品属于（可多选）：□环保产品；□节能产品；□进口产品</w:t>
      </w:r>
    </w:p>
    <w:p w14:paraId="5D5D57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第三条 合同价款</w:t>
      </w:r>
    </w:p>
    <w:p w14:paraId="6AEF3A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1、本合同项下总价款为人民币（大写）</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，分项价款见“投标报价明细表”（如有）”。</w:t>
      </w:r>
    </w:p>
    <w:p w14:paraId="5703C0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Arial"/>
          <w:color w:val="auto"/>
          <w:kern w:val="0"/>
          <w:sz w:val="24"/>
          <w:highlight w:val="none"/>
          <w:lang w:val="en-US" w:eastAsia="zh-CN"/>
        </w:rPr>
      </w:pPr>
      <w:r>
        <w:rPr>
          <w:rFonts w:hint="eastAsia" w:ascii="宋体" w:hAnsi="宋体" w:cs="宋体"/>
          <w:color w:val="auto"/>
          <w:kern w:val="0"/>
          <w:sz w:val="24"/>
          <w:highlight w:val="none"/>
        </w:rPr>
        <w:t>2、本合同总价款含所有税费(包括完成本项目所有工作内容所需的人员、设备、材料、劳务、管理、风险、规费、税金（增值税等）、利润、政策性文件上各项应有费用等一切相关费用。各投标人所填写的投标报价在合同实施期间不因市场因素而变动，投标人发生差错遗漏的费用均不再调整（除招标文件另有说明外）</w:t>
      </w:r>
      <w:r>
        <w:rPr>
          <w:rFonts w:hint="eastAsia" w:ascii="宋体" w:hAnsi="宋体" w:cs="Arial"/>
          <w:color w:val="auto"/>
          <w:kern w:val="0"/>
          <w:sz w:val="24"/>
          <w:highlight w:val="none"/>
          <w:lang w:val="en-US" w:eastAsia="zh-CN"/>
        </w:rPr>
        <w:t>)</w:t>
      </w:r>
    </w:p>
    <w:p w14:paraId="756DFC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3、本项目资金来源性质为以下第</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 xml:space="preserve">  （5）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w:t>
      </w:r>
    </w:p>
    <w:p w14:paraId="538DE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（1）一般预算；（2）政府基金；（3）专户核拨的预算外资金；（4）其他财政资金；（5）其他资金。</w:t>
      </w:r>
    </w:p>
    <w:p w14:paraId="45317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4、本合同付款方式为以下第</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w:t>
      </w:r>
    </w:p>
    <w:p w14:paraId="09CF2E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（1）本合同项下的采购资金系甲方自行支付，付款程序为</w:t>
      </w:r>
      <w:r>
        <w:rPr>
          <w:rFonts w:hint="eastAsia" w:ascii="宋体" w:hAnsi="宋体" w:cs="Arial"/>
          <w:color w:val="auto"/>
          <w:kern w:val="0"/>
          <w:sz w:val="24"/>
          <w:highlight w:val="none"/>
          <w:u w:val="single"/>
        </w:rPr>
        <w:t xml:space="preserve">             </w:t>
      </w:r>
      <w:r>
        <w:rPr>
          <w:rFonts w:hint="eastAsia" w:ascii="宋体" w:hAnsi="宋体" w:cs="宋体"/>
          <w:color w:val="auto"/>
          <w:kern w:val="0"/>
          <w:sz w:val="24"/>
          <w:highlight w:val="none"/>
        </w:rPr>
        <w:t>；</w:t>
      </w:r>
    </w:p>
    <w:p w14:paraId="3E7EE2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（2）本合同项下的采购资金须财政直接支付，付款程序为</w:t>
      </w:r>
      <w:r>
        <w:rPr>
          <w:rFonts w:hint="eastAsia" w:ascii="宋体" w:hAnsi="宋体" w:cs="Arial"/>
          <w:color w:val="auto"/>
          <w:kern w:val="0"/>
          <w:sz w:val="24"/>
          <w:highlight w:val="none"/>
          <w:u w:val="single"/>
          <w:lang w:val="en-US" w:eastAsia="zh-CN"/>
        </w:rPr>
        <w:t xml:space="preserve">             </w:t>
      </w:r>
      <w:r>
        <w:rPr>
          <w:rFonts w:hint="eastAsia" w:ascii="宋体" w:hAnsi="宋体" w:cs="宋体"/>
          <w:color w:val="auto"/>
          <w:kern w:val="0"/>
          <w:sz w:val="24"/>
          <w:highlight w:val="none"/>
        </w:rPr>
        <w:t>；</w:t>
      </w:r>
    </w:p>
    <w:p w14:paraId="4CBA6D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（3）其他方式</w:t>
      </w:r>
      <w:r>
        <w:rPr>
          <w:rFonts w:hint="eastAsia" w:ascii="宋体" w:hAnsi="宋体" w:cs="Arial"/>
          <w:color w:val="auto"/>
          <w:kern w:val="0"/>
          <w:sz w:val="24"/>
          <w:highlight w:val="none"/>
          <w:u w:val="single"/>
          <w:lang w:val="en-US" w:eastAsia="zh-CN"/>
        </w:rPr>
        <w:t xml:space="preserve">  单位资金支付   </w:t>
      </w:r>
      <w:r>
        <w:rPr>
          <w:rFonts w:hint="eastAsia" w:ascii="宋体" w:hAnsi="宋体" w:cs="宋体"/>
          <w:color w:val="auto"/>
          <w:kern w:val="0"/>
          <w:sz w:val="24"/>
          <w:highlight w:val="none"/>
        </w:rPr>
        <w:t>。</w:t>
      </w:r>
    </w:p>
    <w:p w14:paraId="2F731E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5、本合同项下的采购资金付款进度按采购文件与投标文件（或采购响应文件）规定，未规定时按以下第</w:t>
      </w:r>
      <w:r>
        <w:rPr>
          <w:rFonts w:hint="eastAsia" w:ascii="宋体" w:hAnsi="宋体" w:cs="宋体"/>
          <w:color w:val="auto"/>
          <w:kern w:val="0"/>
          <w:sz w:val="24"/>
          <w:highlight w:val="none"/>
          <w:u w:val="single"/>
        </w:rPr>
        <w:t xml:space="preserve">  （2）  </w:t>
      </w:r>
      <w:r>
        <w:rPr>
          <w:rFonts w:hint="eastAsia" w:ascii="宋体" w:hAnsi="宋体" w:cs="宋体"/>
          <w:color w:val="auto"/>
          <w:kern w:val="0"/>
          <w:sz w:val="24"/>
          <w:highlight w:val="none"/>
        </w:rPr>
        <w:t>项支付：</w:t>
      </w:r>
    </w:p>
    <w:p w14:paraId="5AD62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（1）一次性付款：乙方合同履行达到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（条件）时，一次性付款；</w:t>
      </w:r>
    </w:p>
    <w:p w14:paraId="75A0F8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（2）分期付款：</w:t>
      </w:r>
    </w:p>
    <w:p w14:paraId="61CC0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lang w:eastAsia="zh-CN"/>
        </w:rPr>
      </w:pPr>
      <w:r>
        <w:rPr>
          <w:rFonts w:hint="eastAsia" w:ascii="宋体" w:hAnsi="宋体" w:cs="宋体"/>
          <w:color w:val="auto"/>
          <w:kern w:val="0"/>
          <w:sz w:val="24"/>
          <w:highlight w:val="none"/>
          <w:lang w:eastAsia="zh-CN"/>
        </w:rPr>
        <w:t>结算付款必须按照医院集中支付管理办法及相关规定执行，依据《考核标准》对服务提供商进行考核结算，原则上以一个月为结算单位，每个月进行付款一次。注：付款前中标单位应按规定向采购人开具正规发票</w:t>
      </w:r>
    </w:p>
    <w:p w14:paraId="7FF5C5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第四条 履约保证金</w:t>
      </w:r>
    </w:p>
    <w:p w14:paraId="21DB8B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rPr>
        <w:t>按以下第</w:t>
      </w:r>
      <w:r>
        <w:rPr>
          <w:rFonts w:hint="eastAsia" w:ascii="宋体" w:hAnsi="宋体" w:cs="宋体"/>
          <w:color w:val="auto"/>
          <w:kern w:val="0"/>
          <w:sz w:val="24"/>
          <w:highlight w:val="none"/>
          <w:u w:val="single"/>
        </w:rPr>
        <w:t xml:space="preserve">  2  </w:t>
      </w:r>
      <w:r>
        <w:rPr>
          <w:rFonts w:hint="eastAsia" w:ascii="宋体" w:hAnsi="宋体" w:cs="宋体"/>
          <w:color w:val="auto"/>
          <w:kern w:val="0"/>
          <w:sz w:val="24"/>
          <w:highlight w:val="none"/>
        </w:rPr>
        <w:t>项处理：</w:t>
      </w:r>
    </w:p>
    <w:p w14:paraId="712931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1、本项目设置履约保证金</w:t>
      </w:r>
      <w:r>
        <w:rPr>
          <w:rFonts w:hint="eastAsia" w:ascii="宋体" w:hAnsi="宋体" w:cs="宋体"/>
          <w:color w:val="auto"/>
          <w:kern w:val="0"/>
          <w:sz w:val="24"/>
          <w:highlight w:val="none"/>
          <w:lang w:eastAsia="zh-CN"/>
        </w:rPr>
        <w:t>。</w:t>
      </w:r>
    </w:p>
    <w:p w14:paraId="036F3D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b/>
          <w:color w:val="auto"/>
          <w:kern w:val="0"/>
          <w:sz w:val="24"/>
          <w:highlight w:val="none"/>
          <w:lang w:eastAsia="zh-CN"/>
        </w:rPr>
      </w:pPr>
      <w:r>
        <w:rPr>
          <w:rFonts w:hint="eastAsia" w:ascii="宋体" w:hAnsi="宋体" w:cs="宋体"/>
          <w:color w:val="auto"/>
          <w:kern w:val="0"/>
          <w:sz w:val="24"/>
          <w:highlight w:val="none"/>
        </w:rPr>
        <w:t>2、本项目不设置履约保证金</w:t>
      </w:r>
      <w:r>
        <w:rPr>
          <w:rFonts w:hint="eastAsia" w:ascii="宋体" w:hAnsi="宋体" w:cs="宋体"/>
          <w:color w:val="auto"/>
          <w:kern w:val="0"/>
          <w:sz w:val="24"/>
          <w:highlight w:val="none"/>
          <w:lang w:eastAsia="zh-CN"/>
        </w:rPr>
        <w:t>。</w:t>
      </w:r>
    </w:p>
    <w:p w14:paraId="73E86C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hint="default"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eastAsia="zh-CN"/>
        </w:rPr>
        <w:t>第五条</w:t>
      </w:r>
      <w:r>
        <w:rPr>
          <w:rFonts w:hint="eastAsia" w:ascii="宋体" w:hAnsi="宋体" w:cs="宋体"/>
          <w:b/>
          <w:color w:val="auto"/>
          <w:kern w:val="0"/>
          <w:sz w:val="24"/>
          <w:highlight w:val="none"/>
          <w:lang w:val="en-US" w:eastAsia="zh-CN"/>
        </w:rPr>
        <w:t xml:space="preserve"> 服务期限</w:t>
      </w:r>
    </w:p>
    <w:p w14:paraId="6587D7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b w:val="0"/>
          <w:bCs/>
          <w:color w:val="auto"/>
          <w:kern w:val="0"/>
          <w:sz w:val="24"/>
          <w:highlight w:val="none"/>
          <w:lang w:eastAsia="zh-CN"/>
        </w:rPr>
      </w:pPr>
      <w:r>
        <w:rPr>
          <w:rFonts w:hint="eastAsia" w:ascii="宋体" w:hAnsi="宋体" w:cs="宋体"/>
          <w:b w:val="0"/>
          <w:bCs/>
          <w:color w:val="auto"/>
          <w:kern w:val="0"/>
          <w:sz w:val="24"/>
          <w:highlight w:val="none"/>
        </w:rPr>
        <w:t>自合同签订之日起一年,若中标供应商操作规范、服务优良、考核评分标准不低于90分的，经采购人、县财政部门同意后，可延长采购服务有效期两次，每次续签服务合同一年</w:t>
      </w:r>
      <w:r>
        <w:rPr>
          <w:rFonts w:hint="eastAsia" w:ascii="宋体" w:hAnsi="宋体" w:cs="宋体"/>
          <w:b w:val="0"/>
          <w:bCs/>
          <w:color w:val="auto"/>
          <w:kern w:val="0"/>
          <w:sz w:val="24"/>
          <w:highlight w:val="none"/>
          <w:lang w:eastAsia="zh-CN"/>
        </w:rPr>
        <w:t>。</w:t>
      </w:r>
    </w:p>
    <w:p w14:paraId="27DD4E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w:t>
      </w:r>
      <w:r>
        <w:rPr>
          <w:rFonts w:hint="eastAsia" w:ascii="宋体" w:hAnsi="宋体" w:cs="宋体"/>
          <w:b/>
          <w:color w:val="auto"/>
          <w:kern w:val="0"/>
          <w:sz w:val="24"/>
          <w:highlight w:val="none"/>
          <w:lang w:eastAsia="zh-CN"/>
        </w:rPr>
        <w:t>六</w:t>
      </w:r>
      <w:r>
        <w:rPr>
          <w:rFonts w:hint="eastAsia" w:ascii="宋体" w:hAnsi="宋体" w:cs="宋体"/>
          <w:b/>
          <w:color w:val="auto"/>
          <w:kern w:val="0"/>
          <w:sz w:val="24"/>
          <w:highlight w:val="none"/>
        </w:rPr>
        <w:t>条 合同的变更和终止</w:t>
      </w:r>
    </w:p>
    <w:p w14:paraId="7D9652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除《政府采购法》第49条、第50条第二款规定的情形外，本合同一经签订，甲乙双方不得擅自终止合同或对合同实质性条款进行变更。确有特殊情况的，须经同级财政部门备案同意。</w:t>
      </w:r>
    </w:p>
    <w:p w14:paraId="5234E3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w:t>
      </w:r>
      <w:r>
        <w:rPr>
          <w:rFonts w:hint="eastAsia" w:ascii="宋体" w:hAnsi="宋体" w:cs="宋体"/>
          <w:b/>
          <w:color w:val="auto"/>
          <w:kern w:val="0"/>
          <w:sz w:val="24"/>
          <w:highlight w:val="none"/>
          <w:lang w:eastAsia="zh-CN"/>
        </w:rPr>
        <w:t>七</w:t>
      </w:r>
      <w:r>
        <w:rPr>
          <w:rFonts w:hint="eastAsia" w:ascii="宋体" w:hAnsi="宋体" w:cs="宋体"/>
          <w:b/>
          <w:color w:val="auto"/>
          <w:kern w:val="0"/>
          <w:sz w:val="24"/>
          <w:highlight w:val="none"/>
        </w:rPr>
        <w:t>条 合同的转让与分包</w:t>
      </w:r>
    </w:p>
    <w:p w14:paraId="422739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Arial"/>
          <w:color w:val="auto"/>
          <w:kern w:val="0"/>
          <w:sz w:val="24"/>
          <w:highlight w:val="none"/>
        </w:rPr>
        <w:t>本项目不允许转包和分包</w:t>
      </w:r>
      <w:r>
        <w:rPr>
          <w:rFonts w:hint="eastAsia" w:ascii="宋体" w:hAnsi="宋体" w:cs="宋体"/>
          <w:color w:val="auto"/>
          <w:kern w:val="0"/>
          <w:sz w:val="24"/>
          <w:highlight w:val="none"/>
        </w:rPr>
        <w:t>。</w:t>
      </w:r>
    </w:p>
    <w:p w14:paraId="27BCBB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w:t>
      </w:r>
      <w:r>
        <w:rPr>
          <w:rFonts w:hint="eastAsia" w:ascii="宋体" w:hAnsi="宋体" w:cs="宋体"/>
          <w:b/>
          <w:color w:val="auto"/>
          <w:kern w:val="0"/>
          <w:sz w:val="24"/>
          <w:highlight w:val="none"/>
          <w:lang w:eastAsia="zh-CN"/>
        </w:rPr>
        <w:t>八</w:t>
      </w:r>
      <w:r>
        <w:rPr>
          <w:rFonts w:hint="eastAsia" w:ascii="宋体" w:hAnsi="宋体" w:cs="宋体"/>
          <w:b/>
          <w:color w:val="auto"/>
          <w:kern w:val="0"/>
          <w:sz w:val="24"/>
          <w:highlight w:val="none"/>
        </w:rPr>
        <w:t>条 争议的解决</w:t>
      </w:r>
    </w:p>
    <w:p w14:paraId="5C5327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因履行本合同引起的或与本合同有关的争议，甲、乙双方应首先通过友好协商解决，如果协商不能解决争议，则采取以下第</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种方式解决争议：</w:t>
      </w:r>
    </w:p>
    <w:p w14:paraId="7D1174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（1）向甲方所在地有管辖权的人民法院提起诉讼；</w:t>
      </w:r>
    </w:p>
    <w:p w14:paraId="2C0A1F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（2）向</w:t>
      </w:r>
      <w:r>
        <w:rPr>
          <w:rFonts w:hint="eastAsia" w:ascii="宋体" w:hAnsi="宋体" w:cs="宋体"/>
          <w:color w:val="auto"/>
          <w:kern w:val="0"/>
          <w:sz w:val="24"/>
          <w:highlight w:val="none"/>
          <w:u w:val="single"/>
        </w:rPr>
        <w:t xml:space="preserve">   </w:t>
      </w:r>
      <w:r>
        <w:rPr>
          <w:rFonts w:hint="eastAsia" w:ascii="宋体" w:hAnsi="宋体" w:cs="Arial"/>
          <w:color w:val="auto"/>
          <w:kern w:val="0"/>
          <w:sz w:val="24"/>
          <w:highlight w:val="none"/>
          <w:u w:val="single"/>
          <w:lang w:eastAsia="zh-CN"/>
        </w:rPr>
        <w:t>项目所在地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仲裁委员申请仲裁。</w:t>
      </w:r>
    </w:p>
    <w:p w14:paraId="54B784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第</w:t>
      </w:r>
      <w:r>
        <w:rPr>
          <w:rFonts w:hint="eastAsia" w:ascii="宋体" w:hAnsi="宋体" w:cs="宋体"/>
          <w:b/>
          <w:color w:val="auto"/>
          <w:kern w:val="0"/>
          <w:sz w:val="24"/>
          <w:highlight w:val="none"/>
          <w:lang w:eastAsia="zh-CN"/>
        </w:rPr>
        <w:t>九</w:t>
      </w:r>
      <w:r>
        <w:rPr>
          <w:rFonts w:hint="eastAsia" w:ascii="宋体" w:hAnsi="宋体" w:cs="宋体"/>
          <w:b/>
          <w:color w:val="auto"/>
          <w:kern w:val="0"/>
          <w:sz w:val="24"/>
          <w:highlight w:val="none"/>
        </w:rPr>
        <w:t>条 合同备案及其他</w:t>
      </w:r>
    </w:p>
    <w:p w14:paraId="2507D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Arial"/>
          <w:color w:val="auto"/>
          <w:kern w:val="0"/>
          <w:sz w:val="24"/>
          <w:highlight w:val="none"/>
        </w:rPr>
        <w:t>本合同一式</w:t>
      </w:r>
      <w:r>
        <w:rPr>
          <w:rFonts w:hint="eastAsia" w:ascii="宋体" w:hAnsi="宋体" w:cs="Arial"/>
          <w:color w:val="auto"/>
          <w:kern w:val="0"/>
          <w:sz w:val="24"/>
          <w:highlight w:val="none"/>
          <w:lang w:val="en-US" w:eastAsia="zh-CN"/>
        </w:rPr>
        <w:t>4</w:t>
      </w:r>
      <w:r>
        <w:rPr>
          <w:rFonts w:hint="eastAsia" w:ascii="宋体" w:hAnsi="宋体" w:cs="Arial"/>
          <w:color w:val="auto"/>
          <w:kern w:val="0"/>
          <w:sz w:val="24"/>
          <w:highlight w:val="none"/>
        </w:rPr>
        <w:t>份，甲乙双方各2份</w:t>
      </w:r>
      <w:r>
        <w:rPr>
          <w:rFonts w:hint="eastAsia" w:ascii="宋体" w:hAnsi="宋体" w:cs="宋体"/>
          <w:color w:val="auto"/>
          <w:kern w:val="0"/>
          <w:sz w:val="24"/>
          <w:highlight w:val="none"/>
        </w:rPr>
        <w:t xml:space="preserve">。          </w:t>
      </w:r>
    </w:p>
    <w:p w14:paraId="1E52922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ascii="宋体" w:hAnsi="宋体" w:cs="宋体"/>
          <w:color w:val="auto"/>
          <w:kern w:val="0"/>
          <w:sz w:val="24"/>
          <w:highlight w:val="none"/>
        </w:rPr>
      </w:pPr>
      <w:r>
        <w:rPr>
          <w:rFonts w:hint="eastAsia" w:ascii="宋体" w:hAnsi="宋体" w:cs="宋体"/>
          <w:color w:val="auto"/>
          <w:kern w:val="0"/>
          <w:sz w:val="24"/>
          <w:highlight w:val="none"/>
        </w:rPr>
        <w:t>二、特殊专用条款部分</w:t>
      </w:r>
    </w:p>
    <w:p w14:paraId="03C31C2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 xml:space="preserve">第一条 </w:t>
      </w:r>
      <w:r>
        <w:rPr>
          <w:rFonts w:hint="eastAsia" w:ascii="宋体" w:hAnsi="宋体" w:cs="宋体"/>
          <w:b/>
          <w:bCs/>
          <w:color w:val="auto"/>
          <w:kern w:val="0"/>
          <w:sz w:val="24"/>
          <w:highlight w:val="none"/>
        </w:rPr>
        <w:t>违约责任</w:t>
      </w:r>
    </w:p>
    <w:p w14:paraId="17C638C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cs="宋体"/>
          <w:color w:val="auto"/>
          <w:kern w:val="0"/>
          <w:sz w:val="24"/>
          <w:highlight w:val="none"/>
          <w:u w:val="single"/>
        </w:rPr>
        <w:t>0.5%</w:t>
      </w:r>
      <w:r>
        <w:rPr>
          <w:rFonts w:hint="eastAsia" w:ascii="宋体" w:hAnsi="宋体" w:cs="宋体"/>
          <w:color w:val="auto"/>
          <w:kern w:val="0"/>
          <w:sz w:val="24"/>
          <w:highlight w:val="none"/>
        </w:rPr>
        <w:t>计算，最高限额为本合同总价的20%；迟延履行的违约金计算数额达到前述最高限额之日起，甲方有权在要求乙方支付违约金的同时，书面通知乙方解除本合同。</w:t>
      </w:r>
    </w:p>
    <w:p w14:paraId="14150E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b/>
          <w:bCs/>
          <w:color w:val="auto"/>
          <w:kern w:val="0"/>
          <w:sz w:val="24"/>
          <w:highlight w:val="none"/>
        </w:rPr>
      </w:pPr>
      <w:r>
        <w:rPr>
          <w:rFonts w:hint="eastAsia" w:ascii="宋体" w:hAnsi="宋体" w:eastAsia="宋体" w:cs="宋体"/>
          <w:b w:val="0"/>
          <w:bCs w:val="0"/>
          <w:color w:val="auto"/>
          <w:sz w:val="24"/>
          <w:szCs w:val="24"/>
          <w:highlight w:val="none"/>
          <w:lang w:val="en-US"/>
        </w:rPr>
        <w:t>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eastAsia="zh-CN"/>
        </w:rPr>
        <w:t>0.5%</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20%</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102677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第二条 不可抗力事件处理</w:t>
      </w:r>
    </w:p>
    <w:p w14:paraId="42AD80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1.在合同有效期内，任何一方因不可抗力事件导致不能履行合同的，合同履行期可延长，其延长期与不可抗力影响期相同。</w:t>
      </w:r>
    </w:p>
    <w:p w14:paraId="7A8710F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2.不可抗力事件发生后，应立即通知对方，并寄送有关权威机构出具的证明。</w:t>
      </w:r>
    </w:p>
    <w:p w14:paraId="1503369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3.不可抗力事件延续120天以上，双方应通过友好协商，确定是否继续履行合同。</w:t>
      </w:r>
    </w:p>
    <w:p w14:paraId="01DCC7F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2" w:firstLineChars="200"/>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第三条 合同有效期</w:t>
      </w:r>
    </w:p>
    <w:p w14:paraId="1CCDE50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自合同签订之日起至本项目合同履行完毕之日止</w:t>
      </w:r>
    </w:p>
    <w:p w14:paraId="29752DF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cs="宋体"/>
          <w:color w:val="auto"/>
          <w:kern w:val="0"/>
          <w:sz w:val="24"/>
          <w:highlight w:val="none"/>
        </w:rPr>
      </w:pPr>
    </w:p>
    <w:p w14:paraId="7AA10703">
      <w:pPr>
        <w:spacing w:line="480" w:lineRule="exact"/>
        <w:rPr>
          <w:rFonts w:ascii="宋体" w:hAnsi="宋体" w:cs="宋体"/>
          <w:b/>
          <w:color w:val="auto"/>
          <w:sz w:val="24"/>
          <w:highlight w:val="none"/>
        </w:rPr>
      </w:pPr>
      <w:r>
        <w:rPr>
          <w:rFonts w:hint="eastAsia" w:ascii="宋体" w:hAnsi="宋体" w:cs="宋体"/>
          <w:b/>
          <w:color w:val="auto"/>
          <w:sz w:val="24"/>
          <w:highlight w:val="none"/>
        </w:rPr>
        <w:t>采购人（甲方公章）                    供应商（乙方公章）：</w:t>
      </w:r>
    </w:p>
    <w:p w14:paraId="5FB6F80E">
      <w:pPr>
        <w:spacing w:line="480" w:lineRule="exact"/>
        <w:rPr>
          <w:rFonts w:ascii="宋体" w:hAnsi="宋体" w:cs="宋体"/>
          <w:b/>
          <w:color w:val="auto"/>
          <w:sz w:val="24"/>
          <w:highlight w:val="none"/>
        </w:rPr>
      </w:pPr>
      <w:r>
        <w:rPr>
          <w:rFonts w:hint="eastAsia" w:ascii="宋体" w:hAnsi="宋体" w:cs="宋体"/>
          <w:b/>
          <w:color w:val="auto"/>
          <w:sz w:val="24"/>
          <w:highlight w:val="none"/>
        </w:rPr>
        <w:t>法定代表人                            法定代表人</w:t>
      </w:r>
    </w:p>
    <w:p w14:paraId="28962993">
      <w:pPr>
        <w:spacing w:line="480" w:lineRule="exact"/>
        <w:rPr>
          <w:rFonts w:ascii="宋体" w:hAnsi="宋体" w:cs="宋体"/>
          <w:b/>
          <w:color w:val="auto"/>
          <w:sz w:val="24"/>
          <w:highlight w:val="none"/>
        </w:rPr>
      </w:pPr>
      <w:r>
        <w:rPr>
          <w:rFonts w:hint="eastAsia" w:ascii="宋体" w:hAnsi="宋体" w:cs="宋体"/>
          <w:b/>
          <w:color w:val="auto"/>
          <w:sz w:val="24"/>
          <w:highlight w:val="none"/>
        </w:rPr>
        <w:t xml:space="preserve">或被授权人（签字）：                   或被授权人（签字）：     </w:t>
      </w:r>
    </w:p>
    <w:p w14:paraId="356D508F">
      <w:pPr>
        <w:spacing w:line="480" w:lineRule="exact"/>
        <w:rPr>
          <w:rFonts w:ascii="宋体" w:hAnsi="宋体" w:cs="宋体"/>
          <w:color w:val="auto"/>
          <w:sz w:val="24"/>
          <w:highlight w:val="none"/>
        </w:rPr>
      </w:pPr>
      <w:r>
        <w:rPr>
          <w:rFonts w:hint="eastAsia" w:ascii="宋体" w:hAnsi="宋体" w:cs="宋体"/>
          <w:b/>
          <w:color w:val="auto"/>
          <w:sz w:val="24"/>
          <w:highlight w:val="none"/>
        </w:rPr>
        <w:t xml:space="preserve">电话：                                电话：  </w:t>
      </w:r>
      <w:r>
        <w:rPr>
          <w:rFonts w:hint="eastAsia" w:ascii="宋体" w:hAnsi="宋体" w:cs="宋体"/>
          <w:color w:val="auto"/>
          <w:sz w:val="24"/>
          <w:highlight w:val="none"/>
        </w:rPr>
        <w:t xml:space="preserve">                 </w:t>
      </w:r>
    </w:p>
    <w:p w14:paraId="6A956783">
      <w:pPr>
        <w:spacing w:line="480" w:lineRule="exact"/>
        <w:ind w:right="480" w:firstLine="2160" w:firstLineChars="900"/>
        <w:jc w:val="center"/>
        <w:rPr>
          <w:rFonts w:ascii="宋体" w:hAnsi="宋体" w:cs="宋体"/>
          <w:color w:val="auto"/>
          <w:sz w:val="24"/>
          <w:highlight w:val="none"/>
        </w:rPr>
      </w:pPr>
      <w:r>
        <w:rPr>
          <w:rFonts w:hint="eastAsia" w:ascii="宋体" w:hAnsi="宋体" w:cs="宋体"/>
          <w:color w:val="auto"/>
          <w:sz w:val="24"/>
          <w:highlight w:val="none"/>
        </w:rPr>
        <w:t xml:space="preserve">       合同签订日期：     年    月   日</w:t>
      </w:r>
    </w:p>
    <w:p w14:paraId="631668F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680" w:firstLineChars="1950"/>
        <w:rPr>
          <w:rFonts w:ascii="宋体" w:hAnsi="宋体" w:cs="宋体"/>
          <w:color w:val="auto"/>
          <w:sz w:val="24"/>
          <w:highlight w:val="none"/>
        </w:rPr>
        <w:sectPr>
          <w:footerReference r:id="rId7" w:type="default"/>
          <w:pgSz w:w="11906" w:h="16838"/>
          <w:pgMar w:top="1134" w:right="1134" w:bottom="1134" w:left="1134" w:header="851" w:footer="851" w:gutter="0"/>
          <w:pgBorders>
            <w:top w:val="none" w:sz="0" w:space="0"/>
            <w:left w:val="none" w:sz="0" w:space="0"/>
            <w:bottom w:val="none" w:sz="0" w:space="0"/>
            <w:right w:val="none" w:sz="0" w:space="0"/>
          </w:pgBorders>
          <w:cols w:space="0" w:num="1"/>
          <w:rtlGutter w:val="0"/>
          <w:docGrid w:linePitch="312" w:charSpace="0"/>
        </w:sectPr>
      </w:pPr>
      <w:r>
        <w:rPr>
          <w:rFonts w:hint="eastAsia" w:ascii="宋体" w:hAnsi="宋体" w:cs="宋体"/>
          <w:color w:val="auto"/>
          <w:sz w:val="24"/>
          <w:highlight w:val="none"/>
        </w:rPr>
        <w:t>签约地点：</w:t>
      </w:r>
    </w:p>
    <w:p w14:paraId="38DA4F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3480" w:firstLineChars="1450"/>
        <w:rPr>
          <w:rFonts w:ascii="宋体" w:hAnsi="宋体" w:cs="宋体"/>
          <w:color w:val="auto"/>
          <w:kern w:val="0"/>
          <w:sz w:val="24"/>
          <w:highlight w:val="none"/>
        </w:rPr>
      </w:pPr>
      <w:r>
        <w:rPr>
          <w:rFonts w:hint="eastAsia" w:ascii="宋体" w:hAnsi="宋体" w:cs="宋体"/>
          <w:color w:val="auto"/>
          <w:sz w:val="24"/>
          <w:highlight w:val="none"/>
        </w:rPr>
        <w:t xml:space="preserve">               </w:t>
      </w:r>
    </w:p>
    <w:tbl>
      <w:tblPr>
        <w:tblStyle w:val="63"/>
        <w:tblW w:w="14436" w:type="dxa"/>
        <w:tblInd w:w="93" w:type="dxa"/>
        <w:tblLayout w:type="fixed"/>
        <w:tblCellMar>
          <w:top w:w="0" w:type="dxa"/>
          <w:left w:w="108" w:type="dxa"/>
          <w:bottom w:w="0" w:type="dxa"/>
          <w:right w:w="108" w:type="dxa"/>
        </w:tblCellMar>
      </w:tblPr>
      <w:tblGrid>
        <w:gridCol w:w="3654"/>
        <w:gridCol w:w="3021"/>
        <w:gridCol w:w="1855"/>
        <w:gridCol w:w="1745"/>
        <w:gridCol w:w="2080"/>
        <w:gridCol w:w="2081"/>
      </w:tblGrid>
      <w:tr w14:paraId="16B31FAC">
        <w:tblPrEx>
          <w:tblCellMar>
            <w:top w:w="0" w:type="dxa"/>
            <w:left w:w="108" w:type="dxa"/>
            <w:bottom w:w="0" w:type="dxa"/>
            <w:right w:w="108" w:type="dxa"/>
          </w:tblCellMar>
        </w:tblPrEx>
        <w:trPr>
          <w:trHeight w:val="480" w:hRule="atLeast"/>
        </w:trPr>
        <w:tc>
          <w:tcPr>
            <w:tcW w:w="14436" w:type="dxa"/>
            <w:gridSpan w:val="6"/>
            <w:tcBorders>
              <w:top w:val="nil"/>
              <w:left w:val="nil"/>
              <w:bottom w:val="nil"/>
              <w:right w:val="nil"/>
            </w:tcBorders>
            <w:vAlign w:val="bottom"/>
          </w:tcPr>
          <w:p w14:paraId="3672B5F7">
            <w:pPr>
              <w:widowControl/>
              <w:jc w:val="center"/>
              <w:rPr>
                <w:rFonts w:ascii="宋体" w:hAnsi="宋体" w:cs="宋体"/>
                <w:b/>
                <w:bCs/>
                <w:color w:val="auto"/>
                <w:kern w:val="0"/>
                <w:sz w:val="36"/>
                <w:szCs w:val="36"/>
                <w:highlight w:val="none"/>
              </w:rPr>
            </w:pPr>
            <w:r>
              <w:rPr>
                <w:rFonts w:hint="eastAsia" w:ascii="宋体" w:hAnsi="宋体" w:cs="宋体"/>
                <w:b/>
                <w:bCs/>
                <w:color w:val="auto"/>
                <w:kern w:val="0"/>
                <w:sz w:val="36"/>
                <w:szCs w:val="36"/>
                <w:highlight w:val="none"/>
              </w:rPr>
              <w:t>嘉 善 县 政 府 采 购 商 品 验 收 单</w:t>
            </w:r>
          </w:p>
        </w:tc>
      </w:tr>
      <w:tr w14:paraId="757DE614">
        <w:tblPrEx>
          <w:tblCellMar>
            <w:top w:w="0" w:type="dxa"/>
            <w:left w:w="108" w:type="dxa"/>
            <w:bottom w:w="0" w:type="dxa"/>
            <w:right w:w="108" w:type="dxa"/>
          </w:tblCellMar>
        </w:tblPrEx>
        <w:trPr>
          <w:trHeight w:val="285" w:hRule="atLeast"/>
        </w:trPr>
        <w:tc>
          <w:tcPr>
            <w:tcW w:w="3654" w:type="dxa"/>
            <w:tcBorders>
              <w:top w:val="nil"/>
              <w:left w:val="nil"/>
              <w:bottom w:val="nil"/>
              <w:right w:val="nil"/>
            </w:tcBorders>
            <w:vAlign w:val="bottom"/>
          </w:tcPr>
          <w:p w14:paraId="64BE92E6">
            <w:pPr>
              <w:widowControl/>
              <w:jc w:val="left"/>
              <w:rPr>
                <w:rFonts w:ascii="宋体" w:hAnsi="宋体" w:cs="宋体"/>
                <w:color w:val="auto"/>
                <w:kern w:val="0"/>
                <w:sz w:val="24"/>
                <w:highlight w:val="none"/>
              </w:rPr>
            </w:pPr>
          </w:p>
        </w:tc>
        <w:tc>
          <w:tcPr>
            <w:tcW w:w="3021" w:type="dxa"/>
            <w:tcBorders>
              <w:top w:val="nil"/>
              <w:left w:val="nil"/>
              <w:bottom w:val="nil"/>
              <w:right w:val="nil"/>
            </w:tcBorders>
            <w:vAlign w:val="bottom"/>
          </w:tcPr>
          <w:p w14:paraId="422CA6CE">
            <w:pPr>
              <w:widowControl/>
              <w:jc w:val="left"/>
              <w:rPr>
                <w:rFonts w:ascii="宋体" w:hAnsi="宋体" w:cs="宋体"/>
                <w:color w:val="auto"/>
                <w:kern w:val="0"/>
                <w:sz w:val="24"/>
                <w:highlight w:val="none"/>
              </w:rPr>
            </w:pPr>
          </w:p>
        </w:tc>
        <w:tc>
          <w:tcPr>
            <w:tcW w:w="1855" w:type="dxa"/>
            <w:tcBorders>
              <w:top w:val="nil"/>
              <w:left w:val="nil"/>
              <w:bottom w:val="nil"/>
              <w:right w:val="nil"/>
            </w:tcBorders>
            <w:vAlign w:val="bottom"/>
          </w:tcPr>
          <w:p w14:paraId="096FECCE">
            <w:pPr>
              <w:widowControl/>
              <w:jc w:val="left"/>
              <w:rPr>
                <w:rFonts w:ascii="宋体" w:hAnsi="宋体" w:cs="宋体"/>
                <w:color w:val="auto"/>
                <w:kern w:val="0"/>
                <w:sz w:val="24"/>
                <w:highlight w:val="none"/>
              </w:rPr>
            </w:pPr>
          </w:p>
        </w:tc>
        <w:tc>
          <w:tcPr>
            <w:tcW w:w="1745" w:type="dxa"/>
            <w:tcBorders>
              <w:top w:val="nil"/>
              <w:left w:val="nil"/>
              <w:bottom w:val="nil"/>
              <w:right w:val="nil"/>
            </w:tcBorders>
            <w:vAlign w:val="bottom"/>
          </w:tcPr>
          <w:p w14:paraId="159FBDC9">
            <w:pPr>
              <w:widowControl/>
              <w:jc w:val="left"/>
              <w:rPr>
                <w:rFonts w:ascii="宋体" w:hAnsi="宋体" w:cs="宋体"/>
                <w:color w:val="auto"/>
                <w:kern w:val="0"/>
                <w:sz w:val="24"/>
                <w:highlight w:val="none"/>
              </w:rPr>
            </w:pPr>
          </w:p>
        </w:tc>
        <w:tc>
          <w:tcPr>
            <w:tcW w:w="2080" w:type="dxa"/>
            <w:tcBorders>
              <w:top w:val="nil"/>
              <w:left w:val="nil"/>
              <w:bottom w:val="nil"/>
              <w:right w:val="nil"/>
            </w:tcBorders>
            <w:vAlign w:val="bottom"/>
          </w:tcPr>
          <w:p w14:paraId="4857C009">
            <w:pPr>
              <w:widowControl/>
              <w:jc w:val="left"/>
              <w:rPr>
                <w:rFonts w:ascii="宋体" w:hAnsi="宋体" w:cs="宋体"/>
                <w:color w:val="auto"/>
                <w:kern w:val="0"/>
                <w:sz w:val="24"/>
                <w:highlight w:val="none"/>
              </w:rPr>
            </w:pPr>
          </w:p>
        </w:tc>
        <w:tc>
          <w:tcPr>
            <w:tcW w:w="2081" w:type="dxa"/>
            <w:tcBorders>
              <w:top w:val="nil"/>
              <w:left w:val="nil"/>
              <w:bottom w:val="nil"/>
              <w:right w:val="nil"/>
            </w:tcBorders>
            <w:vAlign w:val="bottom"/>
          </w:tcPr>
          <w:p w14:paraId="43DED747">
            <w:pPr>
              <w:widowControl/>
              <w:jc w:val="left"/>
              <w:rPr>
                <w:rFonts w:ascii="宋体" w:hAnsi="宋体" w:cs="宋体"/>
                <w:color w:val="auto"/>
                <w:kern w:val="0"/>
                <w:sz w:val="24"/>
                <w:highlight w:val="none"/>
              </w:rPr>
            </w:pPr>
          </w:p>
        </w:tc>
      </w:tr>
      <w:tr w14:paraId="53F003FD">
        <w:tblPrEx>
          <w:tblCellMar>
            <w:top w:w="0" w:type="dxa"/>
            <w:left w:w="108" w:type="dxa"/>
            <w:bottom w:w="0" w:type="dxa"/>
            <w:right w:w="108" w:type="dxa"/>
          </w:tblCellMar>
        </w:tblPrEx>
        <w:trPr>
          <w:trHeight w:val="330" w:hRule="atLeast"/>
        </w:trPr>
        <w:tc>
          <w:tcPr>
            <w:tcW w:w="3654" w:type="dxa"/>
            <w:tcBorders>
              <w:top w:val="nil"/>
              <w:left w:val="nil"/>
              <w:bottom w:val="nil"/>
              <w:right w:val="nil"/>
            </w:tcBorders>
            <w:vAlign w:val="bottom"/>
          </w:tcPr>
          <w:p w14:paraId="1C6CBACE">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采购申请编号:</w:t>
            </w:r>
          </w:p>
        </w:tc>
        <w:tc>
          <w:tcPr>
            <w:tcW w:w="3021" w:type="dxa"/>
            <w:tcBorders>
              <w:top w:val="nil"/>
              <w:left w:val="nil"/>
              <w:bottom w:val="nil"/>
              <w:right w:val="nil"/>
            </w:tcBorders>
            <w:vAlign w:val="bottom"/>
          </w:tcPr>
          <w:p w14:paraId="5B101E31">
            <w:pPr>
              <w:widowControl/>
              <w:jc w:val="left"/>
              <w:rPr>
                <w:rFonts w:ascii="宋体" w:hAnsi="宋体" w:cs="宋体"/>
                <w:color w:val="auto"/>
                <w:kern w:val="0"/>
                <w:sz w:val="24"/>
                <w:highlight w:val="none"/>
              </w:rPr>
            </w:pPr>
          </w:p>
        </w:tc>
        <w:tc>
          <w:tcPr>
            <w:tcW w:w="1855" w:type="dxa"/>
            <w:tcBorders>
              <w:top w:val="nil"/>
              <w:left w:val="nil"/>
              <w:bottom w:val="nil"/>
              <w:right w:val="nil"/>
            </w:tcBorders>
            <w:vAlign w:val="bottom"/>
          </w:tcPr>
          <w:p w14:paraId="1BD83D61">
            <w:pPr>
              <w:widowControl/>
              <w:jc w:val="left"/>
              <w:rPr>
                <w:rFonts w:ascii="宋体" w:hAnsi="宋体" w:cs="宋体"/>
                <w:color w:val="auto"/>
                <w:kern w:val="0"/>
                <w:sz w:val="24"/>
                <w:highlight w:val="none"/>
              </w:rPr>
            </w:pPr>
          </w:p>
        </w:tc>
        <w:tc>
          <w:tcPr>
            <w:tcW w:w="1745" w:type="dxa"/>
            <w:tcBorders>
              <w:top w:val="nil"/>
              <w:left w:val="nil"/>
              <w:bottom w:val="nil"/>
              <w:right w:val="nil"/>
            </w:tcBorders>
            <w:vAlign w:val="bottom"/>
          </w:tcPr>
          <w:p w14:paraId="289744FA">
            <w:pPr>
              <w:widowControl/>
              <w:jc w:val="left"/>
              <w:rPr>
                <w:rFonts w:ascii="宋体" w:hAnsi="宋体" w:cs="宋体"/>
                <w:color w:val="auto"/>
                <w:kern w:val="0"/>
                <w:sz w:val="24"/>
                <w:highlight w:val="none"/>
              </w:rPr>
            </w:pPr>
          </w:p>
        </w:tc>
        <w:tc>
          <w:tcPr>
            <w:tcW w:w="2080" w:type="dxa"/>
            <w:tcBorders>
              <w:top w:val="nil"/>
              <w:left w:val="nil"/>
              <w:bottom w:val="nil"/>
              <w:right w:val="nil"/>
            </w:tcBorders>
            <w:vAlign w:val="bottom"/>
          </w:tcPr>
          <w:p w14:paraId="197AFD6F">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合同编号:</w:t>
            </w:r>
          </w:p>
        </w:tc>
        <w:tc>
          <w:tcPr>
            <w:tcW w:w="2081" w:type="dxa"/>
            <w:tcBorders>
              <w:top w:val="nil"/>
              <w:left w:val="nil"/>
              <w:bottom w:val="nil"/>
              <w:right w:val="nil"/>
            </w:tcBorders>
            <w:vAlign w:val="bottom"/>
          </w:tcPr>
          <w:p w14:paraId="527D27B1">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号</w:t>
            </w:r>
          </w:p>
        </w:tc>
      </w:tr>
      <w:tr w14:paraId="793E417F">
        <w:tblPrEx>
          <w:tblCellMar>
            <w:top w:w="0" w:type="dxa"/>
            <w:left w:w="108" w:type="dxa"/>
            <w:bottom w:w="0" w:type="dxa"/>
            <w:right w:w="108" w:type="dxa"/>
          </w:tblCellMar>
        </w:tblPrEx>
        <w:trPr>
          <w:trHeight w:val="480" w:hRule="atLeast"/>
        </w:trPr>
        <w:tc>
          <w:tcPr>
            <w:tcW w:w="3654" w:type="dxa"/>
            <w:tcBorders>
              <w:top w:val="single" w:color="auto" w:sz="4" w:space="0"/>
              <w:left w:val="single" w:color="auto" w:sz="4" w:space="0"/>
              <w:bottom w:val="single" w:color="auto" w:sz="4" w:space="0"/>
              <w:right w:val="single" w:color="auto" w:sz="4" w:space="0"/>
            </w:tcBorders>
            <w:vAlign w:val="center"/>
          </w:tcPr>
          <w:p w14:paraId="5E5D86E0">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采购单位（需方）</w:t>
            </w:r>
          </w:p>
        </w:tc>
        <w:tc>
          <w:tcPr>
            <w:tcW w:w="3021" w:type="dxa"/>
            <w:tcBorders>
              <w:top w:val="single" w:color="auto" w:sz="4" w:space="0"/>
              <w:left w:val="nil"/>
              <w:bottom w:val="single" w:color="auto" w:sz="4" w:space="0"/>
              <w:right w:val="single" w:color="auto" w:sz="4" w:space="0"/>
            </w:tcBorders>
            <w:vAlign w:val="center"/>
          </w:tcPr>
          <w:p w14:paraId="175ADF9C">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single" w:color="auto" w:sz="4" w:space="0"/>
              <w:left w:val="nil"/>
              <w:bottom w:val="single" w:color="auto" w:sz="4" w:space="0"/>
              <w:right w:val="single" w:color="auto" w:sz="4" w:space="0"/>
            </w:tcBorders>
            <w:vAlign w:val="center"/>
          </w:tcPr>
          <w:p w14:paraId="7B3CE450">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联系人</w:t>
            </w:r>
          </w:p>
        </w:tc>
        <w:tc>
          <w:tcPr>
            <w:tcW w:w="1745" w:type="dxa"/>
            <w:tcBorders>
              <w:top w:val="single" w:color="auto" w:sz="4" w:space="0"/>
              <w:left w:val="nil"/>
              <w:bottom w:val="single" w:color="auto" w:sz="4" w:space="0"/>
              <w:right w:val="single" w:color="auto" w:sz="4" w:space="0"/>
            </w:tcBorders>
            <w:vAlign w:val="center"/>
          </w:tcPr>
          <w:p w14:paraId="2A8167E9">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single" w:color="auto" w:sz="4" w:space="0"/>
              <w:left w:val="nil"/>
              <w:bottom w:val="single" w:color="auto" w:sz="4" w:space="0"/>
              <w:right w:val="single" w:color="auto" w:sz="4" w:space="0"/>
            </w:tcBorders>
            <w:vAlign w:val="center"/>
          </w:tcPr>
          <w:p w14:paraId="324ED3EE">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联系电话</w:t>
            </w:r>
          </w:p>
        </w:tc>
        <w:tc>
          <w:tcPr>
            <w:tcW w:w="2081" w:type="dxa"/>
            <w:tcBorders>
              <w:top w:val="single" w:color="auto" w:sz="4" w:space="0"/>
              <w:left w:val="nil"/>
              <w:bottom w:val="single" w:color="auto" w:sz="4" w:space="0"/>
              <w:right w:val="single" w:color="auto" w:sz="4" w:space="0"/>
            </w:tcBorders>
            <w:vAlign w:val="center"/>
          </w:tcPr>
          <w:p w14:paraId="693D40B3">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060B7C2E">
        <w:tblPrEx>
          <w:tblCellMar>
            <w:top w:w="0" w:type="dxa"/>
            <w:left w:w="108" w:type="dxa"/>
            <w:bottom w:w="0" w:type="dxa"/>
            <w:right w:w="108" w:type="dxa"/>
          </w:tblCellMar>
        </w:tblPrEx>
        <w:trPr>
          <w:trHeight w:val="480" w:hRule="atLeast"/>
        </w:trPr>
        <w:tc>
          <w:tcPr>
            <w:tcW w:w="3654" w:type="dxa"/>
            <w:tcBorders>
              <w:top w:val="nil"/>
              <w:left w:val="single" w:color="auto" w:sz="4" w:space="0"/>
              <w:bottom w:val="single" w:color="auto" w:sz="4" w:space="0"/>
              <w:right w:val="single" w:color="auto" w:sz="4" w:space="0"/>
            </w:tcBorders>
            <w:vAlign w:val="center"/>
          </w:tcPr>
          <w:p w14:paraId="46125C35">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供应商（供方）</w:t>
            </w:r>
          </w:p>
        </w:tc>
        <w:tc>
          <w:tcPr>
            <w:tcW w:w="3021" w:type="dxa"/>
            <w:tcBorders>
              <w:top w:val="nil"/>
              <w:left w:val="nil"/>
              <w:bottom w:val="single" w:color="auto" w:sz="4" w:space="0"/>
              <w:right w:val="single" w:color="auto" w:sz="4" w:space="0"/>
            </w:tcBorders>
            <w:vAlign w:val="center"/>
          </w:tcPr>
          <w:p w14:paraId="2237BCC2">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nil"/>
              <w:left w:val="nil"/>
              <w:bottom w:val="single" w:color="auto" w:sz="4" w:space="0"/>
              <w:right w:val="single" w:color="auto" w:sz="4" w:space="0"/>
            </w:tcBorders>
            <w:vAlign w:val="center"/>
          </w:tcPr>
          <w:p w14:paraId="2AF0F153">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联系人</w:t>
            </w:r>
          </w:p>
        </w:tc>
        <w:tc>
          <w:tcPr>
            <w:tcW w:w="1745" w:type="dxa"/>
            <w:tcBorders>
              <w:top w:val="nil"/>
              <w:left w:val="nil"/>
              <w:bottom w:val="single" w:color="auto" w:sz="4" w:space="0"/>
              <w:right w:val="single" w:color="auto" w:sz="4" w:space="0"/>
            </w:tcBorders>
            <w:vAlign w:val="center"/>
          </w:tcPr>
          <w:p w14:paraId="3048F995">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single" w:color="auto" w:sz="4" w:space="0"/>
              <w:right w:val="single" w:color="auto" w:sz="4" w:space="0"/>
            </w:tcBorders>
            <w:vAlign w:val="center"/>
          </w:tcPr>
          <w:p w14:paraId="6E812D92">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联系电话</w:t>
            </w:r>
          </w:p>
        </w:tc>
        <w:tc>
          <w:tcPr>
            <w:tcW w:w="2081" w:type="dxa"/>
            <w:tcBorders>
              <w:top w:val="nil"/>
              <w:left w:val="nil"/>
              <w:bottom w:val="single" w:color="auto" w:sz="4" w:space="0"/>
              <w:right w:val="single" w:color="auto" w:sz="4" w:space="0"/>
            </w:tcBorders>
            <w:vAlign w:val="center"/>
          </w:tcPr>
          <w:p w14:paraId="2177A5DD">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4B09C524">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7E183311">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商品名称</w:t>
            </w:r>
          </w:p>
        </w:tc>
        <w:tc>
          <w:tcPr>
            <w:tcW w:w="3021" w:type="dxa"/>
            <w:tcBorders>
              <w:top w:val="nil"/>
              <w:left w:val="nil"/>
              <w:bottom w:val="single" w:color="auto" w:sz="4" w:space="0"/>
              <w:right w:val="single" w:color="auto" w:sz="4" w:space="0"/>
            </w:tcBorders>
            <w:vAlign w:val="center"/>
          </w:tcPr>
          <w:p w14:paraId="0500FAA2">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规格型号及要求</w:t>
            </w:r>
          </w:p>
        </w:tc>
        <w:tc>
          <w:tcPr>
            <w:tcW w:w="1855" w:type="dxa"/>
            <w:tcBorders>
              <w:top w:val="nil"/>
              <w:left w:val="nil"/>
              <w:bottom w:val="single" w:color="auto" w:sz="4" w:space="0"/>
              <w:right w:val="single" w:color="auto" w:sz="4" w:space="0"/>
            </w:tcBorders>
            <w:vAlign w:val="center"/>
          </w:tcPr>
          <w:p w14:paraId="07AFA21A">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计量单位</w:t>
            </w:r>
          </w:p>
        </w:tc>
        <w:tc>
          <w:tcPr>
            <w:tcW w:w="1745" w:type="dxa"/>
            <w:tcBorders>
              <w:top w:val="nil"/>
              <w:left w:val="nil"/>
              <w:bottom w:val="single" w:color="auto" w:sz="4" w:space="0"/>
              <w:right w:val="single" w:color="auto" w:sz="4" w:space="0"/>
            </w:tcBorders>
            <w:vAlign w:val="center"/>
          </w:tcPr>
          <w:p w14:paraId="5029BA1B">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数     量</w:t>
            </w:r>
          </w:p>
        </w:tc>
        <w:tc>
          <w:tcPr>
            <w:tcW w:w="2080" w:type="dxa"/>
            <w:tcBorders>
              <w:top w:val="nil"/>
              <w:left w:val="nil"/>
              <w:bottom w:val="single" w:color="auto" w:sz="4" w:space="0"/>
              <w:right w:val="single" w:color="auto" w:sz="4" w:space="0"/>
            </w:tcBorders>
            <w:vAlign w:val="center"/>
          </w:tcPr>
          <w:p w14:paraId="3CD4DD00">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单价(元)</w:t>
            </w:r>
          </w:p>
        </w:tc>
        <w:tc>
          <w:tcPr>
            <w:tcW w:w="2081" w:type="dxa"/>
            <w:tcBorders>
              <w:top w:val="nil"/>
              <w:left w:val="nil"/>
              <w:bottom w:val="single" w:color="auto" w:sz="4" w:space="0"/>
              <w:right w:val="single" w:color="auto" w:sz="4" w:space="0"/>
            </w:tcBorders>
            <w:vAlign w:val="center"/>
          </w:tcPr>
          <w:p w14:paraId="277505FC">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金额 (元)</w:t>
            </w:r>
          </w:p>
        </w:tc>
      </w:tr>
      <w:tr w14:paraId="585FE500">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4B10AF48">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3021" w:type="dxa"/>
            <w:tcBorders>
              <w:top w:val="nil"/>
              <w:left w:val="nil"/>
              <w:bottom w:val="single" w:color="auto" w:sz="4" w:space="0"/>
              <w:right w:val="single" w:color="auto" w:sz="4" w:space="0"/>
            </w:tcBorders>
            <w:vAlign w:val="center"/>
          </w:tcPr>
          <w:p w14:paraId="78017D20">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nil"/>
              <w:left w:val="nil"/>
              <w:bottom w:val="single" w:color="auto" w:sz="4" w:space="0"/>
              <w:right w:val="single" w:color="auto" w:sz="4" w:space="0"/>
            </w:tcBorders>
            <w:vAlign w:val="center"/>
          </w:tcPr>
          <w:p w14:paraId="278E9297">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745" w:type="dxa"/>
            <w:tcBorders>
              <w:top w:val="nil"/>
              <w:left w:val="nil"/>
              <w:bottom w:val="single" w:color="auto" w:sz="4" w:space="0"/>
              <w:right w:val="single" w:color="auto" w:sz="4" w:space="0"/>
            </w:tcBorders>
            <w:vAlign w:val="center"/>
          </w:tcPr>
          <w:p w14:paraId="2F975B05">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single" w:color="auto" w:sz="4" w:space="0"/>
              <w:right w:val="single" w:color="auto" w:sz="4" w:space="0"/>
            </w:tcBorders>
            <w:vAlign w:val="center"/>
          </w:tcPr>
          <w:p w14:paraId="6D9968A1">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1" w:type="dxa"/>
            <w:tcBorders>
              <w:top w:val="nil"/>
              <w:left w:val="nil"/>
              <w:bottom w:val="single" w:color="auto" w:sz="4" w:space="0"/>
              <w:right w:val="single" w:color="auto" w:sz="4" w:space="0"/>
            </w:tcBorders>
            <w:vAlign w:val="center"/>
          </w:tcPr>
          <w:p w14:paraId="3CCB2C2F">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3E145BF4">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7D2C13C6">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3021" w:type="dxa"/>
            <w:tcBorders>
              <w:top w:val="nil"/>
              <w:left w:val="nil"/>
              <w:bottom w:val="single" w:color="auto" w:sz="4" w:space="0"/>
              <w:right w:val="single" w:color="auto" w:sz="4" w:space="0"/>
            </w:tcBorders>
            <w:vAlign w:val="center"/>
          </w:tcPr>
          <w:p w14:paraId="172BC765">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nil"/>
              <w:left w:val="nil"/>
              <w:bottom w:val="single" w:color="auto" w:sz="4" w:space="0"/>
              <w:right w:val="single" w:color="auto" w:sz="4" w:space="0"/>
            </w:tcBorders>
            <w:vAlign w:val="center"/>
          </w:tcPr>
          <w:p w14:paraId="07FB017D">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745" w:type="dxa"/>
            <w:tcBorders>
              <w:top w:val="nil"/>
              <w:left w:val="nil"/>
              <w:bottom w:val="single" w:color="auto" w:sz="4" w:space="0"/>
              <w:right w:val="single" w:color="auto" w:sz="4" w:space="0"/>
            </w:tcBorders>
            <w:vAlign w:val="center"/>
          </w:tcPr>
          <w:p w14:paraId="184808B1">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single" w:color="auto" w:sz="4" w:space="0"/>
              <w:right w:val="single" w:color="auto" w:sz="4" w:space="0"/>
            </w:tcBorders>
            <w:vAlign w:val="center"/>
          </w:tcPr>
          <w:p w14:paraId="6618BF6D">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1" w:type="dxa"/>
            <w:tcBorders>
              <w:top w:val="nil"/>
              <w:left w:val="nil"/>
              <w:bottom w:val="single" w:color="auto" w:sz="4" w:space="0"/>
              <w:right w:val="single" w:color="auto" w:sz="4" w:space="0"/>
            </w:tcBorders>
            <w:vAlign w:val="center"/>
          </w:tcPr>
          <w:p w14:paraId="413F7713">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36634F54">
        <w:tblPrEx>
          <w:tblCellMar>
            <w:top w:w="0" w:type="dxa"/>
            <w:left w:w="108" w:type="dxa"/>
            <w:bottom w:w="0" w:type="dxa"/>
            <w:right w:w="108" w:type="dxa"/>
          </w:tblCellMar>
        </w:tblPrEx>
        <w:trPr>
          <w:trHeight w:val="435" w:hRule="atLeast"/>
        </w:trPr>
        <w:tc>
          <w:tcPr>
            <w:tcW w:w="3654" w:type="dxa"/>
            <w:tcBorders>
              <w:top w:val="nil"/>
              <w:left w:val="single" w:color="auto" w:sz="4" w:space="0"/>
              <w:bottom w:val="single" w:color="auto" w:sz="4" w:space="0"/>
              <w:right w:val="single" w:color="auto" w:sz="4" w:space="0"/>
            </w:tcBorders>
            <w:vAlign w:val="center"/>
          </w:tcPr>
          <w:p w14:paraId="00781672">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合   计</w:t>
            </w:r>
          </w:p>
        </w:tc>
        <w:tc>
          <w:tcPr>
            <w:tcW w:w="3021" w:type="dxa"/>
            <w:tcBorders>
              <w:top w:val="nil"/>
              <w:left w:val="nil"/>
              <w:bottom w:val="single" w:color="auto" w:sz="4" w:space="0"/>
              <w:right w:val="single" w:color="auto" w:sz="4" w:space="0"/>
            </w:tcBorders>
            <w:vAlign w:val="center"/>
          </w:tcPr>
          <w:p w14:paraId="69323572">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855" w:type="dxa"/>
            <w:tcBorders>
              <w:top w:val="nil"/>
              <w:left w:val="nil"/>
              <w:bottom w:val="single" w:color="auto" w:sz="4" w:space="0"/>
              <w:right w:val="single" w:color="auto" w:sz="4" w:space="0"/>
            </w:tcBorders>
            <w:vAlign w:val="center"/>
          </w:tcPr>
          <w:p w14:paraId="4696C29F">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745" w:type="dxa"/>
            <w:tcBorders>
              <w:top w:val="nil"/>
              <w:left w:val="nil"/>
              <w:bottom w:val="single" w:color="auto" w:sz="4" w:space="0"/>
              <w:right w:val="single" w:color="auto" w:sz="4" w:space="0"/>
            </w:tcBorders>
            <w:vAlign w:val="center"/>
          </w:tcPr>
          <w:p w14:paraId="363B212D">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single" w:color="auto" w:sz="4" w:space="0"/>
              <w:right w:val="single" w:color="auto" w:sz="4" w:space="0"/>
            </w:tcBorders>
            <w:vAlign w:val="center"/>
          </w:tcPr>
          <w:p w14:paraId="1058CAD5">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1" w:type="dxa"/>
            <w:tcBorders>
              <w:top w:val="nil"/>
              <w:left w:val="nil"/>
              <w:bottom w:val="single" w:color="auto" w:sz="4" w:space="0"/>
              <w:right w:val="single" w:color="auto" w:sz="4" w:space="0"/>
            </w:tcBorders>
            <w:vAlign w:val="center"/>
          </w:tcPr>
          <w:p w14:paraId="49054C97">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10E1997E">
        <w:tblPrEx>
          <w:tblCellMar>
            <w:top w:w="0" w:type="dxa"/>
            <w:left w:w="108" w:type="dxa"/>
            <w:bottom w:w="0" w:type="dxa"/>
            <w:right w:w="108" w:type="dxa"/>
          </w:tblCellMar>
        </w:tblPrEx>
        <w:trPr>
          <w:trHeight w:val="480" w:hRule="atLeast"/>
        </w:trPr>
        <w:tc>
          <w:tcPr>
            <w:tcW w:w="14436" w:type="dxa"/>
            <w:gridSpan w:val="6"/>
            <w:tcBorders>
              <w:top w:val="single" w:color="auto" w:sz="4" w:space="0"/>
              <w:left w:val="single" w:color="auto" w:sz="4" w:space="0"/>
              <w:bottom w:val="single" w:color="auto" w:sz="4" w:space="0"/>
              <w:right w:val="single" w:color="000000" w:sz="4" w:space="0"/>
            </w:tcBorders>
            <w:vAlign w:val="center"/>
          </w:tcPr>
          <w:p w14:paraId="6E9EEC4C">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合计人民币(大写):</w:t>
            </w:r>
          </w:p>
        </w:tc>
      </w:tr>
      <w:tr w14:paraId="0E6D62BB">
        <w:tblPrEx>
          <w:tblCellMar>
            <w:top w:w="0" w:type="dxa"/>
            <w:left w:w="108" w:type="dxa"/>
            <w:bottom w:w="0" w:type="dxa"/>
            <w:right w:w="108" w:type="dxa"/>
          </w:tblCellMar>
        </w:tblPrEx>
        <w:trPr>
          <w:trHeight w:val="390" w:hRule="atLeast"/>
        </w:trPr>
        <w:tc>
          <w:tcPr>
            <w:tcW w:w="14436" w:type="dxa"/>
            <w:gridSpan w:val="6"/>
            <w:tcBorders>
              <w:top w:val="single" w:color="auto" w:sz="4" w:space="0"/>
              <w:left w:val="nil"/>
              <w:bottom w:val="nil"/>
              <w:right w:val="nil"/>
            </w:tcBorders>
            <w:vAlign w:val="center"/>
          </w:tcPr>
          <w:p w14:paraId="410510C3">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详细设备清单见装箱单</w:t>
            </w:r>
          </w:p>
        </w:tc>
      </w:tr>
      <w:tr w14:paraId="6F19F925">
        <w:tblPrEx>
          <w:tblCellMar>
            <w:top w:w="0" w:type="dxa"/>
            <w:left w:w="108" w:type="dxa"/>
            <w:bottom w:w="0" w:type="dxa"/>
            <w:right w:w="108" w:type="dxa"/>
          </w:tblCellMar>
        </w:tblPrEx>
        <w:trPr>
          <w:trHeight w:val="405" w:hRule="atLeast"/>
        </w:trPr>
        <w:tc>
          <w:tcPr>
            <w:tcW w:w="8530" w:type="dxa"/>
            <w:gridSpan w:val="3"/>
            <w:tcBorders>
              <w:top w:val="single" w:color="auto" w:sz="4" w:space="0"/>
              <w:left w:val="single" w:color="auto" w:sz="4" w:space="0"/>
              <w:bottom w:val="nil"/>
              <w:right w:val="nil"/>
            </w:tcBorders>
            <w:vAlign w:val="bottom"/>
          </w:tcPr>
          <w:p w14:paraId="6E1CA919">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采购单位验收情况:</w:t>
            </w:r>
          </w:p>
        </w:tc>
        <w:tc>
          <w:tcPr>
            <w:tcW w:w="5906" w:type="dxa"/>
            <w:gridSpan w:val="3"/>
            <w:tcBorders>
              <w:top w:val="single" w:color="auto" w:sz="4" w:space="0"/>
              <w:left w:val="single" w:color="auto" w:sz="4" w:space="0"/>
              <w:bottom w:val="nil"/>
              <w:right w:val="single" w:color="000000" w:sz="4" w:space="0"/>
            </w:tcBorders>
            <w:vAlign w:val="bottom"/>
          </w:tcPr>
          <w:p w14:paraId="57CD6F76">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采购单位付款意见:</w:t>
            </w:r>
          </w:p>
        </w:tc>
      </w:tr>
      <w:tr w14:paraId="74CCAE7A">
        <w:tblPrEx>
          <w:tblCellMar>
            <w:top w:w="0" w:type="dxa"/>
            <w:left w:w="108" w:type="dxa"/>
            <w:bottom w:w="0" w:type="dxa"/>
            <w:right w:w="108" w:type="dxa"/>
          </w:tblCellMar>
        </w:tblPrEx>
        <w:trPr>
          <w:trHeight w:val="1125" w:hRule="atLeast"/>
        </w:trPr>
        <w:tc>
          <w:tcPr>
            <w:tcW w:w="3654" w:type="dxa"/>
            <w:tcBorders>
              <w:top w:val="nil"/>
              <w:left w:val="single" w:color="auto" w:sz="4" w:space="0"/>
              <w:bottom w:val="single" w:color="auto" w:sz="4" w:space="0"/>
              <w:right w:val="nil"/>
            </w:tcBorders>
            <w:vAlign w:val="bottom"/>
          </w:tcPr>
          <w:p w14:paraId="72C2F4CD">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3021" w:type="dxa"/>
            <w:tcBorders>
              <w:top w:val="nil"/>
              <w:left w:val="nil"/>
              <w:bottom w:val="single" w:color="auto" w:sz="4" w:space="0"/>
              <w:right w:val="nil"/>
            </w:tcBorders>
            <w:vAlign w:val="bottom"/>
          </w:tcPr>
          <w:p w14:paraId="72DC7F3F">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验收人（签字）:</w:t>
            </w:r>
          </w:p>
        </w:tc>
        <w:tc>
          <w:tcPr>
            <w:tcW w:w="1855" w:type="dxa"/>
            <w:tcBorders>
              <w:top w:val="nil"/>
              <w:left w:val="nil"/>
              <w:bottom w:val="single" w:color="auto" w:sz="4" w:space="0"/>
              <w:right w:val="nil"/>
            </w:tcBorders>
            <w:vAlign w:val="bottom"/>
          </w:tcPr>
          <w:p w14:paraId="5B8D0055">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5906" w:type="dxa"/>
            <w:gridSpan w:val="3"/>
            <w:tcBorders>
              <w:top w:val="nil"/>
              <w:left w:val="single" w:color="auto" w:sz="4" w:space="0"/>
              <w:bottom w:val="single" w:color="auto" w:sz="4" w:space="0"/>
              <w:right w:val="single" w:color="000000" w:sz="4" w:space="0"/>
            </w:tcBorders>
            <w:vAlign w:val="bottom"/>
          </w:tcPr>
          <w:p w14:paraId="1ABCFCF0">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20     年    月    日</w:t>
            </w:r>
          </w:p>
        </w:tc>
      </w:tr>
      <w:tr w14:paraId="703E9576">
        <w:tblPrEx>
          <w:tblCellMar>
            <w:top w:w="0" w:type="dxa"/>
            <w:left w:w="108" w:type="dxa"/>
            <w:bottom w:w="0" w:type="dxa"/>
            <w:right w:w="108" w:type="dxa"/>
          </w:tblCellMar>
        </w:tblPrEx>
        <w:trPr>
          <w:trHeight w:val="375" w:hRule="atLeast"/>
        </w:trPr>
        <w:tc>
          <w:tcPr>
            <w:tcW w:w="8530" w:type="dxa"/>
            <w:gridSpan w:val="3"/>
            <w:tcBorders>
              <w:top w:val="single" w:color="auto" w:sz="4" w:space="0"/>
              <w:left w:val="single" w:color="auto" w:sz="4" w:space="0"/>
              <w:bottom w:val="nil"/>
              <w:right w:val="single" w:color="000000" w:sz="4" w:space="0"/>
            </w:tcBorders>
            <w:vAlign w:val="bottom"/>
          </w:tcPr>
          <w:p w14:paraId="346B01A4">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供应商(盖章)</w:t>
            </w:r>
          </w:p>
        </w:tc>
        <w:tc>
          <w:tcPr>
            <w:tcW w:w="5906" w:type="dxa"/>
            <w:gridSpan w:val="3"/>
            <w:tcBorders>
              <w:top w:val="single" w:color="auto" w:sz="4" w:space="0"/>
              <w:left w:val="nil"/>
              <w:bottom w:val="nil"/>
              <w:right w:val="single" w:color="000000" w:sz="4" w:space="0"/>
            </w:tcBorders>
            <w:vAlign w:val="bottom"/>
          </w:tcPr>
          <w:p w14:paraId="3A1D80A3">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县公共资源交易中心意见:</w:t>
            </w:r>
          </w:p>
        </w:tc>
      </w:tr>
      <w:tr w14:paraId="2EE286BE">
        <w:tblPrEx>
          <w:tblCellMar>
            <w:top w:w="0" w:type="dxa"/>
            <w:left w:w="108" w:type="dxa"/>
            <w:bottom w:w="0" w:type="dxa"/>
            <w:right w:w="108" w:type="dxa"/>
          </w:tblCellMar>
        </w:tblPrEx>
        <w:trPr>
          <w:trHeight w:val="285" w:hRule="atLeast"/>
        </w:trPr>
        <w:tc>
          <w:tcPr>
            <w:tcW w:w="8530" w:type="dxa"/>
            <w:gridSpan w:val="3"/>
            <w:tcBorders>
              <w:top w:val="nil"/>
              <w:left w:val="single" w:color="auto" w:sz="4" w:space="0"/>
              <w:bottom w:val="nil"/>
              <w:right w:val="single" w:color="000000" w:sz="4" w:space="0"/>
            </w:tcBorders>
            <w:vAlign w:val="bottom"/>
          </w:tcPr>
          <w:p w14:paraId="1238487B">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经办人（签字）:</w:t>
            </w:r>
          </w:p>
        </w:tc>
        <w:tc>
          <w:tcPr>
            <w:tcW w:w="1745" w:type="dxa"/>
            <w:tcBorders>
              <w:top w:val="nil"/>
              <w:left w:val="nil"/>
              <w:bottom w:val="nil"/>
              <w:right w:val="nil"/>
            </w:tcBorders>
            <w:vAlign w:val="bottom"/>
          </w:tcPr>
          <w:p w14:paraId="6DDD3593">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2080" w:type="dxa"/>
            <w:tcBorders>
              <w:top w:val="nil"/>
              <w:left w:val="nil"/>
              <w:bottom w:val="nil"/>
              <w:right w:val="nil"/>
            </w:tcBorders>
            <w:vAlign w:val="bottom"/>
          </w:tcPr>
          <w:p w14:paraId="1ED294E9">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(盖章)</w:t>
            </w:r>
          </w:p>
        </w:tc>
        <w:tc>
          <w:tcPr>
            <w:tcW w:w="2081" w:type="dxa"/>
            <w:tcBorders>
              <w:top w:val="nil"/>
              <w:left w:val="nil"/>
              <w:bottom w:val="nil"/>
              <w:right w:val="single" w:color="auto" w:sz="4" w:space="0"/>
            </w:tcBorders>
            <w:vAlign w:val="bottom"/>
          </w:tcPr>
          <w:p w14:paraId="16ABDD2E">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w:t>
            </w:r>
          </w:p>
        </w:tc>
      </w:tr>
      <w:tr w14:paraId="209DDDB1">
        <w:tblPrEx>
          <w:tblCellMar>
            <w:top w:w="0" w:type="dxa"/>
            <w:left w:w="108" w:type="dxa"/>
            <w:bottom w:w="0" w:type="dxa"/>
            <w:right w:w="108" w:type="dxa"/>
          </w:tblCellMar>
        </w:tblPrEx>
        <w:trPr>
          <w:trHeight w:val="540" w:hRule="atLeast"/>
        </w:trPr>
        <w:tc>
          <w:tcPr>
            <w:tcW w:w="8530" w:type="dxa"/>
            <w:gridSpan w:val="3"/>
            <w:tcBorders>
              <w:top w:val="nil"/>
              <w:left w:val="single" w:color="auto" w:sz="4" w:space="0"/>
              <w:bottom w:val="single" w:color="auto" w:sz="4" w:space="0"/>
              <w:right w:val="single" w:color="000000" w:sz="4" w:space="0"/>
            </w:tcBorders>
            <w:vAlign w:val="bottom"/>
          </w:tcPr>
          <w:p w14:paraId="329A133B">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验收日期:20     年    月    日</w:t>
            </w:r>
          </w:p>
        </w:tc>
        <w:tc>
          <w:tcPr>
            <w:tcW w:w="5906" w:type="dxa"/>
            <w:gridSpan w:val="3"/>
            <w:tcBorders>
              <w:top w:val="nil"/>
              <w:left w:val="nil"/>
              <w:bottom w:val="single" w:color="auto" w:sz="4" w:space="0"/>
              <w:right w:val="single" w:color="000000" w:sz="4" w:space="0"/>
            </w:tcBorders>
            <w:vAlign w:val="bottom"/>
          </w:tcPr>
          <w:p w14:paraId="6BEE7C67">
            <w:pPr>
              <w:widowControl/>
              <w:jc w:val="right"/>
              <w:rPr>
                <w:rFonts w:ascii="宋体" w:hAnsi="宋体" w:cs="宋体"/>
                <w:color w:val="auto"/>
                <w:kern w:val="0"/>
                <w:sz w:val="24"/>
                <w:highlight w:val="none"/>
              </w:rPr>
            </w:pPr>
            <w:r>
              <w:rPr>
                <w:rFonts w:hint="eastAsia" w:ascii="宋体" w:hAnsi="宋体" w:cs="宋体"/>
                <w:color w:val="auto"/>
                <w:kern w:val="0"/>
                <w:sz w:val="24"/>
                <w:highlight w:val="none"/>
              </w:rPr>
              <w:t>20    年    月    日</w:t>
            </w:r>
          </w:p>
        </w:tc>
      </w:tr>
      <w:tr w14:paraId="43818107">
        <w:tblPrEx>
          <w:tblCellMar>
            <w:top w:w="0" w:type="dxa"/>
            <w:left w:w="108" w:type="dxa"/>
            <w:bottom w:w="0" w:type="dxa"/>
            <w:right w:w="108" w:type="dxa"/>
          </w:tblCellMar>
        </w:tblPrEx>
        <w:trPr>
          <w:trHeight w:val="285" w:hRule="atLeast"/>
        </w:trPr>
        <w:tc>
          <w:tcPr>
            <w:tcW w:w="14436" w:type="dxa"/>
            <w:gridSpan w:val="6"/>
            <w:tcBorders>
              <w:top w:val="single" w:color="auto" w:sz="4" w:space="0"/>
              <w:left w:val="nil"/>
              <w:bottom w:val="nil"/>
              <w:right w:val="nil"/>
            </w:tcBorders>
            <w:vAlign w:val="bottom"/>
          </w:tcPr>
          <w:p w14:paraId="5D487887">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注：1、表内各项必须填写完整，根据实际需求可增加或删除行，不得改动格式；</w:t>
            </w:r>
          </w:p>
        </w:tc>
      </w:tr>
      <w:tr w14:paraId="37003BE1">
        <w:tblPrEx>
          <w:tblCellMar>
            <w:top w:w="0" w:type="dxa"/>
            <w:left w:w="108" w:type="dxa"/>
            <w:bottom w:w="0" w:type="dxa"/>
            <w:right w:w="108" w:type="dxa"/>
          </w:tblCellMar>
        </w:tblPrEx>
        <w:trPr>
          <w:trHeight w:val="285" w:hRule="atLeast"/>
        </w:trPr>
        <w:tc>
          <w:tcPr>
            <w:tcW w:w="14436" w:type="dxa"/>
            <w:gridSpan w:val="6"/>
            <w:tcBorders>
              <w:top w:val="nil"/>
              <w:left w:val="nil"/>
              <w:bottom w:val="nil"/>
              <w:right w:val="nil"/>
            </w:tcBorders>
            <w:vAlign w:val="bottom"/>
          </w:tcPr>
          <w:p w14:paraId="6B026046">
            <w:pPr>
              <w:widowControl/>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2、本表一式五份，经供需双方签字盖章后由采购单位、供应商、财政支付（核算）中心、财政局、公共资源交易中心各自留存。</w:t>
            </w:r>
          </w:p>
        </w:tc>
      </w:tr>
    </w:tbl>
    <w:p w14:paraId="7C58C5A8">
      <w:pPr>
        <w:pStyle w:val="34"/>
        <w:spacing w:before="120" w:after="120" w:line="420" w:lineRule="exact"/>
        <w:rPr>
          <w:rFonts w:hAnsi="宋体"/>
          <w:bCs/>
          <w:color w:val="auto"/>
          <w:highlight w:val="none"/>
        </w:rPr>
        <w:sectPr>
          <w:pgSz w:w="16838" w:h="11906" w:orient="landscape"/>
          <w:pgMar w:top="1134" w:right="1134" w:bottom="1134" w:left="1134" w:header="851" w:footer="851" w:gutter="0"/>
          <w:pgBorders>
            <w:top w:val="none" w:sz="0" w:space="0"/>
            <w:left w:val="none" w:sz="0" w:space="0"/>
            <w:bottom w:val="none" w:sz="0" w:space="0"/>
            <w:right w:val="none" w:sz="0" w:space="0"/>
          </w:pgBorders>
          <w:cols w:space="0" w:num="1"/>
          <w:rtlGutter w:val="0"/>
          <w:docGrid w:linePitch="312" w:charSpace="0"/>
        </w:sectPr>
      </w:pPr>
    </w:p>
    <w:p w14:paraId="0A5658A9">
      <w:pPr>
        <w:jc w:val="center"/>
        <w:rPr>
          <w:rFonts w:hint="eastAsia" w:ascii="宋体" w:hAnsi="宋体" w:cs="宋体"/>
          <w:color w:val="auto"/>
          <w:sz w:val="28"/>
          <w:szCs w:val="28"/>
          <w:highlight w:val="none"/>
          <w:lang w:eastAsia="zh-CN"/>
        </w:rPr>
      </w:pPr>
    </w:p>
    <w:p w14:paraId="51F60043">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lang w:eastAsia="zh-CN"/>
        </w:rPr>
        <w:t>嘉善县中医医院织物清洗消毒服务项目</w:t>
      </w:r>
      <w:r>
        <w:rPr>
          <w:rFonts w:hint="eastAsia" w:ascii="宋体" w:hAnsi="宋体" w:cs="宋体"/>
          <w:color w:val="auto"/>
          <w:sz w:val="28"/>
          <w:szCs w:val="28"/>
          <w:highlight w:val="none"/>
        </w:rPr>
        <w:t xml:space="preserve"> </w:t>
      </w:r>
    </w:p>
    <w:p w14:paraId="7B42D76D">
      <w:pPr>
        <w:jc w:val="center"/>
        <w:rPr>
          <w:rFonts w:hint="eastAsia" w:ascii="宋体" w:hAnsi="宋体" w:cs="宋体"/>
          <w:color w:val="auto"/>
          <w:sz w:val="28"/>
          <w:szCs w:val="28"/>
          <w:highlight w:val="none"/>
        </w:rPr>
      </w:pPr>
    </w:p>
    <w:p w14:paraId="2A05739C">
      <w:pPr>
        <w:jc w:val="center"/>
        <w:rPr>
          <w:rFonts w:ascii="宋体" w:hAnsi="宋体" w:cs="宋体"/>
          <w:color w:val="auto"/>
          <w:sz w:val="28"/>
          <w:szCs w:val="28"/>
          <w:highlight w:val="none"/>
        </w:rPr>
      </w:pPr>
      <w:r>
        <w:rPr>
          <w:rFonts w:hint="eastAsia" w:ascii="宋体" w:hAnsi="宋体" w:cs="宋体"/>
          <w:color w:val="auto"/>
          <w:sz w:val="28"/>
          <w:szCs w:val="28"/>
          <w:highlight w:val="none"/>
        </w:rPr>
        <w:t>验收报告</w:t>
      </w:r>
    </w:p>
    <w:p w14:paraId="1FF4C034">
      <w:pPr>
        <w:jc w:val="center"/>
        <w:rPr>
          <w:rFonts w:ascii="宋体" w:hAnsi="宋体" w:cs="宋体"/>
          <w:color w:val="auto"/>
          <w:sz w:val="28"/>
          <w:szCs w:val="28"/>
          <w:highlight w:val="none"/>
        </w:rPr>
      </w:pPr>
    </w:p>
    <w:p w14:paraId="3D27F2BA">
      <w:pPr>
        <w:jc w:val="left"/>
        <w:rPr>
          <w:rFonts w:ascii="宋体" w:hAnsi="宋体" w:cs="宋体"/>
          <w:color w:val="auto"/>
          <w:sz w:val="28"/>
          <w:szCs w:val="28"/>
          <w:highlight w:val="none"/>
        </w:rPr>
      </w:pPr>
    </w:p>
    <w:p w14:paraId="23E2F587">
      <w:pPr>
        <w:jc w:val="left"/>
        <w:rPr>
          <w:rFonts w:ascii="宋体" w:hAnsi="宋体" w:cs="宋体"/>
          <w:color w:val="auto"/>
          <w:sz w:val="28"/>
          <w:szCs w:val="28"/>
          <w:highlight w:val="none"/>
        </w:rPr>
      </w:pPr>
    </w:p>
    <w:p w14:paraId="789D524D">
      <w:pPr>
        <w:jc w:val="left"/>
        <w:rPr>
          <w:rFonts w:ascii="宋体" w:hAnsi="宋体" w:cs="宋体"/>
          <w:color w:val="auto"/>
          <w:sz w:val="28"/>
          <w:szCs w:val="28"/>
          <w:highlight w:val="none"/>
        </w:rPr>
      </w:pPr>
    </w:p>
    <w:p w14:paraId="31F5F546">
      <w:pPr>
        <w:jc w:val="left"/>
        <w:rPr>
          <w:rFonts w:ascii="宋体" w:hAnsi="宋体" w:cs="宋体"/>
          <w:color w:val="auto"/>
          <w:sz w:val="28"/>
          <w:szCs w:val="28"/>
          <w:highlight w:val="none"/>
        </w:rPr>
      </w:pPr>
    </w:p>
    <w:p w14:paraId="134FBD76">
      <w:pPr>
        <w:jc w:val="left"/>
        <w:rPr>
          <w:rFonts w:ascii="宋体" w:hAnsi="宋体" w:cs="宋体"/>
          <w:color w:val="auto"/>
          <w:sz w:val="28"/>
          <w:szCs w:val="28"/>
          <w:highlight w:val="none"/>
        </w:rPr>
      </w:pPr>
      <w:r>
        <w:rPr>
          <w:rFonts w:hint="eastAsia" w:ascii="宋体" w:hAnsi="宋体" w:cs="宋体"/>
          <w:color w:val="auto"/>
          <w:sz w:val="28"/>
          <w:szCs w:val="28"/>
          <w:highlight w:val="none"/>
        </w:rPr>
        <w:t>项目验收情况说明（由双方按验收情况填写）：</w:t>
      </w:r>
    </w:p>
    <w:p w14:paraId="4F07FE42">
      <w:pPr>
        <w:jc w:val="left"/>
        <w:rPr>
          <w:rFonts w:ascii="宋体" w:hAnsi="宋体" w:cs="宋体"/>
          <w:color w:val="auto"/>
          <w:sz w:val="28"/>
          <w:szCs w:val="28"/>
          <w:highlight w:val="none"/>
        </w:rPr>
      </w:pPr>
    </w:p>
    <w:p w14:paraId="5A6CFBFE">
      <w:pPr>
        <w:jc w:val="left"/>
        <w:rPr>
          <w:rFonts w:ascii="宋体" w:hAnsi="宋体" w:cs="宋体"/>
          <w:color w:val="auto"/>
          <w:sz w:val="28"/>
          <w:szCs w:val="28"/>
          <w:highlight w:val="none"/>
        </w:rPr>
      </w:pPr>
    </w:p>
    <w:p w14:paraId="5108B0D6">
      <w:pPr>
        <w:jc w:val="left"/>
        <w:rPr>
          <w:rFonts w:ascii="宋体" w:hAnsi="宋体" w:cs="宋体"/>
          <w:color w:val="auto"/>
          <w:sz w:val="28"/>
          <w:szCs w:val="28"/>
          <w:highlight w:val="none"/>
        </w:rPr>
      </w:pPr>
    </w:p>
    <w:p w14:paraId="769D1632">
      <w:pPr>
        <w:jc w:val="left"/>
        <w:rPr>
          <w:rFonts w:ascii="宋体" w:hAnsi="宋体" w:cs="宋体"/>
          <w:color w:val="auto"/>
          <w:sz w:val="28"/>
          <w:szCs w:val="28"/>
          <w:highlight w:val="none"/>
        </w:rPr>
      </w:pPr>
    </w:p>
    <w:p w14:paraId="31136EB6">
      <w:pPr>
        <w:jc w:val="left"/>
        <w:rPr>
          <w:rFonts w:ascii="宋体" w:hAnsi="宋体" w:cs="宋体"/>
          <w:color w:val="auto"/>
          <w:sz w:val="28"/>
          <w:szCs w:val="28"/>
          <w:highlight w:val="none"/>
        </w:rPr>
      </w:pPr>
    </w:p>
    <w:p w14:paraId="74F468FE">
      <w:pPr>
        <w:jc w:val="left"/>
        <w:rPr>
          <w:rFonts w:ascii="宋体" w:hAnsi="宋体" w:cs="宋体"/>
          <w:color w:val="auto"/>
          <w:sz w:val="28"/>
          <w:szCs w:val="28"/>
          <w:highlight w:val="none"/>
        </w:rPr>
      </w:pPr>
    </w:p>
    <w:p w14:paraId="544B510C">
      <w:pPr>
        <w:jc w:val="left"/>
        <w:rPr>
          <w:rFonts w:ascii="宋体" w:hAnsi="宋体" w:cs="宋体"/>
          <w:color w:val="auto"/>
          <w:sz w:val="28"/>
          <w:szCs w:val="28"/>
          <w:highlight w:val="none"/>
        </w:rPr>
      </w:pPr>
    </w:p>
    <w:p w14:paraId="6C93A03D">
      <w:pPr>
        <w:rPr>
          <w:color w:val="auto"/>
          <w:highlight w:val="none"/>
        </w:rPr>
        <w:sectPr>
          <w:pgSz w:w="11906" w:h="16838"/>
          <w:pgMar w:top="1134" w:right="1134" w:bottom="1134" w:left="1134" w:header="851" w:footer="851" w:gutter="0"/>
          <w:pgBorders>
            <w:top w:val="none" w:sz="0" w:space="0"/>
            <w:left w:val="none" w:sz="0" w:space="0"/>
            <w:bottom w:val="none" w:sz="0" w:space="0"/>
            <w:right w:val="none" w:sz="0" w:space="0"/>
          </w:pgBorders>
          <w:cols w:space="0" w:num="1"/>
          <w:rtlGutter w:val="0"/>
          <w:docGrid w:linePitch="312" w:charSpace="0"/>
        </w:sectPr>
      </w:pPr>
      <w:r>
        <w:rPr>
          <w:rFonts w:hint="eastAsia" w:ascii="宋体" w:hAnsi="宋体" w:cs="宋体"/>
          <w:color w:val="auto"/>
          <w:sz w:val="28"/>
          <w:szCs w:val="28"/>
          <w:highlight w:val="none"/>
        </w:rPr>
        <w:t>验收小组签字：（</w:t>
      </w:r>
      <w:r>
        <w:rPr>
          <w:rFonts w:hint="eastAsia" w:ascii="宋体" w:hAnsi="宋体" w:cs="宋体"/>
          <w:color w:val="auto"/>
          <w:sz w:val="28"/>
          <w:szCs w:val="28"/>
          <w:highlight w:val="none"/>
          <w:lang w:val="en-US" w:eastAsia="zh-CN"/>
        </w:rPr>
        <w:t>5</w:t>
      </w:r>
      <w:r>
        <w:rPr>
          <w:rFonts w:hint="eastAsia" w:ascii="宋体" w:hAnsi="宋体" w:cs="宋体"/>
          <w:color w:val="auto"/>
          <w:sz w:val="28"/>
          <w:szCs w:val="28"/>
          <w:highlight w:val="none"/>
        </w:rPr>
        <w:t>人以上）</w:t>
      </w:r>
    </w:p>
    <w:p w14:paraId="22871116">
      <w:pPr>
        <w:pStyle w:val="4"/>
        <w:numPr>
          <w:ilvl w:val="0"/>
          <w:numId w:val="9"/>
        </w:numPr>
        <w:spacing w:before="0" w:after="0" w:line="240" w:lineRule="auto"/>
        <w:ind w:left="0" w:firstLine="0"/>
        <w:jc w:val="center"/>
        <w:rPr>
          <w:rFonts w:ascii="仿宋" w:hAnsi="仿宋" w:eastAsia="仿宋" w:cs="仿宋_GB2312"/>
          <w:bCs w:val="0"/>
          <w:color w:val="auto"/>
          <w:kern w:val="2"/>
          <w:sz w:val="36"/>
          <w:szCs w:val="36"/>
          <w:highlight w:val="none"/>
        </w:rPr>
      </w:pPr>
      <w:r>
        <w:rPr>
          <w:rFonts w:hint="eastAsia" w:ascii="仿宋" w:hAnsi="仿宋" w:eastAsia="仿宋" w:cs="仿宋_GB2312"/>
          <w:bCs w:val="0"/>
          <w:color w:val="auto"/>
          <w:kern w:val="2"/>
          <w:sz w:val="36"/>
          <w:szCs w:val="36"/>
          <w:highlight w:val="none"/>
        </w:rPr>
        <w:t>投标文件格式</w:t>
      </w:r>
      <w:bookmarkEnd w:id="55"/>
    </w:p>
    <w:p w14:paraId="060EE35B">
      <w:pPr>
        <w:spacing w:line="300" w:lineRule="auto"/>
        <w:ind w:firstLine="205" w:firstLineChars="98"/>
        <w:jc w:val="center"/>
        <w:rPr>
          <w:rFonts w:hAnsi="宋体" w:cs="宋体"/>
          <w:color w:val="auto"/>
          <w:highlight w:val="none"/>
        </w:rPr>
      </w:pPr>
      <w:r>
        <w:rPr>
          <w:rFonts w:hint="eastAsia" w:hAnsi="宋体" w:cs="宋体"/>
          <w:color w:val="auto"/>
          <w:highlight w:val="none"/>
        </w:rPr>
        <w:t xml:space="preserve"> </w:t>
      </w:r>
    </w:p>
    <w:p w14:paraId="2E74AE81">
      <w:pPr>
        <w:snapToGrid w:val="0"/>
        <w:spacing w:line="360" w:lineRule="auto"/>
        <w:ind w:right="480"/>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t>符合参加政府采购活动应当具备的一般条件的承诺函</w:t>
      </w:r>
    </w:p>
    <w:p w14:paraId="1617FDF0">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bCs/>
          <w:color w:val="auto"/>
          <w:sz w:val="24"/>
          <w:highlight w:val="none"/>
        </w:rPr>
        <w:t>采购人</w:t>
      </w:r>
      <w:r>
        <w:rPr>
          <w:rFonts w:hint="eastAsia" w:ascii="仿宋_GB2312" w:hAnsi="仿宋" w:eastAsia="仿宋_GB2312" w:cs="仿宋_GB2312"/>
          <w:color w:val="auto"/>
          <w:sz w:val="24"/>
          <w:highlight w:val="none"/>
        </w:rPr>
        <w:t>）、（</w:t>
      </w:r>
      <w:r>
        <w:rPr>
          <w:rFonts w:hint="eastAsia" w:ascii="仿宋_GB2312" w:hAnsi="仿宋" w:eastAsia="仿宋_GB2312" w:cs="仿宋_GB2312"/>
          <w:b/>
          <w:bCs/>
          <w:color w:val="auto"/>
          <w:sz w:val="24"/>
          <w:highlight w:val="none"/>
        </w:rPr>
        <w:t>采购代理机构</w:t>
      </w:r>
      <w:r>
        <w:rPr>
          <w:rFonts w:hint="eastAsia" w:ascii="仿宋_GB2312" w:hAnsi="仿宋" w:eastAsia="仿宋_GB2312" w:cs="仿宋_GB2312"/>
          <w:color w:val="auto"/>
          <w:sz w:val="24"/>
          <w:highlight w:val="none"/>
        </w:rPr>
        <w:t>）：</w:t>
      </w:r>
    </w:p>
    <w:p w14:paraId="103003D0">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我方参与（</w:t>
      </w:r>
      <w:r>
        <w:rPr>
          <w:rFonts w:hint="eastAsia" w:ascii="仿宋_GB2312" w:hAnsi="仿宋" w:eastAsia="仿宋_GB2312" w:cs="仿宋_GB2312"/>
          <w:b/>
          <w:bCs/>
          <w:color w:val="auto"/>
          <w:sz w:val="24"/>
          <w:highlight w:val="none"/>
        </w:rPr>
        <w:t>项目名称</w:t>
      </w:r>
      <w:r>
        <w:rPr>
          <w:rFonts w:hint="eastAsia" w:ascii="仿宋_GB2312" w:hAnsi="仿宋" w:eastAsia="仿宋_GB2312" w:cs="仿宋_GB2312"/>
          <w:color w:val="auto"/>
          <w:sz w:val="24"/>
          <w:highlight w:val="none"/>
        </w:rPr>
        <w:t>）【招标编号：</w:t>
      </w:r>
      <w:r>
        <w:rPr>
          <w:rFonts w:hint="eastAsia" w:ascii="仿宋_GB2312" w:hAnsi="仿宋" w:eastAsia="仿宋_GB2312"/>
          <w:color w:val="auto"/>
          <w:sz w:val="24"/>
          <w:highlight w:val="none"/>
        </w:rPr>
        <w:t>（</w:t>
      </w:r>
      <w:r>
        <w:rPr>
          <w:rFonts w:hint="eastAsia" w:ascii="仿宋_GB2312" w:hAnsi="仿宋" w:eastAsia="仿宋_GB2312"/>
          <w:b/>
          <w:bCs/>
          <w:color w:val="auto"/>
          <w:sz w:val="24"/>
          <w:highlight w:val="none"/>
        </w:rPr>
        <w:t>采购编号</w:t>
      </w:r>
      <w:r>
        <w:rPr>
          <w:rFonts w:hint="eastAsia" w:ascii="仿宋_GB2312" w:hAnsi="仿宋" w:eastAsia="仿宋_GB2312"/>
          <w:color w:val="auto"/>
          <w:sz w:val="24"/>
          <w:highlight w:val="none"/>
        </w:rPr>
        <w:t>）</w:t>
      </w:r>
      <w:r>
        <w:rPr>
          <w:rFonts w:hint="eastAsia" w:ascii="仿宋_GB2312" w:hAnsi="仿宋" w:eastAsia="仿宋_GB2312" w:cs="仿宋_GB2312"/>
          <w:color w:val="auto"/>
          <w:sz w:val="24"/>
          <w:highlight w:val="none"/>
        </w:rPr>
        <w:t>】政府采购活动，郑重承诺：</w:t>
      </w:r>
    </w:p>
    <w:p w14:paraId="2E93BD40">
      <w:pPr>
        <w:snapToGrid w:val="0"/>
        <w:spacing w:line="360" w:lineRule="auto"/>
        <w:ind w:firstLine="360" w:firstLineChars="15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（一）具备《中华人民共和国政府采购法》第二十二条第一款规定的条件：</w:t>
      </w:r>
    </w:p>
    <w:p w14:paraId="011FBEAD">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具有独立承担民事责任的能力；</w:t>
      </w:r>
    </w:p>
    <w:p w14:paraId="5174AC27">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w:t>
      </w:r>
      <w:r>
        <w:rPr>
          <w:rFonts w:ascii="仿宋_GB2312" w:hAnsi="仿宋" w:eastAsia="仿宋_GB2312"/>
          <w:color w:val="auto"/>
          <w:sz w:val="24"/>
          <w:highlight w:val="none"/>
        </w:rPr>
        <w:t xml:space="preserve">具有良好的商业信誉和健全的财务会计制度； </w:t>
      </w:r>
    </w:p>
    <w:p w14:paraId="131C6862">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w:t>
      </w:r>
      <w:r>
        <w:rPr>
          <w:rFonts w:ascii="仿宋_GB2312" w:hAnsi="仿宋" w:eastAsia="仿宋_GB2312"/>
          <w:color w:val="auto"/>
          <w:sz w:val="24"/>
          <w:highlight w:val="none"/>
        </w:rPr>
        <w:t>具有履行合同所必需的设备和专业技术能力；</w:t>
      </w:r>
    </w:p>
    <w:p w14:paraId="4F20DD9D">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w:t>
      </w:r>
      <w:r>
        <w:rPr>
          <w:rFonts w:ascii="仿宋_GB2312" w:hAnsi="仿宋" w:eastAsia="仿宋_GB2312"/>
          <w:color w:val="auto"/>
          <w:sz w:val="24"/>
          <w:highlight w:val="none"/>
        </w:rPr>
        <w:t>有依法缴纳税收和社会保障资金的良好记录；</w:t>
      </w:r>
    </w:p>
    <w:p w14:paraId="7010BA17">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w:t>
      </w:r>
      <w:r>
        <w:rPr>
          <w:rFonts w:ascii="仿宋_GB2312" w:hAnsi="仿宋" w:eastAsia="仿宋_GB2312"/>
          <w:color w:val="auto"/>
          <w:sz w:val="24"/>
          <w:highlight w:val="none"/>
        </w:rPr>
        <w:t>参加政府采购活动前三年内，在经营活动中没有重大违法记录；</w:t>
      </w:r>
    </w:p>
    <w:p w14:paraId="4F5CF378">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w:t>
      </w:r>
      <w:r>
        <w:rPr>
          <w:rFonts w:ascii="仿宋_GB2312" w:hAnsi="仿宋" w:eastAsia="仿宋_GB2312"/>
          <w:color w:val="auto"/>
          <w:sz w:val="24"/>
          <w:highlight w:val="none"/>
        </w:rPr>
        <w:t>具有法律、行政法规规定的其他条件。</w:t>
      </w:r>
    </w:p>
    <w:p w14:paraId="6EFCDE94">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（二）未被信用中国（</w:t>
      </w:r>
      <w:r>
        <w:rPr>
          <w:rFonts w:ascii="仿宋_GB2312" w:hAnsi="仿宋" w:eastAsia="仿宋_GB2312"/>
          <w:color w:val="auto"/>
          <w:sz w:val="24"/>
          <w:highlight w:val="none"/>
        </w:rPr>
        <w:t>www.creditchina.gov.cn)、中国政府采购网（www.ccgp.gov.cn）列入失信被执行人、重大税收违法案件当事人名单、政府采购严重违法失信行为记录名单。</w:t>
      </w:r>
    </w:p>
    <w:p w14:paraId="1C0E01FE">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（三）不存在以下情况：</w:t>
      </w:r>
    </w:p>
    <w:p w14:paraId="5A0BE0B1">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单位负责人为同一人或者存在直接控股、管理关系的不同供应商参加同一合同项下的政府采购活动的；</w:t>
      </w:r>
    </w:p>
    <w:p w14:paraId="43A4ACC2">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w:t>
      </w:r>
      <w:r>
        <w:rPr>
          <w:rFonts w:ascii="仿宋_GB2312" w:hAnsi="仿宋" w:eastAsia="仿宋_GB2312" w:cs="仿宋_GB2312"/>
          <w:color w:val="auto"/>
          <w:sz w:val="24"/>
          <w:highlight w:val="none"/>
        </w:rPr>
        <w:t>为采购项目提供整体设计、规范编制或者项目管理、监理、检测等服务后再参加该采购项目的其他采购活动的。</w:t>
      </w:r>
    </w:p>
    <w:p w14:paraId="4BC09C80">
      <w:pPr>
        <w:snapToGrid w:val="0"/>
        <w:spacing w:line="360" w:lineRule="auto"/>
        <w:rPr>
          <w:rFonts w:ascii="仿宋_GB2312" w:hAnsi="仿宋" w:eastAsia="仿宋_GB2312" w:cs="仿宋_GB2312"/>
          <w:color w:val="auto"/>
          <w:kern w:val="0"/>
          <w:sz w:val="24"/>
          <w:highlight w:val="none"/>
          <w:lang w:val="zh-CN"/>
        </w:rPr>
      </w:pPr>
    </w:p>
    <w:p w14:paraId="7CB3E132">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投标人名称（盖章）</w:t>
      </w:r>
      <w:r>
        <w:rPr>
          <w:rFonts w:ascii="仿宋_GB2312" w:hAnsi="仿宋" w:eastAsia="仿宋_GB2312" w:cs="仿宋_GB2312"/>
          <w:color w:val="auto"/>
          <w:kern w:val="0"/>
          <w:sz w:val="24"/>
          <w:highlight w:val="none"/>
          <w:lang w:val="zh-CN"/>
        </w:rPr>
        <w:t>：</w:t>
      </w:r>
    </w:p>
    <w:p w14:paraId="59C03D6F">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14:paraId="483A3F8C">
      <w:pPr>
        <w:snapToGrid w:val="0"/>
        <w:jc w:val="center"/>
        <w:rPr>
          <w:rFonts w:ascii="宋体" w:hAnsi="宋体"/>
          <w:b/>
          <w:color w:val="auto"/>
          <w:sz w:val="32"/>
          <w:szCs w:val="32"/>
          <w:highlight w:val="none"/>
        </w:rPr>
      </w:pPr>
    </w:p>
    <w:p w14:paraId="2237C844">
      <w:pPr>
        <w:spacing w:line="360" w:lineRule="auto"/>
        <w:ind w:firstLine="275" w:firstLineChars="98"/>
        <w:jc w:val="center"/>
        <w:rPr>
          <w:rFonts w:ascii="宋体" w:hAnsi="宋体" w:cs="宋体"/>
          <w:b/>
          <w:bCs/>
          <w:color w:val="auto"/>
          <w:sz w:val="28"/>
          <w:szCs w:val="28"/>
          <w:highlight w:val="none"/>
        </w:rPr>
      </w:pPr>
    </w:p>
    <w:p w14:paraId="54AD8849">
      <w:pPr>
        <w:spacing w:line="360" w:lineRule="auto"/>
        <w:ind w:firstLine="275" w:firstLineChars="98"/>
        <w:jc w:val="center"/>
        <w:rPr>
          <w:rFonts w:ascii="宋体" w:hAnsi="宋体" w:cs="宋体"/>
          <w:b/>
          <w:bCs/>
          <w:color w:val="auto"/>
          <w:sz w:val="28"/>
          <w:szCs w:val="28"/>
          <w:highlight w:val="none"/>
        </w:rPr>
      </w:pPr>
    </w:p>
    <w:p w14:paraId="775C0ADA">
      <w:pPr>
        <w:spacing w:line="360" w:lineRule="auto"/>
        <w:ind w:firstLine="275" w:firstLineChars="98"/>
        <w:jc w:val="center"/>
        <w:rPr>
          <w:rFonts w:ascii="宋体" w:hAnsi="宋体" w:cs="宋体"/>
          <w:b/>
          <w:bCs/>
          <w:color w:val="auto"/>
          <w:sz w:val="28"/>
          <w:szCs w:val="28"/>
          <w:highlight w:val="none"/>
        </w:rPr>
      </w:pPr>
    </w:p>
    <w:p w14:paraId="359B1133">
      <w:pPr>
        <w:spacing w:line="360" w:lineRule="auto"/>
        <w:ind w:firstLine="275" w:firstLineChars="98"/>
        <w:jc w:val="center"/>
        <w:rPr>
          <w:rFonts w:ascii="宋体" w:hAnsi="宋体" w:cs="宋体"/>
          <w:b/>
          <w:bCs/>
          <w:color w:val="auto"/>
          <w:sz w:val="28"/>
          <w:szCs w:val="28"/>
          <w:highlight w:val="none"/>
        </w:rPr>
      </w:pPr>
    </w:p>
    <w:p w14:paraId="25DDD110">
      <w:pPr>
        <w:spacing w:line="360" w:lineRule="auto"/>
        <w:ind w:firstLine="275" w:firstLineChars="98"/>
        <w:jc w:val="center"/>
        <w:rPr>
          <w:rFonts w:ascii="宋体" w:hAnsi="宋体" w:cs="宋体"/>
          <w:b/>
          <w:bCs/>
          <w:color w:val="auto"/>
          <w:sz w:val="28"/>
          <w:szCs w:val="28"/>
          <w:highlight w:val="none"/>
        </w:rPr>
      </w:pPr>
    </w:p>
    <w:p w14:paraId="5D3EE6F8">
      <w:pPr>
        <w:snapToGrid w:val="0"/>
        <w:spacing w:before="120" w:beforeLines="50" w:after="50"/>
        <w:rPr>
          <w:b/>
          <w:color w:val="auto"/>
          <w:sz w:val="24"/>
          <w:highlight w:val="none"/>
        </w:rPr>
      </w:pPr>
    </w:p>
    <w:p w14:paraId="4E82A5CA">
      <w:pPr>
        <w:spacing w:line="360" w:lineRule="auto"/>
        <w:ind w:firstLine="275" w:firstLineChars="98"/>
        <w:jc w:val="center"/>
        <w:rPr>
          <w:rFonts w:hint="eastAsia" w:ascii="宋体" w:hAnsi="宋体" w:cs="宋体"/>
          <w:b/>
          <w:bCs/>
          <w:color w:val="auto"/>
          <w:sz w:val="28"/>
          <w:szCs w:val="28"/>
          <w:highlight w:val="none"/>
        </w:rPr>
      </w:pPr>
    </w:p>
    <w:p w14:paraId="63576070">
      <w:pPr>
        <w:spacing w:line="360" w:lineRule="auto"/>
        <w:ind w:firstLine="275" w:firstLineChars="98"/>
        <w:jc w:val="center"/>
        <w:rPr>
          <w:rFonts w:hint="eastAsia" w:ascii="宋体" w:hAnsi="宋体" w:cs="宋体"/>
          <w:b/>
          <w:bCs/>
          <w:color w:val="auto"/>
          <w:sz w:val="28"/>
          <w:szCs w:val="28"/>
          <w:highlight w:val="none"/>
        </w:rPr>
      </w:pPr>
    </w:p>
    <w:p w14:paraId="515F5746">
      <w:pPr>
        <w:spacing w:line="360" w:lineRule="auto"/>
        <w:ind w:firstLine="275" w:firstLineChars="98"/>
        <w:jc w:val="center"/>
        <w:rPr>
          <w:rFonts w:ascii="宋体" w:hAnsi="宋体" w:cs="宋体"/>
          <w:color w:val="auto"/>
          <w:sz w:val="22"/>
          <w:szCs w:val="22"/>
          <w:highlight w:val="none"/>
        </w:rPr>
      </w:pPr>
      <w:r>
        <w:rPr>
          <w:rFonts w:hint="eastAsia" w:ascii="宋体" w:hAnsi="宋体" w:cs="宋体"/>
          <w:b/>
          <w:bCs/>
          <w:color w:val="auto"/>
          <w:sz w:val="28"/>
          <w:szCs w:val="28"/>
          <w:highlight w:val="none"/>
        </w:rPr>
        <w:t>中小企业声明函（服务）</w:t>
      </w:r>
    </w:p>
    <w:p w14:paraId="14D51B36">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本公司（联合体）郑重声明，根据《政府采购促进中小企业发展管理办法》（财库﹝2020﹞46号）的规定，本公司（联合体）参加</w:t>
      </w:r>
      <w:r>
        <w:rPr>
          <w:rFonts w:ascii="宋体" w:hAnsi="宋体" w:cs="宋体"/>
          <w:color w:val="auto"/>
          <w:sz w:val="24"/>
          <w:highlight w:val="none"/>
          <w:u w:val="single"/>
        </w:rPr>
        <w:t>（</w:t>
      </w:r>
      <w:r>
        <w:rPr>
          <w:rFonts w:hint="eastAsia" w:ascii="宋体" w:hAnsi="宋体" w:cs="宋体"/>
          <w:color w:val="auto"/>
          <w:sz w:val="24"/>
          <w:highlight w:val="none"/>
          <w:u w:val="single"/>
        </w:rPr>
        <w:t>嘉善县中医医院</w:t>
      </w:r>
      <w:r>
        <w:rPr>
          <w:rFonts w:ascii="宋体" w:hAnsi="宋体" w:cs="宋体"/>
          <w:color w:val="auto"/>
          <w:sz w:val="24"/>
          <w:highlight w:val="none"/>
          <w:u w:val="single"/>
        </w:rPr>
        <w:t>）</w:t>
      </w:r>
      <w:r>
        <w:rPr>
          <w:rFonts w:ascii="宋体" w:hAnsi="宋体" w:cs="宋体"/>
          <w:color w:val="auto"/>
          <w:sz w:val="24"/>
          <w:highlight w:val="none"/>
        </w:rPr>
        <w:t>的</w:t>
      </w:r>
      <w:r>
        <w:rPr>
          <w:rFonts w:hint="eastAsia" w:ascii="宋体" w:hAnsi="宋体" w:cs="宋体"/>
          <w:color w:val="auto"/>
          <w:sz w:val="24"/>
          <w:highlight w:val="none"/>
          <w:u w:val="single"/>
          <w:lang w:eastAsia="zh-CN"/>
        </w:rPr>
        <w:t>嘉善县中医医院织物清洗消毒服务项目</w:t>
      </w:r>
      <w:r>
        <w:rPr>
          <w:rFonts w:ascii="宋体" w:hAnsi="宋体" w:cs="宋体"/>
          <w:color w:val="auto"/>
          <w:sz w:val="24"/>
          <w:highlight w:val="none"/>
        </w:rPr>
        <w:t>采购活动，</w:t>
      </w:r>
      <w:r>
        <w:rPr>
          <w:rFonts w:hint="eastAsia" w:ascii="宋体" w:hAnsi="宋体" w:cs="宋体"/>
          <w:color w:val="auto"/>
          <w:sz w:val="24"/>
          <w:highlight w:val="none"/>
        </w:rPr>
        <w:t>服务全部由符合政策要求的中小企业承接</w:t>
      </w:r>
      <w:r>
        <w:rPr>
          <w:rFonts w:ascii="宋体" w:hAnsi="宋体" w:cs="宋体"/>
          <w:color w:val="auto"/>
          <w:sz w:val="24"/>
          <w:highlight w:val="none"/>
        </w:rPr>
        <w:t xml:space="preserve">。相关企业（含联合体中的中小企业、签订分包意向协议的中小企业）的具体情况如下： </w:t>
      </w:r>
    </w:p>
    <w:p w14:paraId="4A4C4FFD">
      <w:pPr>
        <w:numPr>
          <w:ilvl w:val="0"/>
          <w:numId w:val="10"/>
        </w:num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lang w:eastAsia="zh-CN"/>
        </w:rPr>
        <w:t>嘉善县中医医院织物清洗消毒服务项目</w:t>
      </w:r>
      <w:r>
        <w:rPr>
          <w:rFonts w:hint="eastAsia" w:ascii="宋体" w:hAnsi="宋体" w:cs="宋体"/>
          <w:color w:val="auto"/>
          <w:sz w:val="24"/>
          <w:highlight w:val="none"/>
        </w:rPr>
        <w:t>，属于</w:t>
      </w:r>
      <w:r>
        <w:rPr>
          <w:rFonts w:hint="eastAsia" w:ascii="宋体" w:hAnsi="宋体" w:cs="宋体"/>
          <w:color w:val="auto"/>
          <w:sz w:val="24"/>
          <w:highlight w:val="none"/>
          <w:u w:val="single"/>
        </w:rPr>
        <w:t>（</w:t>
      </w:r>
      <w:r>
        <w:rPr>
          <w:rFonts w:hint="eastAsia" w:ascii="宋体" w:hAnsi="宋体" w:cs="宋体"/>
          <w:b/>
          <w:bCs/>
          <w:color w:val="auto"/>
          <w:sz w:val="24"/>
          <w:highlight w:val="none"/>
          <w:u w:val="single"/>
          <w:lang w:eastAsia="zh-CN"/>
        </w:rPr>
        <w:t>其他未列明行业</w:t>
      </w:r>
      <w:r>
        <w:rPr>
          <w:rFonts w:hint="eastAsia" w:ascii="宋体" w:hAnsi="宋体" w:cs="宋体"/>
          <w:color w:val="auto"/>
          <w:sz w:val="24"/>
          <w:highlight w:val="none"/>
          <w:u w:val="single"/>
        </w:rPr>
        <w:t>）</w:t>
      </w:r>
      <w:r>
        <w:rPr>
          <w:rFonts w:hint="eastAsia" w:ascii="宋体" w:hAnsi="宋体" w:cs="宋体"/>
          <w:color w:val="auto"/>
          <w:sz w:val="24"/>
          <w:highlight w:val="none"/>
        </w:rPr>
        <w:t>；承建（承接）企业为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 ，属于</w:t>
      </w:r>
      <w:r>
        <w:rPr>
          <w:rFonts w:hint="eastAsia" w:ascii="宋体" w:hAnsi="宋体" w:cs="宋体"/>
          <w:color w:val="auto"/>
          <w:sz w:val="24"/>
          <w:highlight w:val="none"/>
          <w:u w:val="single"/>
        </w:rPr>
        <w:t>（中型企业、小型企业、微型企业）</w:t>
      </w:r>
      <w:r>
        <w:rPr>
          <w:rFonts w:hint="eastAsia" w:ascii="宋体" w:hAnsi="宋体" w:cs="宋体"/>
          <w:color w:val="auto"/>
          <w:sz w:val="24"/>
          <w:highlight w:val="none"/>
        </w:rPr>
        <w:t xml:space="preserve">； </w:t>
      </w:r>
    </w:p>
    <w:p w14:paraId="1B081C05">
      <w:pPr>
        <w:pStyle w:val="969"/>
        <w:snapToGrid w:val="0"/>
        <w:spacing w:line="360" w:lineRule="auto"/>
        <w:ind w:firstLine="494"/>
        <w:rPr>
          <w:rFonts w:ascii="宋体" w:eastAsia="宋体"/>
          <w:bCs/>
          <w:color w:val="auto"/>
          <w:sz w:val="24"/>
          <w:szCs w:val="24"/>
          <w:highlight w:val="none"/>
        </w:rPr>
      </w:pPr>
    </w:p>
    <w:p w14:paraId="568D4FA2">
      <w:pPr>
        <w:pStyle w:val="969"/>
        <w:snapToGrid w:val="0"/>
        <w:spacing w:line="360" w:lineRule="auto"/>
        <w:ind w:firstLine="494"/>
        <w:rPr>
          <w:rFonts w:ascii="宋体" w:eastAsia="宋体"/>
          <w:bCs/>
          <w:color w:val="auto"/>
          <w:sz w:val="24"/>
          <w:szCs w:val="24"/>
          <w:highlight w:val="none"/>
        </w:rPr>
      </w:pPr>
      <w:r>
        <w:rPr>
          <w:rFonts w:hint="eastAsia" w:ascii="宋体" w:eastAsia="宋体"/>
          <w:bCs/>
          <w:color w:val="auto"/>
          <w:sz w:val="24"/>
          <w:szCs w:val="24"/>
          <w:highlight w:val="none"/>
        </w:rPr>
        <w:t>以上企业，不属于大企业的分支机构，不存在控股股东为大企业的情形，也不存在与大企业的负责人为同一人的情形。</w:t>
      </w:r>
    </w:p>
    <w:p w14:paraId="0E054D7D">
      <w:pPr>
        <w:pStyle w:val="969"/>
        <w:snapToGrid w:val="0"/>
        <w:spacing w:line="360" w:lineRule="auto"/>
        <w:ind w:firstLine="494"/>
        <w:rPr>
          <w:rFonts w:ascii="宋体" w:eastAsia="宋体"/>
          <w:bCs/>
          <w:color w:val="auto"/>
          <w:sz w:val="24"/>
          <w:szCs w:val="24"/>
          <w:highlight w:val="none"/>
        </w:rPr>
      </w:pPr>
      <w:r>
        <w:rPr>
          <w:rFonts w:hint="eastAsia" w:ascii="宋体" w:eastAsia="宋体"/>
          <w:bCs/>
          <w:color w:val="auto"/>
          <w:sz w:val="24"/>
          <w:szCs w:val="24"/>
          <w:highlight w:val="none"/>
        </w:rPr>
        <w:t>本企业对上述声明内容的真实性负责。如有虚假，将依法承担相应责任。</w:t>
      </w:r>
    </w:p>
    <w:p w14:paraId="1822E3F8">
      <w:pPr>
        <w:pStyle w:val="969"/>
        <w:snapToGrid w:val="0"/>
        <w:ind w:firstLine="4809" w:firstLineChars="2004"/>
        <w:rPr>
          <w:rFonts w:ascii="宋体" w:eastAsia="宋体"/>
          <w:bCs/>
          <w:color w:val="auto"/>
          <w:sz w:val="24"/>
          <w:szCs w:val="24"/>
          <w:highlight w:val="none"/>
        </w:rPr>
      </w:pPr>
    </w:p>
    <w:p w14:paraId="71E5C0E6">
      <w:pPr>
        <w:pStyle w:val="969"/>
        <w:snapToGrid w:val="0"/>
        <w:ind w:firstLine="4809" w:firstLineChars="2004"/>
        <w:rPr>
          <w:rFonts w:ascii="宋体" w:eastAsia="宋体"/>
          <w:bCs/>
          <w:color w:val="auto"/>
          <w:sz w:val="24"/>
          <w:szCs w:val="24"/>
          <w:highlight w:val="none"/>
        </w:rPr>
      </w:pPr>
      <w:r>
        <w:rPr>
          <w:rFonts w:hint="eastAsia" w:ascii="宋体" w:eastAsia="宋体"/>
          <w:bCs/>
          <w:color w:val="auto"/>
          <w:sz w:val="24"/>
          <w:szCs w:val="24"/>
          <w:highlight w:val="none"/>
        </w:rPr>
        <w:t>投标人名称（盖章）：</w:t>
      </w:r>
    </w:p>
    <w:p w14:paraId="2327CF3D">
      <w:pPr>
        <w:pStyle w:val="969"/>
        <w:snapToGrid w:val="0"/>
        <w:ind w:firstLine="4809" w:firstLineChars="2004"/>
        <w:rPr>
          <w:rFonts w:ascii="宋体" w:eastAsia="宋体"/>
          <w:bCs/>
          <w:color w:val="auto"/>
          <w:sz w:val="24"/>
          <w:szCs w:val="24"/>
          <w:highlight w:val="none"/>
        </w:rPr>
      </w:pPr>
      <w:r>
        <w:rPr>
          <w:rFonts w:hint="eastAsia" w:ascii="宋体" w:eastAsia="宋体"/>
          <w:bCs/>
          <w:color w:val="auto"/>
          <w:sz w:val="24"/>
          <w:szCs w:val="24"/>
          <w:highlight w:val="none"/>
        </w:rPr>
        <w:t>日 期：</w:t>
      </w:r>
      <w:r>
        <w:rPr>
          <w:rFonts w:hint="eastAsia" w:ascii="宋体" w:eastAsia="宋体"/>
          <w:color w:val="auto"/>
          <w:sz w:val="24"/>
          <w:szCs w:val="24"/>
          <w:highlight w:val="none"/>
          <w:u w:val="single"/>
        </w:rPr>
        <w:t xml:space="preserve">     </w:t>
      </w:r>
      <w:r>
        <w:rPr>
          <w:rFonts w:hint="eastAsia" w:ascii="宋体" w:eastAsia="宋体"/>
          <w:color w:val="auto"/>
          <w:sz w:val="24"/>
          <w:szCs w:val="24"/>
          <w:highlight w:val="none"/>
        </w:rPr>
        <w:t>年</w:t>
      </w:r>
      <w:r>
        <w:rPr>
          <w:rFonts w:hint="eastAsia" w:ascii="宋体" w:eastAsia="宋体"/>
          <w:color w:val="auto"/>
          <w:sz w:val="24"/>
          <w:szCs w:val="24"/>
          <w:highlight w:val="none"/>
          <w:u w:val="single"/>
        </w:rPr>
        <w:t xml:space="preserve">   </w:t>
      </w:r>
      <w:r>
        <w:rPr>
          <w:rFonts w:hint="eastAsia" w:ascii="宋体" w:eastAsia="宋体"/>
          <w:color w:val="auto"/>
          <w:sz w:val="24"/>
          <w:szCs w:val="24"/>
          <w:highlight w:val="none"/>
        </w:rPr>
        <w:t>月</w:t>
      </w:r>
      <w:r>
        <w:rPr>
          <w:rFonts w:hint="eastAsia" w:ascii="宋体" w:eastAsia="宋体"/>
          <w:color w:val="auto"/>
          <w:sz w:val="24"/>
          <w:szCs w:val="24"/>
          <w:highlight w:val="none"/>
          <w:u w:val="single"/>
        </w:rPr>
        <w:t xml:space="preserve">   </w:t>
      </w:r>
      <w:r>
        <w:rPr>
          <w:rFonts w:hint="eastAsia" w:ascii="宋体" w:eastAsia="宋体"/>
          <w:color w:val="auto"/>
          <w:sz w:val="24"/>
          <w:szCs w:val="24"/>
          <w:highlight w:val="none"/>
        </w:rPr>
        <w:t>日</w:t>
      </w:r>
    </w:p>
    <w:p w14:paraId="1B8B3C20">
      <w:pPr>
        <w:pStyle w:val="969"/>
        <w:snapToGrid w:val="0"/>
        <w:spacing w:line="240" w:lineRule="auto"/>
        <w:ind w:firstLine="0" w:firstLineChars="0"/>
        <w:rPr>
          <w:rFonts w:ascii="宋体" w:eastAsia="宋体"/>
          <w:bCs/>
          <w:color w:val="auto"/>
          <w:sz w:val="24"/>
          <w:szCs w:val="24"/>
          <w:highlight w:val="none"/>
        </w:rPr>
      </w:pPr>
    </w:p>
    <w:p w14:paraId="40DC5A7C">
      <w:pPr>
        <w:pStyle w:val="969"/>
        <w:snapToGrid w:val="0"/>
        <w:spacing w:line="240" w:lineRule="auto"/>
        <w:ind w:firstLine="0" w:firstLineChars="0"/>
        <w:rPr>
          <w:rFonts w:ascii="宋体" w:eastAsia="宋体"/>
          <w:bCs/>
          <w:color w:val="auto"/>
          <w:sz w:val="24"/>
          <w:szCs w:val="24"/>
          <w:highlight w:val="none"/>
        </w:rPr>
      </w:pPr>
    </w:p>
    <w:p w14:paraId="027B3B1E">
      <w:pPr>
        <w:pStyle w:val="969"/>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注：</w:t>
      </w:r>
    </w:p>
    <w:p w14:paraId="2DB4A798">
      <w:pPr>
        <w:pStyle w:val="969"/>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1.从业人员、营业收入、资产总额填报上一年度数据，无上一年度数据的新成立企业可不填报；</w:t>
      </w:r>
    </w:p>
    <w:p w14:paraId="28A2BD3D">
      <w:pPr>
        <w:pStyle w:val="969"/>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2.本项目中小企业政策所属行业为</w:t>
      </w:r>
      <w:r>
        <w:rPr>
          <w:rFonts w:hint="eastAsia" w:ascii="宋体" w:eastAsia="宋体"/>
          <w:b/>
          <w:bCs w:val="0"/>
          <w:color w:val="auto"/>
          <w:sz w:val="24"/>
          <w:szCs w:val="24"/>
          <w:highlight w:val="none"/>
          <w:lang w:eastAsia="zh-CN"/>
        </w:rPr>
        <w:t>其他未列明行业</w:t>
      </w:r>
      <w:r>
        <w:rPr>
          <w:rFonts w:hint="eastAsia" w:ascii="宋体" w:eastAsia="宋体"/>
          <w:bCs/>
          <w:color w:val="auto"/>
          <w:sz w:val="24"/>
          <w:szCs w:val="24"/>
          <w:highlight w:val="none"/>
        </w:rPr>
        <w:t>；</w:t>
      </w:r>
    </w:p>
    <w:p w14:paraId="5FA46A7D">
      <w:pPr>
        <w:pStyle w:val="969"/>
        <w:snapToGrid w:val="0"/>
        <w:spacing w:line="240" w:lineRule="auto"/>
        <w:ind w:firstLine="482" w:firstLineChars="200"/>
        <w:rPr>
          <w:rFonts w:hint="eastAsia" w:ascii="宋体" w:eastAsia="宋体"/>
          <w:bCs/>
          <w:color w:val="auto"/>
          <w:sz w:val="24"/>
          <w:szCs w:val="24"/>
          <w:highlight w:val="none"/>
        </w:rPr>
      </w:pPr>
      <w:r>
        <w:rPr>
          <w:rFonts w:hint="eastAsia" w:ascii="宋体" w:eastAsia="宋体"/>
          <w:b/>
          <w:bCs w:val="0"/>
          <w:color w:val="auto"/>
          <w:sz w:val="24"/>
          <w:szCs w:val="24"/>
          <w:highlight w:val="none"/>
          <w:lang w:eastAsia="zh-CN"/>
        </w:rPr>
        <w:t>其他未列明行业</w:t>
      </w:r>
      <w:r>
        <w:rPr>
          <w:rFonts w:hint="eastAsia" w:ascii="宋体" w:eastAsia="宋体"/>
          <w:bCs/>
          <w:color w:val="auto"/>
          <w:sz w:val="24"/>
          <w:szCs w:val="24"/>
          <w:highlight w:val="none"/>
          <w:lang w:val="en-US" w:eastAsia="zh-CN"/>
        </w:rPr>
        <w:t>:从业人员300人以下的为中小微型企业。其中，从业人员100人及以上的为中型企业；从业人员10人及以上的为小型企业；从业人员10人以下的为微型企业</w:t>
      </w:r>
    </w:p>
    <w:p w14:paraId="4E6E5D00">
      <w:pPr>
        <w:pStyle w:val="969"/>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3.符合《关于促进残疾人就业政府采购政策的通知》（财库〔2017〕141号）规定的条件并提供《残疾人福利性单位声明函》的残疾人福利性单位视同小型、微型企业；</w:t>
      </w:r>
    </w:p>
    <w:p w14:paraId="0E4CB838">
      <w:pPr>
        <w:pStyle w:val="969"/>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4.根据《关于政府采购支持监狱企业发展有关问题的通知》（财库[2014]68号）的规定，投标人提供由省级以上监狱管理局、戒毒管理局（含新疆生产建设兵团）出具的属于监狱企业证明文件的，视同为小型和微型企业；</w:t>
      </w:r>
    </w:p>
    <w:p w14:paraId="259DCE55">
      <w:pPr>
        <w:pStyle w:val="969"/>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lang w:val="en-US" w:eastAsia="zh-CN"/>
        </w:rPr>
        <w:t>5</w:t>
      </w:r>
      <w:r>
        <w:rPr>
          <w:rFonts w:hint="eastAsia" w:ascii="宋体" w:eastAsia="宋体"/>
          <w:bCs/>
          <w:color w:val="auto"/>
          <w:sz w:val="24"/>
          <w:szCs w:val="24"/>
          <w:highlight w:val="none"/>
        </w:rPr>
        <w:t>.中型企业、小型企业、微型企业等3种企业类型，结合以上数据，依据《中小企业划型标准规定》（工信部联企业〔2011〕300号）确定；</w:t>
      </w:r>
    </w:p>
    <w:p w14:paraId="4EFE6E99">
      <w:pPr>
        <w:pStyle w:val="969"/>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lang w:val="en-US" w:eastAsia="zh-CN"/>
        </w:rPr>
        <w:t>6</w:t>
      </w:r>
      <w:r>
        <w:rPr>
          <w:rFonts w:hint="eastAsia" w:ascii="宋体" w:eastAsia="宋体"/>
          <w:bCs/>
          <w:color w:val="auto"/>
          <w:sz w:val="24"/>
          <w:szCs w:val="24"/>
          <w:highlight w:val="none"/>
        </w:rPr>
        <w:t>.投标人提供的《中小企业声明函》与实际情况不符的或者未按以上要求填写的，声明函无效。声明内容不实的，属于提供虚假材料谋取中标、成交的，依法承担法律责任。</w:t>
      </w:r>
    </w:p>
    <w:p w14:paraId="6FDD23F0">
      <w:pPr>
        <w:snapToGrid w:val="0"/>
        <w:jc w:val="center"/>
        <w:rPr>
          <w:rFonts w:ascii="宋体" w:hAnsi="宋体"/>
          <w:b/>
          <w:bCs/>
          <w:color w:val="auto"/>
          <w:sz w:val="24"/>
          <w:highlight w:val="none"/>
        </w:rPr>
      </w:pPr>
    </w:p>
    <w:p w14:paraId="46926425">
      <w:pPr>
        <w:snapToGrid w:val="0"/>
        <w:jc w:val="center"/>
        <w:rPr>
          <w:rFonts w:ascii="宋体" w:hAnsi="宋体"/>
          <w:b/>
          <w:bCs/>
          <w:color w:val="auto"/>
          <w:sz w:val="24"/>
          <w:highlight w:val="none"/>
        </w:rPr>
      </w:pPr>
    </w:p>
    <w:p w14:paraId="4A3A1BF4">
      <w:pPr>
        <w:snapToGrid w:val="0"/>
        <w:jc w:val="center"/>
        <w:rPr>
          <w:rFonts w:ascii="宋体" w:hAnsi="宋体"/>
          <w:b/>
          <w:bCs/>
          <w:color w:val="auto"/>
          <w:sz w:val="24"/>
          <w:highlight w:val="none"/>
        </w:rPr>
      </w:pPr>
    </w:p>
    <w:p w14:paraId="7F59A621">
      <w:pPr>
        <w:snapToGrid w:val="0"/>
        <w:jc w:val="center"/>
        <w:rPr>
          <w:rFonts w:ascii="宋体" w:hAnsi="宋体"/>
          <w:b/>
          <w:bCs/>
          <w:color w:val="auto"/>
          <w:sz w:val="24"/>
          <w:highlight w:val="none"/>
        </w:rPr>
      </w:pPr>
    </w:p>
    <w:p w14:paraId="02BCB000">
      <w:pPr>
        <w:snapToGrid w:val="0"/>
        <w:rPr>
          <w:rFonts w:ascii="宋体" w:hAnsi="宋体"/>
          <w:b/>
          <w:bCs/>
          <w:color w:val="auto"/>
          <w:sz w:val="24"/>
          <w:highlight w:val="none"/>
        </w:rPr>
      </w:pPr>
    </w:p>
    <w:p w14:paraId="544B5E4C">
      <w:pPr>
        <w:snapToGrid w:val="0"/>
        <w:jc w:val="center"/>
        <w:rPr>
          <w:rFonts w:hint="eastAsia" w:ascii="宋体" w:hAnsi="宋体"/>
          <w:b/>
          <w:bCs/>
          <w:color w:val="auto"/>
          <w:sz w:val="24"/>
          <w:highlight w:val="none"/>
        </w:rPr>
      </w:pPr>
    </w:p>
    <w:p w14:paraId="031B055D">
      <w:pPr>
        <w:snapToGrid w:val="0"/>
        <w:jc w:val="center"/>
        <w:rPr>
          <w:rFonts w:hint="eastAsia" w:ascii="宋体" w:hAnsi="宋体"/>
          <w:b/>
          <w:bCs/>
          <w:color w:val="auto"/>
          <w:sz w:val="24"/>
          <w:highlight w:val="none"/>
        </w:rPr>
      </w:pPr>
    </w:p>
    <w:p w14:paraId="411EA765">
      <w:pPr>
        <w:snapToGrid w:val="0"/>
        <w:jc w:val="center"/>
        <w:rPr>
          <w:rFonts w:ascii="宋体" w:hAnsi="宋体"/>
          <w:b/>
          <w:bCs/>
          <w:color w:val="auto"/>
          <w:sz w:val="24"/>
          <w:highlight w:val="none"/>
        </w:rPr>
      </w:pPr>
      <w:r>
        <w:rPr>
          <w:rFonts w:hint="eastAsia" w:ascii="宋体" w:hAnsi="宋体"/>
          <w:b/>
          <w:bCs/>
          <w:color w:val="auto"/>
          <w:sz w:val="24"/>
          <w:highlight w:val="none"/>
        </w:rPr>
        <w:t>监狱和戒毒企业证明材料</w:t>
      </w:r>
    </w:p>
    <w:p w14:paraId="0573E5F6">
      <w:pPr>
        <w:pStyle w:val="970"/>
        <w:snapToGrid w:val="0"/>
        <w:jc w:val="center"/>
        <w:rPr>
          <w:rFonts w:ascii="宋体" w:hAnsi="宋体"/>
          <w:b/>
          <w:color w:val="auto"/>
          <w:sz w:val="24"/>
          <w:highlight w:val="none"/>
          <w:lang w:val="en-GB"/>
        </w:rPr>
      </w:pPr>
    </w:p>
    <w:p w14:paraId="0D098B8D">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监狱和戒毒企业参加投标时应提供由省级以上监狱管理局、戒毒管理局（含新疆生产建设兵团）出具的属于监狱企业的证明文件。</w:t>
      </w:r>
    </w:p>
    <w:p w14:paraId="3017A097">
      <w:pPr>
        <w:snapToGrid w:val="0"/>
        <w:spacing w:line="480" w:lineRule="exact"/>
        <w:ind w:firstLine="480" w:firstLineChars="200"/>
        <w:rPr>
          <w:rFonts w:ascii="宋体" w:hAnsi="宋体"/>
          <w:color w:val="auto"/>
          <w:sz w:val="24"/>
          <w:highlight w:val="none"/>
        </w:rPr>
      </w:pPr>
    </w:p>
    <w:p w14:paraId="46056E4B">
      <w:pPr>
        <w:snapToGrid w:val="0"/>
        <w:ind w:firstLine="480" w:firstLineChars="200"/>
        <w:rPr>
          <w:rFonts w:ascii="宋体" w:hAnsi="宋体"/>
          <w:color w:val="auto"/>
          <w:sz w:val="24"/>
          <w:highlight w:val="none"/>
        </w:rPr>
      </w:pPr>
    </w:p>
    <w:p w14:paraId="3D446D67">
      <w:pPr>
        <w:snapToGrid w:val="0"/>
        <w:ind w:firstLine="480" w:firstLineChars="200"/>
        <w:rPr>
          <w:rFonts w:ascii="宋体" w:hAnsi="宋体"/>
          <w:color w:val="auto"/>
          <w:sz w:val="24"/>
          <w:highlight w:val="none"/>
        </w:rPr>
      </w:pPr>
    </w:p>
    <w:p w14:paraId="42B31660">
      <w:pPr>
        <w:snapToGrid w:val="0"/>
        <w:ind w:firstLine="480" w:firstLineChars="200"/>
        <w:rPr>
          <w:rFonts w:ascii="宋体" w:hAnsi="宋体"/>
          <w:color w:val="auto"/>
          <w:sz w:val="24"/>
          <w:highlight w:val="none"/>
        </w:rPr>
      </w:pPr>
    </w:p>
    <w:p w14:paraId="09EE7B4C">
      <w:pPr>
        <w:snapToGrid w:val="0"/>
        <w:ind w:firstLine="480" w:firstLineChars="200"/>
        <w:rPr>
          <w:rFonts w:ascii="宋体" w:hAnsi="宋体"/>
          <w:color w:val="auto"/>
          <w:sz w:val="24"/>
          <w:highlight w:val="none"/>
        </w:rPr>
      </w:pPr>
    </w:p>
    <w:p w14:paraId="3DA6BC0F">
      <w:pPr>
        <w:snapToGrid w:val="0"/>
        <w:ind w:firstLine="480" w:firstLineChars="200"/>
        <w:rPr>
          <w:rFonts w:ascii="宋体" w:hAnsi="宋体"/>
          <w:color w:val="auto"/>
          <w:sz w:val="24"/>
          <w:highlight w:val="none"/>
        </w:rPr>
      </w:pPr>
    </w:p>
    <w:p w14:paraId="38EF667B">
      <w:pPr>
        <w:snapToGrid w:val="0"/>
        <w:ind w:firstLine="480" w:firstLineChars="200"/>
        <w:rPr>
          <w:rFonts w:ascii="宋体" w:hAnsi="宋体"/>
          <w:color w:val="auto"/>
          <w:sz w:val="24"/>
          <w:highlight w:val="none"/>
        </w:rPr>
      </w:pPr>
    </w:p>
    <w:p w14:paraId="6B9FCA99">
      <w:pPr>
        <w:snapToGrid w:val="0"/>
        <w:ind w:firstLine="480" w:firstLineChars="200"/>
        <w:rPr>
          <w:rFonts w:ascii="宋体" w:hAnsi="宋体"/>
          <w:color w:val="auto"/>
          <w:sz w:val="24"/>
          <w:highlight w:val="none"/>
        </w:rPr>
      </w:pPr>
    </w:p>
    <w:p w14:paraId="06055861">
      <w:pPr>
        <w:snapToGrid w:val="0"/>
        <w:jc w:val="center"/>
        <w:rPr>
          <w:rFonts w:ascii="宋体" w:hAnsi="宋体"/>
          <w:b/>
          <w:color w:val="auto"/>
          <w:spacing w:val="6"/>
          <w:sz w:val="24"/>
          <w:highlight w:val="none"/>
        </w:rPr>
      </w:pPr>
    </w:p>
    <w:p w14:paraId="6FD89A05">
      <w:pPr>
        <w:snapToGrid w:val="0"/>
        <w:jc w:val="center"/>
        <w:rPr>
          <w:rFonts w:ascii="宋体" w:hAnsi="宋体"/>
          <w:b/>
          <w:bCs/>
          <w:color w:val="auto"/>
          <w:sz w:val="24"/>
          <w:highlight w:val="none"/>
        </w:rPr>
      </w:pPr>
      <w:r>
        <w:rPr>
          <w:rFonts w:hint="eastAsia" w:ascii="宋体" w:hAnsi="宋体"/>
          <w:b/>
          <w:bCs/>
          <w:color w:val="auto"/>
          <w:sz w:val="24"/>
          <w:highlight w:val="none"/>
        </w:rPr>
        <w:t>残疾人福利性单位声明函</w:t>
      </w:r>
    </w:p>
    <w:p w14:paraId="7BE6F147">
      <w:pPr>
        <w:snapToGrid w:val="0"/>
        <w:rPr>
          <w:rFonts w:ascii="宋体" w:hAnsi="宋体"/>
          <w:b/>
          <w:color w:val="auto"/>
          <w:spacing w:val="6"/>
          <w:sz w:val="24"/>
          <w:highlight w:val="none"/>
        </w:rPr>
      </w:pPr>
    </w:p>
    <w:p w14:paraId="565BC7B9">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26F3368">
      <w:pPr>
        <w:snapToGrid w:val="0"/>
        <w:spacing w:line="480" w:lineRule="exact"/>
        <w:ind w:firstLine="480" w:firstLineChars="200"/>
        <w:rPr>
          <w:rFonts w:ascii="宋体" w:hAnsi="宋体"/>
          <w:color w:val="auto"/>
          <w:sz w:val="24"/>
          <w:highlight w:val="none"/>
        </w:rPr>
      </w:pPr>
      <w:r>
        <w:rPr>
          <w:rFonts w:hint="eastAsia" w:ascii="宋体" w:hAnsi="宋体"/>
          <w:color w:val="auto"/>
          <w:sz w:val="24"/>
          <w:highlight w:val="none"/>
        </w:rPr>
        <w:t>本单位对上述声明的真实性负责。如有虚假，将依法承担相应责任。</w:t>
      </w:r>
    </w:p>
    <w:p w14:paraId="6621118A">
      <w:pPr>
        <w:snapToGrid w:val="0"/>
        <w:spacing w:line="480" w:lineRule="exact"/>
        <w:rPr>
          <w:rFonts w:ascii="宋体" w:hAnsi="宋体"/>
          <w:color w:val="auto"/>
          <w:sz w:val="24"/>
          <w:highlight w:val="none"/>
        </w:rPr>
      </w:pPr>
    </w:p>
    <w:p w14:paraId="7CFB8786">
      <w:pPr>
        <w:snapToGrid w:val="0"/>
        <w:rPr>
          <w:rFonts w:ascii="宋体" w:hAnsi="宋体"/>
          <w:color w:val="auto"/>
          <w:sz w:val="24"/>
          <w:highlight w:val="none"/>
        </w:rPr>
      </w:pPr>
    </w:p>
    <w:p w14:paraId="51F0CCD1">
      <w:pPr>
        <w:snapToGrid w:val="0"/>
        <w:ind w:firstLine="5520" w:firstLineChars="2300"/>
        <w:rPr>
          <w:rFonts w:ascii="宋体" w:hAnsi="宋体"/>
          <w:color w:val="auto"/>
          <w:sz w:val="24"/>
          <w:highlight w:val="none"/>
        </w:rPr>
      </w:pPr>
      <w:r>
        <w:rPr>
          <w:rFonts w:hint="eastAsia" w:ascii="宋体" w:hAnsi="宋体"/>
          <w:color w:val="auto"/>
          <w:sz w:val="24"/>
          <w:highlight w:val="none"/>
        </w:rPr>
        <w:t>投标人（盖章）：</w:t>
      </w:r>
    </w:p>
    <w:p w14:paraId="715D1C26">
      <w:pPr>
        <w:snapToGrid w:val="0"/>
        <w:rPr>
          <w:rFonts w:ascii="宋体" w:hAnsi="宋体"/>
          <w:color w:val="auto"/>
          <w:sz w:val="24"/>
          <w:highlight w:val="none"/>
        </w:rPr>
      </w:pPr>
      <w:r>
        <w:rPr>
          <w:rFonts w:hint="eastAsia" w:ascii="宋体" w:hAnsi="宋体"/>
          <w:color w:val="auto"/>
          <w:sz w:val="24"/>
          <w:highlight w:val="none"/>
        </w:rPr>
        <w:t xml:space="preserve">   </w:t>
      </w:r>
    </w:p>
    <w:p w14:paraId="4D6657F5">
      <w:pPr>
        <w:snapToGrid w:val="0"/>
        <w:rPr>
          <w:rFonts w:ascii="宋体" w:hAnsi="宋体"/>
          <w:color w:val="auto"/>
          <w:sz w:val="24"/>
          <w:highlight w:val="none"/>
        </w:rPr>
      </w:pPr>
    </w:p>
    <w:p w14:paraId="3B2261CA">
      <w:pPr>
        <w:snapToGrid w:val="0"/>
        <w:spacing w:before="120" w:beforeLines="50" w:after="50"/>
        <w:rPr>
          <w:b/>
          <w:color w:val="auto"/>
          <w:sz w:val="24"/>
          <w:highlight w:val="none"/>
        </w:rPr>
      </w:pPr>
      <w:r>
        <w:rPr>
          <w:rFonts w:hint="eastAsia" w:ascii="宋体" w:hAnsi="宋体"/>
          <w:color w:val="auto"/>
          <w:sz w:val="24"/>
          <w:highlight w:val="none"/>
        </w:rPr>
        <w:t xml:space="preserve">                                        日期：</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w:t>
      </w:r>
    </w:p>
    <w:p w14:paraId="0362801D">
      <w:pPr>
        <w:snapToGrid w:val="0"/>
        <w:spacing w:before="120" w:beforeLines="50" w:after="50"/>
        <w:rPr>
          <w:b/>
          <w:color w:val="auto"/>
          <w:sz w:val="24"/>
          <w:highlight w:val="none"/>
        </w:rPr>
      </w:pPr>
    </w:p>
    <w:p w14:paraId="680E6F38">
      <w:pPr>
        <w:snapToGrid w:val="0"/>
        <w:spacing w:before="120" w:beforeLines="50" w:after="50"/>
        <w:rPr>
          <w:b/>
          <w:color w:val="auto"/>
          <w:sz w:val="24"/>
          <w:highlight w:val="none"/>
        </w:rPr>
      </w:pPr>
    </w:p>
    <w:p w14:paraId="2D5C3969">
      <w:pPr>
        <w:snapToGrid w:val="0"/>
        <w:spacing w:before="120" w:beforeLines="50" w:after="50"/>
        <w:rPr>
          <w:b/>
          <w:color w:val="auto"/>
          <w:sz w:val="24"/>
          <w:highlight w:val="none"/>
        </w:rPr>
      </w:pPr>
    </w:p>
    <w:p w14:paraId="0544E23B">
      <w:pPr>
        <w:snapToGrid w:val="0"/>
        <w:spacing w:before="120" w:beforeLines="50" w:after="50"/>
        <w:rPr>
          <w:b/>
          <w:color w:val="auto"/>
          <w:sz w:val="24"/>
          <w:highlight w:val="none"/>
        </w:rPr>
      </w:pPr>
    </w:p>
    <w:p w14:paraId="4BAC92B3">
      <w:pPr>
        <w:snapToGrid w:val="0"/>
        <w:spacing w:before="120" w:beforeLines="50" w:after="50"/>
        <w:rPr>
          <w:b/>
          <w:color w:val="auto"/>
          <w:sz w:val="24"/>
          <w:highlight w:val="none"/>
        </w:rPr>
      </w:pPr>
    </w:p>
    <w:p w14:paraId="64BC7041">
      <w:pPr>
        <w:snapToGrid w:val="0"/>
        <w:spacing w:before="120" w:beforeLines="50" w:after="50"/>
        <w:rPr>
          <w:rFonts w:hint="eastAsia"/>
          <w:b/>
          <w:color w:val="auto"/>
          <w:sz w:val="24"/>
          <w:highlight w:val="none"/>
        </w:rPr>
      </w:pPr>
    </w:p>
    <w:p w14:paraId="7FC70B64">
      <w:pPr>
        <w:snapToGrid w:val="0"/>
        <w:spacing w:before="120" w:beforeLines="50" w:after="50"/>
        <w:rPr>
          <w:rFonts w:hint="eastAsia"/>
          <w:b/>
          <w:color w:val="auto"/>
          <w:sz w:val="24"/>
          <w:highlight w:val="none"/>
        </w:rPr>
      </w:pPr>
    </w:p>
    <w:p w14:paraId="3AFF4473">
      <w:pPr>
        <w:snapToGrid w:val="0"/>
        <w:spacing w:before="120" w:beforeLines="50" w:after="50"/>
        <w:rPr>
          <w:rFonts w:hint="eastAsia"/>
          <w:b/>
          <w:color w:val="auto"/>
          <w:sz w:val="24"/>
          <w:highlight w:val="none"/>
        </w:rPr>
      </w:pPr>
    </w:p>
    <w:p w14:paraId="0B8E1995">
      <w:pPr>
        <w:snapToGrid w:val="0"/>
        <w:spacing w:before="120" w:beforeLines="50" w:after="50"/>
        <w:rPr>
          <w:b/>
          <w:bCs/>
          <w:color w:val="auto"/>
          <w:sz w:val="32"/>
          <w:szCs w:val="20"/>
          <w:highlight w:val="none"/>
        </w:rPr>
      </w:pPr>
      <w:r>
        <w:rPr>
          <w:rFonts w:hint="eastAsia"/>
          <w:b/>
          <w:color w:val="auto"/>
          <w:sz w:val="24"/>
          <w:highlight w:val="none"/>
        </w:rPr>
        <w:t>商务技术响应文件封面格式：</w:t>
      </w:r>
      <w:r>
        <w:rPr>
          <w:color w:val="auto"/>
          <w:sz w:val="24"/>
          <w:highlight w:val="none"/>
        </w:rPr>
        <w:t xml:space="preserve">                                               </w:t>
      </w:r>
    </w:p>
    <w:p w14:paraId="2FF3324A">
      <w:pPr>
        <w:snapToGrid w:val="0"/>
        <w:spacing w:before="120" w:beforeLines="50" w:after="50"/>
        <w:jc w:val="center"/>
        <w:rPr>
          <w:b/>
          <w:bCs/>
          <w:color w:val="auto"/>
          <w:sz w:val="32"/>
          <w:szCs w:val="32"/>
          <w:highlight w:val="none"/>
        </w:rPr>
      </w:pPr>
    </w:p>
    <w:p w14:paraId="09510C65">
      <w:pPr>
        <w:snapToGrid w:val="0"/>
        <w:spacing w:before="120" w:beforeLines="50" w:after="50"/>
        <w:jc w:val="center"/>
        <w:rPr>
          <w:b/>
          <w:bCs/>
          <w:color w:val="auto"/>
          <w:sz w:val="32"/>
          <w:szCs w:val="32"/>
          <w:highlight w:val="none"/>
        </w:rPr>
      </w:pPr>
    </w:p>
    <w:p w14:paraId="5CE9042F">
      <w:pPr>
        <w:snapToGrid w:val="0"/>
        <w:spacing w:before="120" w:beforeLines="50" w:after="50"/>
        <w:jc w:val="center"/>
        <w:rPr>
          <w:b/>
          <w:bCs/>
          <w:color w:val="auto"/>
          <w:sz w:val="32"/>
          <w:szCs w:val="32"/>
          <w:highlight w:val="none"/>
        </w:rPr>
      </w:pPr>
    </w:p>
    <w:p w14:paraId="6E8CDE41">
      <w:pPr>
        <w:snapToGrid w:val="0"/>
        <w:spacing w:before="120" w:beforeLines="50" w:after="50"/>
        <w:jc w:val="center"/>
        <w:rPr>
          <w:b/>
          <w:bCs/>
          <w:color w:val="auto"/>
          <w:sz w:val="32"/>
          <w:szCs w:val="32"/>
          <w:highlight w:val="none"/>
        </w:rPr>
      </w:pPr>
      <w:r>
        <w:rPr>
          <w:rFonts w:hint="eastAsia"/>
          <w:b/>
          <w:bCs/>
          <w:color w:val="auto"/>
          <w:sz w:val="32"/>
          <w:szCs w:val="32"/>
          <w:highlight w:val="none"/>
        </w:rPr>
        <w:t>商务技术文件</w:t>
      </w:r>
    </w:p>
    <w:p w14:paraId="7F0E380D">
      <w:pPr>
        <w:snapToGrid w:val="0"/>
        <w:spacing w:before="120" w:beforeLines="50" w:after="50" w:line="320" w:lineRule="exact"/>
        <w:ind w:firstLine="1068" w:firstLineChars="445"/>
        <w:rPr>
          <w:bCs/>
          <w:color w:val="auto"/>
          <w:sz w:val="24"/>
          <w:szCs w:val="20"/>
          <w:highlight w:val="none"/>
        </w:rPr>
      </w:pPr>
      <w:r>
        <w:rPr>
          <w:rFonts w:hint="eastAsia"/>
          <w:bCs/>
          <w:color w:val="auto"/>
          <w:sz w:val="24"/>
          <w:highlight w:val="none"/>
        </w:rPr>
        <w:t>项目名称：</w:t>
      </w:r>
    </w:p>
    <w:p w14:paraId="27D36996">
      <w:pPr>
        <w:snapToGrid w:val="0"/>
        <w:spacing w:before="120" w:beforeLines="50" w:after="50" w:line="320" w:lineRule="exact"/>
        <w:ind w:firstLine="1068" w:firstLineChars="445"/>
        <w:rPr>
          <w:bCs/>
          <w:color w:val="auto"/>
          <w:sz w:val="24"/>
          <w:highlight w:val="none"/>
        </w:rPr>
      </w:pPr>
      <w:r>
        <w:rPr>
          <w:rFonts w:hint="eastAsia"/>
          <w:bCs/>
          <w:color w:val="auto"/>
          <w:sz w:val="24"/>
          <w:highlight w:val="none"/>
        </w:rPr>
        <w:t>项目编号：</w:t>
      </w:r>
      <w:r>
        <w:rPr>
          <w:bCs/>
          <w:color w:val="auto"/>
          <w:sz w:val="24"/>
          <w:highlight w:val="none"/>
        </w:rPr>
        <w:t xml:space="preserve"> </w:t>
      </w:r>
    </w:p>
    <w:p w14:paraId="695E877A">
      <w:pPr>
        <w:pStyle w:val="17"/>
        <w:spacing w:before="50" w:after="50" w:line="320" w:lineRule="exact"/>
        <w:ind w:firstLine="1068" w:firstLineChars="445"/>
        <w:rPr>
          <w:bCs/>
          <w:color w:val="auto"/>
          <w:sz w:val="24"/>
          <w:highlight w:val="none"/>
        </w:rPr>
      </w:pPr>
      <w:r>
        <w:rPr>
          <w:rFonts w:hint="eastAsia"/>
          <w:bCs/>
          <w:color w:val="auto"/>
          <w:sz w:val="24"/>
          <w:highlight w:val="none"/>
        </w:rPr>
        <w:t xml:space="preserve">投标人名称：   </w:t>
      </w:r>
      <w:r>
        <w:rPr>
          <w:rFonts w:hint="eastAsia" w:hAnsi="宋体"/>
          <w:bCs/>
          <w:color w:val="auto"/>
          <w:sz w:val="24"/>
          <w:highlight w:val="none"/>
        </w:rPr>
        <w:t>（加盖公章）</w:t>
      </w:r>
    </w:p>
    <w:p w14:paraId="2A295F6E">
      <w:pPr>
        <w:pStyle w:val="17"/>
        <w:spacing w:before="50" w:after="50" w:line="320" w:lineRule="exact"/>
        <w:ind w:firstLine="1068" w:firstLineChars="445"/>
        <w:rPr>
          <w:bCs/>
          <w:color w:val="auto"/>
          <w:sz w:val="24"/>
          <w:highlight w:val="none"/>
        </w:rPr>
      </w:pPr>
      <w:r>
        <w:rPr>
          <w:rFonts w:hint="eastAsia"/>
          <w:bCs/>
          <w:color w:val="auto"/>
          <w:sz w:val="24"/>
          <w:highlight w:val="none"/>
        </w:rPr>
        <w:t>投标人地址：</w:t>
      </w:r>
    </w:p>
    <w:p w14:paraId="54C21CF5">
      <w:pPr>
        <w:snapToGrid w:val="0"/>
        <w:spacing w:before="120" w:beforeLines="50" w:after="50" w:line="360" w:lineRule="auto"/>
        <w:ind w:firstLine="645"/>
        <w:jc w:val="center"/>
        <w:rPr>
          <w:color w:val="auto"/>
          <w:sz w:val="24"/>
          <w:szCs w:val="20"/>
          <w:highlight w:val="none"/>
        </w:rPr>
      </w:pPr>
      <w:r>
        <w:rPr>
          <w:color w:val="auto"/>
          <w:sz w:val="24"/>
          <w:highlight w:val="none"/>
        </w:rPr>
        <w:t xml:space="preserve">                        </w:t>
      </w:r>
      <w:r>
        <w:rPr>
          <w:rFonts w:hint="eastAsia"/>
          <w:color w:val="auto"/>
          <w:sz w:val="24"/>
          <w:highlight w:val="none"/>
        </w:rPr>
        <w:t xml:space="preserve">                       年</w:t>
      </w:r>
      <w:r>
        <w:rPr>
          <w:color w:val="auto"/>
          <w:sz w:val="24"/>
          <w:highlight w:val="none"/>
        </w:rPr>
        <w:t xml:space="preserve">  </w:t>
      </w:r>
      <w:r>
        <w:rPr>
          <w:rFonts w:hint="eastAsia"/>
          <w:color w:val="auto"/>
          <w:sz w:val="24"/>
          <w:highlight w:val="none"/>
        </w:rPr>
        <w:t>月</w:t>
      </w:r>
      <w:r>
        <w:rPr>
          <w:color w:val="auto"/>
          <w:sz w:val="24"/>
          <w:highlight w:val="none"/>
        </w:rPr>
        <w:t xml:space="preserve">  </w:t>
      </w:r>
      <w:r>
        <w:rPr>
          <w:rFonts w:hint="eastAsia"/>
          <w:color w:val="auto"/>
          <w:sz w:val="24"/>
          <w:highlight w:val="none"/>
        </w:rPr>
        <w:t>日</w:t>
      </w:r>
    </w:p>
    <w:p w14:paraId="6497E099">
      <w:pPr>
        <w:snapToGrid w:val="0"/>
        <w:spacing w:before="120" w:beforeLines="50" w:after="50"/>
        <w:jc w:val="center"/>
        <w:rPr>
          <w:rFonts w:ascii="宋体" w:hAnsi="宋体" w:cs="宋体"/>
          <w:b/>
          <w:color w:val="auto"/>
          <w:sz w:val="32"/>
          <w:szCs w:val="32"/>
          <w:highlight w:val="none"/>
        </w:rPr>
      </w:pPr>
    </w:p>
    <w:p w14:paraId="122F4A5A">
      <w:pPr>
        <w:rPr>
          <w:color w:val="auto"/>
          <w:highlight w:val="none"/>
        </w:rPr>
      </w:pPr>
    </w:p>
    <w:p w14:paraId="2BC1C2B7">
      <w:pPr>
        <w:rPr>
          <w:color w:val="auto"/>
          <w:highlight w:val="none"/>
        </w:rPr>
      </w:pPr>
    </w:p>
    <w:p w14:paraId="681B9813">
      <w:pPr>
        <w:snapToGrid w:val="0"/>
        <w:spacing w:before="120" w:beforeLines="50" w:after="50"/>
        <w:rPr>
          <w:color w:val="auto"/>
          <w:sz w:val="24"/>
          <w:szCs w:val="20"/>
          <w:highlight w:val="none"/>
        </w:rPr>
      </w:pPr>
      <w:r>
        <w:rPr>
          <w:rFonts w:hint="eastAsia"/>
          <w:b/>
          <w:color w:val="auto"/>
          <w:sz w:val="24"/>
          <w:highlight w:val="none"/>
        </w:rPr>
        <w:t>报价文件响应封面格式：</w:t>
      </w:r>
      <w:r>
        <w:rPr>
          <w:b/>
          <w:color w:val="auto"/>
          <w:sz w:val="24"/>
          <w:highlight w:val="none"/>
        </w:rPr>
        <w:t xml:space="preserve"> </w:t>
      </w:r>
    </w:p>
    <w:p w14:paraId="4D1154EE">
      <w:pPr>
        <w:snapToGrid w:val="0"/>
        <w:spacing w:before="120" w:beforeLines="50" w:after="50"/>
        <w:rPr>
          <w:b/>
          <w:bCs/>
          <w:color w:val="auto"/>
          <w:sz w:val="32"/>
          <w:szCs w:val="20"/>
          <w:highlight w:val="none"/>
        </w:rPr>
      </w:pPr>
      <w:r>
        <w:rPr>
          <w:color w:val="auto"/>
          <w:sz w:val="24"/>
          <w:highlight w:val="none"/>
        </w:rPr>
        <w:t xml:space="preserve">                                                    </w:t>
      </w:r>
    </w:p>
    <w:p w14:paraId="109C3104">
      <w:pPr>
        <w:snapToGrid w:val="0"/>
        <w:spacing w:before="120" w:beforeLines="50" w:after="50"/>
        <w:jc w:val="center"/>
        <w:rPr>
          <w:b/>
          <w:bCs/>
          <w:color w:val="auto"/>
          <w:sz w:val="32"/>
          <w:szCs w:val="32"/>
          <w:highlight w:val="none"/>
        </w:rPr>
      </w:pPr>
      <w:r>
        <w:rPr>
          <w:rFonts w:hint="eastAsia"/>
          <w:b/>
          <w:bCs/>
          <w:color w:val="auto"/>
          <w:sz w:val="32"/>
          <w:szCs w:val="32"/>
          <w:highlight w:val="none"/>
        </w:rPr>
        <w:t>报  价</w:t>
      </w:r>
      <w:r>
        <w:rPr>
          <w:b/>
          <w:bCs/>
          <w:color w:val="auto"/>
          <w:sz w:val="32"/>
          <w:szCs w:val="32"/>
          <w:highlight w:val="none"/>
        </w:rPr>
        <w:t xml:space="preserve"> </w:t>
      </w:r>
      <w:r>
        <w:rPr>
          <w:rFonts w:hint="eastAsia"/>
          <w:b/>
          <w:bCs/>
          <w:color w:val="auto"/>
          <w:sz w:val="32"/>
          <w:szCs w:val="32"/>
          <w:highlight w:val="none"/>
        </w:rPr>
        <w:t>文</w:t>
      </w:r>
      <w:r>
        <w:rPr>
          <w:b/>
          <w:bCs/>
          <w:color w:val="auto"/>
          <w:sz w:val="32"/>
          <w:szCs w:val="32"/>
          <w:highlight w:val="none"/>
        </w:rPr>
        <w:t xml:space="preserve"> </w:t>
      </w:r>
      <w:r>
        <w:rPr>
          <w:rFonts w:hint="eastAsia"/>
          <w:b/>
          <w:bCs/>
          <w:color w:val="auto"/>
          <w:sz w:val="32"/>
          <w:szCs w:val="32"/>
          <w:highlight w:val="none"/>
        </w:rPr>
        <w:t>件</w:t>
      </w:r>
    </w:p>
    <w:p w14:paraId="2FDB48B1">
      <w:pPr>
        <w:snapToGrid w:val="0"/>
        <w:spacing w:before="120" w:beforeLines="50" w:after="50" w:line="320" w:lineRule="exact"/>
        <w:ind w:firstLine="1068" w:firstLineChars="445"/>
        <w:rPr>
          <w:bCs/>
          <w:color w:val="auto"/>
          <w:sz w:val="24"/>
          <w:szCs w:val="20"/>
          <w:highlight w:val="none"/>
        </w:rPr>
      </w:pPr>
      <w:r>
        <w:rPr>
          <w:rFonts w:hint="eastAsia"/>
          <w:bCs/>
          <w:color w:val="auto"/>
          <w:sz w:val="24"/>
          <w:highlight w:val="none"/>
        </w:rPr>
        <w:t>项目名称：</w:t>
      </w:r>
    </w:p>
    <w:p w14:paraId="6E43B6FA">
      <w:pPr>
        <w:snapToGrid w:val="0"/>
        <w:spacing w:before="120" w:beforeLines="50" w:after="50" w:line="320" w:lineRule="exact"/>
        <w:ind w:firstLine="1068" w:firstLineChars="445"/>
        <w:rPr>
          <w:bCs/>
          <w:color w:val="auto"/>
          <w:sz w:val="24"/>
          <w:highlight w:val="none"/>
        </w:rPr>
      </w:pPr>
      <w:r>
        <w:rPr>
          <w:rFonts w:hint="eastAsia"/>
          <w:bCs/>
          <w:color w:val="auto"/>
          <w:sz w:val="24"/>
          <w:highlight w:val="none"/>
        </w:rPr>
        <w:t>项目编号：</w:t>
      </w:r>
      <w:r>
        <w:rPr>
          <w:bCs/>
          <w:color w:val="auto"/>
          <w:sz w:val="24"/>
          <w:highlight w:val="none"/>
        </w:rPr>
        <w:t xml:space="preserve"> </w:t>
      </w:r>
    </w:p>
    <w:p w14:paraId="40095EB9">
      <w:pPr>
        <w:pStyle w:val="17"/>
        <w:spacing w:before="50" w:after="50" w:line="320" w:lineRule="exact"/>
        <w:ind w:firstLine="1068" w:firstLineChars="445"/>
        <w:rPr>
          <w:bCs/>
          <w:color w:val="auto"/>
          <w:sz w:val="24"/>
          <w:highlight w:val="none"/>
        </w:rPr>
      </w:pPr>
      <w:r>
        <w:rPr>
          <w:rFonts w:hint="eastAsia"/>
          <w:bCs/>
          <w:color w:val="auto"/>
          <w:sz w:val="24"/>
          <w:highlight w:val="none"/>
        </w:rPr>
        <w:t xml:space="preserve">投标人名称：   </w:t>
      </w:r>
      <w:r>
        <w:rPr>
          <w:rFonts w:hint="eastAsia" w:hAnsi="宋体"/>
          <w:bCs/>
          <w:color w:val="auto"/>
          <w:sz w:val="24"/>
          <w:highlight w:val="none"/>
        </w:rPr>
        <w:t>（加盖公章）</w:t>
      </w:r>
    </w:p>
    <w:p w14:paraId="1DFD7B81">
      <w:pPr>
        <w:pStyle w:val="17"/>
        <w:spacing w:before="50" w:after="50" w:line="320" w:lineRule="exact"/>
        <w:ind w:firstLine="1068" w:firstLineChars="445"/>
        <w:rPr>
          <w:bCs/>
          <w:color w:val="auto"/>
          <w:sz w:val="24"/>
          <w:highlight w:val="none"/>
        </w:rPr>
      </w:pPr>
      <w:r>
        <w:rPr>
          <w:rFonts w:hint="eastAsia"/>
          <w:bCs/>
          <w:color w:val="auto"/>
          <w:sz w:val="24"/>
          <w:highlight w:val="none"/>
        </w:rPr>
        <w:t>投标人地址：</w:t>
      </w:r>
    </w:p>
    <w:p w14:paraId="6CE3879D">
      <w:pPr>
        <w:spacing w:line="360" w:lineRule="auto"/>
        <w:ind w:right="420"/>
        <w:rPr>
          <w:color w:val="auto"/>
          <w:highlight w:val="none"/>
        </w:rPr>
      </w:pPr>
      <w:r>
        <w:rPr>
          <w:color w:val="auto"/>
          <w:sz w:val="24"/>
          <w:highlight w:val="none"/>
        </w:rPr>
        <w:t xml:space="preserve">                        </w:t>
      </w:r>
      <w:r>
        <w:rPr>
          <w:rFonts w:hint="eastAsia"/>
          <w:color w:val="auto"/>
          <w:sz w:val="24"/>
          <w:highlight w:val="none"/>
        </w:rPr>
        <w:t xml:space="preserve">                       年</w:t>
      </w:r>
      <w:r>
        <w:rPr>
          <w:color w:val="auto"/>
          <w:sz w:val="24"/>
          <w:highlight w:val="none"/>
        </w:rPr>
        <w:t xml:space="preserve">  </w:t>
      </w:r>
      <w:r>
        <w:rPr>
          <w:rFonts w:hint="eastAsia"/>
          <w:color w:val="auto"/>
          <w:sz w:val="24"/>
          <w:highlight w:val="none"/>
        </w:rPr>
        <w:t>月</w:t>
      </w:r>
      <w:r>
        <w:rPr>
          <w:color w:val="auto"/>
          <w:sz w:val="24"/>
          <w:highlight w:val="none"/>
        </w:rPr>
        <w:t xml:space="preserve">  </w:t>
      </w:r>
      <w:r>
        <w:rPr>
          <w:rFonts w:hint="eastAsia"/>
          <w:color w:val="auto"/>
          <w:sz w:val="24"/>
          <w:highlight w:val="none"/>
        </w:rPr>
        <w:t>日</w:t>
      </w:r>
    </w:p>
    <w:p w14:paraId="6C3B1C84">
      <w:pPr>
        <w:spacing w:line="360" w:lineRule="auto"/>
        <w:rPr>
          <w:rFonts w:ascii="仿宋" w:hAnsi="仿宋" w:eastAsia="仿宋"/>
          <w:bCs/>
          <w:color w:val="auto"/>
          <w:sz w:val="24"/>
          <w:highlight w:val="none"/>
        </w:rPr>
      </w:pPr>
    </w:p>
    <w:p w14:paraId="28768FA5">
      <w:pPr>
        <w:spacing w:line="360" w:lineRule="auto"/>
        <w:jc w:val="center"/>
        <w:rPr>
          <w:rFonts w:ascii="宋体" w:hAnsi="宋体" w:cs="宋体"/>
          <w:b/>
          <w:color w:val="auto"/>
          <w:sz w:val="24"/>
          <w:highlight w:val="none"/>
        </w:rPr>
      </w:pPr>
      <w:bookmarkStart w:id="56" w:name="_Toc219619166"/>
    </w:p>
    <w:p w14:paraId="3C526BAF">
      <w:pPr>
        <w:spacing w:line="360" w:lineRule="auto"/>
        <w:jc w:val="center"/>
        <w:rPr>
          <w:rFonts w:ascii="宋体" w:hAnsi="宋体" w:cs="宋体"/>
          <w:b/>
          <w:color w:val="auto"/>
          <w:sz w:val="24"/>
          <w:highlight w:val="none"/>
        </w:rPr>
      </w:pPr>
    </w:p>
    <w:p w14:paraId="6FD944DF">
      <w:pPr>
        <w:spacing w:line="360" w:lineRule="auto"/>
        <w:jc w:val="center"/>
        <w:rPr>
          <w:rFonts w:ascii="宋体" w:hAnsi="宋体" w:cs="宋体"/>
          <w:b/>
          <w:color w:val="auto"/>
          <w:sz w:val="24"/>
          <w:highlight w:val="none"/>
        </w:rPr>
      </w:pPr>
    </w:p>
    <w:p w14:paraId="2B42E460">
      <w:pPr>
        <w:spacing w:line="360" w:lineRule="auto"/>
        <w:jc w:val="center"/>
        <w:rPr>
          <w:rFonts w:ascii="宋体" w:hAnsi="宋体" w:cs="宋体"/>
          <w:b/>
          <w:color w:val="auto"/>
          <w:sz w:val="24"/>
          <w:highlight w:val="none"/>
        </w:rPr>
      </w:pPr>
    </w:p>
    <w:p w14:paraId="77266454">
      <w:pPr>
        <w:spacing w:line="360" w:lineRule="auto"/>
        <w:rPr>
          <w:rFonts w:ascii="宋体" w:hAnsi="宋体" w:cs="宋体"/>
          <w:b/>
          <w:color w:val="auto"/>
          <w:sz w:val="24"/>
          <w:highlight w:val="none"/>
        </w:rPr>
      </w:pPr>
    </w:p>
    <w:p w14:paraId="615D67AC">
      <w:pPr>
        <w:spacing w:line="360" w:lineRule="auto"/>
        <w:jc w:val="center"/>
        <w:rPr>
          <w:rFonts w:ascii="宋体" w:hAnsi="宋体" w:cs="宋体"/>
          <w:b/>
          <w:color w:val="auto"/>
          <w:sz w:val="24"/>
          <w:highlight w:val="none"/>
        </w:rPr>
      </w:pPr>
    </w:p>
    <w:p w14:paraId="2A5CA913">
      <w:pPr>
        <w:spacing w:line="360" w:lineRule="auto"/>
        <w:jc w:val="center"/>
        <w:rPr>
          <w:rFonts w:hint="eastAsia" w:ascii="宋体" w:hAnsi="宋体" w:cs="宋体"/>
          <w:b/>
          <w:color w:val="auto"/>
          <w:sz w:val="24"/>
          <w:highlight w:val="none"/>
        </w:rPr>
      </w:pPr>
    </w:p>
    <w:p w14:paraId="3C9C3981">
      <w:pPr>
        <w:spacing w:line="360" w:lineRule="auto"/>
        <w:jc w:val="center"/>
        <w:rPr>
          <w:rFonts w:hint="eastAsia" w:ascii="宋体" w:hAnsi="宋体" w:cs="宋体"/>
          <w:b/>
          <w:color w:val="auto"/>
          <w:sz w:val="24"/>
          <w:highlight w:val="none"/>
        </w:rPr>
      </w:pPr>
    </w:p>
    <w:p w14:paraId="0EB4A164">
      <w:pPr>
        <w:spacing w:line="360" w:lineRule="auto"/>
        <w:jc w:val="center"/>
        <w:rPr>
          <w:rFonts w:hint="eastAsia" w:ascii="宋体" w:hAnsi="宋体" w:cs="宋体"/>
          <w:b/>
          <w:color w:val="auto"/>
          <w:sz w:val="24"/>
          <w:highlight w:val="none"/>
        </w:rPr>
      </w:pPr>
    </w:p>
    <w:p w14:paraId="4E41AEFC">
      <w:pPr>
        <w:spacing w:line="360" w:lineRule="auto"/>
        <w:jc w:val="center"/>
        <w:rPr>
          <w:rFonts w:ascii="宋体" w:hAnsi="宋体" w:cs="宋体"/>
          <w:b/>
          <w:bCs/>
          <w:color w:val="auto"/>
          <w:sz w:val="24"/>
          <w:highlight w:val="none"/>
        </w:rPr>
      </w:pPr>
      <w:r>
        <w:rPr>
          <w:rFonts w:hint="eastAsia" w:ascii="宋体" w:hAnsi="宋体" w:cs="宋体"/>
          <w:b/>
          <w:color w:val="auto"/>
          <w:sz w:val="24"/>
          <w:highlight w:val="none"/>
        </w:rPr>
        <w:t>自评表</w:t>
      </w:r>
    </w:p>
    <w:tbl>
      <w:tblPr>
        <w:tblStyle w:val="63"/>
        <w:tblW w:w="876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0"/>
        <w:gridCol w:w="3300"/>
        <w:gridCol w:w="2145"/>
        <w:gridCol w:w="2109"/>
      </w:tblGrid>
      <w:tr w14:paraId="2CDB45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510" w:type="dxa"/>
            <w:gridSpan w:val="2"/>
            <w:vMerge w:val="restart"/>
            <w:vAlign w:val="center"/>
          </w:tcPr>
          <w:p w14:paraId="3AAC9DAD">
            <w:pP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评标内容及分值</w:t>
            </w:r>
          </w:p>
        </w:tc>
        <w:tc>
          <w:tcPr>
            <w:tcW w:w="4254" w:type="dxa"/>
            <w:gridSpan w:val="2"/>
            <w:vAlign w:val="center"/>
          </w:tcPr>
          <w:p w14:paraId="2686D6C8">
            <w:pP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供应商自评栏</w:t>
            </w:r>
          </w:p>
        </w:tc>
      </w:tr>
      <w:tr w14:paraId="64B8F8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4510" w:type="dxa"/>
            <w:gridSpan w:val="2"/>
            <w:vMerge w:val="continue"/>
            <w:vAlign w:val="center"/>
          </w:tcPr>
          <w:p w14:paraId="2F1D20FF">
            <w:pPr>
              <w:spacing w:line="360" w:lineRule="auto"/>
              <w:jc w:val="center"/>
              <w:rPr>
                <w:rFonts w:ascii="宋体" w:hAnsi="宋体" w:cs="宋体"/>
                <w:b/>
                <w:bCs/>
                <w:color w:val="auto"/>
                <w:sz w:val="24"/>
                <w:highlight w:val="none"/>
              </w:rPr>
            </w:pPr>
          </w:p>
        </w:tc>
        <w:tc>
          <w:tcPr>
            <w:tcW w:w="2145" w:type="dxa"/>
            <w:vAlign w:val="center"/>
          </w:tcPr>
          <w:p w14:paraId="5E6B50B0">
            <w:pP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自评分</w:t>
            </w:r>
          </w:p>
        </w:tc>
        <w:tc>
          <w:tcPr>
            <w:tcW w:w="2109" w:type="dxa"/>
            <w:vAlign w:val="center"/>
          </w:tcPr>
          <w:p w14:paraId="16826D69">
            <w:pP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自评依据及标书页码</w:t>
            </w:r>
          </w:p>
        </w:tc>
      </w:tr>
      <w:tr w14:paraId="6C40C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9" w:hRule="atLeast"/>
          <w:jc w:val="center"/>
        </w:trPr>
        <w:tc>
          <w:tcPr>
            <w:tcW w:w="1210" w:type="dxa"/>
            <w:vMerge w:val="restart"/>
            <w:vAlign w:val="center"/>
          </w:tcPr>
          <w:p w14:paraId="6E52A913">
            <w:pPr>
              <w:spacing w:line="360" w:lineRule="auto"/>
              <w:jc w:val="center"/>
              <w:rPr>
                <w:rFonts w:ascii="宋体" w:hAnsi="宋体" w:cs="宋体"/>
                <w:b/>
                <w:bCs/>
                <w:color w:val="auto"/>
                <w:sz w:val="24"/>
                <w:highlight w:val="none"/>
              </w:rPr>
            </w:pPr>
            <w:r>
              <w:rPr>
                <w:rFonts w:hint="eastAsia" w:ascii="宋体" w:hAnsi="宋体" w:cs="宋体"/>
                <w:b/>
                <w:bCs/>
                <w:color w:val="auto"/>
                <w:sz w:val="28"/>
                <w:szCs w:val="28"/>
                <w:highlight w:val="none"/>
              </w:rPr>
              <w:t>商务资信分（X分）</w:t>
            </w:r>
          </w:p>
        </w:tc>
        <w:tc>
          <w:tcPr>
            <w:tcW w:w="3300" w:type="dxa"/>
            <w:tcBorders>
              <w:bottom w:val="single" w:color="auto" w:sz="4" w:space="0"/>
            </w:tcBorders>
            <w:vAlign w:val="center"/>
          </w:tcPr>
          <w:p w14:paraId="7B713B56">
            <w:pPr>
              <w:widowControl/>
              <w:spacing w:line="360" w:lineRule="auto"/>
              <w:jc w:val="center"/>
              <w:rPr>
                <w:rFonts w:ascii="宋体" w:hAnsi="宋体" w:cs="宋体"/>
                <w:color w:val="auto"/>
                <w:kern w:val="0"/>
                <w:szCs w:val="21"/>
                <w:highlight w:val="none"/>
              </w:rPr>
            </w:pPr>
          </w:p>
        </w:tc>
        <w:tc>
          <w:tcPr>
            <w:tcW w:w="2145" w:type="dxa"/>
            <w:tcBorders>
              <w:bottom w:val="single" w:color="auto" w:sz="4" w:space="0"/>
            </w:tcBorders>
            <w:vAlign w:val="center"/>
          </w:tcPr>
          <w:p w14:paraId="0E36D4B3">
            <w:pPr>
              <w:spacing w:line="360" w:lineRule="auto"/>
              <w:jc w:val="left"/>
              <w:rPr>
                <w:rFonts w:ascii="宋体" w:hAnsi="宋体" w:cs="宋体"/>
                <w:color w:val="auto"/>
                <w:szCs w:val="21"/>
                <w:highlight w:val="none"/>
              </w:rPr>
            </w:pPr>
          </w:p>
        </w:tc>
        <w:tc>
          <w:tcPr>
            <w:tcW w:w="2109" w:type="dxa"/>
            <w:tcBorders>
              <w:bottom w:val="single" w:color="auto" w:sz="4" w:space="0"/>
            </w:tcBorders>
            <w:vAlign w:val="center"/>
          </w:tcPr>
          <w:p w14:paraId="50314738">
            <w:pPr>
              <w:spacing w:line="360" w:lineRule="auto"/>
              <w:jc w:val="center"/>
              <w:rPr>
                <w:rFonts w:ascii="宋体" w:hAnsi="宋体" w:cs="宋体"/>
                <w:b/>
                <w:bCs/>
                <w:color w:val="auto"/>
                <w:szCs w:val="21"/>
                <w:highlight w:val="none"/>
              </w:rPr>
            </w:pPr>
          </w:p>
        </w:tc>
      </w:tr>
      <w:tr w14:paraId="559133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3552E6B8">
            <w:pPr>
              <w:spacing w:line="360" w:lineRule="auto"/>
              <w:jc w:val="center"/>
              <w:rPr>
                <w:rFonts w:ascii="宋体" w:hAnsi="宋体" w:cs="宋体"/>
                <w:b/>
                <w:bCs/>
                <w:color w:val="auto"/>
                <w:sz w:val="24"/>
                <w:highlight w:val="none"/>
              </w:rPr>
            </w:pPr>
          </w:p>
        </w:tc>
        <w:tc>
          <w:tcPr>
            <w:tcW w:w="3300" w:type="dxa"/>
            <w:tcBorders>
              <w:top w:val="single" w:color="auto" w:sz="4" w:space="0"/>
            </w:tcBorders>
            <w:vAlign w:val="center"/>
          </w:tcPr>
          <w:p w14:paraId="1097D83C">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7D477112">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15D9C799">
            <w:pPr>
              <w:spacing w:line="360" w:lineRule="auto"/>
              <w:jc w:val="center"/>
              <w:rPr>
                <w:rFonts w:ascii="宋体" w:hAnsi="宋体" w:cs="宋体"/>
                <w:b/>
                <w:bCs/>
                <w:color w:val="auto"/>
                <w:szCs w:val="21"/>
                <w:highlight w:val="none"/>
              </w:rPr>
            </w:pPr>
          </w:p>
        </w:tc>
      </w:tr>
      <w:tr w14:paraId="164A2C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13A60B9F">
            <w:pPr>
              <w:spacing w:line="360" w:lineRule="auto"/>
              <w:jc w:val="center"/>
              <w:rPr>
                <w:rFonts w:ascii="宋体" w:hAnsi="宋体" w:cs="宋体"/>
                <w:b/>
                <w:bCs/>
                <w:color w:val="auto"/>
                <w:sz w:val="24"/>
                <w:highlight w:val="none"/>
              </w:rPr>
            </w:pPr>
          </w:p>
        </w:tc>
        <w:tc>
          <w:tcPr>
            <w:tcW w:w="3300" w:type="dxa"/>
            <w:tcBorders>
              <w:top w:val="single" w:color="auto" w:sz="4" w:space="0"/>
            </w:tcBorders>
            <w:vAlign w:val="center"/>
          </w:tcPr>
          <w:p w14:paraId="7BECDC30">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0E77FC06">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56790DDF">
            <w:pPr>
              <w:spacing w:line="360" w:lineRule="auto"/>
              <w:jc w:val="center"/>
              <w:rPr>
                <w:rFonts w:ascii="宋体" w:hAnsi="宋体" w:cs="宋体"/>
                <w:b/>
                <w:bCs/>
                <w:color w:val="auto"/>
                <w:szCs w:val="21"/>
                <w:highlight w:val="none"/>
              </w:rPr>
            </w:pPr>
          </w:p>
        </w:tc>
      </w:tr>
      <w:tr w14:paraId="0B594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6E73E46E">
            <w:pPr>
              <w:spacing w:line="360" w:lineRule="auto"/>
              <w:jc w:val="center"/>
              <w:rPr>
                <w:rFonts w:ascii="宋体" w:hAnsi="宋体" w:cs="宋体"/>
                <w:b/>
                <w:bCs/>
                <w:color w:val="auto"/>
                <w:sz w:val="24"/>
                <w:highlight w:val="none"/>
              </w:rPr>
            </w:pPr>
          </w:p>
        </w:tc>
        <w:tc>
          <w:tcPr>
            <w:tcW w:w="3300" w:type="dxa"/>
            <w:tcBorders>
              <w:top w:val="single" w:color="auto" w:sz="4" w:space="0"/>
            </w:tcBorders>
            <w:vAlign w:val="center"/>
          </w:tcPr>
          <w:p w14:paraId="791B3C4A">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7B6C0F92">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0BFF0459">
            <w:pPr>
              <w:spacing w:line="360" w:lineRule="auto"/>
              <w:jc w:val="center"/>
              <w:rPr>
                <w:rFonts w:ascii="宋体" w:hAnsi="宋体" w:cs="宋体"/>
                <w:b/>
                <w:bCs/>
                <w:color w:val="auto"/>
                <w:szCs w:val="21"/>
                <w:highlight w:val="none"/>
              </w:rPr>
            </w:pPr>
          </w:p>
        </w:tc>
      </w:tr>
      <w:tr w14:paraId="69C84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0139FA8C">
            <w:pPr>
              <w:spacing w:line="360" w:lineRule="auto"/>
              <w:jc w:val="center"/>
              <w:rPr>
                <w:rFonts w:ascii="宋体" w:hAnsi="宋体" w:cs="宋体"/>
                <w:b/>
                <w:bCs/>
                <w:color w:val="auto"/>
                <w:sz w:val="24"/>
                <w:highlight w:val="none"/>
              </w:rPr>
            </w:pPr>
          </w:p>
        </w:tc>
        <w:tc>
          <w:tcPr>
            <w:tcW w:w="3300" w:type="dxa"/>
            <w:tcBorders>
              <w:top w:val="single" w:color="auto" w:sz="4" w:space="0"/>
            </w:tcBorders>
            <w:vAlign w:val="center"/>
          </w:tcPr>
          <w:p w14:paraId="13FBAF4F">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4F6A2A5A">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4B3B9A06">
            <w:pPr>
              <w:spacing w:line="360" w:lineRule="auto"/>
              <w:jc w:val="center"/>
              <w:rPr>
                <w:rFonts w:ascii="宋体" w:hAnsi="宋体" w:cs="宋体"/>
                <w:b/>
                <w:bCs/>
                <w:color w:val="auto"/>
                <w:szCs w:val="21"/>
                <w:highlight w:val="none"/>
              </w:rPr>
            </w:pPr>
          </w:p>
        </w:tc>
      </w:tr>
      <w:tr w14:paraId="5F156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vAlign w:val="center"/>
          </w:tcPr>
          <w:p w14:paraId="6C878477">
            <w:pPr>
              <w:spacing w:line="360" w:lineRule="exact"/>
              <w:jc w:val="center"/>
              <w:rPr>
                <w:rFonts w:ascii="宋体" w:hAnsi="宋体" w:cs="宋体"/>
                <w:b/>
                <w:bCs/>
                <w:color w:val="auto"/>
                <w:sz w:val="28"/>
                <w:szCs w:val="28"/>
                <w:highlight w:val="none"/>
              </w:rPr>
            </w:pPr>
          </w:p>
        </w:tc>
        <w:tc>
          <w:tcPr>
            <w:tcW w:w="3300" w:type="dxa"/>
            <w:tcBorders>
              <w:top w:val="single" w:color="auto" w:sz="4" w:space="0"/>
            </w:tcBorders>
            <w:vAlign w:val="center"/>
          </w:tcPr>
          <w:p w14:paraId="4324BF85">
            <w:pPr>
              <w:widowControl/>
              <w:spacing w:line="360" w:lineRule="auto"/>
              <w:jc w:val="center"/>
              <w:rPr>
                <w:rFonts w:ascii="宋体" w:hAnsi="宋体" w:cs="宋体"/>
                <w:color w:val="auto"/>
                <w:kern w:val="0"/>
                <w:szCs w:val="21"/>
                <w:highlight w:val="none"/>
              </w:rPr>
            </w:pPr>
          </w:p>
        </w:tc>
        <w:tc>
          <w:tcPr>
            <w:tcW w:w="2145" w:type="dxa"/>
            <w:tcBorders>
              <w:top w:val="single" w:color="auto" w:sz="4" w:space="0"/>
              <w:bottom w:val="single" w:color="auto" w:sz="4" w:space="0"/>
            </w:tcBorders>
            <w:vAlign w:val="center"/>
          </w:tcPr>
          <w:p w14:paraId="78E51B38">
            <w:pPr>
              <w:spacing w:line="360" w:lineRule="auto"/>
              <w:jc w:val="left"/>
              <w:rPr>
                <w:rFonts w:ascii="宋体" w:hAnsi="宋体" w:cs="宋体"/>
                <w:color w:val="auto"/>
                <w:szCs w:val="21"/>
                <w:highlight w:val="none"/>
              </w:rPr>
            </w:pPr>
          </w:p>
        </w:tc>
        <w:tc>
          <w:tcPr>
            <w:tcW w:w="2109" w:type="dxa"/>
            <w:tcBorders>
              <w:top w:val="single" w:color="auto" w:sz="4" w:space="0"/>
              <w:bottom w:val="single" w:color="auto" w:sz="4" w:space="0"/>
            </w:tcBorders>
            <w:vAlign w:val="center"/>
          </w:tcPr>
          <w:p w14:paraId="3787FF4C">
            <w:pPr>
              <w:spacing w:line="360" w:lineRule="auto"/>
              <w:jc w:val="center"/>
              <w:rPr>
                <w:rFonts w:ascii="宋体" w:hAnsi="宋体" w:cs="宋体"/>
                <w:b/>
                <w:bCs/>
                <w:color w:val="auto"/>
                <w:szCs w:val="21"/>
                <w:highlight w:val="none"/>
              </w:rPr>
            </w:pPr>
          </w:p>
        </w:tc>
      </w:tr>
      <w:tr w14:paraId="588F3E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9" w:hRule="atLeast"/>
          <w:jc w:val="center"/>
        </w:trPr>
        <w:tc>
          <w:tcPr>
            <w:tcW w:w="1210" w:type="dxa"/>
            <w:vMerge w:val="restart"/>
            <w:vAlign w:val="center"/>
          </w:tcPr>
          <w:p w14:paraId="5B3AE412">
            <w:pPr>
              <w:spacing w:line="360" w:lineRule="auto"/>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技术分（X分）</w:t>
            </w:r>
          </w:p>
        </w:tc>
        <w:tc>
          <w:tcPr>
            <w:tcW w:w="3300" w:type="dxa"/>
            <w:vAlign w:val="center"/>
          </w:tcPr>
          <w:p w14:paraId="444C1BDC">
            <w:pPr>
              <w:widowControl/>
              <w:spacing w:line="360" w:lineRule="auto"/>
              <w:jc w:val="center"/>
              <w:rPr>
                <w:rFonts w:ascii="宋体" w:hAnsi="宋体" w:cs="宋体"/>
                <w:color w:val="auto"/>
                <w:kern w:val="0"/>
                <w:szCs w:val="21"/>
                <w:highlight w:val="none"/>
              </w:rPr>
            </w:pPr>
          </w:p>
        </w:tc>
        <w:tc>
          <w:tcPr>
            <w:tcW w:w="2145" w:type="dxa"/>
            <w:vAlign w:val="center"/>
          </w:tcPr>
          <w:p w14:paraId="3D15C5CF">
            <w:pPr>
              <w:spacing w:line="360" w:lineRule="auto"/>
              <w:jc w:val="left"/>
              <w:rPr>
                <w:rFonts w:ascii="宋体" w:hAnsi="宋体" w:cs="宋体"/>
                <w:color w:val="auto"/>
                <w:szCs w:val="21"/>
                <w:highlight w:val="none"/>
              </w:rPr>
            </w:pPr>
          </w:p>
        </w:tc>
        <w:tc>
          <w:tcPr>
            <w:tcW w:w="2109" w:type="dxa"/>
            <w:vAlign w:val="center"/>
          </w:tcPr>
          <w:p w14:paraId="7F8572C3">
            <w:pPr>
              <w:spacing w:line="360" w:lineRule="auto"/>
              <w:jc w:val="center"/>
              <w:rPr>
                <w:rFonts w:ascii="宋体" w:hAnsi="宋体" w:cs="宋体"/>
                <w:b/>
                <w:bCs/>
                <w:color w:val="auto"/>
                <w:szCs w:val="21"/>
                <w:highlight w:val="none"/>
              </w:rPr>
            </w:pPr>
          </w:p>
        </w:tc>
      </w:tr>
      <w:tr w14:paraId="4DCFE9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4818B1A8">
            <w:pPr>
              <w:spacing w:line="360" w:lineRule="auto"/>
              <w:rPr>
                <w:rFonts w:ascii="宋体" w:hAnsi="宋体" w:cs="宋体"/>
                <w:color w:val="auto"/>
                <w:szCs w:val="21"/>
                <w:highlight w:val="none"/>
              </w:rPr>
            </w:pPr>
          </w:p>
        </w:tc>
        <w:tc>
          <w:tcPr>
            <w:tcW w:w="3300" w:type="dxa"/>
            <w:vAlign w:val="center"/>
          </w:tcPr>
          <w:p w14:paraId="68295C0E">
            <w:pPr>
              <w:widowControl/>
              <w:spacing w:line="360" w:lineRule="auto"/>
              <w:jc w:val="center"/>
              <w:rPr>
                <w:rFonts w:ascii="宋体" w:hAnsi="宋体" w:cs="宋体"/>
                <w:color w:val="auto"/>
                <w:kern w:val="0"/>
                <w:szCs w:val="21"/>
                <w:highlight w:val="none"/>
              </w:rPr>
            </w:pPr>
          </w:p>
        </w:tc>
        <w:tc>
          <w:tcPr>
            <w:tcW w:w="2145" w:type="dxa"/>
            <w:vAlign w:val="center"/>
          </w:tcPr>
          <w:p w14:paraId="0972F340">
            <w:pPr>
              <w:spacing w:line="360" w:lineRule="auto"/>
              <w:jc w:val="left"/>
              <w:rPr>
                <w:rFonts w:ascii="宋体" w:hAnsi="宋体" w:cs="宋体"/>
                <w:color w:val="auto"/>
                <w:szCs w:val="21"/>
                <w:highlight w:val="none"/>
              </w:rPr>
            </w:pPr>
          </w:p>
        </w:tc>
        <w:tc>
          <w:tcPr>
            <w:tcW w:w="2109" w:type="dxa"/>
            <w:vAlign w:val="center"/>
          </w:tcPr>
          <w:p w14:paraId="3B5655F5">
            <w:pPr>
              <w:spacing w:line="360" w:lineRule="auto"/>
              <w:jc w:val="center"/>
              <w:rPr>
                <w:rFonts w:ascii="宋体" w:hAnsi="宋体" w:cs="宋体"/>
                <w:b/>
                <w:bCs/>
                <w:color w:val="auto"/>
                <w:szCs w:val="21"/>
                <w:highlight w:val="none"/>
              </w:rPr>
            </w:pPr>
          </w:p>
        </w:tc>
      </w:tr>
      <w:tr w14:paraId="546AB3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390646B0">
            <w:pPr>
              <w:spacing w:line="360" w:lineRule="auto"/>
              <w:rPr>
                <w:rFonts w:ascii="宋体" w:hAnsi="宋体" w:cs="宋体"/>
                <w:color w:val="auto"/>
                <w:szCs w:val="21"/>
                <w:highlight w:val="none"/>
              </w:rPr>
            </w:pPr>
          </w:p>
        </w:tc>
        <w:tc>
          <w:tcPr>
            <w:tcW w:w="3300" w:type="dxa"/>
            <w:vAlign w:val="center"/>
          </w:tcPr>
          <w:p w14:paraId="44E3DF59">
            <w:pPr>
              <w:widowControl/>
              <w:spacing w:line="360" w:lineRule="auto"/>
              <w:jc w:val="center"/>
              <w:rPr>
                <w:rFonts w:ascii="宋体" w:hAnsi="宋体" w:cs="宋体"/>
                <w:color w:val="auto"/>
                <w:kern w:val="0"/>
                <w:szCs w:val="21"/>
                <w:highlight w:val="none"/>
              </w:rPr>
            </w:pPr>
          </w:p>
        </w:tc>
        <w:tc>
          <w:tcPr>
            <w:tcW w:w="2145" w:type="dxa"/>
            <w:vAlign w:val="center"/>
          </w:tcPr>
          <w:p w14:paraId="1D5449F6">
            <w:pPr>
              <w:spacing w:line="360" w:lineRule="auto"/>
              <w:jc w:val="left"/>
              <w:rPr>
                <w:rFonts w:ascii="宋体" w:hAnsi="宋体" w:cs="宋体"/>
                <w:color w:val="auto"/>
                <w:szCs w:val="21"/>
                <w:highlight w:val="none"/>
              </w:rPr>
            </w:pPr>
          </w:p>
        </w:tc>
        <w:tc>
          <w:tcPr>
            <w:tcW w:w="2109" w:type="dxa"/>
            <w:vAlign w:val="center"/>
          </w:tcPr>
          <w:p w14:paraId="52423A04">
            <w:pPr>
              <w:spacing w:line="360" w:lineRule="auto"/>
              <w:jc w:val="center"/>
              <w:rPr>
                <w:rFonts w:ascii="宋体" w:hAnsi="宋体" w:cs="宋体"/>
                <w:b/>
                <w:bCs/>
                <w:color w:val="auto"/>
                <w:szCs w:val="21"/>
                <w:highlight w:val="none"/>
              </w:rPr>
            </w:pPr>
          </w:p>
        </w:tc>
      </w:tr>
      <w:tr w14:paraId="448D3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4D8CD331">
            <w:pPr>
              <w:spacing w:line="360" w:lineRule="auto"/>
              <w:rPr>
                <w:rFonts w:ascii="宋体" w:hAnsi="宋体" w:cs="宋体"/>
                <w:color w:val="auto"/>
                <w:szCs w:val="21"/>
                <w:highlight w:val="none"/>
              </w:rPr>
            </w:pPr>
          </w:p>
        </w:tc>
        <w:tc>
          <w:tcPr>
            <w:tcW w:w="3300" w:type="dxa"/>
            <w:vAlign w:val="center"/>
          </w:tcPr>
          <w:p w14:paraId="1DC4C8EC">
            <w:pPr>
              <w:widowControl/>
              <w:spacing w:line="360" w:lineRule="auto"/>
              <w:jc w:val="center"/>
              <w:rPr>
                <w:rFonts w:ascii="宋体" w:hAnsi="宋体" w:cs="宋体"/>
                <w:color w:val="auto"/>
                <w:kern w:val="0"/>
                <w:szCs w:val="21"/>
                <w:highlight w:val="none"/>
              </w:rPr>
            </w:pPr>
          </w:p>
        </w:tc>
        <w:tc>
          <w:tcPr>
            <w:tcW w:w="2145" w:type="dxa"/>
            <w:vAlign w:val="center"/>
          </w:tcPr>
          <w:p w14:paraId="6A933CD6">
            <w:pPr>
              <w:spacing w:line="360" w:lineRule="auto"/>
              <w:jc w:val="left"/>
              <w:rPr>
                <w:rFonts w:ascii="宋体" w:hAnsi="宋体" w:cs="宋体"/>
                <w:color w:val="auto"/>
                <w:szCs w:val="21"/>
                <w:highlight w:val="none"/>
              </w:rPr>
            </w:pPr>
          </w:p>
        </w:tc>
        <w:tc>
          <w:tcPr>
            <w:tcW w:w="2109" w:type="dxa"/>
            <w:vAlign w:val="center"/>
          </w:tcPr>
          <w:p w14:paraId="7C230B28">
            <w:pPr>
              <w:spacing w:line="360" w:lineRule="auto"/>
              <w:jc w:val="center"/>
              <w:rPr>
                <w:rFonts w:ascii="宋体" w:hAnsi="宋体" w:cs="宋体"/>
                <w:b/>
                <w:bCs/>
                <w:color w:val="auto"/>
                <w:szCs w:val="21"/>
                <w:highlight w:val="none"/>
              </w:rPr>
            </w:pPr>
          </w:p>
        </w:tc>
      </w:tr>
      <w:tr w14:paraId="241F8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59DFD364">
            <w:pPr>
              <w:spacing w:line="360" w:lineRule="auto"/>
              <w:rPr>
                <w:rFonts w:ascii="宋体" w:hAnsi="宋体" w:cs="宋体"/>
                <w:color w:val="auto"/>
                <w:szCs w:val="21"/>
                <w:highlight w:val="none"/>
              </w:rPr>
            </w:pPr>
          </w:p>
        </w:tc>
        <w:tc>
          <w:tcPr>
            <w:tcW w:w="3300" w:type="dxa"/>
            <w:vAlign w:val="center"/>
          </w:tcPr>
          <w:p w14:paraId="5A9820C6">
            <w:pPr>
              <w:widowControl/>
              <w:spacing w:line="360" w:lineRule="auto"/>
              <w:jc w:val="center"/>
              <w:rPr>
                <w:rFonts w:ascii="宋体" w:hAnsi="宋体" w:cs="宋体"/>
                <w:color w:val="auto"/>
                <w:kern w:val="0"/>
                <w:szCs w:val="21"/>
                <w:highlight w:val="none"/>
              </w:rPr>
            </w:pPr>
          </w:p>
        </w:tc>
        <w:tc>
          <w:tcPr>
            <w:tcW w:w="2145" w:type="dxa"/>
            <w:vAlign w:val="center"/>
          </w:tcPr>
          <w:p w14:paraId="3BA6C5A8">
            <w:pPr>
              <w:spacing w:line="360" w:lineRule="auto"/>
              <w:jc w:val="left"/>
              <w:rPr>
                <w:rFonts w:ascii="宋体" w:hAnsi="宋体" w:cs="宋体"/>
                <w:color w:val="auto"/>
                <w:szCs w:val="21"/>
                <w:highlight w:val="none"/>
              </w:rPr>
            </w:pPr>
          </w:p>
        </w:tc>
        <w:tc>
          <w:tcPr>
            <w:tcW w:w="2109" w:type="dxa"/>
            <w:vAlign w:val="center"/>
          </w:tcPr>
          <w:p w14:paraId="562926A6">
            <w:pPr>
              <w:spacing w:line="360" w:lineRule="auto"/>
              <w:jc w:val="center"/>
              <w:rPr>
                <w:rFonts w:ascii="宋体" w:hAnsi="宋体" w:cs="宋体"/>
                <w:b/>
                <w:bCs/>
                <w:color w:val="auto"/>
                <w:szCs w:val="21"/>
                <w:highlight w:val="none"/>
              </w:rPr>
            </w:pPr>
          </w:p>
        </w:tc>
      </w:tr>
      <w:tr w14:paraId="11F14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vAlign w:val="center"/>
          </w:tcPr>
          <w:p w14:paraId="649AE496">
            <w:pPr>
              <w:spacing w:line="360" w:lineRule="auto"/>
              <w:rPr>
                <w:rFonts w:ascii="宋体" w:hAnsi="宋体" w:cs="宋体"/>
                <w:color w:val="auto"/>
                <w:szCs w:val="21"/>
                <w:highlight w:val="none"/>
              </w:rPr>
            </w:pPr>
          </w:p>
        </w:tc>
        <w:tc>
          <w:tcPr>
            <w:tcW w:w="3300" w:type="dxa"/>
            <w:vAlign w:val="center"/>
          </w:tcPr>
          <w:p w14:paraId="6BC62561">
            <w:pPr>
              <w:widowControl/>
              <w:spacing w:line="360" w:lineRule="auto"/>
              <w:jc w:val="center"/>
              <w:rPr>
                <w:rFonts w:ascii="宋体" w:hAnsi="宋体" w:cs="宋体"/>
                <w:color w:val="auto"/>
                <w:kern w:val="0"/>
                <w:szCs w:val="21"/>
                <w:highlight w:val="none"/>
              </w:rPr>
            </w:pPr>
          </w:p>
        </w:tc>
        <w:tc>
          <w:tcPr>
            <w:tcW w:w="2145" w:type="dxa"/>
            <w:vAlign w:val="center"/>
          </w:tcPr>
          <w:p w14:paraId="6EAB1298">
            <w:pPr>
              <w:spacing w:line="360" w:lineRule="auto"/>
              <w:jc w:val="left"/>
              <w:rPr>
                <w:rFonts w:ascii="宋体" w:hAnsi="宋体" w:cs="宋体"/>
                <w:color w:val="auto"/>
                <w:szCs w:val="21"/>
                <w:highlight w:val="none"/>
              </w:rPr>
            </w:pPr>
          </w:p>
        </w:tc>
        <w:tc>
          <w:tcPr>
            <w:tcW w:w="2109" w:type="dxa"/>
            <w:vAlign w:val="center"/>
          </w:tcPr>
          <w:p w14:paraId="444E04D8">
            <w:pPr>
              <w:spacing w:line="360" w:lineRule="auto"/>
              <w:jc w:val="center"/>
              <w:rPr>
                <w:rFonts w:ascii="宋体" w:hAnsi="宋体" w:cs="宋体"/>
                <w:b/>
                <w:bCs/>
                <w:color w:val="auto"/>
                <w:szCs w:val="21"/>
                <w:highlight w:val="none"/>
              </w:rPr>
            </w:pPr>
          </w:p>
        </w:tc>
      </w:tr>
      <w:tr w14:paraId="3E7F54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510" w:type="dxa"/>
            <w:gridSpan w:val="2"/>
            <w:vAlign w:val="center"/>
          </w:tcPr>
          <w:p w14:paraId="53945C6B">
            <w:pPr>
              <w:spacing w:line="380" w:lineRule="exact"/>
              <w:jc w:val="center"/>
              <w:rPr>
                <w:rFonts w:ascii="宋体" w:hAnsi="宋体" w:cs="宋体"/>
                <w:color w:val="auto"/>
                <w:sz w:val="24"/>
                <w:highlight w:val="none"/>
              </w:rPr>
            </w:pPr>
            <w:r>
              <w:rPr>
                <w:rFonts w:hint="eastAsia" w:ascii="宋体" w:hAnsi="宋体" w:cs="宋体"/>
                <w:bCs/>
                <w:color w:val="auto"/>
                <w:sz w:val="24"/>
                <w:highlight w:val="none"/>
              </w:rPr>
              <w:t>合计（满分X分）</w:t>
            </w:r>
          </w:p>
        </w:tc>
        <w:tc>
          <w:tcPr>
            <w:tcW w:w="4254" w:type="dxa"/>
            <w:gridSpan w:val="2"/>
            <w:vAlign w:val="center"/>
          </w:tcPr>
          <w:p w14:paraId="0F3A7D4E">
            <w:pPr>
              <w:spacing w:line="360" w:lineRule="auto"/>
              <w:jc w:val="center"/>
              <w:rPr>
                <w:rFonts w:ascii="宋体" w:hAnsi="宋体" w:cs="宋体"/>
                <w:b/>
                <w:bCs/>
                <w:color w:val="auto"/>
                <w:sz w:val="24"/>
                <w:highlight w:val="none"/>
              </w:rPr>
            </w:pPr>
          </w:p>
        </w:tc>
      </w:tr>
    </w:tbl>
    <w:p w14:paraId="618C9589">
      <w:pPr>
        <w:snapToGrid w:val="0"/>
        <w:spacing w:before="120" w:beforeLines="50" w:after="50"/>
        <w:rPr>
          <w:rFonts w:ascii="宋体" w:hAnsi="宋体" w:cs="宋体"/>
          <w:b/>
          <w:color w:val="auto"/>
          <w:sz w:val="32"/>
          <w:szCs w:val="32"/>
          <w:highlight w:val="none"/>
        </w:rPr>
      </w:pPr>
    </w:p>
    <w:p w14:paraId="7259BD67">
      <w:pPr>
        <w:snapToGrid w:val="0"/>
        <w:spacing w:before="120" w:beforeLines="50" w:after="50"/>
        <w:jc w:val="center"/>
        <w:rPr>
          <w:rFonts w:ascii="宋体" w:hAnsi="宋体" w:cs="宋体"/>
          <w:b/>
          <w:color w:val="auto"/>
          <w:sz w:val="32"/>
          <w:szCs w:val="32"/>
          <w:highlight w:val="none"/>
        </w:rPr>
      </w:pPr>
    </w:p>
    <w:p w14:paraId="31607F77">
      <w:pPr>
        <w:snapToGrid w:val="0"/>
        <w:spacing w:before="120" w:beforeLines="50" w:after="50"/>
        <w:jc w:val="center"/>
        <w:rPr>
          <w:rFonts w:ascii="宋体" w:hAnsi="宋体" w:cs="宋体"/>
          <w:b/>
          <w:color w:val="auto"/>
          <w:sz w:val="32"/>
          <w:szCs w:val="32"/>
          <w:highlight w:val="none"/>
        </w:rPr>
      </w:pPr>
    </w:p>
    <w:p w14:paraId="4BA8EA34">
      <w:pPr>
        <w:snapToGrid w:val="0"/>
        <w:spacing w:before="120" w:beforeLines="50" w:after="50"/>
        <w:jc w:val="center"/>
        <w:rPr>
          <w:rFonts w:ascii="宋体" w:hAnsi="宋体" w:cs="宋体"/>
          <w:b/>
          <w:color w:val="auto"/>
          <w:sz w:val="32"/>
          <w:szCs w:val="32"/>
          <w:highlight w:val="none"/>
        </w:rPr>
      </w:pPr>
    </w:p>
    <w:p w14:paraId="28CE25F1">
      <w:pPr>
        <w:snapToGrid w:val="0"/>
        <w:spacing w:before="120" w:beforeLines="50" w:after="50"/>
        <w:jc w:val="center"/>
        <w:rPr>
          <w:rFonts w:ascii="宋体" w:hAnsi="宋体" w:cs="宋体"/>
          <w:b/>
          <w:color w:val="auto"/>
          <w:sz w:val="32"/>
          <w:szCs w:val="32"/>
          <w:highlight w:val="none"/>
        </w:rPr>
      </w:pPr>
    </w:p>
    <w:p w14:paraId="5A69D805">
      <w:pPr>
        <w:snapToGrid w:val="0"/>
        <w:spacing w:before="120" w:beforeLines="50" w:after="50"/>
        <w:jc w:val="center"/>
        <w:rPr>
          <w:rFonts w:ascii="宋体" w:hAnsi="宋体" w:cs="宋体"/>
          <w:b/>
          <w:color w:val="auto"/>
          <w:sz w:val="32"/>
          <w:szCs w:val="32"/>
          <w:highlight w:val="none"/>
        </w:rPr>
      </w:pPr>
    </w:p>
    <w:p w14:paraId="17971EA7">
      <w:pPr>
        <w:snapToGrid w:val="0"/>
        <w:spacing w:before="120" w:beforeLines="50" w:after="50"/>
        <w:jc w:val="center"/>
        <w:rPr>
          <w:rFonts w:ascii="宋体" w:hAnsi="宋体" w:cs="宋体"/>
          <w:b/>
          <w:color w:val="auto"/>
          <w:sz w:val="32"/>
          <w:szCs w:val="32"/>
          <w:highlight w:val="none"/>
        </w:rPr>
      </w:pPr>
    </w:p>
    <w:p w14:paraId="7AE20903">
      <w:pPr>
        <w:snapToGrid w:val="0"/>
        <w:spacing w:before="120" w:beforeLines="50" w:after="50"/>
        <w:jc w:val="center"/>
        <w:rPr>
          <w:rFonts w:ascii="宋体" w:hAnsi="宋体" w:cs="宋体"/>
          <w:b/>
          <w:color w:val="auto"/>
          <w:sz w:val="32"/>
          <w:szCs w:val="32"/>
          <w:highlight w:val="none"/>
        </w:rPr>
      </w:pPr>
    </w:p>
    <w:p w14:paraId="3AFB079B">
      <w:pPr>
        <w:snapToGrid w:val="0"/>
        <w:spacing w:before="120" w:beforeLines="50" w:after="50"/>
        <w:jc w:val="center"/>
        <w:rPr>
          <w:rFonts w:ascii="宋体" w:hAnsi="宋体" w:cs="宋体"/>
          <w:b/>
          <w:color w:val="auto"/>
          <w:sz w:val="32"/>
          <w:szCs w:val="32"/>
          <w:highlight w:val="none"/>
        </w:rPr>
      </w:pPr>
    </w:p>
    <w:p w14:paraId="6BD98EE6">
      <w:pPr>
        <w:snapToGrid w:val="0"/>
        <w:spacing w:before="120" w:beforeLines="50" w:after="50"/>
        <w:rPr>
          <w:rFonts w:ascii="宋体" w:hAnsi="宋体" w:cs="宋体"/>
          <w:b/>
          <w:color w:val="auto"/>
          <w:sz w:val="32"/>
          <w:szCs w:val="32"/>
          <w:highlight w:val="none"/>
        </w:rPr>
      </w:pPr>
    </w:p>
    <w:p w14:paraId="3D954F14">
      <w:pPr>
        <w:snapToGrid w:val="0"/>
        <w:spacing w:before="120" w:beforeLines="50" w:after="50"/>
        <w:jc w:val="center"/>
        <w:rPr>
          <w:rFonts w:ascii="宋体" w:hAnsi="宋体" w:cs="宋体"/>
          <w:b/>
          <w:color w:val="auto"/>
          <w:sz w:val="32"/>
          <w:szCs w:val="32"/>
          <w:highlight w:val="none"/>
        </w:rPr>
      </w:pPr>
    </w:p>
    <w:p w14:paraId="638E283E">
      <w:pPr>
        <w:snapToGrid w:val="0"/>
        <w:spacing w:before="120" w:beforeLines="50" w:after="50"/>
        <w:jc w:val="center"/>
        <w:rPr>
          <w:rFonts w:ascii="宋体" w:hAnsi="宋体" w:cs="宋体"/>
          <w:b/>
          <w:color w:val="auto"/>
          <w:sz w:val="32"/>
          <w:szCs w:val="32"/>
          <w:highlight w:val="none"/>
        </w:rPr>
      </w:pPr>
    </w:p>
    <w:p w14:paraId="5BB06E84">
      <w:pPr>
        <w:snapToGrid w:val="0"/>
        <w:spacing w:before="120" w:beforeLines="50" w:after="50"/>
        <w:jc w:val="center"/>
        <w:rPr>
          <w:rFonts w:ascii="宋体" w:hAnsi="宋体" w:cs="宋体"/>
          <w:b/>
          <w:color w:val="auto"/>
          <w:sz w:val="32"/>
          <w:szCs w:val="32"/>
          <w:highlight w:val="none"/>
        </w:rPr>
      </w:pPr>
      <w:r>
        <w:rPr>
          <w:rFonts w:hint="eastAsia" w:ascii="宋体" w:hAnsi="宋体" w:cs="宋体"/>
          <w:b/>
          <w:color w:val="auto"/>
          <w:sz w:val="32"/>
          <w:szCs w:val="32"/>
          <w:highlight w:val="none"/>
        </w:rPr>
        <w:t>投标声明书</w:t>
      </w:r>
    </w:p>
    <w:p w14:paraId="094DDA9E">
      <w:pPr>
        <w:snapToGrid w:val="0"/>
        <w:spacing w:before="120" w:beforeLines="50" w:after="50" w:line="360" w:lineRule="auto"/>
        <w:rPr>
          <w:rFonts w:ascii="宋体" w:hAnsi="宋体" w:cs="宋体"/>
          <w:color w:val="auto"/>
          <w:sz w:val="24"/>
          <w:highlight w:val="none"/>
        </w:rPr>
      </w:pPr>
    </w:p>
    <w:p w14:paraId="5B39E488">
      <w:pPr>
        <w:snapToGrid w:val="0"/>
        <w:spacing w:before="120" w:beforeLines="50" w:after="50" w:line="360" w:lineRule="auto"/>
        <w:rPr>
          <w:rFonts w:ascii="宋体" w:hAnsi="宋体" w:cs="宋体"/>
          <w:color w:val="auto"/>
          <w:sz w:val="24"/>
          <w:szCs w:val="20"/>
          <w:highlight w:val="none"/>
        </w:rPr>
      </w:pPr>
      <w:r>
        <w:rPr>
          <w:rFonts w:hint="eastAsia" w:ascii="宋体" w:hAnsi="宋体" w:cs="宋体"/>
          <w:color w:val="auto"/>
          <w:sz w:val="24"/>
          <w:highlight w:val="none"/>
        </w:rPr>
        <w:t xml:space="preserve">致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（采购人）：</w:t>
      </w:r>
    </w:p>
    <w:p w14:paraId="0A4378B0">
      <w:pPr>
        <w:snapToGrid w:val="0"/>
        <w:spacing w:before="120" w:beforeLines="50" w:after="50" w:line="360" w:lineRule="auto"/>
        <w:ind w:firstLine="720" w:firstLineChars="300"/>
        <w:rPr>
          <w:rFonts w:ascii="宋体" w:hAnsi="宋体" w:cs="宋体"/>
          <w:color w:val="auto"/>
          <w:sz w:val="24"/>
          <w:szCs w:val="20"/>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（投标人名称）系中华人民共和国合法企业，经营地址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16DC64A">
      <w:pPr>
        <w:snapToGrid w:val="0"/>
        <w:spacing w:before="120" w:beforeLines="50" w:after="50" w:line="360" w:lineRule="auto"/>
        <w:ind w:firstLine="645"/>
        <w:rPr>
          <w:rFonts w:ascii="宋体" w:hAnsi="宋体" w:cs="宋体"/>
          <w:color w:val="auto"/>
          <w:sz w:val="24"/>
          <w:szCs w:val="20"/>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（投标人名称）的法定代表人，我方愿意参加贵方组织的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采购项目的投标，为便于贵方公正、择优地确定中标人及其投标产品和服务，我方就本次投标有关事项郑重声明如下：</w:t>
      </w:r>
    </w:p>
    <w:p w14:paraId="51B9F8E7">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1.我方向贵方提交的所有投标文件、资料都是准确的和真实的。</w:t>
      </w:r>
    </w:p>
    <w:p w14:paraId="7C393C05">
      <w:pPr>
        <w:snapToGrid w:val="0"/>
        <w:spacing w:before="120" w:beforeLines="50"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2.我方不是采购人的附属机构；在获知本项目采购信息后，与采购人聘请的为此项目提供咨询服务的公司及其附属机构没有任何联系。</w:t>
      </w:r>
    </w:p>
    <w:p w14:paraId="6262660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3、我方此次向贵方提供的服务名称为：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94C154C">
      <w:pPr>
        <w:snapToGrid w:val="0"/>
        <w:spacing w:before="120" w:beforeLines="50"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4.我方诚意提请贵方关注：有关该项目的重大决策和事项有：</w:t>
      </w:r>
    </w:p>
    <w:p w14:paraId="0F9C6B53">
      <w:pPr>
        <w:snapToGrid w:val="0"/>
        <w:spacing w:before="120" w:beforeLines="50" w:line="360" w:lineRule="auto"/>
        <w:ind w:firstLine="480" w:firstLineChars="200"/>
        <w:rPr>
          <w:rFonts w:ascii="宋体" w:hAnsi="宋体" w:cs="宋体"/>
          <w:color w:val="auto"/>
          <w:sz w:val="24"/>
          <w:szCs w:val="20"/>
          <w:highlight w:val="none"/>
          <w:u w:val="single"/>
        </w:rPr>
      </w:pPr>
      <w:r>
        <w:rPr>
          <w:rFonts w:hint="eastAsia" w:ascii="宋体" w:hAnsi="宋体" w:cs="宋体"/>
          <w:color w:val="auto"/>
          <w:sz w:val="24"/>
          <w:highlight w:val="none"/>
          <w:u w:val="single"/>
        </w:rPr>
        <w:t>　　　　　　　　　　　　　　　　　　　　　　　　　　　</w:t>
      </w:r>
    </w:p>
    <w:p w14:paraId="1E4753CA">
      <w:pPr>
        <w:pStyle w:val="25"/>
        <w:snapToGrid w:val="0"/>
        <w:spacing w:line="360" w:lineRule="auto"/>
        <w:rPr>
          <w:rFonts w:cs="宋体"/>
          <w:color w:val="auto"/>
          <w:highlight w:val="none"/>
        </w:rPr>
      </w:pPr>
      <w:r>
        <w:rPr>
          <w:rFonts w:hint="eastAsia" w:cs="宋体"/>
          <w:color w:val="auto"/>
          <w:highlight w:val="none"/>
        </w:rPr>
        <w:t>5.我方及由本人担任法定代表人的其他机构最近三年内被通报或者被处罚的违法行为有：（若有，请如实填写；若无，请作出“参加政府采购活动前三年内，在经营活动中没有重大违法记录”的承诺）</w:t>
      </w:r>
    </w:p>
    <w:p w14:paraId="6D856A8E">
      <w:pPr>
        <w:snapToGrid w:val="0"/>
        <w:spacing w:before="120" w:beforeLines="50" w:line="360" w:lineRule="auto"/>
        <w:ind w:firstLine="480" w:firstLineChars="200"/>
        <w:rPr>
          <w:rFonts w:ascii="宋体" w:hAnsi="宋体" w:cs="宋体"/>
          <w:color w:val="auto"/>
          <w:sz w:val="24"/>
          <w:szCs w:val="20"/>
          <w:highlight w:val="none"/>
          <w:u w:val="single"/>
        </w:rPr>
      </w:pPr>
      <w:r>
        <w:rPr>
          <w:rFonts w:hint="eastAsia" w:ascii="宋体" w:hAnsi="宋体" w:cs="宋体"/>
          <w:color w:val="auto"/>
          <w:sz w:val="24"/>
          <w:highlight w:val="none"/>
          <w:u w:val="single"/>
        </w:rPr>
        <w:t>　　　　　　　　　　　　　　　　　　　　　　　　　　　</w:t>
      </w:r>
    </w:p>
    <w:p w14:paraId="5C4F66F3">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6.以上事项如有虚假或隐瞒，我方愿意承担一切后果，并不再寻求任何旨在减轻或免除法律责任的辩解。</w:t>
      </w:r>
    </w:p>
    <w:p w14:paraId="7FB3A337">
      <w:pPr>
        <w:pStyle w:val="28"/>
        <w:tabs>
          <w:tab w:val="left" w:pos="939"/>
        </w:tabs>
        <w:snapToGrid w:val="0"/>
        <w:spacing w:line="400" w:lineRule="exact"/>
        <w:ind w:left="773" w:leftChars="150" w:hanging="458" w:hangingChars="191"/>
        <w:rPr>
          <w:rFonts w:ascii="宋体" w:hAnsi="宋体" w:cs="宋体"/>
          <w:color w:val="auto"/>
          <w:sz w:val="24"/>
          <w:highlight w:val="none"/>
        </w:rPr>
      </w:pPr>
    </w:p>
    <w:p w14:paraId="5CE6DA32">
      <w:pPr>
        <w:snapToGrid w:val="0"/>
        <w:spacing w:before="120" w:beforeLines="50" w:line="400" w:lineRule="exact"/>
        <w:ind w:firstLine="200"/>
        <w:rPr>
          <w:rFonts w:ascii="宋体" w:hAnsi="宋体" w:cs="宋体"/>
          <w:color w:val="auto"/>
          <w:sz w:val="24"/>
          <w:szCs w:val="20"/>
          <w:highlight w:val="none"/>
          <w:u w:val="single"/>
        </w:rPr>
      </w:pPr>
      <w:r>
        <w:rPr>
          <w:rFonts w:hint="eastAsia" w:ascii="宋体" w:hAnsi="宋体"/>
          <w:color w:val="auto"/>
          <w:sz w:val="24"/>
          <w:highlight w:val="none"/>
        </w:rPr>
        <w:t>法定代表人签字（或盖章）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2D81A305">
      <w:pPr>
        <w:snapToGrid w:val="0"/>
        <w:spacing w:before="120" w:beforeLines="50" w:after="50" w:line="400" w:lineRule="exact"/>
        <w:ind w:firstLine="240" w:firstLineChars="100"/>
        <w:rPr>
          <w:rFonts w:ascii="宋体" w:hAnsi="宋体" w:cs="宋体"/>
          <w:color w:val="auto"/>
          <w:sz w:val="24"/>
          <w:highlight w:val="none"/>
        </w:rPr>
      </w:pPr>
      <w:r>
        <w:rPr>
          <w:rFonts w:hint="eastAsia" w:ascii="宋体" w:hAnsi="宋体" w:cs="宋体"/>
          <w:color w:val="auto"/>
          <w:sz w:val="24"/>
          <w:highlight w:val="none"/>
        </w:rPr>
        <w:t>投标人名称（加盖公章）：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338CC448">
      <w:pPr>
        <w:snapToGrid w:val="0"/>
        <w:spacing w:before="120" w:beforeLines="50" w:after="50" w:line="400" w:lineRule="exact"/>
        <w:ind w:firstLine="240" w:firstLineChars="100"/>
        <w:rPr>
          <w:rFonts w:ascii="宋体" w:hAnsi="宋体" w:cs="宋体"/>
          <w:b/>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r>
        <w:rPr>
          <w:rFonts w:ascii="宋体" w:hAnsi="宋体" w:cs="宋体"/>
          <w:b/>
          <w:color w:val="auto"/>
          <w:sz w:val="24"/>
          <w:highlight w:val="none"/>
        </w:rPr>
        <w:br w:type="page"/>
      </w:r>
    </w:p>
    <w:p w14:paraId="1D4E3931">
      <w:pPr>
        <w:snapToGrid w:val="0"/>
        <w:spacing w:before="120" w:beforeLines="50" w:after="50"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法定代表人授权委托书</w:t>
      </w:r>
    </w:p>
    <w:p w14:paraId="033D710C">
      <w:pPr>
        <w:snapToGrid w:val="0"/>
        <w:spacing w:before="120" w:beforeLines="50" w:after="50" w:line="360" w:lineRule="auto"/>
        <w:rPr>
          <w:rFonts w:ascii="宋体" w:hAnsi="宋体" w:cs="宋体"/>
          <w:b/>
          <w:bCs/>
          <w:color w:val="auto"/>
          <w:sz w:val="24"/>
          <w:szCs w:val="20"/>
          <w:highlight w:val="none"/>
        </w:rPr>
      </w:pPr>
      <w:r>
        <w:rPr>
          <w:rFonts w:hint="eastAsia" w:ascii="宋体" w:hAnsi="宋体" w:cs="宋体"/>
          <w:bCs/>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（采购人）：</w:t>
      </w:r>
    </w:p>
    <w:p w14:paraId="208B55B2">
      <w:pPr>
        <w:snapToGrid w:val="0"/>
        <w:spacing w:before="120" w:beforeLines="50" w:after="50" w:line="360" w:lineRule="auto"/>
        <w:ind w:firstLine="720" w:firstLineChars="300"/>
        <w:rPr>
          <w:rFonts w:ascii="宋体" w:hAnsi="宋体" w:cs="宋体"/>
          <w:color w:val="auto"/>
          <w:sz w:val="24"/>
          <w:szCs w:val="20"/>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（投标人名称）的法定代表人，现授权委托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（姓名）以我方的名义参加</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的投标活动，并代表我方全权办理针对上述项目的投标、开标、评标、签约等具体事务和签署相关文件。</w:t>
      </w:r>
    </w:p>
    <w:p w14:paraId="1F4A284D">
      <w:pPr>
        <w:snapToGrid w:val="0"/>
        <w:spacing w:before="120" w:beforeLines="50" w:after="50" w:line="360" w:lineRule="auto"/>
        <w:rPr>
          <w:rFonts w:ascii="宋体" w:hAnsi="宋体" w:cs="宋体"/>
          <w:color w:val="auto"/>
          <w:sz w:val="24"/>
          <w:szCs w:val="20"/>
          <w:highlight w:val="none"/>
        </w:rPr>
      </w:pPr>
      <w:r>
        <w:rPr>
          <w:rFonts w:hint="eastAsia" w:ascii="宋体" w:hAnsi="宋体" w:cs="宋体"/>
          <w:color w:val="auto"/>
          <w:sz w:val="24"/>
          <w:highlight w:val="none"/>
        </w:rPr>
        <w:t xml:space="preserve">    我方对被授权人的签字事项负全部责任。</w:t>
      </w:r>
    </w:p>
    <w:p w14:paraId="5CAEAB26">
      <w:pPr>
        <w:snapToGrid w:val="0"/>
        <w:spacing w:before="120" w:beforeLines="50" w:after="50" w:line="360" w:lineRule="auto"/>
        <w:ind w:firstLine="480"/>
        <w:rPr>
          <w:rFonts w:ascii="宋体" w:hAnsi="宋体" w:cs="宋体"/>
          <w:color w:val="auto"/>
          <w:sz w:val="24"/>
          <w:szCs w:val="20"/>
          <w:highlight w:val="none"/>
        </w:rPr>
      </w:pPr>
      <w:r>
        <w:rPr>
          <w:rFonts w:hint="eastAsia" w:ascii="宋体" w:hAnsi="宋体" w:cs="宋体"/>
          <w:color w:val="auto"/>
          <w:sz w:val="24"/>
          <w:highlight w:val="none"/>
          <w:u w:val="single"/>
        </w:rPr>
        <w:t>在撤销授权的书面通知以前，本授权书一直有效。</w:t>
      </w:r>
      <w:r>
        <w:rPr>
          <w:rFonts w:hint="eastAsia" w:ascii="宋体" w:hAnsi="宋体" w:cs="宋体"/>
          <w:color w:val="auto"/>
          <w:sz w:val="24"/>
          <w:highlight w:val="none"/>
        </w:rPr>
        <w:t>被授权人在授权书有效期内签署的所有文件不因授权的撤销而失效。</w:t>
      </w:r>
    </w:p>
    <w:p w14:paraId="211F0F01">
      <w:pPr>
        <w:snapToGrid w:val="0"/>
        <w:spacing w:before="120" w:beforeLines="50" w:after="50" w:line="360" w:lineRule="auto"/>
        <w:ind w:firstLine="480"/>
        <w:rPr>
          <w:rFonts w:ascii="宋体" w:hAnsi="宋体" w:cs="宋体"/>
          <w:color w:val="auto"/>
          <w:sz w:val="24"/>
          <w:szCs w:val="20"/>
          <w:highlight w:val="none"/>
        </w:rPr>
      </w:pPr>
      <w:r>
        <w:rPr>
          <w:rFonts w:hint="eastAsia" w:ascii="宋体" w:hAnsi="宋体" w:cs="宋体"/>
          <w:color w:val="auto"/>
          <w:sz w:val="24"/>
          <w:highlight w:val="none"/>
        </w:rPr>
        <w:t>被授权人无转委托权，特此委托。</w:t>
      </w:r>
    </w:p>
    <w:p w14:paraId="5487C77C">
      <w:pPr>
        <w:snapToGrid w:val="0"/>
        <w:spacing w:before="120" w:beforeLines="50" w:after="50" w:line="360" w:lineRule="auto"/>
        <w:rPr>
          <w:rFonts w:ascii="宋体" w:hAnsi="宋体" w:cs="宋体"/>
          <w:color w:val="auto"/>
          <w:sz w:val="24"/>
          <w:szCs w:val="20"/>
          <w:highlight w:val="none"/>
        </w:rPr>
      </w:pPr>
    </w:p>
    <w:p w14:paraId="0AF5F883">
      <w:pPr>
        <w:snapToGrid w:val="0"/>
        <w:spacing w:before="120" w:beforeLines="50" w:after="50" w:line="360" w:lineRule="auto"/>
        <w:rPr>
          <w:rFonts w:ascii="宋体" w:hAnsi="宋体" w:cs="宋体"/>
          <w:color w:val="auto"/>
          <w:sz w:val="24"/>
          <w:szCs w:val="20"/>
          <w:highlight w:val="none"/>
          <w:u w:val="single"/>
        </w:rPr>
      </w:pPr>
      <w:r>
        <w:rPr>
          <w:rFonts w:hint="eastAsia" w:ascii="宋体" w:hAnsi="宋体" w:cs="宋体"/>
          <w:color w:val="auto"/>
          <w:sz w:val="24"/>
          <w:highlight w:val="none"/>
        </w:rPr>
        <w:t>法定代表人签字（或盖章）：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被授权人签字（或盖章）：</w:t>
      </w:r>
      <w:r>
        <w:rPr>
          <w:rFonts w:hint="eastAsia" w:ascii="宋体" w:hAnsi="宋体" w:cs="宋体"/>
          <w:color w:val="auto"/>
          <w:sz w:val="24"/>
          <w:highlight w:val="none"/>
          <w:u w:val="single"/>
        </w:rPr>
        <w:t xml:space="preserve">          </w:t>
      </w:r>
    </w:p>
    <w:p w14:paraId="6C13CD2F">
      <w:pPr>
        <w:snapToGrid w:val="0"/>
        <w:spacing w:before="120" w:beforeLines="50" w:after="50" w:line="360" w:lineRule="auto"/>
        <w:ind w:firstLine="960" w:firstLineChars="400"/>
        <w:rPr>
          <w:rFonts w:ascii="宋体" w:hAnsi="宋体" w:cs="宋体"/>
          <w:color w:val="auto"/>
          <w:sz w:val="24"/>
          <w:highlight w:val="none"/>
          <w:u w:val="single"/>
        </w:rPr>
      </w:pPr>
      <w:r>
        <w:rPr>
          <w:rFonts w:hint="eastAsia" w:ascii="宋体" w:hAnsi="宋体" w:cs="宋体"/>
          <w:color w:val="auto"/>
          <w:sz w:val="24"/>
          <w:highlight w:val="none"/>
        </w:rPr>
        <w:t>职务：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职务：</w:t>
      </w:r>
      <w:r>
        <w:rPr>
          <w:rFonts w:hint="eastAsia" w:ascii="宋体" w:hAnsi="宋体" w:cs="宋体"/>
          <w:color w:val="auto"/>
          <w:sz w:val="24"/>
          <w:highlight w:val="none"/>
          <w:u w:val="single"/>
        </w:rPr>
        <w:t xml:space="preserve">           </w:t>
      </w:r>
    </w:p>
    <w:p w14:paraId="74832740">
      <w:pPr>
        <w:snapToGrid w:val="0"/>
        <w:spacing w:before="120" w:beforeLines="50" w:after="50" w:line="360" w:lineRule="auto"/>
        <w:rPr>
          <w:rFonts w:ascii="宋体" w:hAnsi="宋体" w:cs="宋体"/>
          <w:color w:val="auto"/>
          <w:sz w:val="24"/>
          <w:szCs w:val="20"/>
          <w:highlight w:val="none"/>
        </w:rPr>
      </w:pPr>
    </w:p>
    <w:p w14:paraId="3A477B6D">
      <w:pPr>
        <w:snapToGrid w:val="0"/>
        <w:spacing w:before="120" w:beforeLines="50" w:after="50" w:line="360" w:lineRule="auto"/>
        <w:rPr>
          <w:rFonts w:ascii="宋体" w:hAnsi="宋体" w:cs="宋体"/>
          <w:color w:val="auto"/>
          <w:sz w:val="24"/>
          <w:highlight w:val="none"/>
        </w:rPr>
      </w:pPr>
      <w:r>
        <w:rPr>
          <w:rFonts w:hint="eastAsia" w:ascii="宋体" w:hAnsi="宋体" w:cs="宋体"/>
          <w:color w:val="auto"/>
          <w:sz w:val="24"/>
          <w:highlight w:val="none"/>
        </w:rPr>
        <w:t>法定代表人身份证粘贴处（正反面）       被授权人身份证粘贴处（正反面）</w:t>
      </w:r>
    </w:p>
    <w:p w14:paraId="1CC72F74">
      <w:pPr>
        <w:snapToGrid w:val="0"/>
        <w:spacing w:before="120" w:beforeLines="50" w:after="50" w:line="360" w:lineRule="auto"/>
        <w:rPr>
          <w:rFonts w:ascii="宋体" w:hAnsi="宋体" w:cs="宋体"/>
          <w:color w:val="auto"/>
          <w:sz w:val="24"/>
          <w:highlight w:val="none"/>
        </w:rPr>
      </w:pPr>
    </w:p>
    <w:p w14:paraId="4D5692DB">
      <w:pPr>
        <w:snapToGrid w:val="0"/>
        <w:spacing w:before="120" w:beforeLines="50" w:after="50" w:line="360" w:lineRule="auto"/>
        <w:rPr>
          <w:rFonts w:ascii="宋体" w:hAnsi="宋体" w:cs="宋体"/>
          <w:color w:val="auto"/>
          <w:sz w:val="24"/>
          <w:highlight w:val="none"/>
        </w:rPr>
      </w:pPr>
    </w:p>
    <w:p w14:paraId="3B39473C">
      <w:pPr>
        <w:snapToGrid w:val="0"/>
        <w:spacing w:before="120" w:beforeLines="50" w:after="50" w:line="360" w:lineRule="auto"/>
        <w:rPr>
          <w:rFonts w:ascii="宋体" w:hAnsi="宋体" w:cs="宋体"/>
          <w:color w:val="auto"/>
          <w:sz w:val="24"/>
          <w:highlight w:val="none"/>
        </w:rPr>
      </w:pPr>
    </w:p>
    <w:p w14:paraId="5C21288E">
      <w:pPr>
        <w:snapToGrid w:val="0"/>
        <w:spacing w:before="120" w:beforeLines="50" w:after="50" w:line="360" w:lineRule="auto"/>
        <w:rPr>
          <w:rFonts w:ascii="宋体" w:hAnsi="宋体" w:cs="宋体"/>
          <w:color w:val="auto"/>
          <w:sz w:val="24"/>
          <w:highlight w:val="none"/>
        </w:rPr>
      </w:pPr>
      <w:r>
        <w:rPr>
          <w:rFonts w:hint="eastAsia" w:ascii="宋体" w:hAnsi="宋体" w:cs="宋体"/>
          <w:color w:val="auto"/>
          <w:sz w:val="24"/>
          <w:highlight w:val="none"/>
        </w:rPr>
        <w:t>投标人公章：</w:t>
      </w:r>
    </w:p>
    <w:p w14:paraId="6C3D6D16">
      <w:pPr>
        <w:snapToGrid w:val="0"/>
        <w:spacing w:before="120" w:beforeLines="50" w:after="50" w:line="360" w:lineRule="auto"/>
        <w:rPr>
          <w:rFonts w:ascii="宋体" w:hAnsi="宋体" w:cs="宋体"/>
          <w:color w:val="auto"/>
          <w:sz w:val="24"/>
          <w:szCs w:val="20"/>
          <w:highlight w:val="none"/>
        </w:rPr>
      </w:pPr>
    </w:p>
    <w:p w14:paraId="0395D20C">
      <w:pPr>
        <w:snapToGrid w:val="0"/>
        <w:spacing w:before="120" w:beforeLines="50" w:after="50" w:line="360" w:lineRule="auto"/>
        <w:rPr>
          <w:rFonts w:ascii="宋体" w:hAnsi="宋体" w:cs="宋体"/>
          <w:color w:val="auto"/>
          <w:sz w:val="24"/>
          <w:szCs w:val="20"/>
          <w:highlight w:val="none"/>
        </w:rPr>
      </w:pPr>
    </w:p>
    <w:p w14:paraId="4EFA9529">
      <w:pPr>
        <w:snapToGrid w:val="0"/>
        <w:spacing w:before="120" w:beforeLines="50" w:after="50"/>
        <w:jc w:val="right"/>
        <w:rPr>
          <w:rFonts w:ascii="宋体" w:hAnsi="宋体" w:cs="宋体"/>
          <w:color w:val="auto"/>
          <w:sz w:val="24"/>
          <w:highlight w:val="none"/>
        </w:rPr>
      </w:pPr>
      <w:r>
        <w:rPr>
          <w:rFonts w:hint="eastAsia" w:ascii="宋体" w:hAnsi="宋体" w:cs="宋体"/>
          <w:color w:val="auto"/>
          <w:sz w:val="24"/>
          <w:highlight w:val="none"/>
        </w:rPr>
        <w:t xml:space="preserve">                                        年    月    日</w:t>
      </w:r>
    </w:p>
    <w:p w14:paraId="4992D860">
      <w:pPr>
        <w:pStyle w:val="968"/>
        <w:spacing w:line="360" w:lineRule="auto"/>
        <w:rPr>
          <w:rFonts w:hAnsi="宋体" w:eastAsia="宋体" w:cs="宋体"/>
          <w:color w:val="auto"/>
          <w:sz w:val="24"/>
          <w:highlight w:val="none"/>
        </w:rPr>
      </w:pPr>
    </w:p>
    <w:p w14:paraId="4592E8E6">
      <w:pPr>
        <w:snapToGrid w:val="0"/>
        <w:spacing w:before="120" w:beforeLines="50" w:after="50" w:line="360" w:lineRule="auto"/>
        <w:rPr>
          <w:rFonts w:ascii="宋体" w:hAnsi="宋体" w:cs="宋体"/>
          <w:color w:val="auto"/>
          <w:sz w:val="24"/>
          <w:highlight w:val="none"/>
        </w:rPr>
      </w:pPr>
      <w:r>
        <w:rPr>
          <w:rFonts w:hint="eastAsia" w:ascii="宋体" w:hAnsi="宋体" w:cs="宋体"/>
          <w:b/>
          <w:color w:val="auto"/>
          <w:sz w:val="28"/>
          <w:szCs w:val="28"/>
          <w:highlight w:val="none"/>
        </w:rPr>
        <w:t>注：此表请放一页，如要放2页及以上请在每页上都加盖公章。</w:t>
      </w:r>
    </w:p>
    <w:p w14:paraId="0E92FBE7">
      <w:pPr>
        <w:spacing w:line="360" w:lineRule="auto"/>
        <w:jc w:val="left"/>
        <w:rPr>
          <w:rFonts w:ascii="宋体" w:hAnsi="宋体" w:cs="宋体"/>
          <w:b/>
          <w:color w:val="auto"/>
          <w:sz w:val="24"/>
          <w:highlight w:val="none"/>
        </w:rPr>
      </w:pPr>
    </w:p>
    <w:p w14:paraId="55375BAD">
      <w:pPr>
        <w:spacing w:line="360" w:lineRule="auto"/>
        <w:jc w:val="center"/>
        <w:rPr>
          <w:rFonts w:hint="eastAsia" w:ascii="宋体" w:hAnsi="宋体" w:cs="宋体"/>
          <w:b/>
          <w:color w:val="auto"/>
          <w:sz w:val="24"/>
          <w:highlight w:val="none"/>
        </w:rPr>
      </w:pPr>
    </w:p>
    <w:p w14:paraId="732EB861">
      <w:pPr>
        <w:spacing w:line="360" w:lineRule="auto"/>
        <w:jc w:val="center"/>
        <w:rPr>
          <w:rFonts w:hint="eastAsia" w:ascii="宋体" w:hAnsi="宋体" w:cs="宋体"/>
          <w:b/>
          <w:color w:val="auto"/>
          <w:sz w:val="24"/>
          <w:highlight w:val="none"/>
        </w:rPr>
      </w:pPr>
    </w:p>
    <w:p w14:paraId="31036CAD">
      <w:pPr>
        <w:spacing w:line="360" w:lineRule="auto"/>
        <w:jc w:val="center"/>
        <w:rPr>
          <w:rFonts w:hint="eastAsia" w:ascii="宋体" w:hAnsi="宋体" w:cs="宋体"/>
          <w:b/>
          <w:color w:val="auto"/>
          <w:sz w:val="24"/>
          <w:highlight w:val="none"/>
        </w:rPr>
      </w:pPr>
    </w:p>
    <w:p w14:paraId="02ACB70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诚信承诺书</w:t>
      </w:r>
    </w:p>
    <w:p w14:paraId="1DED2A91">
      <w:pPr>
        <w:spacing w:line="360" w:lineRule="auto"/>
        <w:rPr>
          <w:rFonts w:ascii="宋体" w:hAnsi="宋体" w:cs="宋体"/>
          <w:color w:val="auto"/>
          <w:sz w:val="24"/>
          <w:highlight w:val="none"/>
        </w:rPr>
      </w:pPr>
      <w:r>
        <w:rPr>
          <w:rFonts w:hint="eastAsia" w:ascii="宋体" w:hAnsi="宋体" w:cs="宋体"/>
          <w:color w:val="auto"/>
          <w:sz w:val="24"/>
          <w:highlight w:val="none"/>
          <w:u w:val="single"/>
        </w:rPr>
        <w:t xml:space="preserve">（采购人或招标组织机构） </w:t>
      </w:r>
      <w:r>
        <w:rPr>
          <w:rFonts w:hint="eastAsia" w:ascii="宋体" w:hAnsi="宋体" w:cs="宋体"/>
          <w:color w:val="auto"/>
          <w:sz w:val="24"/>
          <w:highlight w:val="none"/>
        </w:rPr>
        <w:t>：</w:t>
      </w:r>
    </w:p>
    <w:p w14:paraId="7820A06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我方在参加贵单位的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的招投标活动中，郑重承诺如下：</w:t>
      </w:r>
    </w:p>
    <w:p w14:paraId="3F32C2D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1、我方申报的所有资料都是真实、准确、完整的；</w:t>
      </w:r>
    </w:p>
    <w:p w14:paraId="20E8F76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2、我方无资质挂靠情形，保证不参与串标、围标及抬标；</w:t>
      </w:r>
    </w:p>
    <w:p w14:paraId="37C6894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3、我方未处于被各级行政主管部门做出停止市场行为处罚的期限内；</w:t>
      </w:r>
    </w:p>
    <w:p w14:paraId="01D0537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4、我方参加本项目政府采购活动前3年内在经营活动中没有重大违法记录；</w:t>
      </w:r>
    </w:p>
    <w:p w14:paraId="3D5E150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5、若我方中标，将严格按照规定及时与采购人签订合同；</w:t>
      </w:r>
    </w:p>
    <w:p w14:paraId="752EF8B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6、若我方中标，将严格按照招标文件要求及投标文件承诺的报价、质量、工期、投标方案、项目负责人等内容组织实施；</w:t>
      </w:r>
    </w:p>
    <w:p w14:paraId="11A0EB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64919AF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特此承诺。</w:t>
      </w:r>
    </w:p>
    <w:p w14:paraId="5EE8D553">
      <w:pPr>
        <w:spacing w:line="360" w:lineRule="auto"/>
        <w:ind w:firstLine="480" w:firstLineChars="200"/>
        <w:rPr>
          <w:rFonts w:ascii="宋体" w:hAnsi="宋体" w:cs="宋体"/>
          <w:color w:val="auto"/>
          <w:sz w:val="24"/>
          <w:highlight w:val="none"/>
        </w:rPr>
      </w:pPr>
    </w:p>
    <w:p w14:paraId="1BA00B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投标人名称（加盖公章）：</w:t>
      </w:r>
      <w:r>
        <w:rPr>
          <w:rFonts w:hint="eastAsia" w:ascii="宋体" w:hAnsi="宋体" w:cs="宋体"/>
          <w:color w:val="auto"/>
          <w:sz w:val="24"/>
          <w:highlight w:val="none"/>
          <w:u w:val="single"/>
        </w:rPr>
        <w:t xml:space="preserve">                         </w:t>
      </w:r>
    </w:p>
    <w:p w14:paraId="2008C460">
      <w:pPr>
        <w:spacing w:line="360" w:lineRule="auto"/>
        <w:ind w:firstLine="480" w:firstLineChars="200"/>
        <w:rPr>
          <w:rFonts w:ascii="宋体" w:hAnsi="宋体" w:cs="宋体"/>
          <w:color w:val="auto"/>
          <w:sz w:val="24"/>
          <w:highlight w:val="none"/>
        </w:rPr>
      </w:pPr>
      <w:r>
        <w:rPr>
          <w:rFonts w:hint="eastAsia" w:ascii="宋体" w:hAnsi="宋体"/>
          <w:color w:val="auto"/>
          <w:sz w:val="24"/>
          <w:highlight w:val="none"/>
        </w:rPr>
        <w:t>法定代表人或被授权人（签字或盖章）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799A8A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389B3C9B">
      <w:pPr>
        <w:pStyle w:val="968"/>
        <w:spacing w:line="360" w:lineRule="auto"/>
        <w:rPr>
          <w:rFonts w:hAnsi="宋体" w:eastAsia="宋体" w:cs="宋体"/>
          <w:color w:val="auto"/>
          <w:sz w:val="24"/>
          <w:highlight w:val="none"/>
        </w:rPr>
      </w:pPr>
    </w:p>
    <w:p w14:paraId="57661D09">
      <w:pPr>
        <w:pStyle w:val="968"/>
        <w:spacing w:line="360" w:lineRule="auto"/>
        <w:rPr>
          <w:rFonts w:hAnsi="宋体" w:eastAsia="宋体" w:cs="宋体"/>
          <w:color w:val="auto"/>
          <w:sz w:val="24"/>
          <w:highlight w:val="none"/>
        </w:rPr>
      </w:pPr>
    </w:p>
    <w:p w14:paraId="75C3C303">
      <w:pPr>
        <w:pStyle w:val="968"/>
        <w:spacing w:line="360" w:lineRule="auto"/>
        <w:rPr>
          <w:rFonts w:hAnsi="宋体" w:eastAsia="宋体" w:cs="宋体"/>
          <w:color w:val="auto"/>
          <w:sz w:val="24"/>
          <w:highlight w:val="none"/>
        </w:rPr>
      </w:pPr>
    </w:p>
    <w:p w14:paraId="5C2428CD">
      <w:pPr>
        <w:pStyle w:val="968"/>
        <w:spacing w:line="360" w:lineRule="auto"/>
        <w:rPr>
          <w:rFonts w:hAnsi="宋体" w:eastAsia="宋体" w:cs="宋体"/>
          <w:color w:val="auto"/>
          <w:sz w:val="24"/>
          <w:highlight w:val="none"/>
        </w:rPr>
      </w:pPr>
    </w:p>
    <w:p w14:paraId="519DEE10">
      <w:pPr>
        <w:pStyle w:val="968"/>
        <w:spacing w:line="360" w:lineRule="auto"/>
        <w:rPr>
          <w:rFonts w:hAnsi="宋体" w:eastAsia="宋体" w:cs="宋体"/>
          <w:color w:val="auto"/>
          <w:sz w:val="24"/>
          <w:highlight w:val="none"/>
        </w:rPr>
      </w:pPr>
    </w:p>
    <w:p w14:paraId="4D4FE044">
      <w:pPr>
        <w:pStyle w:val="968"/>
        <w:spacing w:line="360" w:lineRule="auto"/>
        <w:rPr>
          <w:rFonts w:hAnsi="宋体" w:eastAsia="宋体" w:cs="宋体"/>
          <w:color w:val="auto"/>
          <w:sz w:val="24"/>
          <w:highlight w:val="none"/>
        </w:rPr>
      </w:pPr>
    </w:p>
    <w:p w14:paraId="47199C9B">
      <w:pPr>
        <w:pStyle w:val="968"/>
        <w:spacing w:line="360" w:lineRule="auto"/>
        <w:rPr>
          <w:rFonts w:hAnsi="宋体" w:eastAsia="宋体" w:cs="宋体"/>
          <w:color w:val="auto"/>
          <w:sz w:val="24"/>
          <w:highlight w:val="none"/>
        </w:rPr>
      </w:pPr>
    </w:p>
    <w:p w14:paraId="1972FB18">
      <w:pPr>
        <w:pStyle w:val="968"/>
        <w:spacing w:line="360" w:lineRule="auto"/>
        <w:rPr>
          <w:rFonts w:hAnsi="宋体" w:eastAsia="宋体" w:cs="宋体"/>
          <w:color w:val="auto"/>
          <w:sz w:val="24"/>
          <w:highlight w:val="none"/>
        </w:rPr>
      </w:pPr>
    </w:p>
    <w:p w14:paraId="59B1DF23">
      <w:pPr>
        <w:pStyle w:val="968"/>
        <w:spacing w:line="360" w:lineRule="auto"/>
        <w:rPr>
          <w:rFonts w:hAnsi="宋体" w:eastAsia="宋体" w:cs="宋体"/>
          <w:color w:val="auto"/>
          <w:sz w:val="24"/>
          <w:highlight w:val="none"/>
        </w:rPr>
      </w:pPr>
    </w:p>
    <w:p w14:paraId="70D6DD77">
      <w:pPr>
        <w:pStyle w:val="968"/>
        <w:spacing w:line="360" w:lineRule="auto"/>
        <w:rPr>
          <w:rFonts w:hAnsi="宋体" w:eastAsia="宋体" w:cs="宋体"/>
          <w:b/>
          <w:color w:val="auto"/>
          <w:sz w:val="24"/>
          <w:szCs w:val="24"/>
          <w:highlight w:val="none"/>
        </w:rPr>
      </w:pPr>
    </w:p>
    <w:p w14:paraId="588AFD3D">
      <w:pPr>
        <w:wordWrap w:val="0"/>
        <w:spacing w:before="120" w:beforeLines="50" w:line="360" w:lineRule="auto"/>
        <w:ind w:firstLine="562"/>
        <w:jc w:val="center"/>
        <w:rPr>
          <w:rFonts w:ascii="宋体" w:hAnsi="宋体" w:cs="宋体"/>
          <w:b/>
          <w:color w:val="auto"/>
          <w:sz w:val="28"/>
          <w:szCs w:val="30"/>
          <w:highlight w:val="none"/>
        </w:rPr>
      </w:pPr>
      <w:r>
        <w:rPr>
          <w:rFonts w:hint="eastAsia" w:ascii="宋体" w:hAnsi="宋体" w:cs="宋体"/>
          <w:b/>
          <w:color w:val="auto"/>
          <w:sz w:val="28"/>
          <w:szCs w:val="30"/>
          <w:highlight w:val="none"/>
        </w:rPr>
        <w:t>投标人基本情况表</w:t>
      </w:r>
    </w:p>
    <w:tbl>
      <w:tblPr>
        <w:tblStyle w:val="63"/>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2241"/>
      </w:tblGrid>
      <w:tr w14:paraId="1C7CF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41734E66">
            <w:pPr>
              <w:rPr>
                <w:rFonts w:ascii="宋体" w:hAnsi="宋体" w:cs="宋体"/>
                <w:color w:val="auto"/>
                <w:sz w:val="22"/>
                <w:szCs w:val="28"/>
                <w:highlight w:val="none"/>
              </w:rPr>
            </w:pPr>
            <w:r>
              <w:rPr>
                <w:rFonts w:hint="eastAsia" w:ascii="宋体" w:hAnsi="宋体" w:cs="宋体"/>
                <w:color w:val="auto"/>
                <w:sz w:val="22"/>
                <w:szCs w:val="28"/>
                <w:highlight w:val="none"/>
              </w:rPr>
              <w:t>投标人名称</w:t>
            </w:r>
          </w:p>
        </w:tc>
        <w:tc>
          <w:tcPr>
            <w:tcW w:w="6339" w:type="dxa"/>
            <w:gridSpan w:val="3"/>
            <w:vAlign w:val="center"/>
          </w:tcPr>
          <w:p w14:paraId="4A8266AC">
            <w:pPr>
              <w:ind w:firstLine="480"/>
              <w:rPr>
                <w:rFonts w:ascii="宋体" w:hAnsi="宋体" w:cs="宋体"/>
                <w:color w:val="auto"/>
                <w:sz w:val="22"/>
                <w:szCs w:val="28"/>
                <w:highlight w:val="none"/>
              </w:rPr>
            </w:pPr>
          </w:p>
        </w:tc>
      </w:tr>
      <w:tr w14:paraId="1E54A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50DA8B9">
            <w:pPr>
              <w:rPr>
                <w:rFonts w:ascii="宋体" w:hAnsi="宋体" w:cs="宋体"/>
                <w:color w:val="auto"/>
                <w:sz w:val="22"/>
                <w:szCs w:val="28"/>
                <w:highlight w:val="none"/>
              </w:rPr>
            </w:pPr>
            <w:r>
              <w:rPr>
                <w:rFonts w:hint="eastAsia" w:ascii="宋体" w:hAnsi="宋体" w:cs="宋体"/>
                <w:color w:val="auto"/>
                <w:sz w:val="22"/>
                <w:szCs w:val="28"/>
                <w:highlight w:val="none"/>
              </w:rPr>
              <w:t>地址</w:t>
            </w:r>
          </w:p>
        </w:tc>
        <w:tc>
          <w:tcPr>
            <w:tcW w:w="6339" w:type="dxa"/>
            <w:gridSpan w:val="3"/>
            <w:vAlign w:val="center"/>
          </w:tcPr>
          <w:p w14:paraId="4A18FB6E">
            <w:pPr>
              <w:ind w:firstLine="480"/>
              <w:rPr>
                <w:rFonts w:ascii="宋体" w:hAnsi="宋体" w:cs="宋体"/>
                <w:color w:val="auto"/>
                <w:sz w:val="22"/>
                <w:szCs w:val="28"/>
                <w:highlight w:val="none"/>
              </w:rPr>
            </w:pPr>
          </w:p>
        </w:tc>
      </w:tr>
      <w:tr w14:paraId="7ABD9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2202" w:type="dxa"/>
            <w:vAlign w:val="center"/>
          </w:tcPr>
          <w:p w14:paraId="29DC0024">
            <w:pPr>
              <w:rPr>
                <w:rFonts w:ascii="宋体" w:hAnsi="宋体" w:cs="宋体"/>
                <w:color w:val="auto"/>
                <w:sz w:val="22"/>
                <w:szCs w:val="28"/>
                <w:highlight w:val="none"/>
              </w:rPr>
            </w:pPr>
            <w:r>
              <w:rPr>
                <w:rFonts w:hint="eastAsia" w:ascii="宋体" w:hAnsi="宋体" w:cs="宋体"/>
                <w:color w:val="auto"/>
                <w:sz w:val="22"/>
                <w:szCs w:val="28"/>
                <w:highlight w:val="none"/>
              </w:rPr>
              <w:t>业务（经营）范围</w:t>
            </w:r>
          </w:p>
        </w:tc>
        <w:tc>
          <w:tcPr>
            <w:tcW w:w="2118" w:type="dxa"/>
            <w:vAlign w:val="center"/>
          </w:tcPr>
          <w:p w14:paraId="6F41F443">
            <w:pPr>
              <w:rPr>
                <w:rFonts w:ascii="宋体" w:hAnsi="宋体" w:cs="宋体"/>
                <w:color w:val="auto"/>
                <w:sz w:val="22"/>
                <w:szCs w:val="28"/>
                <w:highlight w:val="none"/>
              </w:rPr>
            </w:pPr>
          </w:p>
        </w:tc>
        <w:tc>
          <w:tcPr>
            <w:tcW w:w="1980" w:type="dxa"/>
            <w:vAlign w:val="center"/>
          </w:tcPr>
          <w:p w14:paraId="2A88B6C7">
            <w:pPr>
              <w:rPr>
                <w:rFonts w:ascii="宋体" w:hAnsi="宋体" w:cs="宋体"/>
                <w:color w:val="auto"/>
                <w:sz w:val="22"/>
                <w:szCs w:val="28"/>
                <w:highlight w:val="none"/>
              </w:rPr>
            </w:pPr>
            <w:r>
              <w:rPr>
                <w:rFonts w:hint="eastAsia" w:ascii="宋体" w:hAnsi="宋体" w:cs="宋体"/>
                <w:color w:val="auto"/>
                <w:sz w:val="22"/>
                <w:szCs w:val="28"/>
                <w:highlight w:val="none"/>
              </w:rPr>
              <w:t>机构类型</w:t>
            </w:r>
          </w:p>
        </w:tc>
        <w:tc>
          <w:tcPr>
            <w:tcW w:w="2241" w:type="dxa"/>
            <w:vAlign w:val="center"/>
          </w:tcPr>
          <w:p w14:paraId="6362B637">
            <w:pPr>
              <w:rPr>
                <w:rFonts w:ascii="宋体" w:hAnsi="宋体" w:cs="宋体"/>
                <w:color w:val="auto"/>
                <w:sz w:val="22"/>
                <w:szCs w:val="28"/>
                <w:highlight w:val="none"/>
              </w:rPr>
            </w:pPr>
          </w:p>
        </w:tc>
      </w:tr>
      <w:tr w14:paraId="6D49C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30BB159">
            <w:pPr>
              <w:rPr>
                <w:rFonts w:ascii="宋体" w:hAnsi="宋体" w:cs="宋体"/>
                <w:color w:val="auto"/>
                <w:sz w:val="22"/>
                <w:szCs w:val="28"/>
                <w:highlight w:val="none"/>
              </w:rPr>
            </w:pPr>
            <w:r>
              <w:rPr>
                <w:rFonts w:hint="eastAsia" w:ascii="宋体" w:hAnsi="宋体" w:cs="宋体"/>
                <w:color w:val="auto"/>
                <w:sz w:val="22"/>
                <w:szCs w:val="28"/>
                <w:highlight w:val="none"/>
              </w:rPr>
              <w:t>成立时间</w:t>
            </w:r>
          </w:p>
        </w:tc>
        <w:tc>
          <w:tcPr>
            <w:tcW w:w="2118" w:type="dxa"/>
            <w:vAlign w:val="center"/>
          </w:tcPr>
          <w:p w14:paraId="6B794D08">
            <w:pPr>
              <w:rPr>
                <w:rFonts w:ascii="宋体" w:hAnsi="宋体" w:cs="宋体"/>
                <w:color w:val="auto"/>
                <w:sz w:val="22"/>
                <w:szCs w:val="28"/>
                <w:highlight w:val="none"/>
              </w:rPr>
            </w:pPr>
          </w:p>
        </w:tc>
        <w:tc>
          <w:tcPr>
            <w:tcW w:w="1980" w:type="dxa"/>
            <w:vAlign w:val="center"/>
          </w:tcPr>
          <w:p w14:paraId="3FDF3D99">
            <w:pPr>
              <w:rPr>
                <w:rFonts w:ascii="宋体" w:hAnsi="宋体" w:cs="宋体"/>
                <w:color w:val="auto"/>
                <w:sz w:val="22"/>
                <w:szCs w:val="28"/>
                <w:highlight w:val="none"/>
              </w:rPr>
            </w:pPr>
          </w:p>
        </w:tc>
        <w:tc>
          <w:tcPr>
            <w:tcW w:w="2241" w:type="dxa"/>
            <w:vAlign w:val="center"/>
          </w:tcPr>
          <w:p w14:paraId="02826EAD">
            <w:pPr>
              <w:rPr>
                <w:rFonts w:ascii="宋体" w:hAnsi="宋体" w:cs="宋体"/>
                <w:color w:val="auto"/>
                <w:sz w:val="22"/>
                <w:szCs w:val="28"/>
                <w:highlight w:val="none"/>
              </w:rPr>
            </w:pPr>
          </w:p>
        </w:tc>
      </w:tr>
      <w:tr w14:paraId="09B31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DF2C0A2">
            <w:pPr>
              <w:rPr>
                <w:rFonts w:ascii="宋体" w:hAnsi="宋体" w:cs="宋体"/>
                <w:color w:val="auto"/>
                <w:sz w:val="22"/>
                <w:szCs w:val="28"/>
                <w:highlight w:val="none"/>
              </w:rPr>
            </w:pPr>
            <w:r>
              <w:rPr>
                <w:rFonts w:hint="eastAsia" w:ascii="宋体" w:hAnsi="宋体" w:cs="宋体"/>
                <w:color w:val="auto"/>
                <w:sz w:val="22"/>
                <w:szCs w:val="28"/>
                <w:highlight w:val="none"/>
              </w:rPr>
              <w:t>法定代表人</w:t>
            </w:r>
          </w:p>
        </w:tc>
        <w:tc>
          <w:tcPr>
            <w:tcW w:w="2118" w:type="dxa"/>
            <w:vAlign w:val="center"/>
          </w:tcPr>
          <w:p w14:paraId="3D1A1877">
            <w:pPr>
              <w:rPr>
                <w:rFonts w:ascii="宋体" w:hAnsi="宋体" w:cs="宋体"/>
                <w:color w:val="auto"/>
                <w:sz w:val="22"/>
                <w:szCs w:val="28"/>
                <w:highlight w:val="none"/>
              </w:rPr>
            </w:pPr>
          </w:p>
        </w:tc>
        <w:tc>
          <w:tcPr>
            <w:tcW w:w="1980" w:type="dxa"/>
            <w:vAlign w:val="center"/>
          </w:tcPr>
          <w:p w14:paraId="039B3488">
            <w:pPr>
              <w:rPr>
                <w:rFonts w:ascii="宋体" w:hAnsi="宋体" w:cs="宋体"/>
                <w:color w:val="auto"/>
                <w:sz w:val="22"/>
                <w:szCs w:val="28"/>
                <w:highlight w:val="none"/>
              </w:rPr>
            </w:pPr>
            <w:r>
              <w:rPr>
                <w:rFonts w:hint="eastAsia" w:ascii="宋体" w:hAnsi="宋体" w:cs="宋体"/>
                <w:color w:val="auto"/>
                <w:sz w:val="22"/>
                <w:szCs w:val="28"/>
                <w:highlight w:val="none"/>
              </w:rPr>
              <w:t>联系电话</w:t>
            </w:r>
          </w:p>
        </w:tc>
        <w:tc>
          <w:tcPr>
            <w:tcW w:w="2241" w:type="dxa"/>
            <w:vAlign w:val="center"/>
          </w:tcPr>
          <w:p w14:paraId="7AF214D7">
            <w:pPr>
              <w:rPr>
                <w:rFonts w:ascii="宋体" w:hAnsi="宋体" w:cs="宋体"/>
                <w:color w:val="auto"/>
                <w:sz w:val="22"/>
                <w:szCs w:val="28"/>
                <w:highlight w:val="none"/>
              </w:rPr>
            </w:pPr>
          </w:p>
        </w:tc>
      </w:tr>
      <w:tr w14:paraId="675AB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2202" w:type="dxa"/>
            <w:vAlign w:val="center"/>
          </w:tcPr>
          <w:p w14:paraId="13FB2C5E">
            <w:pPr>
              <w:rPr>
                <w:rFonts w:ascii="宋体" w:hAnsi="宋体" w:cs="宋体"/>
                <w:color w:val="auto"/>
                <w:sz w:val="22"/>
                <w:szCs w:val="28"/>
                <w:highlight w:val="none"/>
              </w:rPr>
            </w:pPr>
            <w:r>
              <w:rPr>
                <w:rFonts w:hint="eastAsia" w:ascii="宋体" w:hAnsi="宋体" w:cs="宋体"/>
                <w:color w:val="auto"/>
                <w:sz w:val="22"/>
                <w:szCs w:val="28"/>
                <w:highlight w:val="none"/>
              </w:rPr>
              <w:t>注册资本</w:t>
            </w:r>
          </w:p>
        </w:tc>
        <w:tc>
          <w:tcPr>
            <w:tcW w:w="2118" w:type="dxa"/>
            <w:vAlign w:val="center"/>
          </w:tcPr>
          <w:p w14:paraId="79A63AA4">
            <w:pPr>
              <w:rPr>
                <w:rFonts w:ascii="宋体" w:hAnsi="宋体" w:cs="宋体"/>
                <w:color w:val="auto"/>
                <w:sz w:val="22"/>
                <w:szCs w:val="28"/>
                <w:highlight w:val="none"/>
              </w:rPr>
            </w:pPr>
          </w:p>
        </w:tc>
        <w:tc>
          <w:tcPr>
            <w:tcW w:w="1980" w:type="dxa"/>
            <w:vAlign w:val="center"/>
          </w:tcPr>
          <w:p w14:paraId="597B6F6B">
            <w:pPr>
              <w:rPr>
                <w:rFonts w:ascii="宋体" w:hAnsi="宋体" w:cs="宋体"/>
                <w:color w:val="auto"/>
                <w:sz w:val="22"/>
                <w:szCs w:val="28"/>
                <w:highlight w:val="none"/>
              </w:rPr>
            </w:pPr>
            <w:r>
              <w:rPr>
                <w:rFonts w:hint="eastAsia" w:ascii="宋体" w:hAnsi="宋体" w:cs="宋体"/>
                <w:color w:val="auto"/>
                <w:sz w:val="22"/>
                <w:szCs w:val="28"/>
                <w:highlight w:val="none"/>
              </w:rPr>
              <w:t>技术人员数</w:t>
            </w:r>
          </w:p>
        </w:tc>
        <w:tc>
          <w:tcPr>
            <w:tcW w:w="2241" w:type="dxa"/>
            <w:vAlign w:val="center"/>
          </w:tcPr>
          <w:p w14:paraId="7F49D572">
            <w:pPr>
              <w:rPr>
                <w:rFonts w:ascii="宋体" w:hAnsi="宋体" w:cs="宋体"/>
                <w:color w:val="auto"/>
                <w:sz w:val="22"/>
                <w:szCs w:val="28"/>
                <w:highlight w:val="none"/>
              </w:rPr>
            </w:pPr>
          </w:p>
        </w:tc>
      </w:tr>
      <w:tr w14:paraId="69BF6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92C8F2E">
            <w:pPr>
              <w:rPr>
                <w:rFonts w:ascii="宋体" w:hAnsi="宋体" w:cs="宋体"/>
                <w:color w:val="auto"/>
                <w:sz w:val="22"/>
                <w:szCs w:val="28"/>
                <w:highlight w:val="none"/>
              </w:rPr>
            </w:pPr>
            <w:r>
              <w:rPr>
                <w:rFonts w:hint="eastAsia" w:ascii="宋体" w:hAnsi="宋体" w:cs="宋体"/>
                <w:color w:val="auto"/>
                <w:sz w:val="22"/>
                <w:szCs w:val="28"/>
                <w:highlight w:val="none"/>
              </w:rPr>
              <w:t>是否依法纳税</w:t>
            </w:r>
          </w:p>
        </w:tc>
        <w:tc>
          <w:tcPr>
            <w:tcW w:w="2118" w:type="dxa"/>
            <w:vAlign w:val="center"/>
          </w:tcPr>
          <w:p w14:paraId="3A7831C9">
            <w:pPr>
              <w:rPr>
                <w:rFonts w:ascii="宋体" w:hAnsi="宋体" w:cs="宋体"/>
                <w:color w:val="auto"/>
                <w:sz w:val="22"/>
                <w:szCs w:val="28"/>
                <w:highlight w:val="none"/>
              </w:rPr>
            </w:pPr>
          </w:p>
        </w:tc>
        <w:tc>
          <w:tcPr>
            <w:tcW w:w="1980" w:type="dxa"/>
            <w:vAlign w:val="center"/>
          </w:tcPr>
          <w:p w14:paraId="7B1F5266">
            <w:pPr>
              <w:jc w:val="center"/>
              <w:rPr>
                <w:rFonts w:ascii="宋体" w:hAnsi="宋体" w:cs="宋体"/>
                <w:color w:val="auto"/>
                <w:sz w:val="22"/>
                <w:szCs w:val="28"/>
                <w:highlight w:val="none"/>
              </w:rPr>
            </w:pPr>
            <w:r>
              <w:rPr>
                <w:rFonts w:hint="eastAsia" w:ascii="宋体" w:hAnsi="宋体" w:cs="宋体"/>
                <w:color w:val="auto"/>
                <w:sz w:val="22"/>
                <w:szCs w:val="28"/>
                <w:highlight w:val="none"/>
              </w:rPr>
              <w:t>是否参加社保</w:t>
            </w:r>
          </w:p>
        </w:tc>
        <w:tc>
          <w:tcPr>
            <w:tcW w:w="2241" w:type="dxa"/>
            <w:vAlign w:val="center"/>
          </w:tcPr>
          <w:p w14:paraId="34D454A9">
            <w:pPr>
              <w:rPr>
                <w:rFonts w:ascii="宋体" w:hAnsi="宋体" w:cs="宋体"/>
                <w:color w:val="auto"/>
                <w:sz w:val="22"/>
                <w:szCs w:val="28"/>
                <w:highlight w:val="none"/>
              </w:rPr>
            </w:pPr>
          </w:p>
        </w:tc>
      </w:tr>
      <w:tr w14:paraId="2219B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3D615138">
            <w:pPr>
              <w:rPr>
                <w:rFonts w:ascii="宋体" w:hAnsi="宋体" w:cs="宋体"/>
                <w:color w:val="auto"/>
                <w:sz w:val="22"/>
                <w:szCs w:val="28"/>
                <w:highlight w:val="none"/>
              </w:rPr>
            </w:pPr>
            <w:r>
              <w:rPr>
                <w:rFonts w:hint="eastAsia" w:ascii="宋体" w:hAnsi="宋体" w:cs="宋体"/>
                <w:color w:val="auto"/>
                <w:sz w:val="22"/>
                <w:szCs w:val="28"/>
                <w:highlight w:val="none"/>
              </w:rPr>
              <w:t>服务机构情况</w:t>
            </w:r>
          </w:p>
        </w:tc>
        <w:tc>
          <w:tcPr>
            <w:tcW w:w="6339" w:type="dxa"/>
            <w:gridSpan w:val="3"/>
            <w:vAlign w:val="center"/>
          </w:tcPr>
          <w:p w14:paraId="35995D38">
            <w:pPr>
              <w:jc w:val="left"/>
              <w:rPr>
                <w:rFonts w:ascii="宋体" w:hAnsi="宋体" w:cs="宋体"/>
                <w:color w:val="auto"/>
                <w:sz w:val="22"/>
                <w:szCs w:val="28"/>
                <w:highlight w:val="none"/>
              </w:rPr>
            </w:pPr>
            <w:r>
              <w:rPr>
                <w:rFonts w:hint="eastAsia" w:ascii="宋体" w:hAnsi="宋体" w:cs="宋体"/>
                <w:color w:val="auto"/>
                <w:sz w:val="22"/>
                <w:szCs w:val="28"/>
                <w:highlight w:val="none"/>
              </w:rPr>
              <w:t>服务机构名称：</w:t>
            </w:r>
          </w:p>
          <w:p w14:paraId="2A20A020">
            <w:pPr>
              <w:jc w:val="left"/>
              <w:rPr>
                <w:rFonts w:ascii="宋体" w:hAnsi="宋体" w:cs="宋体"/>
                <w:color w:val="auto"/>
                <w:sz w:val="22"/>
                <w:szCs w:val="28"/>
                <w:highlight w:val="none"/>
              </w:rPr>
            </w:pPr>
            <w:r>
              <w:rPr>
                <w:rFonts w:hint="eastAsia" w:ascii="宋体" w:hAnsi="宋体" w:cs="宋体"/>
                <w:color w:val="auto"/>
                <w:sz w:val="22"/>
                <w:szCs w:val="28"/>
                <w:highlight w:val="none"/>
              </w:rPr>
              <w:t>地址：</w:t>
            </w:r>
          </w:p>
          <w:p w14:paraId="1D221674">
            <w:pPr>
              <w:jc w:val="left"/>
              <w:rPr>
                <w:rFonts w:ascii="宋体" w:hAnsi="宋体" w:cs="宋体"/>
                <w:color w:val="auto"/>
                <w:sz w:val="22"/>
                <w:szCs w:val="28"/>
                <w:highlight w:val="none"/>
              </w:rPr>
            </w:pPr>
            <w:r>
              <w:rPr>
                <w:rFonts w:hint="eastAsia" w:ascii="宋体" w:hAnsi="宋体" w:cs="宋体"/>
                <w:color w:val="auto"/>
                <w:sz w:val="22"/>
                <w:szCs w:val="28"/>
                <w:highlight w:val="none"/>
              </w:rPr>
              <w:t>人员状况：</w:t>
            </w:r>
          </w:p>
          <w:p w14:paraId="36017DCD">
            <w:pPr>
              <w:jc w:val="left"/>
              <w:rPr>
                <w:rFonts w:ascii="宋体" w:hAnsi="宋体" w:cs="宋体"/>
                <w:color w:val="auto"/>
                <w:sz w:val="22"/>
                <w:szCs w:val="28"/>
                <w:highlight w:val="none"/>
              </w:rPr>
            </w:pPr>
            <w:r>
              <w:rPr>
                <w:rFonts w:hint="eastAsia" w:ascii="宋体" w:hAnsi="宋体" w:cs="宋体"/>
                <w:color w:val="auto"/>
                <w:sz w:val="22"/>
                <w:szCs w:val="28"/>
                <w:highlight w:val="none"/>
              </w:rPr>
              <w:t>联系方式：</w:t>
            </w:r>
          </w:p>
          <w:p w14:paraId="4FDD8CCB">
            <w:pPr>
              <w:jc w:val="left"/>
              <w:rPr>
                <w:rFonts w:ascii="宋体" w:hAnsi="宋体" w:cs="宋体"/>
                <w:color w:val="auto"/>
                <w:sz w:val="22"/>
                <w:szCs w:val="28"/>
                <w:highlight w:val="none"/>
              </w:rPr>
            </w:pPr>
            <w:r>
              <w:rPr>
                <w:rFonts w:hint="eastAsia" w:ascii="宋体" w:hAnsi="宋体" w:cs="宋体"/>
                <w:color w:val="auto"/>
                <w:sz w:val="22"/>
                <w:szCs w:val="28"/>
                <w:highlight w:val="none"/>
              </w:rPr>
              <w:t>（可另附纸说明）</w:t>
            </w:r>
          </w:p>
        </w:tc>
      </w:tr>
    </w:tbl>
    <w:p w14:paraId="279DC2FC">
      <w:pPr>
        <w:wordWrap w:val="0"/>
        <w:spacing w:before="120" w:beforeLines="50"/>
        <w:rPr>
          <w:rFonts w:ascii="宋体" w:hAnsi="宋体" w:cs="宋体"/>
          <w:b/>
          <w:bCs/>
          <w:color w:val="auto"/>
          <w:sz w:val="24"/>
          <w:highlight w:val="none"/>
          <w:lang w:bidi="ar"/>
        </w:rPr>
      </w:pPr>
    </w:p>
    <w:p w14:paraId="7169D282">
      <w:pPr>
        <w:wordWrap w:val="0"/>
        <w:spacing w:line="360" w:lineRule="auto"/>
        <w:ind w:firstLine="480"/>
        <w:jc w:val="right"/>
        <w:rPr>
          <w:rFonts w:ascii="宋体" w:hAnsi="宋体" w:cs="宋体"/>
          <w:color w:val="auto"/>
          <w:sz w:val="24"/>
          <w:highlight w:val="none"/>
          <w:lang w:bidi="ar"/>
        </w:rPr>
      </w:pPr>
    </w:p>
    <w:p w14:paraId="3803F7A0">
      <w:pPr>
        <w:spacing w:line="360" w:lineRule="auto"/>
        <w:jc w:val="left"/>
        <w:rPr>
          <w:rFonts w:ascii="宋体" w:hAnsi="宋体" w:cs="宋体"/>
          <w:color w:val="auto"/>
          <w:sz w:val="24"/>
          <w:highlight w:val="none"/>
          <w:u w:val="single"/>
          <w:lang w:bidi="ar"/>
        </w:rPr>
      </w:pPr>
      <w:r>
        <w:rPr>
          <w:rFonts w:hint="eastAsia" w:ascii="宋体" w:hAnsi="宋体" w:cs="宋体"/>
          <w:color w:val="auto"/>
          <w:sz w:val="24"/>
          <w:highlight w:val="none"/>
          <w:lang w:bidi="ar"/>
        </w:rPr>
        <w:t>投标人名称（加盖公章）：</w:t>
      </w:r>
      <w:r>
        <w:rPr>
          <w:rFonts w:hint="eastAsia" w:ascii="宋体" w:hAnsi="宋体" w:cs="宋体"/>
          <w:color w:val="auto"/>
          <w:sz w:val="24"/>
          <w:highlight w:val="none"/>
          <w:u w:val="single"/>
          <w:lang w:bidi="ar"/>
        </w:rPr>
        <w:t xml:space="preserve">                  </w:t>
      </w:r>
    </w:p>
    <w:p w14:paraId="6BF7919E">
      <w:pPr>
        <w:spacing w:line="360" w:lineRule="auto"/>
        <w:jc w:val="left"/>
        <w:rPr>
          <w:rFonts w:ascii="宋体" w:hAnsi="宋体" w:cs="宋体"/>
          <w:color w:val="auto"/>
          <w:sz w:val="24"/>
          <w:highlight w:val="none"/>
          <w:u w:val="single"/>
          <w:lang w:bidi="ar"/>
        </w:rPr>
      </w:pPr>
      <w:r>
        <w:rPr>
          <w:rFonts w:hint="eastAsia" w:ascii="宋体" w:hAnsi="宋体"/>
          <w:color w:val="auto"/>
          <w:sz w:val="24"/>
          <w:highlight w:val="none"/>
        </w:rPr>
        <w:t>法定代表人或被授权人（签字或盖章）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10060A19">
      <w:pPr>
        <w:pStyle w:val="968"/>
        <w:spacing w:line="360" w:lineRule="auto"/>
        <w:jc w:val="left"/>
        <w:rPr>
          <w:rFonts w:hAnsi="宋体" w:eastAsia="宋体" w:cs="宋体"/>
          <w:color w:val="auto"/>
          <w:sz w:val="24"/>
          <w:szCs w:val="24"/>
          <w:highlight w:val="none"/>
          <w:lang w:bidi="ar"/>
        </w:rPr>
      </w:pPr>
      <w:r>
        <w:rPr>
          <w:rFonts w:hint="eastAsia" w:hAnsi="宋体" w:eastAsia="宋体" w:cs="宋体"/>
          <w:color w:val="auto"/>
          <w:sz w:val="24"/>
          <w:szCs w:val="24"/>
          <w:highlight w:val="none"/>
          <w:lang w:bidi="ar"/>
        </w:rPr>
        <w:t>日期：_____年____月____日</w:t>
      </w:r>
    </w:p>
    <w:p w14:paraId="1159CF67">
      <w:pPr>
        <w:pStyle w:val="968"/>
        <w:spacing w:line="360" w:lineRule="auto"/>
        <w:jc w:val="center"/>
        <w:rPr>
          <w:rFonts w:hAnsi="宋体" w:eastAsia="宋体" w:cs="宋体"/>
          <w:b/>
          <w:color w:val="auto"/>
          <w:sz w:val="24"/>
          <w:szCs w:val="24"/>
          <w:highlight w:val="none"/>
        </w:rPr>
      </w:pPr>
    </w:p>
    <w:p w14:paraId="5F888B80">
      <w:pPr>
        <w:pStyle w:val="968"/>
        <w:spacing w:line="360" w:lineRule="auto"/>
        <w:jc w:val="center"/>
        <w:rPr>
          <w:rFonts w:hAnsi="宋体" w:eastAsia="宋体" w:cs="宋体"/>
          <w:b/>
          <w:color w:val="auto"/>
          <w:sz w:val="24"/>
          <w:szCs w:val="24"/>
          <w:highlight w:val="none"/>
        </w:rPr>
      </w:pPr>
    </w:p>
    <w:p w14:paraId="7CB4B8DF">
      <w:pPr>
        <w:pStyle w:val="968"/>
        <w:spacing w:line="360" w:lineRule="auto"/>
        <w:jc w:val="center"/>
        <w:rPr>
          <w:rFonts w:hAnsi="宋体" w:eastAsia="宋体" w:cs="宋体"/>
          <w:b/>
          <w:color w:val="auto"/>
          <w:sz w:val="24"/>
          <w:szCs w:val="24"/>
          <w:highlight w:val="none"/>
        </w:rPr>
      </w:pPr>
    </w:p>
    <w:p w14:paraId="383DAC00">
      <w:pPr>
        <w:pStyle w:val="968"/>
        <w:spacing w:line="360" w:lineRule="auto"/>
        <w:jc w:val="center"/>
        <w:rPr>
          <w:rFonts w:hAnsi="宋体" w:eastAsia="宋体" w:cs="宋体"/>
          <w:b/>
          <w:color w:val="auto"/>
          <w:sz w:val="24"/>
          <w:szCs w:val="24"/>
          <w:highlight w:val="none"/>
        </w:rPr>
      </w:pPr>
    </w:p>
    <w:p w14:paraId="6E21408F">
      <w:pPr>
        <w:pStyle w:val="968"/>
        <w:spacing w:line="360" w:lineRule="auto"/>
        <w:jc w:val="center"/>
        <w:rPr>
          <w:rFonts w:hAnsi="宋体" w:eastAsia="宋体" w:cs="宋体"/>
          <w:b/>
          <w:color w:val="auto"/>
          <w:sz w:val="24"/>
          <w:szCs w:val="24"/>
          <w:highlight w:val="none"/>
        </w:rPr>
      </w:pPr>
    </w:p>
    <w:p w14:paraId="6AE4CDF8">
      <w:pPr>
        <w:pStyle w:val="968"/>
        <w:spacing w:line="360" w:lineRule="auto"/>
        <w:jc w:val="center"/>
        <w:rPr>
          <w:rFonts w:hAnsi="宋体" w:eastAsia="宋体" w:cs="宋体"/>
          <w:b/>
          <w:color w:val="auto"/>
          <w:sz w:val="24"/>
          <w:szCs w:val="24"/>
          <w:highlight w:val="none"/>
        </w:rPr>
      </w:pPr>
    </w:p>
    <w:p w14:paraId="1D651C37">
      <w:pPr>
        <w:pStyle w:val="968"/>
        <w:spacing w:line="360" w:lineRule="auto"/>
        <w:rPr>
          <w:rFonts w:hAnsi="宋体" w:eastAsia="宋体" w:cs="宋体"/>
          <w:b/>
          <w:color w:val="auto"/>
          <w:sz w:val="24"/>
          <w:szCs w:val="24"/>
          <w:highlight w:val="none"/>
        </w:rPr>
      </w:pPr>
    </w:p>
    <w:p w14:paraId="13E7235D">
      <w:pPr>
        <w:pStyle w:val="968"/>
        <w:spacing w:line="360" w:lineRule="auto"/>
        <w:jc w:val="center"/>
        <w:rPr>
          <w:rFonts w:hint="eastAsia" w:hAnsi="宋体" w:eastAsia="宋体" w:cs="宋体"/>
          <w:b/>
          <w:color w:val="auto"/>
          <w:sz w:val="24"/>
          <w:szCs w:val="24"/>
          <w:highlight w:val="none"/>
        </w:rPr>
      </w:pPr>
    </w:p>
    <w:p w14:paraId="006CC3B2">
      <w:pPr>
        <w:pStyle w:val="968"/>
        <w:spacing w:line="360" w:lineRule="auto"/>
        <w:jc w:val="center"/>
        <w:rPr>
          <w:rFonts w:hAnsi="宋体" w:eastAsia="宋体" w:cs="宋体"/>
          <w:b/>
          <w:color w:val="auto"/>
          <w:sz w:val="24"/>
          <w:szCs w:val="24"/>
          <w:highlight w:val="none"/>
        </w:rPr>
      </w:pPr>
      <w:r>
        <w:rPr>
          <w:rFonts w:hint="eastAsia" w:hAnsi="宋体" w:eastAsia="宋体" w:cs="宋体"/>
          <w:b/>
          <w:color w:val="auto"/>
          <w:sz w:val="24"/>
          <w:szCs w:val="24"/>
          <w:highlight w:val="none"/>
        </w:rPr>
        <w:t>同类业绩一览表</w:t>
      </w:r>
    </w:p>
    <w:tbl>
      <w:tblPr>
        <w:tblStyle w:val="63"/>
        <w:tblW w:w="100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2943"/>
        <w:gridCol w:w="2565"/>
        <w:gridCol w:w="1311"/>
        <w:gridCol w:w="1311"/>
        <w:gridCol w:w="1298"/>
      </w:tblGrid>
      <w:tr w14:paraId="7CCE2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631" w:type="dxa"/>
            <w:vAlign w:val="center"/>
          </w:tcPr>
          <w:p w14:paraId="5A14101A">
            <w:pPr>
              <w:jc w:val="center"/>
              <w:rPr>
                <w:rFonts w:ascii="宋体" w:hAnsi="宋体"/>
                <w:bCs/>
                <w:color w:val="auto"/>
                <w:szCs w:val="21"/>
                <w:highlight w:val="none"/>
              </w:rPr>
            </w:pPr>
            <w:r>
              <w:rPr>
                <w:rFonts w:hint="eastAsia" w:ascii="宋体" w:hAnsi="宋体"/>
                <w:bCs/>
                <w:color w:val="auto"/>
                <w:szCs w:val="21"/>
                <w:highlight w:val="none"/>
              </w:rPr>
              <w:t>序号</w:t>
            </w:r>
          </w:p>
        </w:tc>
        <w:tc>
          <w:tcPr>
            <w:tcW w:w="2943" w:type="dxa"/>
            <w:vAlign w:val="center"/>
          </w:tcPr>
          <w:p w14:paraId="333DFF0A">
            <w:pPr>
              <w:jc w:val="center"/>
              <w:rPr>
                <w:rFonts w:ascii="宋体" w:hAnsi="宋体"/>
                <w:bCs/>
                <w:color w:val="auto"/>
                <w:szCs w:val="21"/>
                <w:highlight w:val="none"/>
              </w:rPr>
            </w:pPr>
            <w:r>
              <w:rPr>
                <w:rFonts w:hint="eastAsia" w:ascii="宋体" w:hAnsi="宋体"/>
                <w:bCs/>
                <w:color w:val="auto"/>
                <w:szCs w:val="21"/>
                <w:highlight w:val="none"/>
              </w:rPr>
              <w:t>采购人名称</w:t>
            </w:r>
          </w:p>
        </w:tc>
        <w:tc>
          <w:tcPr>
            <w:tcW w:w="2565" w:type="dxa"/>
            <w:vAlign w:val="center"/>
          </w:tcPr>
          <w:p w14:paraId="4572699A">
            <w:pPr>
              <w:tabs>
                <w:tab w:val="left" w:pos="6252"/>
              </w:tabs>
              <w:jc w:val="center"/>
              <w:rPr>
                <w:rFonts w:ascii="宋体" w:hAnsi="宋体"/>
                <w:bCs/>
                <w:color w:val="auto"/>
                <w:szCs w:val="21"/>
                <w:highlight w:val="none"/>
              </w:rPr>
            </w:pPr>
            <w:r>
              <w:rPr>
                <w:rFonts w:hint="eastAsia" w:ascii="宋体" w:hAnsi="宋体"/>
                <w:bCs/>
                <w:color w:val="auto"/>
                <w:szCs w:val="21"/>
                <w:highlight w:val="none"/>
              </w:rPr>
              <w:t>项目名称</w:t>
            </w:r>
          </w:p>
        </w:tc>
        <w:tc>
          <w:tcPr>
            <w:tcW w:w="1311" w:type="dxa"/>
            <w:vAlign w:val="center"/>
          </w:tcPr>
          <w:p w14:paraId="27EC136F">
            <w:pPr>
              <w:tabs>
                <w:tab w:val="left" w:pos="6252"/>
              </w:tabs>
              <w:jc w:val="center"/>
              <w:rPr>
                <w:rFonts w:ascii="宋体" w:hAnsi="宋体"/>
                <w:bCs/>
                <w:color w:val="auto"/>
                <w:szCs w:val="21"/>
                <w:highlight w:val="none"/>
              </w:rPr>
            </w:pPr>
            <w:r>
              <w:rPr>
                <w:rFonts w:hint="eastAsia" w:ascii="宋体" w:hAnsi="宋体"/>
                <w:bCs/>
                <w:color w:val="auto"/>
                <w:szCs w:val="21"/>
                <w:highlight w:val="none"/>
              </w:rPr>
              <w:t>服务内容</w:t>
            </w:r>
          </w:p>
        </w:tc>
        <w:tc>
          <w:tcPr>
            <w:tcW w:w="1311" w:type="dxa"/>
            <w:vAlign w:val="center"/>
          </w:tcPr>
          <w:p w14:paraId="2ED5E3AE">
            <w:pPr>
              <w:tabs>
                <w:tab w:val="left" w:pos="6252"/>
              </w:tabs>
              <w:jc w:val="center"/>
              <w:rPr>
                <w:rFonts w:ascii="宋体" w:hAnsi="宋体"/>
                <w:bCs/>
                <w:color w:val="auto"/>
                <w:szCs w:val="21"/>
                <w:highlight w:val="none"/>
              </w:rPr>
            </w:pPr>
            <w:r>
              <w:rPr>
                <w:rFonts w:hint="eastAsia" w:ascii="宋体" w:hAnsi="宋体"/>
                <w:bCs/>
                <w:color w:val="auto"/>
                <w:szCs w:val="21"/>
                <w:highlight w:val="none"/>
              </w:rPr>
              <w:t>服务期限</w:t>
            </w:r>
          </w:p>
        </w:tc>
        <w:tc>
          <w:tcPr>
            <w:tcW w:w="1298" w:type="dxa"/>
            <w:vAlign w:val="center"/>
          </w:tcPr>
          <w:p w14:paraId="0DC0E9A7">
            <w:pPr>
              <w:tabs>
                <w:tab w:val="left" w:pos="6252"/>
              </w:tabs>
              <w:jc w:val="center"/>
              <w:rPr>
                <w:rFonts w:ascii="宋体" w:hAnsi="宋体"/>
                <w:bCs/>
                <w:color w:val="auto"/>
                <w:szCs w:val="21"/>
                <w:highlight w:val="none"/>
              </w:rPr>
            </w:pPr>
            <w:r>
              <w:rPr>
                <w:rFonts w:hint="eastAsia"/>
                <w:bCs/>
                <w:color w:val="auto"/>
                <w:highlight w:val="none"/>
              </w:rPr>
              <w:t>合同签订时间</w:t>
            </w:r>
          </w:p>
        </w:tc>
      </w:tr>
      <w:tr w14:paraId="325D1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631" w:type="dxa"/>
            <w:vAlign w:val="center"/>
          </w:tcPr>
          <w:p w14:paraId="2D7AFEEB">
            <w:pPr>
              <w:jc w:val="center"/>
              <w:rPr>
                <w:rFonts w:ascii="宋体" w:hAnsi="宋体"/>
                <w:bCs/>
                <w:color w:val="auto"/>
                <w:szCs w:val="21"/>
                <w:highlight w:val="none"/>
              </w:rPr>
            </w:pPr>
            <w:r>
              <w:rPr>
                <w:rFonts w:hint="eastAsia" w:ascii="宋体" w:hAnsi="宋体"/>
                <w:bCs/>
                <w:color w:val="auto"/>
                <w:szCs w:val="21"/>
                <w:highlight w:val="none"/>
              </w:rPr>
              <w:t>1</w:t>
            </w:r>
          </w:p>
        </w:tc>
        <w:tc>
          <w:tcPr>
            <w:tcW w:w="2943" w:type="dxa"/>
            <w:vAlign w:val="center"/>
          </w:tcPr>
          <w:p w14:paraId="1D85D2A4">
            <w:pPr>
              <w:jc w:val="center"/>
              <w:rPr>
                <w:rFonts w:ascii="宋体" w:hAnsi="宋体"/>
                <w:bCs/>
                <w:color w:val="auto"/>
                <w:szCs w:val="21"/>
                <w:highlight w:val="none"/>
              </w:rPr>
            </w:pPr>
          </w:p>
        </w:tc>
        <w:tc>
          <w:tcPr>
            <w:tcW w:w="2565" w:type="dxa"/>
          </w:tcPr>
          <w:p w14:paraId="42EF52B8">
            <w:pPr>
              <w:jc w:val="center"/>
              <w:rPr>
                <w:rFonts w:ascii="宋体" w:hAnsi="宋体"/>
                <w:bCs/>
                <w:color w:val="auto"/>
                <w:szCs w:val="21"/>
                <w:highlight w:val="none"/>
              </w:rPr>
            </w:pPr>
          </w:p>
        </w:tc>
        <w:tc>
          <w:tcPr>
            <w:tcW w:w="1311" w:type="dxa"/>
          </w:tcPr>
          <w:p w14:paraId="40315A0B">
            <w:pPr>
              <w:jc w:val="center"/>
              <w:rPr>
                <w:rFonts w:ascii="宋体" w:hAnsi="宋体"/>
                <w:bCs/>
                <w:color w:val="auto"/>
                <w:szCs w:val="21"/>
                <w:highlight w:val="none"/>
              </w:rPr>
            </w:pPr>
          </w:p>
        </w:tc>
        <w:tc>
          <w:tcPr>
            <w:tcW w:w="1311" w:type="dxa"/>
            <w:vAlign w:val="center"/>
          </w:tcPr>
          <w:p w14:paraId="7CC1EB06">
            <w:pPr>
              <w:jc w:val="center"/>
              <w:rPr>
                <w:rFonts w:ascii="宋体" w:hAnsi="宋体"/>
                <w:bCs/>
                <w:color w:val="auto"/>
                <w:szCs w:val="21"/>
                <w:highlight w:val="none"/>
              </w:rPr>
            </w:pPr>
          </w:p>
        </w:tc>
        <w:tc>
          <w:tcPr>
            <w:tcW w:w="1298" w:type="dxa"/>
            <w:vAlign w:val="center"/>
          </w:tcPr>
          <w:p w14:paraId="6908F1D5">
            <w:pPr>
              <w:jc w:val="center"/>
              <w:rPr>
                <w:rFonts w:ascii="宋体" w:hAnsi="宋体"/>
                <w:bCs/>
                <w:color w:val="auto"/>
                <w:szCs w:val="21"/>
                <w:highlight w:val="none"/>
              </w:rPr>
            </w:pPr>
          </w:p>
        </w:tc>
      </w:tr>
      <w:tr w14:paraId="31121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631" w:type="dxa"/>
            <w:vAlign w:val="center"/>
          </w:tcPr>
          <w:p w14:paraId="2B620E94">
            <w:pPr>
              <w:jc w:val="center"/>
              <w:rPr>
                <w:rFonts w:ascii="宋体" w:hAnsi="宋体"/>
                <w:bCs/>
                <w:color w:val="auto"/>
                <w:szCs w:val="21"/>
                <w:highlight w:val="none"/>
              </w:rPr>
            </w:pPr>
            <w:r>
              <w:rPr>
                <w:rFonts w:hint="eastAsia" w:ascii="宋体" w:hAnsi="宋体"/>
                <w:bCs/>
                <w:color w:val="auto"/>
                <w:szCs w:val="21"/>
                <w:highlight w:val="none"/>
              </w:rPr>
              <w:t>2</w:t>
            </w:r>
          </w:p>
        </w:tc>
        <w:tc>
          <w:tcPr>
            <w:tcW w:w="2943" w:type="dxa"/>
            <w:vAlign w:val="center"/>
          </w:tcPr>
          <w:p w14:paraId="755A1F3C">
            <w:pPr>
              <w:jc w:val="center"/>
              <w:rPr>
                <w:rFonts w:ascii="宋体" w:hAnsi="宋体"/>
                <w:bCs/>
                <w:color w:val="auto"/>
                <w:szCs w:val="21"/>
                <w:highlight w:val="none"/>
              </w:rPr>
            </w:pPr>
          </w:p>
        </w:tc>
        <w:tc>
          <w:tcPr>
            <w:tcW w:w="2565" w:type="dxa"/>
          </w:tcPr>
          <w:p w14:paraId="0B633793">
            <w:pPr>
              <w:jc w:val="center"/>
              <w:rPr>
                <w:rFonts w:ascii="宋体" w:hAnsi="宋体"/>
                <w:bCs/>
                <w:color w:val="auto"/>
                <w:szCs w:val="21"/>
                <w:highlight w:val="none"/>
              </w:rPr>
            </w:pPr>
          </w:p>
        </w:tc>
        <w:tc>
          <w:tcPr>
            <w:tcW w:w="1311" w:type="dxa"/>
          </w:tcPr>
          <w:p w14:paraId="0F6468BC">
            <w:pPr>
              <w:jc w:val="center"/>
              <w:rPr>
                <w:rFonts w:ascii="宋体" w:hAnsi="宋体"/>
                <w:bCs/>
                <w:color w:val="auto"/>
                <w:szCs w:val="21"/>
                <w:highlight w:val="none"/>
              </w:rPr>
            </w:pPr>
          </w:p>
        </w:tc>
        <w:tc>
          <w:tcPr>
            <w:tcW w:w="1311" w:type="dxa"/>
            <w:vAlign w:val="center"/>
          </w:tcPr>
          <w:p w14:paraId="5D338B89">
            <w:pPr>
              <w:jc w:val="center"/>
              <w:rPr>
                <w:rFonts w:ascii="宋体" w:hAnsi="宋体"/>
                <w:bCs/>
                <w:color w:val="auto"/>
                <w:szCs w:val="21"/>
                <w:highlight w:val="none"/>
              </w:rPr>
            </w:pPr>
          </w:p>
        </w:tc>
        <w:tc>
          <w:tcPr>
            <w:tcW w:w="1298" w:type="dxa"/>
            <w:vAlign w:val="center"/>
          </w:tcPr>
          <w:p w14:paraId="2D841311">
            <w:pPr>
              <w:jc w:val="center"/>
              <w:rPr>
                <w:rFonts w:ascii="宋体" w:hAnsi="宋体"/>
                <w:bCs/>
                <w:color w:val="auto"/>
                <w:szCs w:val="21"/>
                <w:highlight w:val="none"/>
              </w:rPr>
            </w:pPr>
          </w:p>
        </w:tc>
      </w:tr>
      <w:tr w14:paraId="4B5E2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631" w:type="dxa"/>
            <w:vAlign w:val="center"/>
          </w:tcPr>
          <w:p w14:paraId="72FF8928">
            <w:pPr>
              <w:jc w:val="center"/>
              <w:rPr>
                <w:rFonts w:ascii="宋体" w:hAnsi="宋体"/>
                <w:bCs/>
                <w:color w:val="auto"/>
                <w:szCs w:val="21"/>
                <w:highlight w:val="none"/>
              </w:rPr>
            </w:pPr>
            <w:r>
              <w:rPr>
                <w:rFonts w:hint="eastAsia" w:ascii="宋体" w:hAnsi="宋体"/>
                <w:bCs/>
                <w:color w:val="auto"/>
                <w:szCs w:val="21"/>
                <w:highlight w:val="none"/>
              </w:rPr>
              <w:t>3</w:t>
            </w:r>
          </w:p>
        </w:tc>
        <w:tc>
          <w:tcPr>
            <w:tcW w:w="2943" w:type="dxa"/>
            <w:vAlign w:val="center"/>
          </w:tcPr>
          <w:p w14:paraId="124A1AF8">
            <w:pPr>
              <w:jc w:val="center"/>
              <w:rPr>
                <w:rFonts w:ascii="宋体" w:hAnsi="宋体"/>
                <w:bCs/>
                <w:color w:val="auto"/>
                <w:szCs w:val="21"/>
                <w:highlight w:val="none"/>
              </w:rPr>
            </w:pPr>
          </w:p>
        </w:tc>
        <w:tc>
          <w:tcPr>
            <w:tcW w:w="2565" w:type="dxa"/>
          </w:tcPr>
          <w:p w14:paraId="073B29F2">
            <w:pPr>
              <w:jc w:val="center"/>
              <w:rPr>
                <w:rFonts w:ascii="宋体" w:hAnsi="宋体"/>
                <w:bCs/>
                <w:color w:val="auto"/>
                <w:szCs w:val="21"/>
                <w:highlight w:val="none"/>
              </w:rPr>
            </w:pPr>
          </w:p>
        </w:tc>
        <w:tc>
          <w:tcPr>
            <w:tcW w:w="1311" w:type="dxa"/>
          </w:tcPr>
          <w:p w14:paraId="53AFBA22">
            <w:pPr>
              <w:jc w:val="center"/>
              <w:rPr>
                <w:rFonts w:ascii="宋体" w:hAnsi="宋体"/>
                <w:bCs/>
                <w:color w:val="auto"/>
                <w:szCs w:val="21"/>
                <w:highlight w:val="none"/>
              </w:rPr>
            </w:pPr>
          </w:p>
        </w:tc>
        <w:tc>
          <w:tcPr>
            <w:tcW w:w="1311" w:type="dxa"/>
            <w:vAlign w:val="center"/>
          </w:tcPr>
          <w:p w14:paraId="3E5FCD59">
            <w:pPr>
              <w:jc w:val="center"/>
              <w:rPr>
                <w:rFonts w:ascii="宋体" w:hAnsi="宋体"/>
                <w:bCs/>
                <w:color w:val="auto"/>
                <w:szCs w:val="21"/>
                <w:highlight w:val="none"/>
              </w:rPr>
            </w:pPr>
          </w:p>
        </w:tc>
        <w:tc>
          <w:tcPr>
            <w:tcW w:w="1298" w:type="dxa"/>
            <w:vAlign w:val="center"/>
          </w:tcPr>
          <w:p w14:paraId="062E1B67">
            <w:pPr>
              <w:jc w:val="center"/>
              <w:rPr>
                <w:rFonts w:ascii="宋体" w:hAnsi="宋体"/>
                <w:bCs/>
                <w:color w:val="auto"/>
                <w:szCs w:val="21"/>
                <w:highlight w:val="none"/>
              </w:rPr>
            </w:pPr>
          </w:p>
        </w:tc>
      </w:tr>
      <w:tr w14:paraId="1C7CD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631" w:type="dxa"/>
            <w:vAlign w:val="center"/>
          </w:tcPr>
          <w:p w14:paraId="59E5D73D">
            <w:pPr>
              <w:jc w:val="center"/>
              <w:rPr>
                <w:rFonts w:ascii="宋体" w:hAnsi="宋体"/>
                <w:bCs/>
                <w:color w:val="auto"/>
                <w:szCs w:val="21"/>
                <w:highlight w:val="none"/>
              </w:rPr>
            </w:pPr>
            <w:r>
              <w:rPr>
                <w:rFonts w:hint="eastAsia" w:ascii="宋体" w:hAnsi="宋体"/>
                <w:bCs/>
                <w:color w:val="auto"/>
                <w:szCs w:val="21"/>
                <w:highlight w:val="none"/>
              </w:rPr>
              <w:t>4</w:t>
            </w:r>
          </w:p>
        </w:tc>
        <w:tc>
          <w:tcPr>
            <w:tcW w:w="2943" w:type="dxa"/>
            <w:vAlign w:val="center"/>
          </w:tcPr>
          <w:p w14:paraId="7648E729">
            <w:pPr>
              <w:jc w:val="center"/>
              <w:rPr>
                <w:rFonts w:ascii="宋体" w:hAnsi="宋体"/>
                <w:bCs/>
                <w:color w:val="auto"/>
                <w:szCs w:val="21"/>
                <w:highlight w:val="none"/>
              </w:rPr>
            </w:pPr>
          </w:p>
        </w:tc>
        <w:tc>
          <w:tcPr>
            <w:tcW w:w="2565" w:type="dxa"/>
          </w:tcPr>
          <w:p w14:paraId="0539E853">
            <w:pPr>
              <w:jc w:val="center"/>
              <w:rPr>
                <w:rFonts w:ascii="宋体" w:hAnsi="宋体"/>
                <w:bCs/>
                <w:color w:val="auto"/>
                <w:szCs w:val="21"/>
                <w:highlight w:val="none"/>
              </w:rPr>
            </w:pPr>
          </w:p>
        </w:tc>
        <w:tc>
          <w:tcPr>
            <w:tcW w:w="1311" w:type="dxa"/>
          </w:tcPr>
          <w:p w14:paraId="57141FEA">
            <w:pPr>
              <w:jc w:val="center"/>
              <w:rPr>
                <w:rFonts w:ascii="宋体" w:hAnsi="宋体"/>
                <w:bCs/>
                <w:color w:val="auto"/>
                <w:szCs w:val="21"/>
                <w:highlight w:val="none"/>
              </w:rPr>
            </w:pPr>
          </w:p>
        </w:tc>
        <w:tc>
          <w:tcPr>
            <w:tcW w:w="1311" w:type="dxa"/>
            <w:vAlign w:val="center"/>
          </w:tcPr>
          <w:p w14:paraId="4E54A7A1">
            <w:pPr>
              <w:jc w:val="center"/>
              <w:rPr>
                <w:rFonts w:ascii="宋体" w:hAnsi="宋体"/>
                <w:bCs/>
                <w:color w:val="auto"/>
                <w:szCs w:val="21"/>
                <w:highlight w:val="none"/>
              </w:rPr>
            </w:pPr>
          </w:p>
        </w:tc>
        <w:tc>
          <w:tcPr>
            <w:tcW w:w="1298" w:type="dxa"/>
            <w:vAlign w:val="center"/>
          </w:tcPr>
          <w:p w14:paraId="6C1F48B0">
            <w:pPr>
              <w:jc w:val="center"/>
              <w:rPr>
                <w:rFonts w:ascii="宋体" w:hAnsi="宋体"/>
                <w:bCs/>
                <w:color w:val="auto"/>
                <w:szCs w:val="21"/>
                <w:highlight w:val="none"/>
              </w:rPr>
            </w:pPr>
          </w:p>
        </w:tc>
      </w:tr>
      <w:tr w14:paraId="39E6D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631" w:type="dxa"/>
            <w:vAlign w:val="center"/>
          </w:tcPr>
          <w:p w14:paraId="71C68ED8">
            <w:pPr>
              <w:jc w:val="center"/>
              <w:rPr>
                <w:rFonts w:ascii="宋体" w:hAnsi="宋体"/>
                <w:bCs/>
                <w:color w:val="auto"/>
                <w:szCs w:val="21"/>
                <w:highlight w:val="none"/>
              </w:rPr>
            </w:pPr>
            <w:r>
              <w:rPr>
                <w:rFonts w:hint="eastAsia" w:ascii="宋体" w:hAnsi="宋体"/>
                <w:bCs/>
                <w:color w:val="auto"/>
                <w:szCs w:val="21"/>
                <w:highlight w:val="none"/>
              </w:rPr>
              <w:t>5</w:t>
            </w:r>
          </w:p>
        </w:tc>
        <w:tc>
          <w:tcPr>
            <w:tcW w:w="2943" w:type="dxa"/>
            <w:vAlign w:val="center"/>
          </w:tcPr>
          <w:p w14:paraId="73F08D4B">
            <w:pPr>
              <w:jc w:val="center"/>
              <w:rPr>
                <w:rFonts w:ascii="宋体" w:hAnsi="宋体"/>
                <w:bCs/>
                <w:color w:val="auto"/>
                <w:szCs w:val="21"/>
                <w:highlight w:val="none"/>
              </w:rPr>
            </w:pPr>
          </w:p>
        </w:tc>
        <w:tc>
          <w:tcPr>
            <w:tcW w:w="2565" w:type="dxa"/>
          </w:tcPr>
          <w:p w14:paraId="5DC8536A">
            <w:pPr>
              <w:jc w:val="center"/>
              <w:rPr>
                <w:rFonts w:ascii="宋体" w:hAnsi="宋体"/>
                <w:bCs/>
                <w:color w:val="auto"/>
                <w:szCs w:val="21"/>
                <w:highlight w:val="none"/>
              </w:rPr>
            </w:pPr>
          </w:p>
        </w:tc>
        <w:tc>
          <w:tcPr>
            <w:tcW w:w="1311" w:type="dxa"/>
          </w:tcPr>
          <w:p w14:paraId="3C8AFB2F">
            <w:pPr>
              <w:jc w:val="center"/>
              <w:rPr>
                <w:rFonts w:ascii="宋体" w:hAnsi="宋体"/>
                <w:bCs/>
                <w:color w:val="auto"/>
                <w:szCs w:val="21"/>
                <w:highlight w:val="none"/>
              </w:rPr>
            </w:pPr>
          </w:p>
        </w:tc>
        <w:tc>
          <w:tcPr>
            <w:tcW w:w="1311" w:type="dxa"/>
            <w:vAlign w:val="center"/>
          </w:tcPr>
          <w:p w14:paraId="15251CD2">
            <w:pPr>
              <w:jc w:val="center"/>
              <w:rPr>
                <w:rFonts w:ascii="宋体" w:hAnsi="宋体"/>
                <w:bCs/>
                <w:color w:val="auto"/>
                <w:szCs w:val="21"/>
                <w:highlight w:val="none"/>
              </w:rPr>
            </w:pPr>
          </w:p>
        </w:tc>
        <w:tc>
          <w:tcPr>
            <w:tcW w:w="1298" w:type="dxa"/>
            <w:vAlign w:val="center"/>
          </w:tcPr>
          <w:p w14:paraId="20166B80">
            <w:pPr>
              <w:jc w:val="center"/>
              <w:rPr>
                <w:rFonts w:ascii="宋体" w:hAnsi="宋体"/>
                <w:bCs/>
                <w:color w:val="auto"/>
                <w:szCs w:val="21"/>
                <w:highlight w:val="none"/>
              </w:rPr>
            </w:pPr>
          </w:p>
        </w:tc>
      </w:tr>
      <w:tr w14:paraId="6D816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631" w:type="dxa"/>
            <w:vAlign w:val="center"/>
          </w:tcPr>
          <w:p w14:paraId="66F5B751">
            <w:pPr>
              <w:jc w:val="center"/>
              <w:rPr>
                <w:rFonts w:ascii="宋体" w:hAnsi="宋体"/>
                <w:color w:val="auto"/>
                <w:szCs w:val="21"/>
                <w:highlight w:val="none"/>
              </w:rPr>
            </w:pPr>
            <w:r>
              <w:rPr>
                <w:rFonts w:hint="eastAsia" w:ascii="宋体" w:hAnsi="宋体"/>
                <w:color w:val="auto"/>
                <w:szCs w:val="21"/>
                <w:highlight w:val="none"/>
              </w:rPr>
              <w:t>6</w:t>
            </w:r>
          </w:p>
        </w:tc>
        <w:tc>
          <w:tcPr>
            <w:tcW w:w="2943" w:type="dxa"/>
            <w:vAlign w:val="center"/>
          </w:tcPr>
          <w:p w14:paraId="35103178">
            <w:pPr>
              <w:jc w:val="center"/>
              <w:rPr>
                <w:rFonts w:ascii="宋体" w:hAnsi="宋体"/>
                <w:color w:val="auto"/>
                <w:szCs w:val="21"/>
                <w:highlight w:val="none"/>
              </w:rPr>
            </w:pPr>
          </w:p>
        </w:tc>
        <w:tc>
          <w:tcPr>
            <w:tcW w:w="2565" w:type="dxa"/>
          </w:tcPr>
          <w:p w14:paraId="3818522B">
            <w:pPr>
              <w:jc w:val="center"/>
              <w:rPr>
                <w:rFonts w:ascii="宋体" w:hAnsi="宋体"/>
                <w:color w:val="auto"/>
                <w:szCs w:val="21"/>
                <w:highlight w:val="none"/>
              </w:rPr>
            </w:pPr>
          </w:p>
        </w:tc>
        <w:tc>
          <w:tcPr>
            <w:tcW w:w="1311" w:type="dxa"/>
          </w:tcPr>
          <w:p w14:paraId="73438CF9">
            <w:pPr>
              <w:jc w:val="center"/>
              <w:rPr>
                <w:rFonts w:ascii="宋体" w:hAnsi="宋体"/>
                <w:color w:val="auto"/>
                <w:szCs w:val="21"/>
                <w:highlight w:val="none"/>
              </w:rPr>
            </w:pPr>
          </w:p>
        </w:tc>
        <w:tc>
          <w:tcPr>
            <w:tcW w:w="1311" w:type="dxa"/>
            <w:vAlign w:val="center"/>
          </w:tcPr>
          <w:p w14:paraId="269EF97D">
            <w:pPr>
              <w:jc w:val="center"/>
              <w:rPr>
                <w:rFonts w:ascii="宋体" w:hAnsi="宋体"/>
                <w:color w:val="auto"/>
                <w:szCs w:val="21"/>
                <w:highlight w:val="none"/>
              </w:rPr>
            </w:pPr>
          </w:p>
        </w:tc>
        <w:tc>
          <w:tcPr>
            <w:tcW w:w="1298" w:type="dxa"/>
            <w:vAlign w:val="center"/>
          </w:tcPr>
          <w:p w14:paraId="04B63339">
            <w:pPr>
              <w:jc w:val="center"/>
              <w:rPr>
                <w:rFonts w:ascii="宋体" w:hAnsi="宋体"/>
                <w:color w:val="auto"/>
                <w:szCs w:val="21"/>
                <w:highlight w:val="none"/>
              </w:rPr>
            </w:pPr>
          </w:p>
        </w:tc>
      </w:tr>
      <w:tr w14:paraId="52995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631" w:type="dxa"/>
            <w:vAlign w:val="center"/>
          </w:tcPr>
          <w:p w14:paraId="4D02EB47">
            <w:pPr>
              <w:jc w:val="center"/>
              <w:rPr>
                <w:rFonts w:ascii="宋体" w:hAnsi="宋体"/>
                <w:color w:val="auto"/>
                <w:szCs w:val="21"/>
                <w:highlight w:val="none"/>
              </w:rPr>
            </w:pPr>
            <w:r>
              <w:rPr>
                <w:rFonts w:hint="eastAsia" w:ascii="宋体" w:hAnsi="宋体"/>
                <w:color w:val="auto"/>
                <w:szCs w:val="21"/>
                <w:highlight w:val="none"/>
              </w:rPr>
              <w:t>…</w:t>
            </w:r>
          </w:p>
        </w:tc>
        <w:tc>
          <w:tcPr>
            <w:tcW w:w="2943" w:type="dxa"/>
            <w:vAlign w:val="center"/>
          </w:tcPr>
          <w:p w14:paraId="67405E6C">
            <w:pPr>
              <w:jc w:val="center"/>
              <w:rPr>
                <w:rFonts w:ascii="宋体" w:hAnsi="宋体"/>
                <w:color w:val="auto"/>
                <w:szCs w:val="21"/>
                <w:highlight w:val="none"/>
              </w:rPr>
            </w:pPr>
          </w:p>
        </w:tc>
        <w:tc>
          <w:tcPr>
            <w:tcW w:w="2565" w:type="dxa"/>
          </w:tcPr>
          <w:p w14:paraId="10CD83EA">
            <w:pPr>
              <w:jc w:val="center"/>
              <w:rPr>
                <w:rFonts w:ascii="宋体" w:hAnsi="宋体"/>
                <w:color w:val="auto"/>
                <w:szCs w:val="21"/>
                <w:highlight w:val="none"/>
              </w:rPr>
            </w:pPr>
          </w:p>
        </w:tc>
        <w:tc>
          <w:tcPr>
            <w:tcW w:w="1311" w:type="dxa"/>
          </w:tcPr>
          <w:p w14:paraId="7A265608">
            <w:pPr>
              <w:jc w:val="center"/>
              <w:rPr>
                <w:rFonts w:ascii="宋体" w:hAnsi="宋体"/>
                <w:color w:val="auto"/>
                <w:szCs w:val="21"/>
                <w:highlight w:val="none"/>
              </w:rPr>
            </w:pPr>
          </w:p>
        </w:tc>
        <w:tc>
          <w:tcPr>
            <w:tcW w:w="1311" w:type="dxa"/>
            <w:vAlign w:val="center"/>
          </w:tcPr>
          <w:p w14:paraId="59B65B69">
            <w:pPr>
              <w:jc w:val="center"/>
              <w:rPr>
                <w:rFonts w:ascii="宋体" w:hAnsi="宋体"/>
                <w:color w:val="auto"/>
                <w:szCs w:val="21"/>
                <w:highlight w:val="none"/>
              </w:rPr>
            </w:pPr>
          </w:p>
        </w:tc>
        <w:tc>
          <w:tcPr>
            <w:tcW w:w="1298" w:type="dxa"/>
            <w:vAlign w:val="center"/>
          </w:tcPr>
          <w:p w14:paraId="636A3D1F">
            <w:pPr>
              <w:jc w:val="center"/>
              <w:rPr>
                <w:rFonts w:ascii="宋体" w:hAnsi="宋体"/>
                <w:color w:val="auto"/>
                <w:szCs w:val="21"/>
                <w:highlight w:val="none"/>
              </w:rPr>
            </w:pPr>
          </w:p>
        </w:tc>
      </w:tr>
    </w:tbl>
    <w:p w14:paraId="78724D94">
      <w:pPr>
        <w:pStyle w:val="968"/>
        <w:spacing w:line="360" w:lineRule="auto"/>
        <w:rPr>
          <w:rFonts w:hAnsi="宋体" w:eastAsia="宋体"/>
          <w:b/>
          <w:color w:val="auto"/>
          <w:sz w:val="24"/>
          <w:szCs w:val="24"/>
          <w:highlight w:val="none"/>
        </w:rPr>
      </w:pPr>
      <w:r>
        <w:rPr>
          <w:rFonts w:hint="eastAsia" w:hAnsi="宋体" w:eastAsia="宋体"/>
          <w:b/>
          <w:color w:val="auto"/>
          <w:sz w:val="21"/>
          <w:szCs w:val="21"/>
          <w:highlight w:val="none"/>
        </w:rPr>
        <w:t>注：投标人项目</w:t>
      </w:r>
      <w:r>
        <w:rPr>
          <w:rFonts w:hint="eastAsia" w:hAnsi="宋体" w:eastAsia="宋体"/>
          <w:b/>
          <w:color w:val="auto"/>
          <w:sz w:val="21"/>
          <w:szCs w:val="21"/>
          <w:highlight w:val="none"/>
          <w:lang w:eastAsia="zh-CN"/>
        </w:rPr>
        <w:t>业绩</w:t>
      </w:r>
      <w:r>
        <w:rPr>
          <w:rFonts w:hint="eastAsia" w:hAnsi="宋体" w:eastAsia="宋体"/>
          <w:b/>
          <w:color w:val="auto"/>
          <w:sz w:val="21"/>
          <w:szCs w:val="21"/>
          <w:highlight w:val="none"/>
        </w:rPr>
        <w:t>得分以本表为准，后附相关证明材料，所需的证明材料要求详见评标办法</w:t>
      </w:r>
    </w:p>
    <w:p w14:paraId="062E4A9E">
      <w:pPr>
        <w:pStyle w:val="968"/>
        <w:spacing w:line="360" w:lineRule="auto"/>
        <w:rPr>
          <w:rFonts w:hAnsi="宋体" w:eastAsia="宋体"/>
          <w:b/>
          <w:color w:val="auto"/>
          <w:sz w:val="24"/>
          <w:szCs w:val="24"/>
          <w:highlight w:val="none"/>
        </w:rPr>
      </w:pPr>
    </w:p>
    <w:p w14:paraId="669A9CD8">
      <w:pPr>
        <w:snapToGrid w:val="0"/>
        <w:spacing w:before="120" w:beforeLines="50" w:line="400" w:lineRule="exact"/>
        <w:rPr>
          <w:rFonts w:ascii="宋体" w:hAnsi="宋体" w:cs="宋体"/>
          <w:color w:val="auto"/>
          <w:sz w:val="24"/>
          <w:szCs w:val="20"/>
          <w:highlight w:val="none"/>
          <w:u w:val="single"/>
        </w:rPr>
      </w:pPr>
      <w:r>
        <w:rPr>
          <w:rFonts w:hint="eastAsia" w:ascii="宋体" w:hAnsi="宋体" w:cs="宋体"/>
          <w:color w:val="auto"/>
          <w:sz w:val="24"/>
          <w:highlight w:val="none"/>
        </w:rPr>
        <w:t>法定代表人或被授权人签字（或盖章）：</w:t>
      </w:r>
      <w:r>
        <w:rPr>
          <w:rFonts w:hint="eastAsia" w:ascii="宋体" w:hAnsi="宋体" w:cs="宋体"/>
          <w:color w:val="auto"/>
          <w:sz w:val="24"/>
          <w:highlight w:val="none"/>
          <w:u w:val="single"/>
        </w:rPr>
        <w:t xml:space="preserve">             </w:t>
      </w:r>
    </w:p>
    <w:p w14:paraId="728A6064">
      <w:pPr>
        <w:snapToGrid w:val="0"/>
        <w:spacing w:before="120" w:beforeLines="50" w:after="50" w:line="400" w:lineRule="exact"/>
        <w:rPr>
          <w:rFonts w:ascii="宋体" w:hAnsi="宋体" w:cs="宋体"/>
          <w:color w:val="auto"/>
          <w:sz w:val="24"/>
          <w:highlight w:val="none"/>
        </w:rPr>
      </w:pPr>
      <w:r>
        <w:rPr>
          <w:rFonts w:hint="eastAsia" w:ascii="宋体" w:hAnsi="宋体" w:cs="宋体"/>
          <w:color w:val="auto"/>
          <w:sz w:val="24"/>
          <w:highlight w:val="none"/>
        </w:rPr>
        <w:t>投标人名称（加盖公章）：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3B118ED8">
      <w:pPr>
        <w:spacing w:line="480" w:lineRule="exact"/>
        <w:rPr>
          <w:rFonts w:ascii="宋体" w:hAnsi="宋体"/>
          <w:b/>
          <w:color w:val="auto"/>
          <w:sz w:val="22"/>
          <w:szCs w:val="22"/>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20EC060B">
      <w:pPr>
        <w:spacing w:line="360" w:lineRule="auto"/>
        <w:rPr>
          <w:rFonts w:ascii="宋体" w:hAnsi="宋体" w:cs="宋体"/>
          <w:color w:val="auto"/>
          <w:sz w:val="24"/>
          <w:highlight w:val="none"/>
        </w:rPr>
      </w:pPr>
    </w:p>
    <w:p w14:paraId="6C1ED43C">
      <w:pPr>
        <w:pStyle w:val="5"/>
        <w:rPr>
          <w:rFonts w:ascii="宋体" w:hAnsi="宋体" w:cs="宋体"/>
          <w:color w:val="auto"/>
          <w:sz w:val="24"/>
          <w:highlight w:val="none"/>
        </w:rPr>
      </w:pPr>
    </w:p>
    <w:p w14:paraId="6E323050">
      <w:pPr>
        <w:rPr>
          <w:color w:val="auto"/>
          <w:highlight w:val="none"/>
        </w:rPr>
      </w:pPr>
    </w:p>
    <w:p w14:paraId="163C398B">
      <w:pPr>
        <w:pStyle w:val="86"/>
        <w:ind w:left="420" w:firstLine="480"/>
        <w:rPr>
          <w:color w:val="auto"/>
          <w:highlight w:val="none"/>
        </w:rPr>
      </w:pPr>
    </w:p>
    <w:p w14:paraId="6359697D">
      <w:pPr>
        <w:pStyle w:val="968"/>
        <w:spacing w:line="360" w:lineRule="auto"/>
        <w:jc w:val="center"/>
        <w:rPr>
          <w:rFonts w:hAnsi="宋体" w:eastAsia="宋体"/>
          <w:b/>
          <w:color w:val="auto"/>
          <w:sz w:val="28"/>
          <w:szCs w:val="28"/>
          <w:highlight w:val="none"/>
        </w:rPr>
      </w:pPr>
    </w:p>
    <w:p w14:paraId="020DC7A6">
      <w:pPr>
        <w:pStyle w:val="968"/>
        <w:spacing w:line="360" w:lineRule="auto"/>
        <w:jc w:val="center"/>
        <w:rPr>
          <w:rFonts w:hAnsi="宋体" w:eastAsia="宋体"/>
          <w:b/>
          <w:color w:val="auto"/>
          <w:sz w:val="28"/>
          <w:szCs w:val="28"/>
          <w:highlight w:val="none"/>
        </w:rPr>
      </w:pPr>
    </w:p>
    <w:p w14:paraId="63DCB1C5">
      <w:pPr>
        <w:pStyle w:val="34"/>
        <w:spacing w:before="120" w:after="120" w:line="360" w:lineRule="auto"/>
        <w:jc w:val="center"/>
        <w:textAlignment w:val="baseline"/>
        <w:rPr>
          <w:rFonts w:hAnsi="宋体"/>
          <w:b/>
          <w:color w:val="auto"/>
          <w:sz w:val="28"/>
          <w:szCs w:val="28"/>
          <w:highlight w:val="none"/>
        </w:rPr>
      </w:pPr>
    </w:p>
    <w:p w14:paraId="06619A52">
      <w:pPr>
        <w:pStyle w:val="34"/>
        <w:spacing w:before="120" w:after="120" w:line="360" w:lineRule="auto"/>
        <w:jc w:val="center"/>
        <w:textAlignment w:val="baseline"/>
        <w:rPr>
          <w:rFonts w:hAnsi="宋体"/>
          <w:color w:val="auto"/>
          <w:sz w:val="28"/>
          <w:szCs w:val="28"/>
          <w:highlight w:val="none"/>
        </w:rPr>
      </w:pPr>
      <w:r>
        <w:rPr>
          <w:rFonts w:hint="eastAsia" w:hAnsi="宋体"/>
          <w:b/>
          <w:color w:val="auto"/>
          <w:sz w:val="28"/>
          <w:szCs w:val="28"/>
          <w:highlight w:val="none"/>
        </w:rPr>
        <w:t>项目实施人员表</w:t>
      </w:r>
    </w:p>
    <w:tbl>
      <w:tblPr>
        <w:tblStyle w:val="63"/>
        <w:tblW w:w="930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7"/>
        <w:gridCol w:w="1016"/>
        <w:gridCol w:w="1625"/>
        <w:gridCol w:w="1800"/>
        <w:gridCol w:w="1999"/>
        <w:gridCol w:w="2113"/>
      </w:tblGrid>
      <w:tr w14:paraId="7A19A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747" w:type="dxa"/>
            <w:tcBorders>
              <w:top w:val="single" w:color="auto" w:sz="4" w:space="0"/>
              <w:left w:val="single" w:color="auto" w:sz="4" w:space="0"/>
              <w:bottom w:val="single" w:color="auto" w:sz="4" w:space="0"/>
              <w:right w:val="single" w:color="auto" w:sz="4" w:space="0"/>
            </w:tcBorders>
            <w:vAlign w:val="center"/>
          </w:tcPr>
          <w:p w14:paraId="0B02FF93">
            <w:pPr>
              <w:pStyle w:val="40"/>
              <w:jc w:val="center"/>
              <w:rPr>
                <w:rFonts w:ascii="宋体" w:hAnsi="宋体"/>
                <w:color w:val="auto"/>
                <w:sz w:val="21"/>
                <w:szCs w:val="21"/>
                <w:highlight w:val="none"/>
              </w:rPr>
            </w:pPr>
            <w:r>
              <w:rPr>
                <w:rFonts w:hint="eastAsia" w:ascii="宋体" w:hAnsi="宋体"/>
                <w:color w:val="auto"/>
                <w:sz w:val="21"/>
                <w:szCs w:val="21"/>
                <w:highlight w:val="none"/>
              </w:rPr>
              <w:t>序号</w:t>
            </w:r>
          </w:p>
        </w:tc>
        <w:tc>
          <w:tcPr>
            <w:tcW w:w="1016" w:type="dxa"/>
            <w:tcBorders>
              <w:top w:val="single" w:color="auto" w:sz="4" w:space="0"/>
              <w:left w:val="single" w:color="auto" w:sz="4" w:space="0"/>
              <w:bottom w:val="single" w:color="auto" w:sz="4" w:space="0"/>
              <w:right w:val="single" w:color="auto" w:sz="4" w:space="0"/>
            </w:tcBorders>
            <w:vAlign w:val="center"/>
          </w:tcPr>
          <w:p w14:paraId="0B2E734E">
            <w:pPr>
              <w:pStyle w:val="40"/>
              <w:jc w:val="center"/>
              <w:rPr>
                <w:rFonts w:ascii="宋体" w:hAnsi="宋体"/>
                <w:color w:val="auto"/>
                <w:sz w:val="21"/>
                <w:szCs w:val="21"/>
                <w:highlight w:val="none"/>
              </w:rPr>
            </w:pPr>
            <w:r>
              <w:rPr>
                <w:rFonts w:hint="eastAsia" w:ascii="宋体" w:hAnsi="宋体"/>
                <w:color w:val="auto"/>
                <w:sz w:val="21"/>
                <w:szCs w:val="21"/>
                <w:highlight w:val="none"/>
              </w:rPr>
              <w:t>姓名</w:t>
            </w:r>
          </w:p>
        </w:tc>
        <w:tc>
          <w:tcPr>
            <w:tcW w:w="1625" w:type="dxa"/>
            <w:tcBorders>
              <w:top w:val="single" w:color="auto" w:sz="4" w:space="0"/>
              <w:left w:val="single" w:color="auto" w:sz="4" w:space="0"/>
              <w:bottom w:val="single" w:color="auto" w:sz="4" w:space="0"/>
              <w:right w:val="single" w:color="auto" w:sz="4" w:space="0"/>
            </w:tcBorders>
            <w:vAlign w:val="center"/>
          </w:tcPr>
          <w:p w14:paraId="3CFCF403">
            <w:pPr>
              <w:pStyle w:val="40"/>
              <w:jc w:val="center"/>
              <w:rPr>
                <w:rFonts w:ascii="宋体" w:hAnsi="宋体"/>
                <w:color w:val="auto"/>
                <w:sz w:val="21"/>
                <w:szCs w:val="21"/>
                <w:highlight w:val="none"/>
              </w:rPr>
            </w:pPr>
            <w:r>
              <w:rPr>
                <w:rFonts w:hint="eastAsia" w:ascii="宋体" w:hAnsi="宋体"/>
                <w:color w:val="auto"/>
                <w:sz w:val="21"/>
                <w:szCs w:val="21"/>
                <w:highlight w:val="none"/>
              </w:rPr>
              <w:t>年龄</w:t>
            </w:r>
          </w:p>
        </w:tc>
        <w:tc>
          <w:tcPr>
            <w:tcW w:w="1800" w:type="dxa"/>
            <w:tcBorders>
              <w:top w:val="single" w:color="auto" w:sz="4" w:space="0"/>
              <w:left w:val="single" w:color="auto" w:sz="4" w:space="0"/>
              <w:bottom w:val="single" w:color="auto" w:sz="4" w:space="0"/>
              <w:right w:val="single" w:color="auto" w:sz="4" w:space="0"/>
            </w:tcBorders>
            <w:vAlign w:val="center"/>
          </w:tcPr>
          <w:p w14:paraId="67865086">
            <w:pPr>
              <w:pStyle w:val="40"/>
              <w:jc w:val="center"/>
              <w:rPr>
                <w:rFonts w:ascii="宋体" w:hAnsi="宋体"/>
                <w:color w:val="auto"/>
                <w:sz w:val="21"/>
                <w:szCs w:val="21"/>
                <w:highlight w:val="none"/>
              </w:rPr>
            </w:pPr>
            <w:r>
              <w:rPr>
                <w:rFonts w:hint="eastAsia" w:ascii="宋体" w:hAnsi="宋体"/>
                <w:color w:val="auto"/>
                <w:sz w:val="21"/>
                <w:szCs w:val="21"/>
                <w:highlight w:val="none"/>
              </w:rPr>
              <w:t>学历及专业</w:t>
            </w:r>
          </w:p>
        </w:tc>
        <w:tc>
          <w:tcPr>
            <w:tcW w:w="1999" w:type="dxa"/>
            <w:tcBorders>
              <w:top w:val="single" w:color="auto" w:sz="4" w:space="0"/>
              <w:left w:val="single" w:color="auto" w:sz="4" w:space="0"/>
              <w:bottom w:val="single" w:color="auto" w:sz="4" w:space="0"/>
              <w:right w:val="single" w:color="auto" w:sz="4" w:space="0"/>
            </w:tcBorders>
            <w:vAlign w:val="center"/>
          </w:tcPr>
          <w:p w14:paraId="401EDACD">
            <w:pPr>
              <w:pStyle w:val="40"/>
              <w:jc w:val="center"/>
              <w:rPr>
                <w:rFonts w:hint="eastAsia" w:ascii="宋体" w:hAnsi="宋体" w:eastAsia="宋体"/>
                <w:color w:val="auto"/>
                <w:sz w:val="21"/>
                <w:szCs w:val="21"/>
                <w:highlight w:val="none"/>
                <w:lang w:eastAsia="zh-CN"/>
              </w:rPr>
            </w:pPr>
            <w:r>
              <w:rPr>
                <w:rFonts w:hint="eastAsia" w:ascii="宋体" w:hAnsi="宋体" w:eastAsia="宋体"/>
                <w:color w:val="auto"/>
                <w:sz w:val="21"/>
                <w:szCs w:val="21"/>
                <w:highlight w:val="none"/>
                <w:lang w:eastAsia="zh-CN"/>
              </w:rPr>
              <w:t>类似服务的经历、职称（</w:t>
            </w:r>
            <w:r>
              <w:rPr>
                <w:rFonts w:hint="eastAsia" w:ascii="宋体" w:hAnsi="宋体"/>
                <w:color w:val="auto"/>
                <w:sz w:val="21"/>
                <w:szCs w:val="21"/>
                <w:highlight w:val="none"/>
                <w:lang w:eastAsia="zh-CN"/>
              </w:rPr>
              <w:t>健康要求</w:t>
            </w:r>
            <w:r>
              <w:rPr>
                <w:rFonts w:hint="eastAsia" w:ascii="宋体" w:hAnsi="宋体" w:eastAsia="宋体"/>
                <w:color w:val="auto"/>
                <w:sz w:val="21"/>
                <w:szCs w:val="21"/>
                <w:highlight w:val="none"/>
                <w:lang w:eastAsia="zh-CN"/>
              </w:rPr>
              <w:t>）</w:t>
            </w:r>
          </w:p>
        </w:tc>
        <w:tc>
          <w:tcPr>
            <w:tcW w:w="2113" w:type="dxa"/>
            <w:tcBorders>
              <w:top w:val="single" w:color="auto" w:sz="4" w:space="0"/>
              <w:left w:val="single" w:color="auto" w:sz="4" w:space="0"/>
              <w:bottom w:val="single" w:color="auto" w:sz="4" w:space="0"/>
              <w:right w:val="single" w:color="auto" w:sz="4" w:space="0"/>
            </w:tcBorders>
            <w:vAlign w:val="center"/>
          </w:tcPr>
          <w:p w14:paraId="43E6E444">
            <w:pPr>
              <w:pStyle w:val="40"/>
              <w:jc w:val="center"/>
              <w:rPr>
                <w:rFonts w:ascii="宋体" w:hAnsi="宋体"/>
                <w:color w:val="auto"/>
                <w:sz w:val="21"/>
                <w:szCs w:val="21"/>
                <w:highlight w:val="none"/>
              </w:rPr>
            </w:pPr>
            <w:r>
              <w:rPr>
                <w:rFonts w:hint="eastAsia" w:ascii="宋体" w:hAnsi="宋体"/>
                <w:color w:val="auto"/>
                <w:sz w:val="21"/>
                <w:szCs w:val="21"/>
                <w:highlight w:val="none"/>
              </w:rPr>
              <w:t>项目组所任职务</w:t>
            </w:r>
          </w:p>
        </w:tc>
      </w:tr>
      <w:tr w14:paraId="28D133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733A0F06">
            <w:pPr>
              <w:pStyle w:val="40"/>
              <w:jc w:val="center"/>
              <w:rPr>
                <w:rFonts w:ascii="宋体" w:hAnsi="宋体"/>
                <w:color w:val="auto"/>
                <w:sz w:val="21"/>
                <w:szCs w:val="21"/>
                <w:highlight w:val="none"/>
              </w:rPr>
            </w:pPr>
            <w:r>
              <w:rPr>
                <w:rFonts w:hint="eastAsia" w:ascii="宋体" w:hAnsi="宋体"/>
                <w:color w:val="auto"/>
                <w:sz w:val="21"/>
                <w:szCs w:val="21"/>
                <w:highlight w:val="none"/>
              </w:rPr>
              <w:t>1</w:t>
            </w:r>
          </w:p>
        </w:tc>
        <w:tc>
          <w:tcPr>
            <w:tcW w:w="1016" w:type="dxa"/>
            <w:tcBorders>
              <w:top w:val="single" w:color="auto" w:sz="4" w:space="0"/>
              <w:left w:val="single" w:color="auto" w:sz="4" w:space="0"/>
              <w:bottom w:val="single" w:color="auto" w:sz="4" w:space="0"/>
              <w:right w:val="single" w:color="auto" w:sz="4" w:space="0"/>
            </w:tcBorders>
            <w:vAlign w:val="center"/>
          </w:tcPr>
          <w:p w14:paraId="224E5A76">
            <w:pPr>
              <w:pStyle w:val="40"/>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3E205422">
            <w:pPr>
              <w:pStyle w:val="40"/>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65E73DDC">
            <w:pPr>
              <w:pStyle w:val="40"/>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37058869">
            <w:pPr>
              <w:pStyle w:val="40"/>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581C8F57">
            <w:pPr>
              <w:pStyle w:val="40"/>
              <w:jc w:val="center"/>
              <w:rPr>
                <w:rFonts w:ascii="宋体" w:hAnsi="宋体"/>
                <w:color w:val="auto"/>
                <w:sz w:val="21"/>
                <w:szCs w:val="21"/>
                <w:highlight w:val="none"/>
              </w:rPr>
            </w:pPr>
          </w:p>
        </w:tc>
      </w:tr>
      <w:tr w14:paraId="02EB4C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63C8640C">
            <w:pPr>
              <w:pStyle w:val="40"/>
              <w:jc w:val="center"/>
              <w:rPr>
                <w:rFonts w:ascii="宋体" w:hAnsi="宋体"/>
                <w:color w:val="auto"/>
                <w:sz w:val="21"/>
                <w:szCs w:val="21"/>
                <w:highlight w:val="none"/>
              </w:rPr>
            </w:pPr>
            <w:r>
              <w:rPr>
                <w:rFonts w:hint="eastAsia" w:ascii="宋体" w:hAnsi="宋体"/>
                <w:color w:val="auto"/>
                <w:sz w:val="21"/>
                <w:szCs w:val="21"/>
                <w:highlight w:val="none"/>
              </w:rPr>
              <w:t>2</w:t>
            </w:r>
          </w:p>
        </w:tc>
        <w:tc>
          <w:tcPr>
            <w:tcW w:w="1016" w:type="dxa"/>
            <w:tcBorders>
              <w:top w:val="single" w:color="auto" w:sz="4" w:space="0"/>
              <w:left w:val="single" w:color="auto" w:sz="4" w:space="0"/>
              <w:bottom w:val="single" w:color="auto" w:sz="4" w:space="0"/>
              <w:right w:val="single" w:color="auto" w:sz="4" w:space="0"/>
            </w:tcBorders>
            <w:vAlign w:val="center"/>
          </w:tcPr>
          <w:p w14:paraId="7A9306B6">
            <w:pPr>
              <w:pStyle w:val="40"/>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7977C6F1">
            <w:pPr>
              <w:pStyle w:val="40"/>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1A688794">
            <w:pPr>
              <w:pStyle w:val="40"/>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277D1423">
            <w:pPr>
              <w:pStyle w:val="40"/>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1E66E94E">
            <w:pPr>
              <w:pStyle w:val="40"/>
              <w:jc w:val="center"/>
              <w:rPr>
                <w:rFonts w:ascii="宋体" w:hAnsi="宋体"/>
                <w:color w:val="auto"/>
                <w:sz w:val="21"/>
                <w:szCs w:val="21"/>
                <w:highlight w:val="none"/>
              </w:rPr>
            </w:pPr>
          </w:p>
        </w:tc>
      </w:tr>
      <w:tr w14:paraId="105758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1AA12DE3">
            <w:pPr>
              <w:pStyle w:val="40"/>
              <w:jc w:val="center"/>
              <w:rPr>
                <w:rFonts w:ascii="宋体" w:hAnsi="宋体"/>
                <w:color w:val="auto"/>
                <w:sz w:val="21"/>
                <w:szCs w:val="21"/>
                <w:highlight w:val="none"/>
              </w:rPr>
            </w:pPr>
            <w:r>
              <w:rPr>
                <w:rFonts w:hint="eastAsia" w:ascii="宋体" w:hAnsi="宋体"/>
                <w:color w:val="auto"/>
                <w:sz w:val="21"/>
                <w:szCs w:val="21"/>
                <w:highlight w:val="none"/>
              </w:rPr>
              <w:t>3</w:t>
            </w:r>
          </w:p>
        </w:tc>
        <w:tc>
          <w:tcPr>
            <w:tcW w:w="1016" w:type="dxa"/>
            <w:tcBorders>
              <w:top w:val="single" w:color="auto" w:sz="4" w:space="0"/>
              <w:left w:val="single" w:color="auto" w:sz="4" w:space="0"/>
              <w:bottom w:val="single" w:color="auto" w:sz="4" w:space="0"/>
              <w:right w:val="single" w:color="auto" w:sz="4" w:space="0"/>
            </w:tcBorders>
            <w:vAlign w:val="center"/>
          </w:tcPr>
          <w:p w14:paraId="2A8B218B">
            <w:pPr>
              <w:pStyle w:val="40"/>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449ABC45">
            <w:pPr>
              <w:pStyle w:val="40"/>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0030B904">
            <w:pPr>
              <w:pStyle w:val="40"/>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333B76C1">
            <w:pPr>
              <w:pStyle w:val="40"/>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014F5ECB">
            <w:pPr>
              <w:pStyle w:val="40"/>
              <w:jc w:val="center"/>
              <w:rPr>
                <w:rFonts w:ascii="宋体" w:hAnsi="宋体"/>
                <w:color w:val="auto"/>
                <w:sz w:val="21"/>
                <w:szCs w:val="21"/>
                <w:highlight w:val="none"/>
              </w:rPr>
            </w:pPr>
          </w:p>
        </w:tc>
      </w:tr>
      <w:tr w14:paraId="2AE084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0889CB27">
            <w:pPr>
              <w:pStyle w:val="40"/>
              <w:jc w:val="center"/>
              <w:rPr>
                <w:rFonts w:ascii="宋体" w:hAnsi="宋体"/>
                <w:color w:val="auto"/>
                <w:sz w:val="21"/>
                <w:szCs w:val="21"/>
                <w:highlight w:val="none"/>
              </w:rPr>
            </w:pPr>
            <w:r>
              <w:rPr>
                <w:rFonts w:hint="eastAsia" w:ascii="宋体" w:hAnsi="宋体"/>
                <w:color w:val="auto"/>
                <w:sz w:val="21"/>
                <w:szCs w:val="21"/>
                <w:highlight w:val="none"/>
              </w:rPr>
              <w:t>4</w:t>
            </w:r>
          </w:p>
        </w:tc>
        <w:tc>
          <w:tcPr>
            <w:tcW w:w="1016" w:type="dxa"/>
            <w:tcBorders>
              <w:top w:val="single" w:color="auto" w:sz="4" w:space="0"/>
              <w:left w:val="single" w:color="auto" w:sz="4" w:space="0"/>
              <w:bottom w:val="single" w:color="auto" w:sz="4" w:space="0"/>
              <w:right w:val="single" w:color="auto" w:sz="4" w:space="0"/>
            </w:tcBorders>
            <w:vAlign w:val="center"/>
          </w:tcPr>
          <w:p w14:paraId="45ACC810">
            <w:pPr>
              <w:pStyle w:val="40"/>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04A85878">
            <w:pPr>
              <w:pStyle w:val="40"/>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5B37F4F3">
            <w:pPr>
              <w:pStyle w:val="40"/>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33117B4C">
            <w:pPr>
              <w:pStyle w:val="40"/>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6F50A004">
            <w:pPr>
              <w:pStyle w:val="40"/>
              <w:jc w:val="center"/>
              <w:rPr>
                <w:rFonts w:ascii="宋体" w:hAnsi="宋体"/>
                <w:color w:val="auto"/>
                <w:sz w:val="21"/>
                <w:szCs w:val="21"/>
                <w:highlight w:val="none"/>
              </w:rPr>
            </w:pPr>
          </w:p>
        </w:tc>
      </w:tr>
      <w:tr w14:paraId="7B265B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5A474CB3">
            <w:pPr>
              <w:pStyle w:val="40"/>
              <w:jc w:val="center"/>
              <w:rPr>
                <w:rFonts w:ascii="宋体" w:hAnsi="宋体"/>
                <w:color w:val="auto"/>
                <w:sz w:val="21"/>
                <w:szCs w:val="21"/>
                <w:highlight w:val="none"/>
              </w:rPr>
            </w:pPr>
            <w:r>
              <w:rPr>
                <w:rFonts w:hint="eastAsia" w:ascii="宋体" w:hAnsi="宋体"/>
                <w:color w:val="auto"/>
                <w:sz w:val="21"/>
                <w:szCs w:val="21"/>
                <w:highlight w:val="none"/>
              </w:rPr>
              <w:t>5</w:t>
            </w:r>
          </w:p>
        </w:tc>
        <w:tc>
          <w:tcPr>
            <w:tcW w:w="1016" w:type="dxa"/>
            <w:tcBorders>
              <w:top w:val="single" w:color="auto" w:sz="4" w:space="0"/>
              <w:left w:val="single" w:color="auto" w:sz="4" w:space="0"/>
              <w:bottom w:val="single" w:color="auto" w:sz="4" w:space="0"/>
              <w:right w:val="single" w:color="auto" w:sz="4" w:space="0"/>
            </w:tcBorders>
            <w:vAlign w:val="center"/>
          </w:tcPr>
          <w:p w14:paraId="05FB56E3">
            <w:pPr>
              <w:pStyle w:val="40"/>
              <w:jc w:val="center"/>
              <w:rPr>
                <w:rFonts w:ascii="宋体" w:hAnsi="宋体"/>
                <w:color w:val="auto"/>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26F890F7">
            <w:pPr>
              <w:pStyle w:val="40"/>
              <w:jc w:val="center"/>
              <w:rPr>
                <w:rFonts w:ascii="宋体" w:hAnsi="宋体"/>
                <w:color w:val="auto"/>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3AD104E7">
            <w:pPr>
              <w:pStyle w:val="40"/>
              <w:jc w:val="center"/>
              <w:rPr>
                <w:rFonts w:ascii="宋体" w:hAnsi="宋体"/>
                <w:color w:val="auto"/>
                <w:sz w:val="21"/>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7A231635">
            <w:pPr>
              <w:pStyle w:val="40"/>
              <w:jc w:val="center"/>
              <w:rPr>
                <w:rFonts w:ascii="宋体" w:hAnsi="宋体"/>
                <w:color w:val="auto"/>
                <w:sz w:val="21"/>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12442998">
            <w:pPr>
              <w:pStyle w:val="40"/>
              <w:jc w:val="center"/>
              <w:rPr>
                <w:rFonts w:ascii="宋体" w:hAnsi="宋体"/>
                <w:color w:val="auto"/>
                <w:sz w:val="21"/>
                <w:szCs w:val="21"/>
                <w:highlight w:val="none"/>
              </w:rPr>
            </w:pPr>
          </w:p>
        </w:tc>
      </w:tr>
      <w:tr w14:paraId="5ED02E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vAlign w:val="center"/>
          </w:tcPr>
          <w:p w14:paraId="6FF89D02">
            <w:pPr>
              <w:rPr>
                <w:rFonts w:ascii="宋体" w:hAnsi="宋体"/>
                <w:color w:val="auto"/>
                <w:szCs w:val="21"/>
                <w:highlight w:val="none"/>
              </w:rPr>
            </w:pPr>
            <w:r>
              <w:rPr>
                <w:rFonts w:hint="eastAsia" w:ascii="宋体" w:hAnsi="宋体"/>
                <w:color w:val="auto"/>
                <w:szCs w:val="21"/>
                <w:highlight w:val="none"/>
              </w:rPr>
              <w:t>…</w:t>
            </w:r>
          </w:p>
        </w:tc>
        <w:tc>
          <w:tcPr>
            <w:tcW w:w="1016" w:type="dxa"/>
            <w:tcBorders>
              <w:top w:val="single" w:color="auto" w:sz="4" w:space="0"/>
              <w:left w:val="single" w:color="auto" w:sz="4" w:space="0"/>
              <w:bottom w:val="single" w:color="auto" w:sz="4" w:space="0"/>
              <w:right w:val="single" w:color="auto" w:sz="4" w:space="0"/>
            </w:tcBorders>
            <w:vAlign w:val="center"/>
          </w:tcPr>
          <w:p w14:paraId="5F2E1774">
            <w:pPr>
              <w:rPr>
                <w:rFonts w:ascii="宋体" w:hAnsi="宋体"/>
                <w:color w:val="auto"/>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3ACD7CBC">
            <w:pPr>
              <w:rPr>
                <w:rFonts w:ascii="宋体" w:hAnsi="宋体"/>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4D5FA8D7">
            <w:pPr>
              <w:rPr>
                <w:rFonts w:ascii="宋体" w:hAnsi="宋体"/>
                <w:color w:val="auto"/>
                <w:szCs w:val="21"/>
                <w:highlight w:val="none"/>
              </w:rPr>
            </w:pPr>
          </w:p>
        </w:tc>
        <w:tc>
          <w:tcPr>
            <w:tcW w:w="1999" w:type="dxa"/>
            <w:tcBorders>
              <w:top w:val="single" w:color="auto" w:sz="4" w:space="0"/>
              <w:left w:val="single" w:color="auto" w:sz="4" w:space="0"/>
              <w:bottom w:val="single" w:color="auto" w:sz="4" w:space="0"/>
              <w:right w:val="single" w:color="auto" w:sz="4" w:space="0"/>
            </w:tcBorders>
            <w:vAlign w:val="center"/>
          </w:tcPr>
          <w:p w14:paraId="6E59BC1D">
            <w:pPr>
              <w:rPr>
                <w:rFonts w:ascii="宋体" w:hAnsi="宋体"/>
                <w:color w:val="auto"/>
                <w:szCs w:val="21"/>
                <w:highlight w:val="none"/>
              </w:rPr>
            </w:pPr>
          </w:p>
        </w:tc>
        <w:tc>
          <w:tcPr>
            <w:tcW w:w="2113" w:type="dxa"/>
            <w:tcBorders>
              <w:top w:val="single" w:color="auto" w:sz="4" w:space="0"/>
              <w:left w:val="single" w:color="auto" w:sz="4" w:space="0"/>
              <w:bottom w:val="single" w:color="auto" w:sz="4" w:space="0"/>
              <w:right w:val="single" w:color="auto" w:sz="4" w:space="0"/>
            </w:tcBorders>
          </w:tcPr>
          <w:p w14:paraId="4E3C4AD8">
            <w:pPr>
              <w:rPr>
                <w:rFonts w:ascii="宋体" w:hAnsi="宋体"/>
                <w:color w:val="auto"/>
                <w:szCs w:val="21"/>
                <w:highlight w:val="none"/>
              </w:rPr>
            </w:pPr>
          </w:p>
        </w:tc>
      </w:tr>
      <w:tr w14:paraId="46D5CF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300" w:type="dxa"/>
            <w:gridSpan w:val="6"/>
            <w:tcBorders>
              <w:top w:val="single" w:color="auto" w:sz="4" w:space="0"/>
              <w:left w:val="single" w:color="auto" w:sz="4" w:space="0"/>
              <w:bottom w:val="single" w:color="auto" w:sz="4" w:space="0"/>
              <w:right w:val="single" w:color="auto" w:sz="4" w:space="0"/>
            </w:tcBorders>
            <w:vAlign w:val="center"/>
          </w:tcPr>
          <w:p w14:paraId="51157531">
            <w:pPr>
              <w:rPr>
                <w:rFonts w:ascii="宋体" w:hAnsi="宋体"/>
                <w:color w:val="auto"/>
                <w:szCs w:val="21"/>
                <w:highlight w:val="none"/>
              </w:rPr>
            </w:pPr>
            <w:r>
              <w:rPr>
                <w:rFonts w:hint="eastAsia" w:ascii="宋体" w:hAnsi="宋体"/>
                <w:color w:val="auto"/>
                <w:szCs w:val="21"/>
                <w:highlight w:val="none"/>
              </w:rPr>
              <w:t>一旦我单位中标，我方保证并配备上述项目服务人员。上述填报内容真实，若不真实，愿按有关规定接受处理。</w:t>
            </w:r>
          </w:p>
        </w:tc>
      </w:tr>
    </w:tbl>
    <w:p w14:paraId="1F85908E">
      <w:pPr>
        <w:spacing w:line="360" w:lineRule="auto"/>
        <w:ind w:firstLine="422" w:firstLineChars="200"/>
        <w:rPr>
          <w:rFonts w:ascii="宋体" w:hAnsi="宋体"/>
          <w:b/>
          <w:color w:val="auto"/>
          <w:szCs w:val="21"/>
          <w:highlight w:val="none"/>
        </w:rPr>
      </w:pPr>
    </w:p>
    <w:p w14:paraId="0266D014">
      <w:pPr>
        <w:spacing w:line="360" w:lineRule="auto"/>
        <w:ind w:firstLine="422" w:firstLineChars="200"/>
        <w:rPr>
          <w:rFonts w:hint="eastAsia" w:ascii="宋体" w:hAnsi="宋体" w:eastAsia="宋体"/>
          <w:b/>
          <w:color w:val="auto"/>
          <w:szCs w:val="21"/>
          <w:highlight w:val="none"/>
          <w:lang w:eastAsia="zh-CN"/>
        </w:rPr>
      </w:pPr>
      <w:r>
        <w:rPr>
          <w:rFonts w:hint="eastAsia" w:ascii="宋体" w:hAnsi="宋体"/>
          <w:b/>
          <w:color w:val="auto"/>
          <w:szCs w:val="21"/>
          <w:highlight w:val="none"/>
        </w:rPr>
        <w:t>注：1、相关证明材料附后</w:t>
      </w:r>
      <w:r>
        <w:rPr>
          <w:rFonts w:hint="eastAsia" w:ascii="宋体" w:hAnsi="宋体"/>
          <w:b/>
          <w:color w:val="auto"/>
          <w:szCs w:val="21"/>
          <w:highlight w:val="none"/>
          <w:lang w:eastAsia="zh-CN"/>
        </w:rPr>
        <w:t>。</w:t>
      </w:r>
    </w:p>
    <w:p w14:paraId="293721DE">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lang w:val="en-US" w:eastAsia="zh-CN"/>
        </w:rPr>
        <w:t>2、列入本表人员如要更换，需经招标人同意；擅自更换或不到位属违约行为</w:t>
      </w:r>
    </w:p>
    <w:p w14:paraId="16F5CE04">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lang w:val="en-US" w:eastAsia="zh-CN"/>
        </w:rPr>
        <w:t>3</w:t>
      </w:r>
      <w:r>
        <w:rPr>
          <w:rFonts w:hint="eastAsia" w:ascii="宋体" w:hAnsi="宋体"/>
          <w:b/>
          <w:color w:val="auto"/>
          <w:szCs w:val="21"/>
          <w:highlight w:val="none"/>
        </w:rPr>
        <w:t>、表格不够填写可添加。</w:t>
      </w:r>
    </w:p>
    <w:p w14:paraId="7AF004AA">
      <w:pPr>
        <w:snapToGrid w:val="0"/>
        <w:spacing w:before="50" w:after="50" w:line="360" w:lineRule="auto"/>
        <w:rPr>
          <w:rFonts w:ascii="宋体" w:hAnsi="宋体"/>
          <w:color w:val="auto"/>
          <w:sz w:val="24"/>
          <w:highlight w:val="none"/>
        </w:rPr>
      </w:pPr>
    </w:p>
    <w:p w14:paraId="5512F4BB">
      <w:pPr>
        <w:snapToGrid w:val="0"/>
        <w:spacing w:before="50" w:after="50" w:line="360" w:lineRule="auto"/>
        <w:rPr>
          <w:rFonts w:ascii="宋体" w:hAnsi="宋体"/>
          <w:color w:val="auto"/>
          <w:sz w:val="24"/>
          <w:highlight w:val="none"/>
        </w:rPr>
      </w:pPr>
    </w:p>
    <w:p w14:paraId="0C9AA01D">
      <w:pPr>
        <w:snapToGrid w:val="0"/>
        <w:spacing w:before="50" w:after="50" w:line="360" w:lineRule="auto"/>
        <w:rPr>
          <w:rFonts w:ascii="宋体" w:hAnsi="宋体"/>
          <w:color w:val="auto"/>
          <w:spacing w:val="20"/>
          <w:sz w:val="24"/>
          <w:szCs w:val="20"/>
          <w:highlight w:val="none"/>
          <w:u w:val="single"/>
        </w:rPr>
      </w:pPr>
      <w:r>
        <w:rPr>
          <w:rFonts w:hint="eastAsia" w:ascii="宋体" w:hAnsi="宋体"/>
          <w:color w:val="auto"/>
          <w:sz w:val="24"/>
          <w:highlight w:val="none"/>
        </w:rPr>
        <w:t>法定代表人或被授权人（签字或盖章）</w:t>
      </w:r>
      <w:r>
        <w:rPr>
          <w:rFonts w:hint="eastAsia" w:ascii="宋体" w:hAnsi="宋体"/>
          <w:color w:val="auto"/>
          <w:spacing w:val="20"/>
          <w:sz w:val="24"/>
          <w:highlight w:val="none"/>
        </w:rPr>
        <w:t>：</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14:paraId="0D064072">
      <w:pPr>
        <w:pStyle w:val="86"/>
        <w:ind w:left="0" w:leftChars="0" w:firstLine="0" w:firstLineChars="0"/>
        <w:rPr>
          <w:rFonts w:hAnsi="宋体"/>
          <w:color w:val="auto"/>
          <w:highlight w:val="none"/>
        </w:rPr>
      </w:pPr>
      <w:r>
        <w:rPr>
          <w:rFonts w:hint="eastAsia" w:ascii="宋体" w:hAnsi="宋体" w:cs="宋体"/>
          <w:color w:val="auto"/>
          <w:highlight w:val="none"/>
        </w:rPr>
        <w:t>投标人名称（加盖公章）</w:t>
      </w:r>
      <w:r>
        <w:rPr>
          <w:rFonts w:hint="eastAsia" w:hAnsi="宋体"/>
          <w:color w:val="auto"/>
          <w:highlight w:val="none"/>
          <w:u w:val="single"/>
        </w:rPr>
        <w:t>：</w:t>
      </w:r>
      <w:r>
        <w:rPr>
          <w:rFonts w:hAnsi="宋体"/>
          <w:color w:val="auto"/>
          <w:highlight w:val="none"/>
          <w:u w:val="single"/>
        </w:rPr>
        <w:t xml:space="preserve">                  </w:t>
      </w:r>
      <w:r>
        <w:rPr>
          <w:rFonts w:hAnsi="宋体"/>
          <w:color w:val="auto"/>
          <w:highlight w:val="none"/>
        </w:rPr>
        <w:t xml:space="preserve">        </w:t>
      </w:r>
      <w:r>
        <w:rPr>
          <w:rFonts w:hint="eastAsia" w:hAnsi="宋体"/>
          <w:color w:val="auto"/>
          <w:highlight w:val="none"/>
        </w:rPr>
        <w:t xml:space="preserve">    </w:t>
      </w:r>
    </w:p>
    <w:p w14:paraId="2F3D1727">
      <w:pPr>
        <w:pStyle w:val="86"/>
        <w:ind w:left="0" w:leftChars="0" w:firstLine="0" w:firstLineChars="0"/>
        <w:rPr>
          <w:rFonts w:ascii="宋体" w:hAnsi="宋体"/>
          <w:b/>
          <w:color w:val="auto"/>
          <w:sz w:val="28"/>
          <w:szCs w:val="28"/>
          <w:highlight w:val="none"/>
        </w:rPr>
      </w:pPr>
      <w:r>
        <w:rPr>
          <w:rFonts w:hint="eastAsia" w:hAnsi="宋体" w:cs="宋体"/>
          <w:color w:val="auto"/>
          <w:highlight w:val="none"/>
        </w:rPr>
        <w:t>日期：_____年____月____日</w:t>
      </w:r>
    </w:p>
    <w:p w14:paraId="3A90FF5C">
      <w:pPr>
        <w:pStyle w:val="86"/>
        <w:ind w:left="420" w:firstLine="0" w:firstLineChars="0"/>
        <w:rPr>
          <w:rFonts w:ascii="宋体" w:hAnsi="宋体"/>
          <w:b/>
          <w:color w:val="auto"/>
          <w:sz w:val="28"/>
          <w:szCs w:val="28"/>
          <w:highlight w:val="none"/>
        </w:rPr>
      </w:pPr>
    </w:p>
    <w:p w14:paraId="37AF891E">
      <w:pPr>
        <w:widowControl/>
        <w:jc w:val="center"/>
        <w:rPr>
          <w:rFonts w:ascii="宋体" w:hAnsi="宋体" w:cs="宋体"/>
          <w:b/>
          <w:color w:val="auto"/>
          <w:kern w:val="0"/>
          <w:sz w:val="24"/>
          <w:highlight w:val="none"/>
          <w:lang w:bidi="ar"/>
        </w:rPr>
      </w:pPr>
    </w:p>
    <w:p w14:paraId="624C9CF4">
      <w:pPr>
        <w:widowControl/>
        <w:jc w:val="center"/>
        <w:rPr>
          <w:rFonts w:ascii="宋体" w:hAnsi="宋体" w:cs="宋体"/>
          <w:b/>
          <w:color w:val="auto"/>
          <w:kern w:val="0"/>
          <w:sz w:val="24"/>
          <w:highlight w:val="none"/>
          <w:lang w:bidi="ar"/>
        </w:rPr>
      </w:pPr>
    </w:p>
    <w:p w14:paraId="302E3F4A">
      <w:pPr>
        <w:widowControl/>
        <w:jc w:val="center"/>
        <w:rPr>
          <w:rFonts w:ascii="宋体" w:hAnsi="宋体" w:cs="宋体"/>
          <w:b/>
          <w:color w:val="auto"/>
          <w:kern w:val="0"/>
          <w:sz w:val="24"/>
          <w:highlight w:val="none"/>
          <w:lang w:bidi="ar"/>
        </w:rPr>
      </w:pPr>
    </w:p>
    <w:p w14:paraId="1511A13B">
      <w:pPr>
        <w:widowControl/>
        <w:jc w:val="center"/>
        <w:rPr>
          <w:rFonts w:ascii="宋体" w:hAnsi="宋体" w:cs="宋体"/>
          <w:b/>
          <w:color w:val="auto"/>
          <w:kern w:val="0"/>
          <w:sz w:val="24"/>
          <w:highlight w:val="none"/>
          <w:lang w:bidi="ar"/>
        </w:rPr>
      </w:pPr>
    </w:p>
    <w:p w14:paraId="7136133F">
      <w:pPr>
        <w:widowControl/>
        <w:jc w:val="center"/>
        <w:rPr>
          <w:rFonts w:ascii="宋体" w:hAnsi="宋体" w:cs="宋体"/>
          <w:b/>
          <w:color w:val="auto"/>
          <w:kern w:val="0"/>
          <w:sz w:val="24"/>
          <w:highlight w:val="none"/>
          <w:lang w:bidi="ar"/>
        </w:rPr>
      </w:pPr>
    </w:p>
    <w:p w14:paraId="646BDD91">
      <w:pPr>
        <w:widowControl/>
        <w:jc w:val="center"/>
        <w:rPr>
          <w:rFonts w:ascii="宋体" w:hAnsi="宋体" w:cs="宋体"/>
          <w:b/>
          <w:color w:val="auto"/>
          <w:kern w:val="0"/>
          <w:sz w:val="24"/>
          <w:highlight w:val="none"/>
          <w:lang w:bidi="ar"/>
        </w:rPr>
      </w:pPr>
    </w:p>
    <w:p w14:paraId="3F37F171">
      <w:pPr>
        <w:widowControl/>
        <w:jc w:val="center"/>
        <w:rPr>
          <w:rFonts w:ascii="宋体" w:hAnsi="宋体" w:cs="宋体"/>
          <w:b/>
          <w:color w:val="auto"/>
          <w:kern w:val="0"/>
          <w:sz w:val="24"/>
          <w:highlight w:val="none"/>
          <w:lang w:bidi="ar"/>
        </w:rPr>
      </w:pPr>
    </w:p>
    <w:p w14:paraId="18850B83">
      <w:pPr>
        <w:widowControl/>
        <w:jc w:val="center"/>
        <w:rPr>
          <w:rFonts w:ascii="宋体" w:hAnsi="宋体" w:cs="宋体"/>
          <w:b/>
          <w:color w:val="auto"/>
          <w:kern w:val="0"/>
          <w:sz w:val="24"/>
          <w:highlight w:val="none"/>
          <w:lang w:bidi="ar"/>
        </w:rPr>
      </w:pPr>
    </w:p>
    <w:p w14:paraId="442F313B">
      <w:pPr>
        <w:pStyle w:val="2"/>
        <w:rPr>
          <w:rFonts w:ascii="宋体" w:hAnsi="宋体" w:cs="宋体"/>
          <w:b/>
          <w:color w:val="auto"/>
          <w:kern w:val="0"/>
          <w:sz w:val="24"/>
          <w:highlight w:val="none"/>
          <w:lang w:bidi="ar"/>
        </w:rPr>
      </w:pPr>
    </w:p>
    <w:p w14:paraId="7975107C">
      <w:pPr>
        <w:pStyle w:val="2"/>
        <w:rPr>
          <w:color w:val="auto"/>
          <w:highlight w:val="none"/>
        </w:rPr>
      </w:pPr>
    </w:p>
    <w:p w14:paraId="0DD064D0">
      <w:pPr>
        <w:widowControl/>
        <w:jc w:val="center"/>
        <w:rPr>
          <w:rFonts w:ascii="宋体" w:hAnsi="宋体" w:cs="宋体"/>
          <w:b/>
          <w:color w:val="auto"/>
          <w:kern w:val="0"/>
          <w:sz w:val="24"/>
          <w:highlight w:val="none"/>
          <w:lang w:bidi="ar"/>
        </w:rPr>
      </w:pPr>
    </w:p>
    <w:p w14:paraId="139B07D0">
      <w:pPr>
        <w:snapToGrid w:val="0"/>
        <w:spacing w:before="120" w:beforeLines="50" w:after="50"/>
        <w:jc w:val="center"/>
        <w:rPr>
          <w:rFonts w:ascii="宋体" w:hAnsi="宋体" w:cs="宋体"/>
          <w:b/>
          <w:color w:val="auto"/>
          <w:sz w:val="32"/>
          <w:szCs w:val="32"/>
          <w:highlight w:val="none"/>
        </w:rPr>
      </w:pPr>
      <w:r>
        <w:rPr>
          <w:rFonts w:hint="eastAsia" w:ascii="宋体" w:hAnsi="宋体" w:cs="宋体"/>
          <w:b/>
          <w:color w:val="auto"/>
          <w:sz w:val="32"/>
          <w:szCs w:val="32"/>
          <w:highlight w:val="none"/>
        </w:rPr>
        <w:t>投标函</w:t>
      </w:r>
    </w:p>
    <w:p w14:paraId="14088C6B">
      <w:pPr>
        <w:snapToGrid w:val="0"/>
        <w:spacing w:line="360" w:lineRule="auto"/>
        <w:rPr>
          <w:rFonts w:ascii="宋体" w:hAnsi="宋体" w:cs="宋体"/>
          <w:color w:val="auto"/>
          <w:sz w:val="24"/>
          <w:szCs w:val="20"/>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（采购人）：  </w:t>
      </w:r>
    </w:p>
    <w:p w14:paraId="7DC35875">
      <w:pPr>
        <w:snapToGrid w:val="0"/>
        <w:spacing w:before="120" w:beforeLines="50" w:after="50" w:line="360" w:lineRule="auto"/>
        <w:ind w:firstLine="480" w:firstLineChars="200"/>
        <w:rPr>
          <w:rFonts w:ascii="宋体" w:hAnsi="宋体" w:cs="宋体"/>
          <w:bCs/>
          <w:color w:val="auto"/>
          <w:sz w:val="24"/>
          <w:szCs w:val="20"/>
          <w:highlight w:val="none"/>
        </w:rPr>
      </w:pPr>
      <w:r>
        <w:rPr>
          <w:rFonts w:hint="eastAsia" w:ascii="宋体" w:hAnsi="宋体" w:cs="宋体"/>
          <w:color w:val="auto"/>
          <w:sz w:val="24"/>
          <w:highlight w:val="none"/>
        </w:rPr>
        <w:t>根据贵方为</w:t>
      </w:r>
      <w:r>
        <w:rPr>
          <w:rFonts w:hint="eastAsia" w:ascii="宋体" w:hAnsi="宋体" w:cs="宋体"/>
          <w:bCs/>
          <w:color w:val="auto"/>
          <w:sz w:val="24"/>
          <w:highlight w:val="none"/>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的招标公告（项目编号：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），签字代表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（全名）经正式授权并代表投标人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（投标人名称）提交电子版投标文件（资格响应文件、商务技术响应文件、报价响应文件）。</w:t>
      </w:r>
    </w:p>
    <w:p w14:paraId="45C627E8">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据此函，签字代表宣布同意如下：</w:t>
      </w:r>
    </w:p>
    <w:p w14:paraId="22685ABA">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1.投标人已详细审查全部“招标文件”，包括修改文件（如有的话）以及全部参考资料和有关附件，已经了解我方对于招标文件、采购过程、采购结果有依法进行询问、质疑、投诉的权利及相关渠道和要求。</w:t>
      </w:r>
    </w:p>
    <w:p w14:paraId="63D1B1E6">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2.投标人在投标之前已经与贵方进行了充分的沟通，完全理解并接受招标文件的各项规定和要求，对招标文件的合理性、合法性不再有异议。</w:t>
      </w:r>
    </w:p>
    <w:p w14:paraId="2429254B">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3.本投标有效期自开标日起 ______个日。</w:t>
      </w:r>
    </w:p>
    <w:p w14:paraId="3EA69D2F">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4.如中标，本投标文件至本项目合同履行完毕止均保持有效，本投标人将按“招标文件”及政府采购法律、法规的规定履行合同责任和义务。</w:t>
      </w:r>
    </w:p>
    <w:p w14:paraId="488545BC">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5.投标人同意按照贵方要求提供与投标有关的一切数据或资料。</w:t>
      </w:r>
    </w:p>
    <w:p w14:paraId="5C8D088F">
      <w:pPr>
        <w:snapToGrid w:val="0"/>
        <w:spacing w:line="360" w:lineRule="auto"/>
        <w:ind w:firstLine="480" w:firstLineChars="200"/>
        <w:rPr>
          <w:rFonts w:ascii="宋体" w:hAnsi="宋体" w:cs="宋体"/>
          <w:color w:val="auto"/>
          <w:sz w:val="24"/>
          <w:szCs w:val="20"/>
          <w:highlight w:val="none"/>
        </w:rPr>
      </w:pPr>
      <w:r>
        <w:rPr>
          <w:rFonts w:hint="eastAsia" w:ascii="宋体" w:hAnsi="宋体" w:cs="宋体"/>
          <w:color w:val="auto"/>
          <w:sz w:val="24"/>
          <w:highlight w:val="none"/>
        </w:rPr>
        <w:t>6.与本投标有关的一切正式往来信函请寄：</w:t>
      </w:r>
    </w:p>
    <w:p w14:paraId="314194FB">
      <w:pPr>
        <w:snapToGrid w:val="0"/>
        <w:spacing w:line="360" w:lineRule="auto"/>
        <w:rPr>
          <w:rFonts w:ascii="宋体" w:hAnsi="宋体" w:cs="宋体"/>
          <w:color w:val="auto"/>
          <w:sz w:val="24"/>
          <w:szCs w:val="20"/>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邮编：__________  电话：_____________</w:t>
      </w:r>
    </w:p>
    <w:p w14:paraId="07D5CD9B">
      <w:pPr>
        <w:snapToGrid w:val="0"/>
        <w:spacing w:line="360" w:lineRule="auto"/>
        <w:rPr>
          <w:rFonts w:ascii="宋体" w:hAnsi="宋体" w:cs="宋体"/>
          <w:color w:val="auto"/>
          <w:sz w:val="24"/>
          <w:highlight w:val="none"/>
          <w:u w:val="single"/>
        </w:rPr>
      </w:pPr>
      <w:r>
        <w:rPr>
          <w:rFonts w:hint="eastAsia" w:ascii="宋体" w:hAnsi="宋体" w:cs="宋体"/>
          <w:color w:val="auto"/>
          <w:sz w:val="24"/>
          <w:highlight w:val="none"/>
        </w:rPr>
        <w:t>传真：______________投标人代表姓名：__________  职务：</w:t>
      </w:r>
      <w:r>
        <w:rPr>
          <w:rFonts w:hint="eastAsia" w:ascii="宋体" w:hAnsi="宋体" w:cs="宋体"/>
          <w:color w:val="auto"/>
          <w:sz w:val="24"/>
          <w:highlight w:val="none"/>
          <w:u w:val="single"/>
        </w:rPr>
        <w:t xml:space="preserve">               </w:t>
      </w:r>
    </w:p>
    <w:p w14:paraId="20BF9CB7">
      <w:pPr>
        <w:snapToGrid w:val="0"/>
        <w:spacing w:line="360" w:lineRule="auto"/>
        <w:rPr>
          <w:rFonts w:ascii="宋体" w:hAnsi="宋体" w:cs="宋体"/>
          <w:color w:val="auto"/>
          <w:sz w:val="24"/>
          <w:szCs w:val="20"/>
          <w:highlight w:val="none"/>
        </w:rPr>
      </w:pPr>
      <w:r>
        <w:rPr>
          <w:rFonts w:hint="eastAsia" w:ascii="宋体" w:hAnsi="宋体" w:cs="宋体"/>
          <w:color w:val="auto"/>
          <w:sz w:val="24"/>
          <w:highlight w:val="none"/>
        </w:rPr>
        <w:t>投标人名称(公章):___________________</w:t>
      </w:r>
    </w:p>
    <w:p w14:paraId="544FAD1A">
      <w:pPr>
        <w:snapToGrid w:val="0"/>
        <w:spacing w:line="360" w:lineRule="auto"/>
        <w:rPr>
          <w:rFonts w:ascii="宋体" w:hAnsi="宋体" w:cs="宋体"/>
          <w:color w:val="auto"/>
          <w:sz w:val="24"/>
          <w:szCs w:val="20"/>
          <w:highlight w:val="none"/>
        </w:rPr>
      </w:pPr>
      <w:r>
        <w:rPr>
          <w:rFonts w:hint="eastAsia" w:ascii="宋体" w:hAnsi="宋体" w:cs="宋体"/>
          <w:color w:val="auto"/>
          <w:sz w:val="24"/>
          <w:highlight w:val="none"/>
        </w:rPr>
        <w:t>开户银行：</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银行帐号：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1335084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法定代表人或授权委托人（签名）：            投标人名称（加盖公章）：          </w:t>
      </w:r>
    </w:p>
    <w:p w14:paraId="39BFE6F1">
      <w:pPr>
        <w:snapToGrid w:val="0"/>
        <w:spacing w:line="360" w:lineRule="auto"/>
        <w:ind w:firstLine="5040" w:firstLineChars="2100"/>
        <w:rPr>
          <w:rFonts w:ascii="宋体" w:hAnsi="宋体" w:cs="宋体"/>
          <w:color w:val="auto"/>
          <w:sz w:val="24"/>
          <w:highlight w:val="none"/>
        </w:rPr>
      </w:pPr>
    </w:p>
    <w:p w14:paraId="6545303D">
      <w:pPr>
        <w:snapToGrid w:val="0"/>
        <w:spacing w:line="360" w:lineRule="auto"/>
        <w:ind w:firstLine="5040" w:firstLineChars="2100"/>
        <w:rPr>
          <w:rFonts w:ascii="宋体" w:hAnsi="宋体" w:cs="宋体"/>
          <w:color w:val="auto"/>
          <w:sz w:val="24"/>
          <w:highlight w:val="none"/>
        </w:rPr>
      </w:pPr>
      <w:r>
        <w:rPr>
          <w:rFonts w:hint="eastAsia" w:ascii="宋体" w:hAnsi="宋体" w:cs="宋体"/>
          <w:color w:val="auto"/>
          <w:sz w:val="24"/>
          <w:highlight w:val="none"/>
        </w:rPr>
        <w:t>日期:_____年___月___日</w:t>
      </w:r>
    </w:p>
    <w:p w14:paraId="77E41089">
      <w:pPr>
        <w:snapToGrid w:val="0"/>
        <w:spacing w:before="50" w:after="50"/>
        <w:rPr>
          <w:rFonts w:ascii="宋体" w:hAnsi="宋体" w:cs="宋体"/>
          <w:color w:val="auto"/>
          <w:highlight w:val="none"/>
        </w:rPr>
      </w:pPr>
    </w:p>
    <w:p w14:paraId="1162BCDC">
      <w:pPr>
        <w:snapToGrid w:val="0"/>
        <w:spacing w:before="50" w:after="50"/>
        <w:rPr>
          <w:rFonts w:ascii="宋体" w:hAnsi="宋体" w:cs="宋体"/>
          <w:color w:val="auto"/>
          <w:highlight w:val="none"/>
        </w:rPr>
      </w:pPr>
    </w:p>
    <w:p w14:paraId="3CEA2F5B">
      <w:pPr>
        <w:snapToGrid w:val="0"/>
        <w:spacing w:before="50" w:after="50"/>
        <w:rPr>
          <w:rFonts w:ascii="宋体" w:hAnsi="宋体" w:cs="宋体"/>
          <w:color w:val="auto"/>
          <w:highlight w:val="none"/>
        </w:rPr>
      </w:pPr>
    </w:p>
    <w:p w14:paraId="4ACE3EAC">
      <w:pPr>
        <w:snapToGrid w:val="0"/>
        <w:spacing w:before="50" w:after="50"/>
        <w:rPr>
          <w:rFonts w:ascii="宋体" w:hAnsi="宋体" w:cs="宋体"/>
          <w:color w:val="auto"/>
          <w:highlight w:val="none"/>
        </w:rPr>
      </w:pPr>
    </w:p>
    <w:p w14:paraId="78AE06E4">
      <w:pPr>
        <w:snapToGrid w:val="0"/>
        <w:spacing w:before="50" w:after="50"/>
        <w:rPr>
          <w:rFonts w:ascii="宋体" w:hAnsi="宋体" w:cs="宋体"/>
          <w:color w:val="auto"/>
          <w:highlight w:val="none"/>
        </w:rPr>
      </w:pPr>
    </w:p>
    <w:p w14:paraId="7C74CB58">
      <w:pPr>
        <w:pStyle w:val="2"/>
        <w:rPr>
          <w:rFonts w:hAnsi="宋体" w:cs="宋体"/>
          <w:color w:val="auto"/>
          <w:highlight w:val="none"/>
        </w:rPr>
      </w:pPr>
    </w:p>
    <w:bookmarkEnd w:id="56"/>
    <w:p w14:paraId="0224EF2A">
      <w:pPr>
        <w:snapToGrid w:val="0"/>
        <w:spacing w:before="50" w:after="50"/>
        <w:jc w:val="both"/>
        <w:rPr>
          <w:rFonts w:ascii="宋体" w:hAnsi="宋体" w:cs="宋体"/>
          <w:b/>
          <w:color w:val="auto"/>
          <w:sz w:val="24"/>
          <w:highlight w:val="none"/>
        </w:rPr>
      </w:pPr>
    </w:p>
    <w:p w14:paraId="1AAC8E74">
      <w:pPr>
        <w:snapToGrid w:val="0"/>
        <w:spacing w:before="50" w:after="50"/>
        <w:jc w:val="center"/>
        <w:rPr>
          <w:rFonts w:ascii="宋体" w:hAnsi="宋体" w:cs="宋体"/>
          <w:b/>
          <w:color w:val="auto"/>
          <w:sz w:val="24"/>
          <w:highlight w:val="none"/>
        </w:rPr>
      </w:pPr>
    </w:p>
    <w:p w14:paraId="0BF07B65">
      <w:pPr>
        <w:snapToGrid w:val="0"/>
        <w:spacing w:before="50" w:after="50"/>
        <w:jc w:val="center"/>
        <w:rPr>
          <w:rFonts w:hint="eastAsia" w:ascii="宋体" w:hAnsi="宋体" w:cs="宋体"/>
          <w:b/>
          <w:color w:val="auto"/>
          <w:sz w:val="24"/>
          <w:highlight w:val="none"/>
        </w:rPr>
      </w:pPr>
    </w:p>
    <w:p w14:paraId="431F1784">
      <w:pPr>
        <w:snapToGrid w:val="0"/>
        <w:spacing w:before="50" w:after="50"/>
        <w:jc w:val="center"/>
        <w:rPr>
          <w:rFonts w:ascii="宋体" w:hAnsi="宋体" w:cs="宋体"/>
          <w:b/>
          <w:color w:val="auto"/>
          <w:sz w:val="24"/>
          <w:highlight w:val="none"/>
        </w:rPr>
      </w:pPr>
      <w:r>
        <w:rPr>
          <w:rFonts w:hint="eastAsia" w:ascii="宋体" w:hAnsi="宋体" w:cs="宋体"/>
          <w:b/>
          <w:color w:val="auto"/>
          <w:sz w:val="24"/>
          <w:highlight w:val="none"/>
        </w:rPr>
        <w:t>开标一览表</w:t>
      </w:r>
    </w:p>
    <w:p w14:paraId="17E7BA28">
      <w:pPr>
        <w:snapToGrid w:val="0"/>
        <w:spacing w:before="50" w:after="50"/>
        <w:jc w:val="center"/>
        <w:rPr>
          <w:rFonts w:ascii="宋体" w:hAnsi="宋体" w:cs="宋体"/>
          <w:b/>
          <w:color w:val="auto"/>
          <w:sz w:val="24"/>
          <w:szCs w:val="20"/>
          <w:highlight w:val="none"/>
        </w:rPr>
      </w:pPr>
    </w:p>
    <w:p w14:paraId="6740EBCF">
      <w:pPr>
        <w:snapToGrid w:val="0"/>
        <w:spacing w:before="50" w:after="50"/>
        <w:ind w:right="480"/>
        <w:rPr>
          <w:rFonts w:ascii="宋体" w:hAnsi="宋体" w:cs="宋体"/>
          <w:color w:val="auto"/>
          <w:sz w:val="24"/>
          <w:highlight w:val="none"/>
          <w:u w:val="single"/>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单位：</w:t>
      </w:r>
      <w:r>
        <w:rPr>
          <w:rFonts w:hint="eastAsia" w:ascii="宋体" w:hAnsi="宋体"/>
          <w:color w:val="auto"/>
          <w:sz w:val="24"/>
          <w:highlight w:val="none"/>
        </w:rPr>
        <w:t>人民币</w:t>
      </w:r>
      <w:r>
        <w:rPr>
          <w:rFonts w:hint="eastAsia" w:ascii="宋体" w:hAnsi="宋体" w:cs="宋体"/>
          <w:color w:val="auto"/>
          <w:sz w:val="24"/>
          <w:highlight w:val="none"/>
        </w:rPr>
        <w:t>元</w:t>
      </w:r>
    </w:p>
    <w:p w14:paraId="658279C2">
      <w:pPr>
        <w:snapToGrid w:val="0"/>
        <w:spacing w:before="50" w:after="50"/>
        <w:ind w:right="480"/>
        <w:jc w:val="right"/>
        <w:rPr>
          <w:rFonts w:ascii="宋体" w:hAnsi="宋体" w:cs="宋体"/>
          <w:color w:val="auto"/>
          <w:sz w:val="24"/>
          <w:highlight w:val="none"/>
        </w:rPr>
      </w:pPr>
      <w:r>
        <w:rPr>
          <w:rFonts w:hint="eastAsia" w:ascii="宋体" w:hAnsi="宋体" w:cs="宋体"/>
          <w:color w:val="auto"/>
          <w:sz w:val="24"/>
          <w:highlight w:val="none"/>
        </w:rPr>
        <w:t xml:space="preserve">            </w:t>
      </w:r>
    </w:p>
    <w:tbl>
      <w:tblPr>
        <w:tblStyle w:val="63"/>
        <w:tblW w:w="900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88"/>
        <w:gridCol w:w="6912"/>
      </w:tblGrid>
      <w:tr w14:paraId="5D9E8C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trPr>
        <w:tc>
          <w:tcPr>
            <w:tcW w:w="2088" w:type="dxa"/>
            <w:tcBorders>
              <w:top w:val="single" w:color="auto" w:sz="4" w:space="0"/>
              <w:left w:val="single" w:color="auto" w:sz="4" w:space="0"/>
              <w:bottom w:val="single" w:color="auto" w:sz="4" w:space="0"/>
              <w:right w:val="single" w:color="auto" w:sz="4" w:space="0"/>
            </w:tcBorders>
            <w:vAlign w:val="center"/>
          </w:tcPr>
          <w:p w14:paraId="5726C126">
            <w:pPr>
              <w:snapToGrid w:val="0"/>
              <w:spacing w:before="100" w:beforeAutospacing="1" w:after="100" w:afterAutospacing="1" w:line="276" w:lineRule="auto"/>
              <w:jc w:val="center"/>
              <w:rPr>
                <w:rFonts w:eastAsia="仿宋_GB2312"/>
                <w:b/>
                <w:color w:val="auto"/>
                <w:szCs w:val="21"/>
                <w:highlight w:val="none"/>
              </w:rPr>
            </w:pPr>
            <w:r>
              <w:rPr>
                <w:rFonts w:hint="eastAsia"/>
                <w:b/>
                <w:color w:val="auto"/>
                <w:szCs w:val="21"/>
                <w:highlight w:val="none"/>
              </w:rPr>
              <w:t>项目名称</w:t>
            </w:r>
          </w:p>
        </w:tc>
        <w:tc>
          <w:tcPr>
            <w:tcW w:w="6912" w:type="dxa"/>
            <w:tcBorders>
              <w:top w:val="single" w:color="auto" w:sz="4" w:space="0"/>
              <w:left w:val="single" w:color="auto" w:sz="4" w:space="0"/>
              <w:bottom w:val="single" w:color="auto" w:sz="4" w:space="0"/>
              <w:right w:val="single" w:color="auto" w:sz="4" w:space="0"/>
            </w:tcBorders>
            <w:vAlign w:val="center"/>
          </w:tcPr>
          <w:p w14:paraId="07D84CD7">
            <w:pPr>
              <w:snapToGrid w:val="0"/>
              <w:spacing w:before="100" w:beforeAutospacing="1" w:after="100" w:afterAutospacing="1" w:line="276" w:lineRule="auto"/>
              <w:rPr>
                <w:rFonts w:eastAsia="仿宋_GB2312"/>
                <w:b/>
                <w:color w:val="auto"/>
                <w:szCs w:val="21"/>
                <w:highlight w:val="none"/>
              </w:rPr>
            </w:pPr>
          </w:p>
        </w:tc>
      </w:tr>
      <w:tr w14:paraId="5B5CDE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3" w:hRule="atLeast"/>
        </w:trPr>
        <w:tc>
          <w:tcPr>
            <w:tcW w:w="2088" w:type="dxa"/>
            <w:tcBorders>
              <w:top w:val="single" w:color="auto" w:sz="4" w:space="0"/>
              <w:left w:val="single" w:color="auto" w:sz="4" w:space="0"/>
              <w:bottom w:val="single" w:color="auto" w:sz="4" w:space="0"/>
              <w:right w:val="single" w:color="auto" w:sz="4" w:space="0"/>
            </w:tcBorders>
            <w:vAlign w:val="center"/>
          </w:tcPr>
          <w:p w14:paraId="6E70E6A7">
            <w:pPr>
              <w:snapToGrid w:val="0"/>
              <w:spacing w:before="100" w:beforeAutospacing="1" w:after="100" w:afterAutospacing="1" w:line="276" w:lineRule="auto"/>
              <w:jc w:val="center"/>
              <w:rPr>
                <w:rFonts w:hint="eastAsia"/>
                <w:b/>
                <w:color w:val="auto"/>
                <w:szCs w:val="21"/>
                <w:highlight w:val="none"/>
              </w:rPr>
            </w:pPr>
            <w:r>
              <w:rPr>
                <w:rFonts w:hint="eastAsia"/>
                <w:b/>
                <w:color w:val="auto"/>
                <w:szCs w:val="21"/>
                <w:highlight w:val="none"/>
              </w:rPr>
              <w:t xml:space="preserve">总报价 </w:t>
            </w:r>
          </w:p>
        </w:tc>
        <w:tc>
          <w:tcPr>
            <w:tcW w:w="6912" w:type="dxa"/>
            <w:tcBorders>
              <w:top w:val="single" w:color="auto" w:sz="4" w:space="0"/>
              <w:left w:val="single" w:color="auto" w:sz="4" w:space="0"/>
              <w:bottom w:val="single" w:color="auto" w:sz="4" w:space="0"/>
              <w:right w:val="single" w:color="auto" w:sz="4" w:space="0"/>
            </w:tcBorders>
            <w:vAlign w:val="center"/>
          </w:tcPr>
          <w:p w14:paraId="23181E9B">
            <w:pPr>
              <w:snapToGrid w:val="0"/>
              <w:spacing w:before="100" w:beforeAutospacing="1" w:after="100" w:afterAutospacing="1" w:line="276" w:lineRule="auto"/>
              <w:rPr>
                <w:rFonts w:eastAsia="仿宋_GB2312"/>
                <w:b/>
                <w:color w:val="auto"/>
                <w:szCs w:val="21"/>
                <w:highlight w:val="none"/>
              </w:rPr>
            </w:pPr>
            <w:r>
              <w:rPr>
                <w:rFonts w:hint="eastAsia" w:eastAsia="仿宋_GB2312"/>
                <w:color w:val="auto"/>
                <w:szCs w:val="21"/>
                <w:highlight w:val="none"/>
              </w:rPr>
              <w:t>大写</w:t>
            </w:r>
            <w:r>
              <w:rPr>
                <w:rFonts w:hint="eastAsia" w:eastAsia="仿宋_GB2312"/>
                <w:color w:val="auto"/>
                <w:szCs w:val="21"/>
                <w:highlight w:val="none"/>
                <w:lang w:eastAsia="zh-CN"/>
              </w:rPr>
              <w:t>：</w:t>
            </w:r>
            <w:r>
              <w:rPr>
                <w:rFonts w:hint="eastAsia" w:eastAsia="仿宋_GB2312"/>
                <w:color w:val="auto"/>
                <w:szCs w:val="21"/>
                <w:highlight w:val="none"/>
                <w:lang w:val="en-US" w:eastAsia="zh-CN"/>
              </w:rPr>
              <w:t xml:space="preserve">                            </w:t>
            </w:r>
            <w:r>
              <w:rPr>
                <w:rFonts w:hint="eastAsia" w:eastAsia="仿宋_GB2312"/>
                <w:color w:val="auto"/>
                <w:szCs w:val="21"/>
                <w:highlight w:val="none"/>
              </w:rPr>
              <w:t>小写</w:t>
            </w:r>
            <w:r>
              <w:rPr>
                <w:rFonts w:hint="eastAsia" w:eastAsia="仿宋_GB2312"/>
                <w:color w:val="auto"/>
                <w:szCs w:val="21"/>
                <w:highlight w:val="none"/>
                <w:lang w:eastAsia="zh-CN"/>
              </w:rPr>
              <w:t>：</w:t>
            </w:r>
          </w:p>
        </w:tc>
      </w:tr>
    </w:tbl>
    <w:p w14:paraId="634A6531">
      <w:pPr>
        <w:snapToGrid w:val="0"/>
        <w:spacing w:line="48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注: 1、报价一经涂改，应在涂改处加盖单位公章或者由法定代表人或被授权人签字或盖章，</w:t>
      </w:r>
    </w:p>
    <w:p w14:paraId="33F5F18D">
      <w:pPr>
        <w:snapToGrid w:val="0"/>
        <w:spacing w:line="48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否则其投标将作投标无效处理。</w:t>
      </w:r>
    </w:p>
    <w:p w14:paraId="27607303">
      <w:pPr>
        <w:snapToGrid w:val="0"/>
        <w:spacing w:line="480" w:lineRule="exact"/>
        <w:jc w:val="lef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val="en-US" w:eastAsia="zh-CN"/>
        </w:rPr>
        <w:t>2、</w:t>
      </w:r>
      <w:r>
        <w:rPr>
          <w:rFonts w:hint="eastAsia" w:ascii="宋体" w:hAnsi="宋体" w:cs="宋体"/>
          <w:color w:val="auto"/>
          <w:sz w:val="22"/>
          <w:szCs w:val="22"/>
          <w:highlight w:val="none"/>
        </w:rPr>
        <w:t>本页后附投标报价明细表</w:t>
      </w:r>
      <w:r>
        <w:rPr>
          <w:rFonts w:hint="eastAsia" w:ascii="宋体" w:hAnsi="宋体" w:cs="宋体"/>
          <w:color w:val="auto"/>
          <w:sz w:val="22"/>
          <w:szCs w:val="22"/>
          <w:highlight w:val="none"/>
          <w:lang w:eastAsia="zh-CN"/>
        </w:rPr>
        <w:t>。</w:t>
      </w:r>
    </w:p>
    <w:p w14:paraId="7F2F07AD">
      <w:pPr>
        <w:snapToGrid w:val="0"/>
        <w:spacing w:before="50" w:after="50" w:line="360" w:lineRule="auto"/>
        <w:rPr>
          <w:rFonts w:ascii="宋体" w:hAnsi="宋体"/>
          <w:color w:val="auto"/>
          <w:sz w:val="24"/>
          <w:highlight w:val="none"/>
        </w:rPr>
      </w:pPr>
    </w:p>
    <w:p w14:paraId="7BAD389C">
      <w:pPr>
        <w:snapToGrid w:val="0"/>
        <w:spacing w:before="50" w:after="50" w:line="360" w:lineRule="auto"/>
        <w:rPr>
          <w:rFonts w:ascii="宋体" w:hAnsi="宋体"/>
          <w:color w:val="auto"/>
          <w:sz w:val="24"/>
          <w:highlight w:val="none"/>
        </w:rPr>
      </w:pPr>
    </w:p>
    <w:p w14:paraId="06AA86F0">
      <w:pPr>
        <w:snapToGrid w:val="0"/>
        <w:spacing w:before="50" w:after="50" w:line="360" w:lineRule="auto"/>
        <w:rPr>
          <w:rFonts w:ascii="宋体" w:hAnsi="宋体"/>
          <w:color w:val="auto"/>
          <w:spacing w:val="20"/>
          <w:sz w:val="24"/>
          <w:szCs w:val="20"/>
          <w:highlight w:val="none"/>
          <w:u w:val="single"/>
        </w:rPr>
      </w:pPr>
      <w:r>
        <w:rPr>
          <w:rFonts w:hint="eastAsia" w:ascii="宋体" w:hAnsi="宋体"/>
          <w:color w:val="auto"/>
          <w:sz w:val="24"/>
          <w:highlight w:val="none"/>
        </w:rPr>
        <w:t>法定代表人或被授权人（签字或盖章）</w:t>
      </w:r>
      <w:r>
        <w:rPr>
          <w:rFonts w:hint="eastAsia" w:ascii="宋体" w:hAnsi="宋体"/>
          <w:color w:val="auto"/>
          <w:spacing w:val="20"/>
          <w:sz w:val="24"/>
          <w:highlight w:val="none"/>
        </w:rPr>
        <w:t>：</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14:paraId="0AE32997">
      <w:pPr>
        <w:pStyle w:val="968"/>
        <w:spacing w:line="360" w:lineRule="auto"/>
        <w:ind w:right="480"/>
        <w:rPr>
          <w:rFonts w:hAnsi="宋体" w:eastAsia="宋体"/>
          <w:color w:val="auto"/>
          <w:sz w:val="24"/>
          <w:szCs w:val="24"/>
          <w:highlight w:val="none"/>
        </w:rPr>
      </w:pPr>
      <w:r>
        <w:rPr>
          <w:rFonts w:hint="eastAsia" w:hAnsi="宋体" w:eastAsia="宋体"/>
          <w:color w:val="auto"/>
          <w:sz w:val="24"/>
          <w:szCs w:val="24"/>
          <w:highlight w:val="none"/>
        </w:rPr>
        <w:t>投标人名称（加盖公章）</w:t>
      </w:r>
      <w:r>
        <w:rPr>
          <w:rFonts w:hint="eastAsia" w:hAnsi="宋体" w:eastAsia="宋体"/>
          <w:color w:val="auto"/>
          <w:sz w:val="24"/>
          <w:szCs w:val="24"/>
          <w:highlight w:val="none"/>
          <w:u w:val="single"/>
        </w:rPr>
        <w:t>：</w:t>
      </w:r>
      <w:r>
        <w:rPr>
          <w:rFonts w:hAnsi="宋体" w:eastAsia="宋体"/>
          <w:color w:val="auto"/>
          <w:sz w:val="24"/>
          <w:szCs w:val="24"/>
          <w:highlight w:val="none"/>
          <w:u w:val="single"/>
        </w:rPr>
        <w:t xml:space="preserve">                  </w:t>
      </w:r>
      <w:r>
        <w:rPr>
          <w:rFonts w:hAnsi="宋体" w:eastAsia="宋体"/>
          <w:color w:val="auto"/>
          <w:sz w:val="24"/>
          <w:szCs w:val="24"/>
          <w:highlight w:val="none"/>
        </w:rPr>
        <w:t xml:space="preserve">        </w:t>
      </w:r>
      <w:r>
        <w:rPr>
          <w:rFonts w:hint="eastAsia" w:hAnsi="宋体" w:eastAsia="宋体"/>
          <w:color w:val="auto"/>
          <w:sz w:val="24"/>
          <w:szCs w:val="24"/>
          <w:highlight w:val="none"/>
        </w:rPr>
        <w:t xml:space="preserve">    </w:t>
      </w:r>
    </w:p>
    <w:p w14:paraId="435F7227">
      <w:pPr>
        <w:rPr>
          <w:rFonts w:hAnsi="宋体" w:cs="宋体"/>
          <w:color w:val="auto"/>
          <w:sz w:val="24"/>
          <w:highlight w:val="none"/>
        </w:rPr>
      </w:pPr>
      <w:r>
        <w:rPr>
          <w:rFonts w:hint="eastAsia" w:hAnsi="宋体" w:cs="宋体"/>
          <w:color w:val="auto"/>
          <w:sz w:val="24"/>
          <w:highlight w:val="none"/>
        </w:rPr>
        <w:t>日期：_____年____月____日</w:t>
      </w:r>
    </w:p>
    <w:p w14:paraId="64490AA2">
      <w:pPr>
        <w:pStyle w:val="2"/>
        <w:rPr>
          <w:rFonts w:ascii="宋体" w:hAnsi="宋体"/>
          <w:b/>
          <w:color w:val="auto"/>
          <w:sz w:val="28"/>
          <w:szCs w:val="28"/>
          <w:highlight w:val="none"/>
        </w:rPr>
      </w:pPr>
    </w:p>
    <w:p w14:paraId="195DBFC9">
      <w:pPr>
        <w:pStyle w:val="3"/>
        <w:rPr>
          <w:color w:val="auto"/>
          <w:highlight w:val="none"/>
        </w:rPr>
      </w:pPr>
    </w:p>
    <w:p w14:paraId="6AF5E08A">
      <w:pPr>
        <w:rPr>
          <w:color w:val="auto"/>
          <w:highlight w:val="none"/>
        </w:rPr>
      </w:pPr>
    </w:p>
    <w:p w14:paraId="260DBEF2">
      <w:pPr>
        <w:rPr>
          <w:rFonts w:hint="eastAsia" w:ascii="宋体" w:hAnsi="宋体"/>
          <w:b/>
          <w:color w:val="auto"/>
          <w:sz w:val="28"/>
          <w:szCs w:val="28"/>
          <w:highlight w:val="none"/>
        </w:rPr>
      </w:pPr>
    </w:p>
    <w:p w14:paraId="55E2020E">
      <w:pPr>
        <w:rPr>
          <w:rFonts w:hint="eastAsia" w:ascii="宋体" w:hAnsi="宋体"/>
          <w:b/>
          <w:color w:val="auto"/>
          <w:sz w:val="28"/>
          <w:szCs w:val="28"/>
          <w:highlight w:val="none"/>
        </w:rPr>
      </w:pPr>
    </w:p>
    <w:p w14:paraId="5C11B87F">
      <w:pPr>
        <w:rPr>
          <w:rFonts w:hint="eastAsia" w:ascii="宋体" w:hAnsi="宋体"/>
          <w:b/>
          <w:color w:val="auto"/>
          <w:sz w:val="28"/>
          <w:szCs w:val="28"/>
          <w:highlight w:val="none"/>
        </w:rPr>
      </w:pPr>
    </w:p>
    <w:p w14:paraId="46EE23A1">
      <w:pPr>
        <w:rPr>
          <w:rFonts w:hint="eastAsia" w:ascii="宋体" w:hAnsi="宋体"/>
          <w:b/>
          <w:color w:val="auto"/>
          <w:sz w:val="28"/>
          <w:szCs w:val="28"/>
          <w:highlight w:val="none"/>
        </w:rPr>
      </w:pPr>
    </w:p>
    <w:p w14:paraId="6D4C68BD">
      <w:pPr>
        <w:rPr>
          <w:rFonts w:hint="eastAsia" w:ascii="宋体" w:hAnsi="宋体"/>
          <w:b/>
          <w:color w:val="auto"/>
          <w:sz w:val="28"/>
          <w:szCs w:val="28"/>
          <w:highlight w:val="none"/>
        </w:rPr>
      </w:pPr>
    </w:p>
    <w:p w14:paraId="6A5C549C">
      <w:pPr>
        <w:rPr>
          <w:rFonts w:hint="eastAsia" w:ascii="宋体" w:hAnsi="宋体"/>
          <w:b/>
          <w:color w:val="auto"/>
          <w:sz w:val="28"/>
          <w:szCs w:val="28"/>
          <w:highlight w:val="none"/>
        </w:rPr>
      </w:pPr>
    </w:p>
    <w:p w14:paraId="45B63C54">
      <w:pPr>
        <w:rPr>
          <w:rFonts w:hint="eastAsia" w:ascii="宋体" w:hAnsi="宋体"/>
          <w:b/>
          <w:color w:val="auto"/>
          <w:sz w:val="28"/>
          <w:szCs w:val="28"/>
          <w:highlight w:val="none"/>
        </w:rPr>
      </w:pPr>
    </w:p>
    <w:p w14:paraId="3C20950E">
      <w:pPr>
        <w:rPr>
          <w:rFonts w:hint="eastAsia" w:ascii="宋体" w:hAnsi="宋体"/>
          <w:b/>
          <w:color w:val="auto"/>
          <w:sz w:val="28"/>
          <w:szCs w:val="28"/>
          <w:highlight w:val="none"/>
        </w:rPr>
      </w:pPr>
    </w:p>
    <w:p w14:paraId="40E3742F">
      <w:pPr>
        <w:rPr>
          <w:rFonts w:hint="eastAsia" w:ascii="宋体" w:hAnsi="宋体"/>
          <w:b/>
          <w:color w:val="auto"/>
          <w:sz w:val="28"/>
          <w:szCs w:val="28"/>
          <w:highlight w:val="none"/>
        </w:rPr>
      </w:pPr>
    </w:p>
    <w:p w14:paraId="529AFB97">
      <w:pPr>
        <w:rPr>
          <w:rFonts w:hint="eastAsia" w:ascii="宋体" w:hAnsi="宋体"/>
          <w:b/>
          <w:color w:val="auto"/>
          <w:sz w:val="28"/>
          <w:szCs w:val="28"/>
          <w:highlight w:val="none"/>
        </w:rPr>
      </w:pPr>
    </w:p>
    <w:p w14:paraId="7CFDF8B8">
      <w:pPr>
        <w:rPr>
          <w:rFonts w:hint="eastAsia" w:ascii="宋体" w:hAnsi="宋体"/>
          <w:b/>
          <w:color w:val="auto"/>
          <w:sz w:val="28"/>
          <w:szCs w:val="28"/>
          <w:highlight w:val="none"/>
        </w:rPr>
      </w:pPr>
    </w:p>
    <w:p w14:paraId="15D588B3">
      <w:pPr>
        <w:rPr>
          <w:rFonts w:hint="eastAsia" w:ascii="宋体" w:hAnsi="宋体"/>
          <w:b/>
          <w:color w:val="auto"/>
          <w:sz w:val="28"/>
          <w:szCs w:val="28"/>
          <w:highlight w:val="none"/>
        </w:rPr>
      </w:pPr>
    </w:p>
    <w:p w14:paraId="15C2295B">
      <w:pPr>
        <w:rPr>
          <w:rFonts w:hint="eastAsia" w:ascii="宋体" w:hAnsi="宋体"/>
          <w:b/>
          <w:color w:val="auto"/>
          <w:sz w:val="28"/>
          <w:szCs w:val="28"/>
          <w:highlight w:val="none"/>
        </w:rPr>
      </w:pPr>
    </w:p>
    <w:p w14:paraId="4FE1D623">
      <w:pPr>
        <w:rPr>
          <w:rFonts w:hint="eastAsia" w:ascii="宋体" w:hAnsi="宋体"/>
          <w:b/>
          <w:color w:val="auto"/>
          <w:sz w:val="28"/>
          <w:szCs w:val="28"/>
          <w:highlight w:val="none"/>
        </w:rPr>
      </w:pPr>
    </w:p>
    <w:p w14:paraId="6C6F75E3">
      <w:pPr>
        <w:rPr>
          <w:rFonts w:hint="eastAsia" w:ascii="宋体" w:hAnsi="宋体"/>
          <w:b/>
          <w:color w:val="auto"/>
          <w:sz w:val="28"/>
          <w:szCs w:val="28"/>
          <w:highlight w:val="none"/>
        </w:rPr>
      </w:pPr>
    </w:p>
    <w:p w14:paraId="034DDADE">
      <w:pPr>
        <w:rPr>
          <w:rFonts w:hint="eastAsia" w:ascii="宋体" w:hAnsi="宋体"/>
          <w:b/>
          <w:color w:val="auto"/>
          <w:sz w:val="28"/>
          <w:szCs w:val="28"/>
          <w:highlight w:val="none"/>
        </w:rPr>
      </w:pPr>
    </w:p>
    <w:p w14:paraId="0B472487">
      <w:pPr>
        <w:rPr>
          <w:rFonts w:hint="eastAsia" w:ascii="宋体" w:hAnsi="宋体"/>
          <w:b/>
          <w:color w:val="auto"/>
          <w:sz w:val="28"/>
          <w:szCs w:val="28"/>
          <w:highlight w:val="none"/>
        </w:rPr>
      </w:pPr>
    </w:p>
    <w:p w14:paraId="6223D275">
      <w:pPr>
        <w:pStyle w:val="3"/>
        <w:jc w:val="center"/>
        <w:rPr>
          <w:rFonts w:ascii="宋体" w:hAnsi="宋体"/>
          <w:b/>
          <w:color w:val="auto"/>
          <w:sz w:val="28"/>
          <w:szCs w:val="28"/>
          <w:highlight w:val="none"/>
        </w:rPr>
      </w:pPr>
      <w:r>
        <w:rPr>
          <w:rFonts w:hint="eastAsia" w:ascii="宋体" w:hAnsi="宋体"/>
          <w:b/>
          <w:color w:val="auto"/>
          <w:sz w:val="28"/>
          <w:szCs w:val="28"/>
          <w:highlight w:val="none"/>
        </w:rPr>
        <w:t>投标报价明细表</w:t>
      </w:r>
    </w:p>
    <w:p w14:paraId="497CD5D7">
      <w:pPr>
        <w:rPr>
          <w:rFonts w:hint="eastAsia"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lang w:val="en-US" w:eastAsia="zh-CN"/>
        </w:rPr>
        <w:t>:</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lang w:val="en-US" w:eastAsia="zh-CN"/>
        </w:rPr>
        <w:t xml:space="preserve">                                      </w:t>
      </w:r>
    </w:p>
    <w:p w14:paraId="7ECA490C">
      <w:pPr>
        <w:rPr>
          <w:rFonts w:hint="eastAsia" w:ascii="宋体" w:hAnsi="宋体" w:cs="宋体"/>
          <w:color w:val="auto"/>
          <w:sz w:val="24"/>
          <w:highlight w:val="none"/>
        </w:rPr>
      </w:pP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1694"/>
        <w:gridCol w:w="2871"/>
        <w:gridCol w:w="1757"/>
        <w:gridCol w:w="2486"/>
      </w:tblGrid>
      <w:tr w14:paraId="6FD2D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exact"/>
        </w:trPr>
        <w:tc>
          <w:tcPr>
            <w:tcW w:w="796" w:type="dxa"/>
            <w:noWrap w:val="0"/>
            <w:vAlign w:val="center"/>
          </w:tcPr>
          <w:p w14:paraId="2E185879">
            <w:pPr>
              <w:tabs>
                <w:tab w:val="left" w:pos="8640"/>
              </w:tabs>
              <w:snapToGrid w:val="0"/>
              <w:spacing w:line="360" w:lineRule="auto"/>
              <w:jc w:val="center"/>
              <w:rPr>
                <w:rFonts w:hint="eastAsia"/>
                <w:color w:val="auto"/>
                <w:sz w:val="24"/>
                <w:szCs w:val="24"/>
                <w:highlight w:val="none"/>
              </w:rPr>
            </w:pPr>
            <w:r>
              <w:rPr>
                <w:rFonts w:hint="eastAsia"/>
                <w:color w:val="auto"/>
                <w:sz w:val="24"/>
                <w:szCs w:val="24"/>
                <w:highlight w:val="none"/>
              </w:rPr>
              <w:t>序号</w:t>
            </w:r>
          </w:p>
        </w:tc>
        <w:tc>
          <w:tcPr>
            <w:tcW w:w="1694" w:type="dxa"/>
            <w:noWrap w:val="0"/>
            <w:vAlign w:val="center"/>
          </w:tcPr>
          <w:p w14:paraId="704D6E60">
            <w:pPr>
              <w:tabs>
                <w:tab w:val="left" w:pos="8640"/>
              </w:tabs>
              <w:snapToGrid w:val="0"/>
              <w:spacing w:line="360" w:lineRule="auto"/>
              <w:jc w:val="center"/>
              <w:rPr>
                <w:rFonts w:hint="eastAsia"/>
                <w:color w:val="auto"/>
                <w:sz w:val="24"/>
                <w:szCs w:val="24"/>
                <w:highlight w:val="none"/>
              </w:rPr>
            </w:pPr>
            <w:r>
              <w:rPr>
                <w:rFonts w:hint="eastAsia"/>
                <w:color w:val="auto"/>
                <w:sz w:val="24"/>
                <w:szCs w:val="24"/>
                <w:highlight w:val="none"/>
              </w:rPr>
              <w:t>报价内容</w:t>
            </w:r>
          </w:p>
        </w:tc>
        <w:tc>
          <w:tcPr>
            <w:tcW w:w="2871" w:type="dxa"/>
            <w:noWrap w:val="0"/>
            <w:vAlign w:val="center"/>
          </w:tcPr>
          <w:p w14:paraId="6566D7F9">
            <w:pPr>
              <w:tabs>
                <w:tab w:val="left" w:pos="8640"/>
              </w:tabs>
              <w:snapToGrid w:val="0"/>
              <w:spacing w:line="360" w:lineRule="auto"/>
              <w:jc w:val="center"/>
              <w:rPr>
                <w:rFonts w:hint="eastAsia"/>
                <w:color w:val="auto"/>
                <w:sz w:val="24"/>
                <w:szCs w:val="24"/>
                <w:highlight w:val="none"/>
              </w:rPr>
            </w:pPr>
            <w:r>
              <w:rPr>
                <w:rFonts w:hint="eastAsia"/>
                <w:color w:val="auto"/>
                <w:sz w:val="24"/>
                <w:szCs w:val="24"/>
                <w:highlight w:val="none"/>
              </w:rPr>
              <w:t>元/住院床日</w:t>
            </w:r>
          </w:p>
        </w:tc>
        <w:tc>
          <w:tcPr>
            <w:tcW w:w="1757" w:type="dxa"/>
            <w:noWrap w:val="0"/>
            <w:vAlign w:val="center"/>
          </w:tcPr>
          <w:p w14:paraId="0DE8D7FD">
            <w:pPr>
              <w:tabs>
                <w:tab w:val="left" w:pos="8640"/>
              </w:tabs>
              <w:snapToGrid w:val="0"/>
              <w:spacing w:line="360" w:lineRule="auto"/>
              <w:jc w:val="center"/>
              <w:rPr>
                <w:rFonts w:hint="eastAsia"/>
                <w:color w:val="auto"/>
                <w:sz w:val="24"/>
                <w:szCs w:val="24"/>
                <w:highlight w:val="none"/>
              </w:rPr>
            </w:pPr>
            <w:r>
              <w:rPr>
                <w:rFonts w:hint="eastAsia"/>
                <w:color w:val="auto"/>
                <w:sz w:val="24"/>
                <w:szCs w:val="24"/>
                <w:highlight w:val="none"/>
                <w:lang w:eastAsia="zh-CN"/>
              </w:rPr>
              <w:t>床日</w:t>
            </w:r>
            <w:r>
              <w:rPr>
                <w:rFonts w:hint="eastAsia"/>
                <w:color w:val="auto"/>
                <w:sz w:val="24"/>
                <w:szCs w:val="24"/>
                <w:highlight w:val="none"/>
              </w:rPr>
              <w:t>数量</w:t>
            </w:r>
          </w:p>
        </w:tc>
        <w:tc>
          <w:tcPr>
            <w:tcW w:w="2486" w:type="dxa"/>
            <w:noWrap w:val="0"/>
            <w:vAlign w:val="center"/>
          </w:tcPr>
          <w:p w14:paraId="04C8709D">
            <w:pPr>
              <w:tabs>
                <w:tab w:val="left" w:pos="8640"/>
              </w:tabs>
              <w:snapToGrid w:val="0"/>
              <w:spacing w:line="360" w:lineRule="auto"/>
              <w:jc w:val="center"/>
              <w:rPr>
                <w:rFonts w:hint="eastAsia" w:eastAsia="宋体"/>
                <w:color w:val="auto"/>
                <w:sz w:val="24"/>
                <w:szCs w:val="24"/>
                <w:highlight w:val="none"/>
                <w:lang w:eastAsia="zh-CN"/>
              </w:rPr>
            </w:pPr>
            <w:r>
              <w:rPr>
                <w:rFonts w:hint="eastAsia"/>
                <w:color w:val="auto"/>
                <w:sz w:val="24"/>
                <w:szCs w:val="24"/>
                <w:highlight w:val="none"/>
                <w:lang w:eastAsia="zh-CN"/>
              </w:rPr>
              <w:t>合价（元）</w:t>
            </w:r>
          </w:p>
        </w:tc>
      </w:tr>
      <w:tr w14:paraId="07FA9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exact"/>
        </w:trPr>
        <w:tc>
          <w:tcPr>
            <w:tcW w:w="796" w:type="dxa"/>
            <w:noWrap w:val="0"/>
            <w:vAlign w:val="center"/>
          </w:tcPr>
          <w:p w14:paraId="09E1724D">
            <w:pPr>
              <w:tabs>
                <w:tab w:val="left" w:pos="8640"/>
              </w:tabs>
              <w:snapToGrid w:val="0"/>
              <w:spacing w:line="360" w:lineRule="auto"/>
              <w:jc w:val="center"/>
              <w:rPr>
                <w:rFonts w:hint="eastAsia"/>
                <w:color w:val="auto"/>
                <w:sz w:val="24"/>
                <w:szCs w:val="24"/>
                <w:highlight w:val="none"/>
              </w:rPr>
            </w:pPr>
            <w:r>
              <w:rPr>
                <w:rFonts w:hint="eastAsia"/>
                <w:color w:val="auto"/>
                <w:sz w:val="24"/>
                <w:szCs w:val="24"/>
                <w:highlight w:val="none"/>
              </w:rPr>
              <w:t>1</w:t>
            </w:r>
          </w:p>
        </w:tc>
        <w:tc>
          <w:tcPr>
            <w:tcW w:w="1694" w:type="dxa"/>
            <w:noWrap w:val="0"/>
            <w:vAlign w:val="center"/>
          </w:tcPr>
          <w:p w14:paraId="77EEFC9E">
            <w:pPr>
              <w:tabs>
                <w:tab w:val="left" w:pos="8640"/>
              </w:tabs>
              <w:snapToGrid w:val="0"/>
              <w:spacing w:line="360" w:lineRule="auto"/>
              <w:jc w:val="center"/>
              <w:rPr>
                <w:rFonts w:hint="eastAsia"/>
                <w:color w:val="auto"/>
                <w:sz w:val="24"/>
                <w:szCs w:val="24"/>
                <w:highlight w:val="none"/>
              </w:rPr>
            </w:pPr>
            <w:r>
              <w:rPr>
                <w:rFonts w:hint="eastAsia"/>
                <w:color w:val="auto"/>
                <w:sz w:val="24"/>
                <w:szCs w:val="24"/>
                <w:highlight w:val="none"/>
              </w:rPr>
              <w:t>住院床日</w:t>
            </w:r>
          </w:p>
        </w:tc>
        <w:tc>
          <w:tcPr>
            <w:tcW w:w="2871" w:type="dxa"/>
            <w:noWrap w:val="0"/>
            <w:vAlign w:val="center"/>
          </w:tcPr>
          <w:p w14:paraId="7777EE45">
            <w:pPr>
              <w:tabs>
                <w:tab w:val="left" w:pos="8640"/>
              </w:tabs>
              <w:snapToGrid w:val="0"/>
              <w:spacing w:line="360" w:lineRule="auto"/>
              <w:jc w:val="center"/>
              <w:rPr>
                <w:rFonts w:hint="eastAsia"/>
                <w:color w:val="auto"/>
                <w:sz w:val="24"/>
                <w:szCs w:val="24"/>
                <w:highlight w:val="none"/>
              </w:rPr>
            </w:pPr>
          </w:p>
        </w:tc>
        <w:tc>
          <w:tcPr>
            <w:tcW w:w="1757" w:type="dxa"/>
            <w:noWrap w:val="0"/>
            <w:vAlign w:val="center"/>
          </w:tcPr>
          <w:p w14:paraId="57B02D54">
            <w:pPr>
              <w:tabs>
                <w:tab w:val="left" w:pos="8640"/>
              </w:tabs>
              <w:snapToGrid w:val="0"/>
              <w:spacing w:line="360" w:lineRule="auto"/>
              <w:jc w:val="center"/>
              <w:rPr>
                <w:rFonts w:hint="default" w:eastAsia="宋体"/>
                <w:color w:val="auto"/>
                <w:sz w:val="24"/>
                <w:szCs w:val="24"/>
                <w:highlight w:val="none"/>
                <w:lang w:val="en-US" w:eastAsia="zh-CN"/>
              </w:rPr>
            </w:pPr>
            <w:r>
              <w:rPr>
                <w:rFonts w:hint="default" w:eastAsia="宋体"/>
                <w:color w:val="auto"/>
                <w:sz w:val="24"/>
                <w:szCs w:val="24"/>
                <w:highlight w:val="none"/>
                <w:lang w:val="en-US" w:eastAsia="zh-CN"/>
              </w:rPr>
              <w:t>180000</w:t>
            </w:r>
          </w:p>
        </w:tc>
        <w:tc>
          <w:tcPr>
            <w:tcW w:w="2486" w:type="dxa"/>
            <w:noWrap w:val="0"/>
            <w:vAlign w:val="center"/>
          </w:tcPr>
          <w:p w14:paraId="04401A1A">
            <w:pPr>
              <w:tabs>
                <w:tab w:val="left" w:pos="8640"/>
              </w:tabs>
              <w:snapToGrid w:val="0"/>
              <w:spacing w:line="360" w:lineRule="auto"/>
              <w:jc w:val="center"/>
              <w:rPr>
                <w:rFonts w:hint="eastAsia"/>
                <w:color w:val="auto"/>
                <w:sz w:val="24"/>
                <w:szCs w:val="24"/>
                <w:highlight w:val="none"/>
              </w:rPr>
            </w:pPr>
          </w:p>
        </w:tc>
      </w:tr>
      <w:tr w14:paraId="706DF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exact"/>
        </w:trPr>
        <w:tc>
          <w:tcPr>
            <w:tcW w:w="9604" w:type="dxa"/>
            <w:gridSpan w:val="5"/>
            <w:noWrap w:val="0"/>
            <w:vAlign w:val="center"/>
          </w:tcPr>
          <w:p w14:paraId="4BDF5E39">
            <w:pPr>
              <w:tabs>
                <w:tab w:val="left" w:pos="8640"/>
              </w:tabs>
              <w:snapToGrid w:val="0"/>
              <w:spacing w:line="360" w:lineRule="auto"/>
              <w:jc w:val="left"/>
              <w:rPr>
                <w:rFonts w:hint="eastAsia"/>
                <w:color w:val="auto"/>
                <w:sz w:val="24"/>
                <w:szCs w:val="24"/>
                <w:highlight w:val="none"/>
              </w:rPr>
            </w:pPr>
            <w:r>
              <w:rPr>
                <w:rFonts w:hint="eastAsia" w:ascii="Times New Roman" w:hAnsi="Times New Roman" w:eastAsia="宋体" w:cs="Times New Roman"/>
                <w:b w:val="0"/>
                <w:bCs w:val="0"/>
                <w:color w:val="auto"/>
                <w:sz w:val="24"/>
                <w:szCs w:val="24"/>
                <w:highlight w:val="none"/>
                <w:lang w:eastAsia="zh-CN"/>
              </w:rPr>
              <w:t>投标总价</w:t>
            </w:r>
            <w:r>
              <w:rPr>
                <w:rFonts w:hint="eastAsia" w:eastAsia="宋体" w:cs="Times New Roman"/>
                <w:b w:val="0"/>
                <w:bCs w:val="0"/>
                <w:color w:val="auto"/>
                <w:sz w:val="24"/>
                <w:szCs w:val="24"/>
                <w:highlight w:val="none"/>
                <w:lang w:eastAsia="zh-CN"/>
              </w:rPr>
              <w:t>（元）</w:t>
            </w:r>
            <w:r>
              <w:rPr>
                <w:rFonts w:hint="eastAsia" w:ascii="Times New Roman" w:hAnsi="Times New Roman" w:eastAsia="宋体" w:cs="Times New Roman"/>
                <w:b w:val="0"/>
                <w:bCs w:val="0"/>
                <w:color w:val="auto"/>
                <w:sz w:val="24"/>
                <w:szCs w:val="24"/>
                <w:highlight w:val="none"/>
                <w:lang w:eastAsia="zh-CN"/>
              </w:rPr>
              <w:t>：    （大写），    （小写）</w:t>
            </w:r>
          </w:p>
        </w:tc>
      </w:tr>
    </w:tbl>
    <w:p w14:paraId="65898BA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color w:val="auto"/>
          <w:sz w:val="24"/>
          <w:szCs w:val="24"/>
          <w:highlight w:val="none"/>
        </w:rPr>
      </w:pPr>
    </w:p>
    <w:p w14:paraId="6F0C7A8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eastAsia="宋体"/>
          <w:color w:val="auto"/>
          <w:sz w:val="24"/>
          <w:szCs w:val="24"/>
          <w:highlight w:val="none"/>
          <w:lang w:val="en-US" w:eastAsia="zh-CN"/>
        </w:rPr>
      </w:pPr>
      <w:r>
        <w:rPr>
          <w:rFonts w:hint="eastAsia"/>
          <w:color w:val="auto"/>
          <w:sz w:val="24"/>
          <w:szCs w:val="24"/>
          <w:highlight w:val="none"/>
        </w:rPr>
        <w:t>注：</w:t>
      </w:r>
      <w:r>
        <w:rPr>
          <w:rFonts w:hint="eastAsia"/>
          <w:color w:val="auto"/>
          <w:sz w:val="24"/>
          <w:szCs w:val="24"/>
          <w:highlight w:val="none"/>
          <w:lang w:val="en-US" w:eastAsia="zh-CN"/>
        </w:rPr>
        <w:t>1.表中床日</w:t>
      </w:r>
      <w:r>
        <w:rPr>
          <w:rFonts w:hint="eastAsia"/>
          <w:color w:val="auto"/>
          <w:sz w:val="24"/>
          <w:szCs w:val="24"/>
          <w:highlight w:val="none"/>
        </w:rPr>
        <w:t>数量</w:t>
      </w:r>
      <w:r>
        <w:rPr>
          <w:rFonts w:hint="eastAsia"/>
          <w:color w:val="auto"/>
          <w:sz w:val="24"/>
          <w:szCs w:val="24"/>
          <w:highlight w:val="none"/>
          <w:lang w:eastAsia="zh-CN"/>
        </w:rPr>
        <w:t>为招标时</w:t>
      </w:r>
      <w:r>
        <w:rPr>
          <w:rFonts w:hint="eastAsia"/>
          <w:color w:val="auto"/>
          <w:sz w:val="24"/>
          <w:szCs w:val="24"/>
          <w:highlight w:val="none"/>
        </w:rPr>
        <w:t>暂</w:t>
      </w:r>
      <w:r>
        <w:rPr>
          <w:rFonts w:hint="eastAsia"/>
          <w:color w:val="auto"/>
          <w:sz w:val="24"/>
          <w:szCs w:val="24"/>
          <w:highlight w:val="none"/>
          <w:lang w:eastAsia="zh-CN"/>
        </w:rPr>
        <w:t>定的数量，</w:t>
      </w:r>
      <w:r>
        <w:rPr>
          <w:rFonts w:hint="eastAsia"/>
          <w:color w:val="auto"/>
          <w:sz w:val="24"/>
          <w:szCs w:val="24"/>
          <w:highlight w:val="none"/>
        </w:rPr>
        <w:t>实际结算时按当月实际床日</w:t>
      </w:r>
      <w:r>
        <w:rPr>
          <w:rFonts w:hint="eastAsia"/>
          <w:color w:val="auto"/>
          <w:sz w:val="24"/>
          <w:szCs w:val="24"/>
          <w:highlight w:val="none"/>
          <w:lang w:eastAsia="zh-CN"/>
        </w:rPr>
        <w:t>数量</w:t>
      </w:r>
      <w:r>
        <w:rPr>
          <w:rFonts w:hint="eastAsia"/>
          <w:color w:val="auto"/>
          <w:sz w:val="24"/>
          <w:szCs w:val="24"/>
          <w:highlight w:val="none"/>
          <w:lang w:val="en-US" w:eastAsia="zh-CN"/>
        </w:rPr>
        <w:t>*单价</w:t>
      </w:r>
      <w:r>
        <w:rPr>
          <w:rFonts w:hint="eastAsia"/>
          <w:color w:val="auto"/>
          <w:sz w:val="24"/>
          <w:szCs w:val="24"/>
          <w:highlight w:val="none"/>
        </w:rPr>
        <w:t>报价</w:t>
      </w:r>
      <w:r>
        <w:rPr>
          <w:rFonts w:hint="eastAsia"/>
          <w:color w:val="auto"/>
          <w:sz w:val="24"/>
          <w:szCs w:val="24"/>
          <w:highlight w:val="none"/>
          <w:lang w:eastAsia="zh-CN"/>
        </w:rPr>
        <w:t>。</w:t>
      </w:r>
    </w:p>
    <w:p w14:paraId="46BFA6A9">
      <w:pPr>
        <w:rPr>
          <w:rFonts w:hint="eastAsia"/>
          <w:color w:val="auto"/>
          <w:sz w:val="24"/>
          <w:szCs w:val="24"/>
          <w:highlight w:val="none"/>
          <w:lang w:eastAsia="zh-CN"/>
        </w:rPr>
      </w:pPr>
      <w:r>
        <w:rPr>
          <w:rFonts w:hint="eastAsia"/>
          <w:color w:val="auto"/>
          <w:sz w:val="24"/>
          <w:szCs w:val="24"/>
          <w:highlight w:val="none"/>
          <w:lang w:val="en-US" w:eastAsia="zh-CN"/>
        </w:rPr>
        <w:t>2</w:t>
      </w:r>
      <w:r>
        <w:rPr>
          <w:rFonts w:hint="eastAsia"/>
          <w:color w:val="auto"/>
          <w:sz w:val="24"/>
          <w:szCs w:val="24"/>
          <w:highlight w:val="none"/>
          <w:lang w:eastAsia="zh-CN"/>
        </w:rPr>
        <w:t>.以上“投标总价”应与“开标一览表”中的“总报价”数相一致。</w:t>
      </w:r>
    </w:p>
    <w:p w14:paraId="6F615084">
      <w:pPr>
        <w:pStyle w:val="2"/>
        <w:rPr>
          <w:rFonts w:hint="eastAsia"/>
          <w:color w:val="auto"/>
          <w:highlight w:val="none"/>
          <w:lang w:eastAsia="zh-CN"/>
        </w:rPr>
      </w:pPr>
    </w:p>
    <w:p w14:paraId="0E24D3AB">
      <w:pPr>
        <w:pStyle w:val="3"/>
        <w:rPr>
          <w:rFonts w:hint="eastAsia"/>
          <w:color w:val="auto"/>
          <w:highlight w:val="none"/>
          <w:lang w:eastAsia="zh-CN"/>
        </w:rPr>
      </w:pPr>
    </w:p>
    <w:p w14:paraId="0C60B8C6">
      <w:pPr>
        <w:snapToGrid w:val="0"/>
        <w:spacing w:before="50" w:after="50" w:line="360" w:lineRule="auto"/>
        <w:rPr>
          <w:rFonts w:ascii="宋体" w:hAnsi="宋体"/>
          <w:color w:val="auto"/>
          <w:spacing w:val="20"/>
          <w:sz w:val="24"/>
          <w:szCs w:val="20"/>
          <w:highlight w:val="none"/>
          <w:u w:val="single"/>
        </w:rPr>
      </w:pPr>
      <w:r>
        <w:rPr>
          <w:rFonts w:hint="eastAsia" w:ascii="宋体" w:hAnsi="宋体"/>
          <w:color w:val="auto"/>
          <w:sz w:val="24"/>
          <w:highlight w:val="none"/>
        </w:rPr>
        <w:t>法定代表人或被授权人（签字或盖章）</w:t>
      </w:r>
      <w:r>
        <w:rPr>
          <w:rFonts w:hint="eastAsia" w:ascii="宋体" w:hAnsi="宋体"/>
          <w:color w:val="auto"/>
          <w:spacing w:val="20"/>
          <w:sz w:val="24"/>
          <w:highlight w:val="none"/>
        </w:rPr>
        <w:t>：</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14:paraId="3CF3A227">
      <w:pPr>
        <w:pStyle w:val="968"/>
        <w:spacing w:line="360" w:lineRule="auto"/>
        <w:ind w:right="480"/>
        <w:rPr>
          <w:rFonts w:hAnsi="宋体" w:eastAsia="宋体"/>
          <w:color w:val="auto"/>
          <w:sz w:val="24"/>
          <w:szCs w:val="24"/>
          <w:highlight w:val="none"/>
        </w:rPr>
      </w:pPr>
      <w:r>
        <w:rPr>
          <w:rFonts w:hint="eastAsia" w:hAnsi="宋体" w:eastAsia="宋体"/>
          <w:color w:val="auto"/>
          <w:sz w:val="24"/>
          <w:szCs w:val="24"/>
          <w:highlight w:val="none"/>
        </w:rPr>
        <w:t>投标人名称（加盖公章）</w:t>
      </w:r>
      <w:r>
        <w:rPr>
          <w:rFonts w:hint="eastAsia" w:hAnsi="宋体" w:eastAsia="宋体"/>
          <w:color w:val="auto"/>
          <w:sz w:val="24"/>
          <w:szCs w:val="24"/>
          <w:highlight w:val="none"/>
          <w:u w:val="single"/>
        </w:rPr>
        <w:t>：</w:t>
      </w:r>
      <w:r>
        <w:rPr>
          <w:rFonts w:hAnsi="宋体" w:eastAsia="宋体"/>
          <w:color w:val="auto"/>
          <w:sz w:val="24"/>
          <w:szCs w:val="24"/>
          <w:highlight w:val="none"/>
          <w:u w:val="single"/>
        </w:rPr>
        <w:t xml:space="preserve">                  </w:t>
      </w:r>
      <w:r>
        <w:rPr>
          <w:rFonts w:hAnsi="宋体" w:eastAsia="宋体"/>
          <w:color w:val="auto"/>
          <w:sz w:val="24"/>
          <w:szCs w:val="24"/>
          <w:highlight w:val="none"/>
        </w:rPr>
        <w:t xml:space="preserve">        </w:t>
      </w:r>
      <w:r>
        <w:rPr>
          <w:rFonts w:hint="eastAsia" w:hAnsi="宋体" w:eastAsia="宋体"/>
          <w:color w:val="auto"/>
          <w:sz w:val="24"/>
          <w:szCs w:val="24"/>
          <w:highlight w:val="none"/>
        </w:rPr>
        <w:t xml:space="preserve">    </w:t>
      </w:r>
    </w:p>
    <w:p w14:paraId="4AF022CD">
      <w:pPr>
        <w:rPr>
          <w:rFonts w:hint="eastAsia"/>
          <w:color w:val="auto"/>
          <w:highlight w:val="none"/>
          <w:lang w:eastAsia="zh-CN"/>
        </w:rPr>
      </w:pPr>
      <w:r>
        <w:rPr>
          <w:rFonts w:hint="eastAsia" w:hAnsi="宋体" w:cs="宋体"/>
          <w:color w:val="auto"/>
          <w:sz w:val="24"/>
          <w:highlight w:val="none"/>
        </w:rPr>
        <w:t>日期：_____年____月____日</w:t>
      </w:r>
    </w:p>
    <w:sectPr>
      <w:headerReference r:id="rId9" w:type="first"/>
      <w:footerReference r:id="rId11" w:type="first"/>
      <w:headerReference r:id="rId8" w:type="default"/>
      <w:footerReference r:id="rId10" w:type="default"/>
      <w:pgSz w:w="11906" w:h="16838"/>
      <w:pgMar w:top="1134" w:right="1134" w:bottom="1134" w:left="1134"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9F"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AmdtSymbols"/>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创艺简标宋">
    <w:altName w:val="黑体"/>
    <w:panose1 w:val="00000000000000000000"/>
    <w:charset w:val="86"/>
    <w:family w:val="auto"/>
    <w:pitch w:val="default"/>
    <w:sig w:usb0="00000000" w:usb1="00000000" w:usb2="00000010" w:usb3="00000000" w:csb0="00040000" w:csb1="00000000"/>
  </w:font>
  <w:font w:name="MS Gothic">
    <w:panose1 w:val="020B0609070205080204"/>
    <w:charset w:val="80"/>
    <w:family w:val="modern"/>
    <w:pitch w:val="default"/>
    <w:sig w:usb0="E00002FF" w:usb1="6AC7FDFB" w:usb2="00000012" w:usb3="00000000" w:csb0="4002009F" w:csb1="DFD70000"/>
  </w:font>
  <w:font w:name="微软雅黑,Microsoft YaHei">
    <w:altName w:val="宋体"/>
    <w:panose1 w:val="00000000000000000000"/>
    <w:charset w:val="86"/>
    <w:family w:val="roman"/>
    <w:pitch w:val="default"/>
    <w:sig w:usb0="00000000" w:usb1="00000000" w:usb2="00000010" w:usb3="00000000" w:csb0="00040000" w:csb1="00000000"/>
  </w:font>
  <w:font w:name="Segoe Print">
    <w:panose1 w:val="02000600000000000000"/>
    <w:charset w:val="00"/>
    <w:family w:val="auto"/>
    <w:pitch w:val="default"/>
    <w:sig w:usb0="0000028F" w:usb1="00000000" w:usb2="00000000" w:usb3="00000000" w:csb0="2000009F" w:csb1="47010000"/>
  </w:font>
  <w:font w:name="AmdtSymbols">
    <w:panose1 w:val="02000500000000020004"/>
    <w:charset w:val="00"/>
    <w:family w:val="auto"/>
    <w:pitch w:val="default"/>
    <w:sig w:usb0="00000001"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FB495">
    <w:pPr>
      <w:pStyle w:val="41"/>
      <w:framePr w:wrap="around" w:vAnchor="text" w:hAnchor="margin" w:xAlign="right" w:y="1"/>
      <w:rPr>
        <w:rStyle w:val="73"/>
      </w:rPr>
    </w:pPr>
    <w:r>
      <w:fldChar w:fldCharType="begin"/>
    </w:r>
    <w:r>
      <w:rPr>
        <w:rStyle w:val="73"/>
      </w:rPr>
      <w:instrText xml:space="preserve">PAGE  </w:instrText>
    </w:r>
    <w:r>
      <w:fldChar w:fldCharType="end"/>
    </w:r>
  </w:p>
  <w:p w14:paraId="4B475446">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E34F6">
    <w:pPr>
      <w:pStyle w:val="41"/>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80DA81">
                          <w:pPr>
                            <w:pStyle w:val="41"/>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3180DA81">
                    <w:pPr>
                      <w:pStyle w:val="41"/>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3D64A">
    <w:pPr>
      <w:pStyle w:val="41"/>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48CE14">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3748CE14">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8E048">
    <w:pPr>
      <w:pStyle w:val="41"/>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C1C034">
                          <w:pPr>
                            <w:pStyle w:val="41"/>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1DC1C034">
                    <w:pPr>
                      <w:pStyle w:val="41"/>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p w14:paraId="246223C9">
    <w:pPr>
      <w:pStyle w:val="4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8A5A3">
    <w:pPr>
      <w:pStyle w:val="41"/>
      <w:rPr>
        <w:rFonts w:ascii="仿宋_GB2312" w:eastAsia="仿宋_GB2312"/>
        <w:szCs w:val="24"/>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D867B9">
                          <w:pPr>
                            <w:pStyle w:val="41"/>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12D867B9">
                    <w:pPr>
                      <w:pStyle w:val="41"/>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DB9CC">
    <w:pPr>
      <w:pStyle w:val="41"/>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F390C6">
                          <w:pPr>
                            <w:pStyle w:val="41"/>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54F390C6">
                    <w:pPr>
                      <w:pStyle w:val="41"/>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6CA471">
    <w:pPr>
      <w:pStyle w:val="59"/>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3D39E">
    <w:pPr>
      <w:pStyle w:val="42"/>
      <w:pBdr>
        <w:bottom w:val="none" w:color="auto" w:sz="0" w:space="1"/>
      </w:pBdr>
      <w:tabs>
        <w:tab w:val="clear" w:pos="4153"/>
        <w:tab w:val="clear" w:pos="8306"/>
      </w:tabs>
      <w:jc w:val="both"/>
      <w:rPr>
        <w:rFonts w:ascii="仿宋_GB2312" w:eastAsia="仿宋_GB2312"/>
        <w:b/>
        <w:i/>
        <w:iCs/>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D3B24">
    <w:pPr>
      <w:pStyle w:val="42"/>
      <w:pBdr>
        <w:bottom w:val="none" w:color="auto" w:sz="0" w:space="1"/>
      </w:pBdr>
      <w:tabs>
        <w:tab w:val="left" w:pos="5675"/>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3D172D"/>
    <w:multiLevelType w:val="singleLevel"/>
    <w:tmpl w:val="873D172D"/>
    <w:lvl w:ilvl="0" w:tentative="0">
      <w:start w:val="2"/>
      <w:numFmt w:val="decimal"/>
      <w:suff w:val="nothing"/>
      <w:lvlText w:val="%1、"/>
      <w:lvlJc w:val="left"/>
    </w:lvl>
  </w:abstractNum>
  <w:abstractNum w:abstractNumId="1">
    <w:nsid w:val="B5CA3B46"/>
    <w:multiLevelType w:val="singleLevel"/>
    <w:tmpl w:val="B5CA3B46"/>
    <w:lvl w:ilvl="0" w:tentative="0">
      <w:start w:val="6"/>
      <w:numFmt w:val="chineseCounting"/>
      <w:suff w:val="nothing"/>
      <w:lvlText w:val="第%1章　"/>
      <w:lvlJc w:val="left"/>
      <w:rPr>
        <w:rFonts w:hint="eastAsia"/>
      </w:rPr>
    </w:lvl>
  </w:abstractNum>
  <w:abstractNum w:abstractNumId="2">
    <w:nsid w:val="BC792504"/>
    <w:multiLevelType w:val="singleLevel"/>
    <w:tmpl w:val="BC792504"/>
    <w:lvl w:ilvl="0" w:tentative="0">
      <w:start w:val="2"/>
      <w:numFmt w:val="chineseCounting"/>
      <w:suff w:val="space"/>
      <w:lvlText w:val="第%1章"/>
      <w:lvlJc w:val="left"/>
      <w:rPr>
        <w:rFonts w:hint="eastAsia"/>
      </w:rPr>
    </w:lvl>
  </w:abstractNum>
  <w:abstractNum w:abstractNumId="3">
    <w:nsid w:val="079D4F08"/>
    <w:multiLevelType w:val="multilevel"/>
    <w:tmpl w:val="079D4F08"/>
    <w:lvl w:ilvl="0" w:tentative="0">
      <w:start w:val="1"/>
      <w:numFmt w:val="decimalEnclosedCircle"/>
      <w:lvlText w:val="%1"/>
      <w:lvlJc w:val="left"/>
      <w:pPr>
        <w:ind w:left="600" w:hanging="360"/>
      </w:pPr>
      <w:rPr>
        <w:rFonts w:ascii="宋体" w:hAnsi="宋体" w:eastAsia="宋体" w:cs="宋体"/>
      </w:rPr>
    </w:lvl>
    <w:lvl w:ilvl="1" w:tentative="0">
      <w:start w:val="1"/>
      <w:numFmt w:val="lowerLetter"/>
      <w:lvlText w:val="%2)"/>
      <w:lvlJc w:val="left"/>
      <w:pPr>
        <w:ind w:left="1080" w:hanging="420"/>
      </w:pPr>
    </w:lvl>
    <w:lvl w:ilvl="2" w:tentative="0">
      <w:start w:val="1"/>
      <w:numFmt w:val="lowerRoman"/>
      <w:lvlText w:val="%3."/>
      <w:lvlJc w:val="right"/>
      <w:pPr>
        <w:ind w:left="1500" w:hanging="420"/>
      </w:pPr>
    </w:lvl>
    <w:lvl w:ilvl="3" w:tentative="0">
      <w:start w:val="1"/>
      <w:numFmt w:val="decimal"/>
      <w:lvlText w:val="%4."/>
      <w:lvlJc w:val="left"/>
      <w:pPr>
        <w:ind w:left="1920" w:hanging="420"/>
      </w:pPr>
    </w:lvl>
    <w:lvl w:ilvl="4" w:tentative="0">
      <w:start w:val="1"/>
      <w:numFmt w:val="lowerLetter"/>
      <w:lvlText w:val="%5)"/>
      <w:lvlJc w:val="left"/>
      <w:pPr>
        <w:ind w:left="2340" w:hanging="420"/>
      </w:pPr>
    </w:lvl>
    <w:lvl w:ilvl="5" w:tentative="0">
      <w:start w:val="1"/>
      <w:numFmt w:val="lowerRoman"/>
      <w:lvlText w:val="%6."/>
      <w:lvlJc w:val="right"/>
      <w:pPr>
        <w:ind w:left="2760" w:hanging="420"/>
      </w:pPr>
    </w:lvl>
    <w:lvl w:ilvl="6" w:tentative="0">
      <w:start w:val="1"/>
      <w:numFmt w:val="decimal"/>
      <w:lvlText w:val="%7."/>
      <w:lvlJc w:val="left"/>
      <w:pPr>
        <w:ind w:left="3180" w:hanging="420"/>
      </w:pPr>
    </w:lvl>
    <w:lvl w:ilvl="7" w:tentative="0">
      <w:start w:val="1"/>
      <w:numFmt w:val="lowerLetter"/>
      <w:lvlText w:val="%8)"/>
      <w:lvlJc w:val="left"/>
      <w:pPr>
        <w:ind w:left="3600" w:hanging="420"/>
      </w:pPr>
    </w:lvl>
    <w:lvl w:ilvl="8" w:tentative="0">
      <w:start w:val="1"/>
      <w:numFmt w:val="lowerRoman"/>
      <w:lvlText w:val="%9."/>
      <w:lvlJc w:val="right"/>
      <w:pPr>
        <w:ind w:left="4020" w:hanging="420"/>
      </w:pPr>
    </w:lvl>
  </w:abstractNum>
  <w:abstractNum w:abstractNumId="4">
    <w:nsid w:val="12973361"/>
    <w:multiLevelType w:val="singleLevel"/>
    <w:tmpl w:val="12973361"/>
    <w:lvl w:ilvl="0" w:tentative="0">
      <w:start w:val="1"/>
      <w:numFmt w:val="decimal"/>
      <w:suff w:val="space"/>
      <w:lvlText w:val="%1."/>
      <w:lvlJc w:val="left"/>
    </w:lvl>
  </w:abstractNum>
  <w:abstractNum w:abstractNumId="5">
    <w:nsid w:val="31C2147C"/>
    <w:multiLevelType w:val="multilevel"/>
    <w:tmpl w:val="31C2147C"/>
    <w:lvl w:ilvl="0" w:tentative="0">
      <w:start w:val="1"/>
      <w:numFmt w:val="decimal"/>
      <w:lvlText w:val="（%1）"/>
      <w:lvlJc w:val="left"/>
      <w:pPr>
        <w:ind w:left="704" w:hanging="420"/>
      </w:pPr>
      <w:rPr>
        <w:rFonts w:hint="eastAsia"/>
      </w:rPr>
    </w:lvl>
    <w:lvl w:ilvl="1" w:tentative="0">
      <w:start w:val="1"/>
      <w:numFmt w:val="decimal"/>
      <w:lvlText w:val="%2、"/>
      <w:lvlJc w:val="left"/>
      <w:pPr>
        <w:ind w:left="1260" w:hanging="360"/>
      </w:pPr>
      <w:rPr>
        <w:rFonts w:hint="default"/>
      </w:rPr>
    </w:lvl>
    <w:lvl w:ilvl="2" w:tentative="0">
      <w:start w:val="1"/>
      <w:numFmt w:val="japaneseCounting"/>
      <w:lvlText w:val="(%3)"/>
      <w:lvlJc w:val="left"/>
      <w:pPr>
        <w:ind w:left="1800" w:hanging="480"/>
      </w:pPr>
      <w:rPr>
        <w:rFonts w:hint="default"/>
      </w:rPr>
    </w:lvl>
    <w:lvl w:ilvl="3" w:tentative="0">
      <w:start w:val="1"/>
      <w:numFmt w:val="decimal"/>
      <w:lvlText w:val="%4."/>
      <w:lvlJc w:val="left"/>
      <w:pPr>
        <w:ind w:left="2160" w:hanging="420"/>
      </w:pPr>
      <w:rPr>
        <w:rFonts w:hint="eastAsia"/>
      </w:rPr>
    </w:lvl>
    <w:lvl w:ilvl="4" w:tentative="0">
      <w:start w:val="1"/>
      <w:numFmt w:val="lowerLetter"/>
      <w:lvlText w:val="%5)"/>
      <w:lvlJc w:val="left"/>
      <w:pPr>
        <w:ind w:left="2580" w:hanging="420"/>
      </w:pPr>
      <w:rPr>
        <w:rFonts w:hint="eastAsia"/>
      </w:rPr>
    </w:lvl>
    <w:lvl w:ilvl="5" w:tentative="0">
      <w:start w:val="1"/>
      <w:numFmt w:val="lowerRoman"/>
      <w:lvlText w:val="%6."/>
      <w:lvlJc w:val="right"/>
      <w:pPr>
        <w:ind w:left="3000" w:hanging="420"/>
      </w:pPr>
      <w:rPr>
        <w:rFonts w:hint="eastAsia"/>
      </w:rPr>
    </w:lvl>
    <w:lvl w:ilvl="6" w:tentative="0">
      <w:start w:val="1"/>
      <w:numFmt w:val="decimal"/>
      <w:lvlText w:val="%7."/>
      <w:lvlJc w:val="left"/>
      <w:pPr>
        <w:ind w:left="3420" w:hanging="420"/>
      </w:pPr>
      <w:rPr>
        <w:rFonts w:hint="eastAsia"/>
      </w:rPr>
    </w:lvl>
    <w:lvl w:ilvl="7" w:tentative="0">
      <w:start w:val="1"/>
      <w:numFmt w:val="lowerLetter"/>
      <w:lvlText w:val="%8)"/>
      <w:lvlJc w:val="left"/>
      <w:pPr>
        <w:ind w:left="3840" w:hanging="420"/>
      </w:pPr>
      <w:rPr>
        <w:rFonts w:hint="eastAsia"/>
      </w:rPr>
    </w:lvl>
    <w:lvl w:ilvl="8" w:tentative="0">
      <w:start w:val="1"/>
      <w:numFmt w:val="lowerRoman"/>
      <w:lvlText w:val="%9."/>
      <w:lvlJc w:val="right"/>
      <w:pPr>
        <w:ind w:left="4260" w:hanging="420"/>
      </w:pPr>
      <w:rPr>
        <w:rFonts w:hint="eastAsia"/>
      </w:rPr>
    </w:lvl>
  </w:abstractNum>
  <w:abstractNum w:abstractNumId="6">
    <w:nsid w:val="396403C6"/>
    <w:multiLevelType w:val="multilevel"/>
    <w:tmpl w:val="396403C6"/>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7">
    <w:nsid w:val="402F11D9"/>
    <w:multiLevelType w:val="multilevel"/>
    <w:tmpl w:val="402F11D9"/>
    <w:lvl w:ilvl="0" w:tentative="0">
      <w:start w:val="1"/>
      <w:numFmt w:val="decimal"/>
      <w:lvlText w:val="（%1）"/>
      <w:lvlJc w:val="left"/>
      <w:pPr>
        <w:ind w:left="704" w:hanging="420"/>
      </w:pPr>
      <w:rPr>
        <w:rFonts w:hint="eastAsia"/>
      </w:rPr>
    </w:lvl>
    <w:lvl w:ilvl="1" w:tentative="0">
      <w:start w:val="1"/>
      <w:numFmt w:val="decimal"/>
      <w:lvlText w:val="%2、"/>
      <w:lvlJc w:val="left"/>
      <w:pPr>
        <w:ind w:left="1260" w:hanging="360"/>
      </w:pPr>
      <w:rPr>
        <w:rFonts w:hint="default"/>
      </w:rPr>
    </w:lvl>
    <w:lvl w:ilvl="2" w:tentative="0">
      <w:start w:val="1"/>
      <w:numFmt w:val="japaneseCounting"/>
      <w:lvlText w:val="(%3)"/>
      <w:lvlJc w:val="left"/>
      <w:pPr>
        <w:ind w:left="1800" w:hanging="480"/>
      </w:pPr>
      <w:rPr>
        <w:rFonts w:hint="default"/>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
    <w:nsid w:val="5D804704"/>
    <w:multiLevelType w:val="singleLevel"/>
    <w:tmpl w:val="5D804704"/>
    <w:lvl w:ilvl="0" w:tentative="0">
      <w:start w:val="1"/>
      <w:numFmt w:val="chineseCounting"/>
      <w:suff w:val="nothing"/>
      <w:lvlText w:val="%1、"/>
      <w:lvlJc w:val="left"/>
    </w:lvl>
  </w:abstractNum>
  <w:abstractNum w:abstractNumId="9">
    <w:nsid w:val="5D804826"/>
    <w:multiLevelType w:val="singleLevel"/>
    <w:tmpl w:val="5D804826"/>
    <w:lvl w:ilvl="0" w:tentative="0">
      <w:start w:val="1"/>
      <w:numFmt w:val="decimal"/>
      <w:suff w:val="nothing"/>
      <w:lvlText w:val="%1."/>
      <w:lvlJc w:val="left"/>
    </w:lvl>
  </w:abstractNum>
  <w:num w:numId="1">
    <w:abstractNumId w:val="2"/>
  </w:num>
  <w:num w:numId="2">
    <w:abstractNumId w:val="3"/>
  </w:num>
  <w:num w:numId="3">
    <w:abstractNumId w:val="0"/>
  </w:num>
  <w:num w:numId="4">
    <w:abstractNumId w:val="8"/>
  </w:num>
  <w:num w:numId="5">
    <w:abstractNumId w:val="7"/>
  </w:num>
  <w:num w:numId="6">
    <w:abstractNumId w:val="5"/>
  </w:num>
  <w:num w:numId="7">
    <w:abstractNumId w:val="6"/>
  </w:num>
  <w:num w:numId="8">
    <w:abstractNumId w:val="9"/>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zMTVmNWQ0ZWUwMDFhMGMxMjI0ODY0ODBlMmFiN2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3AD5"/>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026"/>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C2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EDE"/>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489"/>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5FA"/>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46D"/>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4DC2"/>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6"/>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37E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C7E"/>
    <w:rsid w:val="004A6D2C"/>
    <w:rsid w:val="004B026C"/>
    <w:rsid w:val="004B0271"/>
    <w:rsid w:val="004B0BE8"/>
    <w:rsid w:val="004B0E4A"/>
    <w:rsid w:val="004B18F4"/>
    <w:rsid w:val="004B1A98"/>
    <w:rsid w:val="004B2463"/>
    <w:rsid w:val="004B2E9D"/>
    <w:rsid w:val="004B305F"/>
    <w:rsid w:val="004B34C4"/>
    <w:rsid w:val="004B34E8"/>
    <w:rsid w:val="004B3693"/>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342"/>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381"/>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3D78"/>
    <w:rsid w:val="006B4CF8"/>
    <w:rsid w:val="006B506B"/>
    <w:rsid w:val="006B54E8"/>
    <w:rsid w:val="006B5FBC"/>
    <w:rsid w:val="006B6ED2"/>
    <w:rsid w:val="006B7F74"/>
    <w:rsid w:val="006C0230"/>
    <w:rsid w:val="006C05C7"/>
    <w:rsid w:val="006C064E"/>
    <w:rsid w:val="006C25AB"/>
    <w:rsid w:val="006C2DA6"/>
    <w:rsid w:val="006C3581"/>
    <w:rsid w:val="006C39A0"/>
    <w:rsid w:val="006C3EFE"/>
    <w:rsid w:val="006C46C7"/>
    <w:rsid w:val="006C4767"/>
    <w:rsid w:val="006C4A1A"/>
    <w:rsid w:val="006C4D02"/>
    <w:rsid w:val="006C53A4"/>
    <w:rsid w:val="006C54DF"/>
    <w:rsid w:val="006C5A2E"/>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98"/>
    <w:rsid w:val="00712BDD"/>
    <w:rsid w:val="00712E1E"/>
    <w:rsid w:val="00712F37"/>
    <w:rsid w:val="0071308B"/>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5E10"/>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D4"/>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C7F68"/>
    <w:rsid w:val="007D03BC"/>
    <w:rsid w:val="007D0DC9"/>
    <w:rsid w:val="007D0ECD"/>
    <w:rsid w:val="007D2882"/>
    <w:rsid w:val="007D296C"/>
    <w:rsid w:val="007D2C31"/>
    <w:rsid w:val="007D2E50"/>
    <w:rsid w:val="007D3D74"/>
    <w:rsid w:val="007D445F"/>
    <w:rsid w:val="007D4DED"/>
    <w:rsid w:val="007D51DC"/>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754"/>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ADF"/>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3B8A"/>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4A4"/>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275E"/>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0E0"/>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D7FC2"/>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C6B"/>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37A"/>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23C4"/>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6DB0"/>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CFE"/>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1B4"/>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9F8"/>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0DA6"/>
    <w:rsid w:val="00E217B1"/>
    <w:rsid w:val="00E222FA"/>
    <w:rsid w:val="00E229CE"/>
    <w:rsid w:val="00E22B4A"/>
    <w:rsid w:val="00E2449B"/>
    <w:rsid w:val="00E24A62"/>
    <w:rsid w:val="00E24F52"/>
    <w:rsid w:val="00E255CC"/>
    <w:rsid w:val="00E25636"/>
    <w:rsid w:val="00E25755"/>
    <w:rsid w:val="00E25F90"/>
    <w:rsid w:val="00E266DD"/>
    <w:rsid w:val="00E26D2E"/>
    <w:rsid w:val="00E272D5"/>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3E89"/>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584"/>
    <w:rsid w:val="00E83C4F"/>
    <w:rsid w:val="00E84212"/>
    <w:rsid w:val="00E84C04"/>
    <w:rsid w:val="00E84F72"/>
    <w:rsid w:val="00E856A2"/>
    <w:rsid w:val="00E8572B"/>
    <w:rsid w:val="00E8575B"/>
    <w:rsid w:val="00E85929"/>
    <w:rsid w:val="00E85AD2"/>
    <w:rsid w:val="00E86BA7"/>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42C"/>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87819"/>
    <w:rsid w:val="011A18EF"/>
    <w:rsid w:val="011F6449"/>
    <w:rsid w:val="01236AFB"/>
    <w:rsid w:val="01321819"/>
    <w:rsid w:val="013D1A7E"/>
    <w:rsid w:val="0155173E"/>
    <w:rsid w:val="019628C6"/>
    <w:rsid w:val="019F7441"/>
    <w:rsid w:val="01A319FB"/>
    <w:rsid w:val="01B37585"/>
    <w:rsid w:val="01CE68EB"/>
    <w:rsid w:val="01D55165"/>
    <w:rsid w:val="01DF6BF8"/>
    <w:rsid w:val="01EC2C57"/>
    <w:rsid w:val="01F176F8"/>
    <w:rsid w:val="02151639"/>
    <w:rsid w:val="022B2C0A"/>
    <w:rsid w:val="026B2E25"/>
    <w:rsid w:val="02734700"/>
    <w:rsid w:val="02824D4D"/>
    <w:rsid w:val="028E5F70"/>
    <w:rsid w:val="02C46BBB"/>
    <w:rsid w:val="02C939CD"/>
    <w:rsid w:val="02DC4B10"/>
    <w:rsid w:val="02DD76CE"/>
    <w:rsid w:val="02F36323"/>
    <w:rsid w:val="02F5619C"/>
    <w:rsid w:val="030C3FC2"/>
    <w:rsid w:val="0326446A"/>
    <w:rsid w:val="032D5555"/>
    <w:rsid w:val="036634D2"/>
    <w:rsid w:val="037A0CE5"/>
    <w:rsid w:val="037B371D"/>
    <w:rsid w:val="039959DE"/>
    <w:rsid w:val="03B77F2C"/>
    <w:rsid w:val="03DD35E4"/>
    <w:rsid w:val="04076900"/>
    <w:rsid w:val="041A5A3B"/>
    <w:rsid w:val="042311BA"/>
    <w:rsid w:val="04267B2D"/>
    <w:rsid w:val="042B157A"/>
    <w:rsid w:val="04352F11"/>
    <w:rsid w:val="048F763B"/>
    <w:rsid w:val="049F330E"/>
    <w:rsid w:val="04AA775C"/>
    <w:rsid w:val="04AF1889"/>
    <w:rsid w:val="04CA06D2"/>
    <w:rsid w:val="04EC6475"/>
    <w:rsid w:val="04F66F48"/>
    <w:rsid w:val="05251E14"/>
    <w:rsid w:val="0533087A"/>
    <w:rsid w:val="054B2EBB"/>
    <w:rsid w:val="05541A7D"/>
    <w:rsid w:val="05A16594"/>
    <w:rsid w:val="05A7762D"/>
    <w:rsid w:val="06011897"/>
    <w:rsid w:val="060E5941"/>
    <w:rsid w:val="06110FAF"/>
    <w:rsid w:val="0613445B"/>
    <w:rsid w:val="06493CA7"/>
    <w:rsid w:val="065A6178"/>
    <w:rsid w:val="066F1CF3"/>
    <w:rsid w:val="06930BB8"/>
    <w:rsid w:val="06C62918"/>
    <w:rsid w:val="06DC1F3F"/>
    <w:rsid w:val="07165DDE"/>
    <w:rsid w:val="07245D42"/>
    <w:rsid w:val="07264C62"/>
    <w:rsid w:val="075D5951"/>
    <w:rsid w:val="076D5C61"/>
    <w:rsid w:val="077855B9"/>
    <w:rsid w:val="0779354C"/>
    <w:rsid w:val="079F6195"/>
    <w:rsid w:val="07C17D1A"/>
    <w:rsid w:val="07D15156"/>
    <w:rsid w:val="08061376"/>
    <w:rsid w:val="080D354F"/>
    <w:rsid w:val="082A6473"/>
    <w:rsid w:val="08452D77"/>
    <w:rsid w:val="084C789E"/>
    <w:rsid w:val="086401F8"/>
    <w:rsid w:val="08751CAA"/>
    <w:rsid w:val="08762585"/>
    <w:rsid w:val="087E4C40"/>
    <w:rsid w:val="08AA4CC9"/>
    <w:rsid w:val="08D66AD6"/>
    <w:rsid w:val="08DA33A3"/>
    <w:rsid w:val="08E80F13"/>
    <w:rsid w:val="092B34F0"/>
    <w:rsid w:val="09335624"/>
    <w:rsid w:val="093D097C"/>
    <w:rsid w:val="0944690F"/>
    <w:rsid w:val="09535675"/>
    <w:rsid w:val="095F057D"/>
    <w:rsid w:val="09642282"/>
    <w:rsid w:val="096B2247"/>
    <w:rsid w:val="09733572"/>
    <w:rsid w:val="09772C16"/>
    <w:rsid w:val="09774987"/>
    <w:rsid w:val="097806ED"/>
    <w:rsid w:val="098353B5"/>
    <w:rsid w:val="09A92330"/>
    <w:rsid w:val="09B06B87"/>
    <w:rsid w:val="09C13146"/>
    <w:rsid w:val="09C430F7"/>
    <w:rsid w:val="09E04166"/>
    <w:rsid w:val="0A1C0718"/>
    <w:rsid w:val="0A2E2D1E"/>
    <w:rsid w:val="0A3E7710"/>
    <w:rsid w:val="0A5B7E63"/>
    <w:rsid w:val="0A5C3149"/>
    <w:rsid w:val="0A694238"/>
    <w:rsid w:val="0A7725A3"/>
    <w:rsid w:val="0A826F07"/>
    <w:rsid w:val="0A8A7C8B"/>
    <w:rsid w:val="0AA374A5"/>
    <w:rsid w:val="0AA51080"/>
    <w:rsid w:val="0AAB7649"/>
    <w:rsid w:val="0ABC5606"/>
    <w:rsid w:val="0AE012BD"/>
    <w:rsid w:val="0AE32AA0"/>
    <w:rsid w:val="0B012ED1"/>
    <w:rsid w:val="0B2E376B"/>
    <w:rsid w:val="0B30404E"/>
    <w:rsid w:val="0B4C6C14"/>
    <w:rsid w:val="0B631A88"/>
    <w:rsid w:val="0B683D45"/>
    <w:rsid w:val="0B7F3F11"/>
    <w:rsid w:val="0B7F3FC7"/>
    <w:rsid w:val="0B884417"/>
    <w:rsid w:val="0B973B9D"/>
    <w:rsid w:val="0BDE0321"/>
    <w:rsid w:val="0BF6188C"/>
    <w:rsid w:val="0BF64210"/>
    <w:rsid w:val="0BF73C91"/>
    <w:rsid w:val="0C020E7E"/>
    <w:rsid w:val="0C0E5D5C"/>
    <w:rsid w:val="0C170175"/>
    <w:rsid w:val="0C443EC7"/>
    <w:rsid w:val="0C480CD6"/>
    <w:rsid w:val="0C571A41"/>
    <w:rsid w:val="0C5C1171"/>
    <w:rsid w:val="0C5E1CBC"/>
    <w:rsid w:val="0C615B50"/>
    <w:rsid w:val="0C8445DA"/>
    <w:rsid w:val="0C87121B"/>
    <w:rsid w:val="0CA4214E"/>
    <w:rsid w:val="0CBA4FBD"/>
    <w:rsid w:val="0CC007F7"/>
    <w:rsid w:val="0CD60B29"/>
    <w:rsid w:val="0CD90B79"/>
    <w:rsid w:val="0CDB1229"/>
    <w:rsid w:val="0CFE707A"/>
    <w:rsid w:val="0D063BDA"/>
    <w:rsid w:val="0D08375F"/>
    <w:rsid w:val="0D184CFB"/>
    <w:rsid w:val="0D1A7341"/>
    <w:rsid w:val="0D1E7791"/>
    <w:rsid w:val="0D4A7419"/>
    <w:rsid w:val="0D827401"/>
    <w:rsid w:val="0D84094E"/>
    <w:rsid w:val="0D8A00E9"/>
    <w:rsid w:val="0D8D589E"/>
    <w:rsid w:val="0DA01C73"/>
    <w:rsid w:val="0DD63300"/>
    <w:rsid w:val="0DE978E6"/>
    <w:rsid w:val="0DF50604"/>
    <w:rsid w:val="0DF702FE"/>
    <w:rsid w:val="0E0002FB"/>
    <w:rsid w:val="0E060E51"/>
    <w:rsid w:val="0E550E35"/>
    <w:rsid w:val="0E5604B2"/>
    <w:rsid w:val="0E5E6115"/>
    <w:rsid w:val="0E6D5D79"/>
    <w:rsid w:val="0E9D0089"/>
    <w:rsid w:val="0EB803EE"/>
    <w:rsid w:val="0EE926B8"/>
    <w:rsid w:val="0EF94D4B"/>
    <w:rsid w:val="0EFD4EA0"/>
    <w:rsid w:val="0F285729"/>
    <w:rsid w:val="0F4958DC"/>
    <w:rsid w:val="0F4B0B32"/>
    <w:rsid w:val="0F515DF7"/>
    <w:rsid w:val="0F596BA8"/>
    <w:rsid w:val="0F6248D2"/>
    <w:rsid w:val="0F693536"/>
    <w:rsid w:val="0F7554C5"/>
    <w:rsid w:val="0F7B0511"/>
    <w:rsid w:val="0F7B76D9"/>
    <w:rsid w:val="0F816ACD"/>
    <w:rsid w:val="0F9832DB"/>
    <w:rsid w:val="0FB00067"/>
    <w:rsid w:val="0FBF3FD2"/>
    <w:rsid w:val="0FBF7FF3"/>
    <w:rsid w:val="0FE73EE9"/>
    <w:rsid w:val="0FF00688"/>
    <w:rsid w:val="10043AE6"/>
    <w:rsid w:val="10505D41"/>
    <w:rsid w:val="10646583"/>
    <w:rsid w:val="107D4B15"/>
    <w:rsid w:val="107D65A4"/>
    <w:rsid w:val="108A3C80"/>
    <w:rsid w:val="10AA73F0"/>
    <w:rsid w:val="10AD0C8E"/>
    <w:rsid w:val="10C26171"/>
    <w:rsid w:val="10E03134"/>
    <w:rsid w:val="10F33360"/>
    <w:rsid w:val="10FC16EA"/>
    <w:rsid w:val="110F1D40"/>
    <w:rsid w:val="11266F33"/>
    <w:rsid w:val="11507B96"/>
    <w:rsid w:val="11525A28"/>
    <w:rsid w:val="115343AE"/>
    <w:rsid w:val="118963A1"/>
    <w:rsid w:val="11916802"/>
    <w:rsid w:val="11C6522A"/>
    <w:rsid w:val="11DC71F8"/>
    <w:rsid w:val="11E104CC"/>
    <w:rsid w:val="11E20309"/>
    <w:rsid w:val="121D0989"/>
    <w:rsid w:val="12255233"/>
    <w:rsid w:val="122816D4"/>
    <w:rsid w:val="12481F28"/>
    <w:rsid w:val="124F64A1"/>
    <w:rsid w:val="12530213"/>
    <w:rsid w:val="127723A9"/>
    <w:rsid w:val="12862074"/>
    <w:rsid w:val="12883966"/>
    <w:rsid w:val="128F377D"/>
    <w:rsid w:val="129E45B4"/>
    <w:rsid w:val="12AA761C"/>
    <w:rsid w:val="12CE02E9"/>
    <w:rsid w:val="12D81596"/>
    <w:rsid w:val="12E23E98"/>
    <w:rsid w:val="13072A44"/>
    <w:rsid w:val="131B2827"/>
    <w:rsid w:val="132502C8"/>
    <w:rsid w:val="13265944"/>
    <w:rsid w:val="135F4BE2"/>
    <w:rsid w:val="139B1A0A"/>
    <w:rsid w:val="139D25C7"/>
    <w:rsid w:val="13BF3CE4"/>
    <w:rsid w:val="13C42FAC"/>
    <w:rsid w:val="13E23345"/>
    <w:rsid w:val="13E34051"/>
    <w:rsid w:val="14043309"/>
    <w:rsid w:val="141008D8"/>
    <w:rsid w:val="14125FE6"/>
    <w:rsid w:val="14165B51"/>
    <w:rsid w:val="146D271E"/>
    <w:rsid w:val="14982588"/>
    <w:rsid w:val="14991C55"/>
    <w:rsid w:val="149A5AD9"/>
    <w:rsid w:val="14A03F0D"/>
    <w:rsid w:val="14A7619D"/>
    <w:rsid w:val="14BE3364"/>
    <w:rsid w:val="14C8320F"/>
    <w:rsid w:val="14EA71B5"/>
    <w:rsid w:val="14F06FC3"/>
    <w:rsid w:val="14F30520"/>
    <w:rsid w:val="150536C3"/>
    <w:rsid w:val="150C1963"/>
    <w:rsid w:val="151447A0"/>
    <w:rsid w:val="15194B44"/>
    <w:rsid w:val="154A6454"/>
    <w:rsid w:val="15613E68"/>
    <w:rsid w:val="15762120"/>
    <w:rsid w:val="15892CDA"/>
    <w:rsid w:val="15C301DF"/>
    <w:rsid w:val="15D77B9E"/>
    <w:rsid w:val="163E55E1"/>
    <w:rsid w:val="166A18FC"/>
    <w:rsid w:val="169F2681"/>
    <w:rsid w:val="16A50D85"/>
    <w:rsid w:val="16A8729C"/>
    <w:rsid w:val="16B33777"/>
    <w:rsid w:val="16BC70A7"/>
    <w:rsid w:val="16C6339E"/>
    <w:rsid w:val="172F2D79"/>
    <w:rsid w:val="17557BEF"/>
    <w:rsid w:val="17984446"/>
    <w:rsid w:val="179E6FD7"/>
    <w:rsid w:val="17A7720B"/>
    <w:rsid w:val="17D349C1"/>
    <w:rsid w:val="17FC6283"/>
    <w:rsid w:val="17FC71C7"/>
    <w:rsid w:val="1830729E"/>
    <w:rsid w:val="186E4F56"/>
    <w:rsid w:val="1870062C"/>
    <w:rsid w:val="187F5606"/>
    <w:rsid w:val="18817102"/>
    <w:rsid w:val="18830A15"/>
    <w:rsid w:val="18852B28"/>
    <w:rsid w:val="188B5321"/>
    <w:rsid w:val="188F1E97"/>
    <w:rsid w:val="18A94431"/>
    <w:rsid w:val="18AD308A"/>
    <w:rsid w:val="18DF7E53"/>
    <w:rsid w:val="19137AFC"/>
    <w:rsid w:val="191D01AA"/>
    <w:rsid w:val="197E766C"/>
    <w:rsid w:val="19932372"/>
    <w:rsid w:val="199B1288"/>
    <w:rsid w:val="19A20DD5"/>
    <w:rsid w:val="19AE03F1"/>
    <w:rsid w:val="19BE1321"/>
    <w:rsid w:val="19C914F1"/>
    <w:rsid w:val="19E97D73"/>
    <w:rsid w:val="1A071A03"/>
    <w:rsid w:val="1A1F16AE"/>
    <w:rsid w:val="1A2057C6"/>
    <w:rsid w:val="1A3B5C77"/>
    <w:rsid w:val="1A4062D0"/>
    <w:rsid w:val="1A8D1BED"/>
    <w:rsid w:val="1A8E207F"/>
    <w:rsid w:val="1A984BAD"/>
    <w:rsid w:val="1AAC1FB7"/>
    <w:rsid w:val="1AB8220E"/>
    <w:rsid w:val="1ABD2708"/>
    <w:rsid w:val="1ADC0F2F"/>
    <w:rsid w:val="1AE4166C"/>
    <w:rsid w:val="1AF06CFB"/>
    <w:rsid w:val="1AF11B8D"/>
    <w:rsid w:val="1B022DF6"/>
    <w:rsid w:val="1B11359C"/>
    <w:rsid w:val="1B2A271F"/>
    <w:rsid w:val="1B2B7803"/>
    <w:rsid w:val="1B530544"/>
    <w:rsid w:val="1B5508A0"/>
    <w:rsid w:val="1B591FEF"/>
    <w:rsid w:val="1B713184"/>
    <w:rsid w:val="1BA209CF"/>
    <w:rsid w:val="1BB20793"/>
    <w:rsid w:val="1BB4777D"/>
    <w:rsid w:val="1BD75AB8"/>
    <w:rsid w:val="1BFF21EA"/>
    <w:rsid w:val="1C0459C2"/>
    <w:rsid w:val="1C1B3B4A"/>
    <w:rsid w:val="1C88086E"/>
    <w:rsid w:val="1CCB1A71"/>
    <w:rsid w:val="1CF50255"/>
    <w:rsid w:val="1D266CE1"/>
    <w:rsid w:val="1D3963AF"/>
    <w:rsid w:val="1D6A673C"/>
    <w:rsid w:val="1D9247AE"/>
    <w:rsid w:val="1DAE4D97"/>
    <w:rsid w:val="1DB567EC"/>
    <w:rsid w:val="1DBF7FCB"/>
    <w:rsid w:val="1DC57B03"/>
    <w:rsid w:val="1DF51A98"/>
    <w:rsid w:val="1DFE0D7B"/>
    <w:rsid w:val="1E300367"/>
    <w:rsid w:val="1E3D060F"/>
    <w:rsid w:val="1E3D60DD"/>
    <w:rsid w:val="1E3F7D2E"/>
    <w:rsid w:val="1E4134E4"/>
    <w:rsid w:val="1E5062B3"/>
    <w:rsid w:val="1E523514"/>
    <w:rsid w:val="1E593358"/>
    <w:rsid w:val="1E686B46"/>
    <w:rsid w:val="1E714A66"/>
    <w:rsid w:val="1E802593"/>
    <w:rsid w:val="1EA703CC"/>
    <w:rsid w:val="1EB7330C"/>
    <w:rsid w:val="1EF93289"/>
    <w:rsid w:val="1F0A0FF3"/>
    <w:rsid w:val="1F1A3255"/>
    <w:rsid w:val="1F5771FF"/>
    <w:rsid w:val="1F602E7C"/>
    <w:rsid w:val="1F745498"/>
    <w:rsid w:val="1FDF32F5"/>
    <w:rsid w:val="1FE868A9"/>
    <w:rsid w:val="1FEE320F"/>
    <w:rsid w:val="20034907"/>
    <w:rsid w:val="20173E4B"/>
    <w:rsid w:val="20181590"/>
    <w:rsid w:val="20380D25"/>
    <w:rsid w:val="204E48BC"/>
    <w:rsid w:val="20631369"/>
    <w:rsid w:val="206801ED"/>
    <w:rsid w:val="207B66B3"/>
    <w:rsid w:val="207E2E19"/>
    <w:rsid w:val="208921B3"/>
    <w:rsid w:val="20973DEB"/>
    <w:rsid w:val="20AC592F"/>
    <w:rsid w:val="20B26522"/>
    <w:rsid w:val="20B44310"/>
    <w:rsid w:val="20DB5D96"/>
    <w:rsid w:val="211116EB"/>
    <w:rsid w:val="21431023"/>
    <w:rsid w:val="21503653"/>
    <w:rsid w:val="216133FC"/>
    <w:rsid w:val="2161415A"/>
    <w:rsid w:val="21B27333"/>
    <w:rsid w:val="21BC2207"/>
    <w:rsid w:val="21CA25BE"/>
    <w:rsid w:val="21D56769"/>
    <w:rsid w:val="21E1669B"/>
    <w:rsid w:val="21E52EF3"/>
    <w:rsid w:val="21FB5D7B"/>
    <w:rsid w:val="220B1C3D"/>
    <w:rsid w:val="221D1D20"/>
    <w:rsid w:val="22334A87"/>
    <w:rsid w:val="223C04EC"/>
    <w:rsid w:val="224654C1"/>
    <w:rsid w:val="224F3E0C"/>
    <w:rsid w:val="227A4EE9"/>
    <w:rsid w:val="22BE6801"/>
    <w:rsid w:val="22C1269A"/>
    <w:rsid w:val="22C26C62"/>
    <w:rsid w:val="233500BF"/>
    <w:rsid w:val="23377FF7"/>
    <w:rsid w:val="236B425F"/>
    <w:rsid w:val="2373197C"/>
    <w:rsid w:val="23836192"/>
    <w:rsid w:val="23901F29"/>
    <w:rsid w:val="239C0061"/>
    <w:rsid w:val="23A91BB2"/>
    <w:rsid w:val="23B908A4"/>
    <w:rsid w:val="23C30A9D"/>
    <w:rsid w:val="23E95BEF"/>
    <w:rsid w:val="23FD0064"/>
    <w:rsid w:val="24214D92"/>
    <w:rsid w:val="24285E12"/>
    <w:rsid w:val="245375B0"/>
    <w:rsid w:val="24642C0A"/>
    <w:rsid w:val="246D0A09"/>
    <w:rsid w:val="24B22173"/>
    <w:rsid w:val="24B45A70"/>
    <w:rsid w:val="24B95AD9"/>
    <w:rsid w:val="24BE0639"/>
    <w:rsid w:val="24BE24DA"/>
    <w:rsid w:val="24CF5825"/>
    <w:rsid w:val="24D34D10"/>
    <w:rsid w:val="24D663E6"/>
    <w:rsid w:val="24D77F2B"/>
    <w:rsid w:val="24DE5462"/>
    <w:rsid w:val="25530F16"/>
    <w:rsid w:val="258B00E2"/>
    <w:rsid w:val="25A917A6"/>
    <w:rsid w:val="25BE27CC"/>
    <w:rsid w:val="25C7193F"/>
    <w:rsid w:val="25F74A5C"/>
    <w:rsid w:val="26172125"/>
    <w:rsid w:val="261C6242"/>
    <w:rsid w:val="2628662C"/>
    <w:rsid w:val="262D45DE"/>
    <w:rsid w:val="26471765"/>
    <w:rsid w:val="264A0EBF"/>
    <w:rsid w:val="264A61BF"/>
    <w:rsid w:val="2662090A"/>
    <w:rsid w:val="268D6829"/>
    <w:rsid w:val="26A53EF9"/>
    <w:rsid w:val="26A94201"/>
    <w:rsid w:val="26AC274F"/>
    <w:rsid w:val="26C30DB4"/>
    <w:rsid w:val="26F23D25"/>
    <w:rsid w:val="27044A29"/>
    <w:rsid w:val="27056071"/>
    <w:rsid w:val="271D34C8"/>
    <w:rsid w:val="2746464E"/>
    <w:rsid w:val="276142BF"/>
    <w:rsid w:val="276866FA"/>
    <w:rsid w:val="27783712"/>
    <w:rsid w:val="27907362"/>
    <w:rsid w:val="27BF771A"/>
    <w:rsid w:val="27C73204"/>
    <w:rsid w:val="27D0744D"/>
    <w:rsid w:val="27E965F8"/>
    <w:rsid w:val="27EE00B2"/>
    <w:rsid w:val="28333E1D"/>
    <w:rsid w:val="283C6C0F"/>
    <w:rsid w:val="28454BD6"/>
    <w:rsid w:val="28455253"/>
    <w:rsid w:val="28551971"/>
    <w:rsid w:val="285B1C53"/>
    <w:rsid w:val="2895356C"/>
    <w:rsid w:val="289F7086"/>
    <w:rsid w:val="28C32028"/>
    <w:rsid w:val="28CC490F"/>
    <w:rsid w:val="28DE40AA"/>
    <w:rsid w:val="29345E77"/>
    <w:rsid w:val="29406EE9"/>
    <w:rsid w:val="294B0DAC"/>
    <w:rsid w:val="294C65AD"/>
    <w:rsid w:val="29806583"/>
    <w:rsid w:val="298B3C4C"/>
    <w:rsid w:val="29B35110"/>
    <w:rsid w:val="29D54D29"/>
    <w:rsid w:val="29E90B31"/>
    <w:rsid w:val="29F26D24"/>
    <w:rsid w:val="2A027E45"/>
    <w:rsid w:val="2A054BA8"/>
    <w:rsid w:val="2A1170FC"/>
    <w:rsid w:val="2A15033F"/>
    <w:rsid w:val="2A155109"/>
    <w:rsid w:val="2A1662C1"/>
    <w:rsid w:val="2A1C7367"/>
    <w:rsid w:val="2A2815FA"/>
    <w:rsid w:val="2A314286"/>
    <w:rsid w:val="2A6D6092"/>
    <w:rsid w:val="2A7204D1"/>
    <w:rsid w:val="2A7D76B4"/>
    <w:rsid w:val="2ABD45AE"/>
    <w:rsid w:val="2AC70EDC"/>
    <w:rsid w:val="2B34709B"/>
    <w:rsid w:val="2B373B1E"/>
    <w:rsid w:val="2B3F2D1E"/>
    <w:rsid w:val="2B437463"/>
    <w:rsid w:val="2B7807EE"/>
    <w:rsid w:val="2B945009"/>
    <w:rsid w:val="2BBF00EC"/>
    <w:rsid w:val="2BC37CFD"/>
    <w:rsid w:val="2BD5237F"/>
    <w:rsid w:val="2BE536CE"/>
    <w:rsid w:val="2BE758D9"/>
    <w:rsid w:val="2BE772F2"/>
    <w:rsid w:val="2C09049E"/>
    <w:rsid w:val="2C0A653C"/>
    <w:rsid w:val="2C191F85"/>
    <w:rsid w:val="2C4712C3"/>
    <w:rsid w:val="2C6000DA"/>
    <w:rsid w:val="2C856106"/>
    <w:rsid w:val="2C874F6F"/>
    <w:rsid w:val="2CA32A1F"/>
    <w:rsid w:val="2CE82D6F"/>
    <w:rsid w:val="2D343236"/>
    <w:rsid w:val="2D3C058E"/>
    <w:rsid w:val="2D5C086B"/>
    <w:rsid w:val="2D5D0739"/>
    <w:rsid w:val="2D823314"/>
    <w:rsid w:val="2D9078D1"/>
    <w:rsid w:val="2D9214E0"/>
    <w:rsid w:val="2DD1025A"/>
    <w:rsid w:val="2DD15014"/>
    <w:rsid w:val="2DF51922"/>
    <w:rsid w:val="2DF72DE4"/>
    <w:rsid w:val="2E0220AF"/>
    <w:rsid w:val="2E07472B"/>
    <w:rsid w:val="2E0E6DB8"/>
    <w:rsid w:val="2E455766"/>
    <w:rsid w:val="2E4B082A"/>
    <w:rsid w:val="2E5A1FFE"/>
    <w:rsid w:val="2E5D4E86"/>
    <w:rsid w:val="2E5D790B"/>
    <w:rsid w:val="2E753370"/>
    <w:rsid w:val="2E9A3C18"/>
    <w:rsid w:val="2EBB0FEE"/>
    <w:rsid w:val="2EC22DD3"/>
    <w:rsid w:val="2EC63002"/>
    <w:rsid w:val="2EE364E6"/>
    <w:rsid w:val="2EE77D2D"/>
    <w:rsid w:val="2EFD2AE1"/>
    <w:rsid w:val="2F0A6B38"/>
    <w:rsid w:val="2F3B2DD2"/>
    <w:rsid w:val="2F6F7335"/>
    <w:rsid w:val="2F713AA3"/>
    <w:rsid w:val="2F786245"/>
    <w:rsid w:val="2F93773A"/>
    <w:rsid w:val="2F946CCB"/>
    <w:rsid w:val="2FAC6889"/>
    <w:rsid w:val="2FD25781"/>
    <w:rsid w:val="2FDB0057"/>
    <w:rsid w:val="2FF41FDE"/>
    <w:rsid w:val="2FFD5044"/>
    <w:rsid w:val="2FFD7934"/>
    <w:rsid w:val="3050190A"/>
    <w:rsid w:val="30724C70"/>
    <w:rsid w:val="30733ACD"/>
    <w:rsid w:val="3075311F"/>
    <w:rsid w:val="308C3862"/>
    <w:rsid w:val="309379D8"/>
    <w:rsid w:val="30A270F7"/>
    <w:rsid w:val="30DF1478"/>
    <w:rsid w:val="30EC586F"/>
    <w:rsid w:val="311213ED"/>
    <w:rsid w:val="31294542"/>
    <w:rsid w:val="312F5F78"/>
    <w:rsid w:val="316D1602"/>
    <w:rsid w:val="319C6071"/>
    <w:rsid w:val="31A863E0"/>
    <w:rsid w:val="31AC537E"/>
    <w:rsid w:val="31B639EF"/>
    <w:rsid w:val="31BE7198"/>
    <w:rsid w:val="31C60580"/>
    <w:rsid w:val="31E3679B"/>
    <w:rsid w:val="31E732FD"/>
    <w:rsid w:val="321C0590"/>
    <w:rsid w:val="324C0285"/>
    <w:rsid w:val="32517576"/>
    <w:rsid w:val="32B555C0"/>
    <w:rsid w:val="32BE5C2C"/>
    <w:rsid w:val="32ED07A3"/>
    <w:rsid w:val="32FB6478"/>
    <w:rsid w:val="330709B5"/>
    <w:rsid w:val="330E2F43"/>
    <w:rsid w:val="330E6900"/>
    <w:rsid w:val="33263B3F"/>
    <w:rsid w:val="334A12E1"/>
    <w:rsid w:val="33543860"/>
    <w:rsid w:val="335E286C"/>
    <w:rsid w:val="336963EB"/>
    <w:rsid w:val="33816EEB"/>
    <w:rsid w:val="338F52EF"/>
    <w:rsid w:val="33B737F1"/>
    <w:rsid w:val="33DC7D0F"/>
    <w:rsid w:val="33EB55CD"/>
    <w:rsid w:val="33EC4C02"/>
    <w:rsid w:val="340D2360"/>
    <w:rsid w:val="3410665D"/>
    <w:rsid w:val="34211214"/>
    <w:rsid w:val="342E63AB"/>
    <w:rsid w:val="34711E4F"/>
    <w:rsid w:val="34915D87"/>
    <w:rsid w:val="34947E55"/>
    <w:rsid w:val="34950E68"/>
    <w:rsid w:val="34986E94"/>
    <w:rsid w:val="34AF62C9"/>
    <w:rsid w:val="34CB4388"/>
    <w:rsid w:val="34FA6E12"/>
    <w:rsid w:val="357C0AAC"/>
    <w:rsid w:val="358D5588"/>
    <w:rsid w:val="35C05806"/>
    <w:rsid w:val="35C42453"/>
    <w:rsid w:val="35DC5440"/>
    <w:rsid w:val="361433DA"/>
    <w:rsid w:val="361B3215"/>
    <w:rsid w:val="363A3B40"/>
    <w:rsid w:val="365302AE"/>
    <w:rsid w:val="36607A0A"/>
    <w:rsid w:val="366529DF"/>
    <w:rsid w:val="366E227C"/>
    <w:rsid w:val="366F2E0D"/>
    <w:rsid w:val="36735F09"/>
    <w:rsid w:val="367B6A5C"/>
    <w:rsid w:val="36A52284"/>
    <w:rsid w:val="36A74ADA"/>
    <w:rsid w:val="36AD60D5"/>
    <w:rsid w:val="36B224F9"/>
    <w:rsid w:val="36BE005A"/>
    <w:rsid w:val="36EC0CC9"/>
    <w:rsid w:val="37090039"/>
    <w:rsid w:val="37363295"/>
    <w:rsid w:val="373F410B"/>
    <w:rsid w:val="37EE7094"/>
    <w:rsid w:val="38207E14"/>
    <w:rsid w:val="38296C89"/>
    <w:rsid w:val="383002EB"/>
    <w:rsid w:val="3851596A"/>
    <w:rsid w:val="38586797"/>
    <w:rsid w:val="38797966"/>
    <w:rsid w:val="388243AC"/>
    <w:rsid w:val="38855EC9"/>
    <w:rsid w:val="388801F5"/>
    <w:rsid w:val="3894610C"/>
    <w:rsid w:val="389D1465"/>
    <w:rsid w:val="38B113F5"/>
    <w:rsid w:val="38BC0149"/>
    <w:rsid w:val="38C868F6"/>
    <w:rsid w:val="38D87D1C"/>
    <w:rsid w:val="38E22CFA"/>
    <w:rsid w:val="391A199A"/>
    <w:rsid w:val="39411969"/>
    <w:rsid w:val="39636459"/>
    <w:rsid w:val="396B7F6C"/>
    <w:rsid w:val="39755423"/>
    <w:rsid w:val="399C4350"/>
    <w:rsid w:val="39B417A9"/>
    <w:rsid w:val="39BA1823"/>
    <w:rsid w:val="39BB2205"/>
    <w:rsid w:val="39CD7B28"/>
    <w:rsid w:val="39F94929"/>
    <w:rsid w:val="39FC5695"/>
    <w:rsid w:val="3A006D8E"/>
    <w:rsid w:val="3A3651E5"/>
    <w:rsid w:val="3A6B67E3"/>
    <w:rsid w:val="3A744481"/>
    <w:rsid w:val="3A8A5A19"/>
    <w:rsid w:val="3A8C7BEF"/>
    <w:rsid w:val="3A906246"/>
    <w:rsid w:val="3A9D23BA"/>
    <w:rsid w:val="3AE004A0"/>
    <w:rsid w:val="3B2349B7"/>
    <w:rsid w:val="3B297E39"/>
    <w:rsid w:val="3B3C7E67"/>
    <w:rsid w:val="3B3FC59C"/>
    <w:rsid w:val="3B616CFF"/>
    <w:rsid w:val="3B6259F6"/>
    <w:rsid w:val="3B720C0D"/>
    <w:rsid w:val="3B976654"/>
    <w:rsid w:val="3BAA4176"/>
    <w:rsid w:val="3BAD7F13"/>
    <w:rsid w:val="3BAF42E8"/>
    <w:rsid w:val="3BB6355F"/>
    <w:rsid w:val="3BC01EFC"/>
    <w:rsid w:val="3BCA786A"/>
    <w:rsid w:val="3BCB7E0F"/>
    <w:rsid w:val="3BD31E2F"/>
    <w:rsid w:val="3BF15831"/>
    <w:rsid w:val="3C0635AB"/>
    <w:rsid w:val="3C09237E"/>
    <w:rsid w:val="3C105946"/>
    <w:rsid w:val="3C471448"/>
    <w:rsid w:val="3C5F759A"/>
    <w:rsid w:val="3C6C525A"/>
    <w:rsid w:val="3C8D08FE"/>
    <w:rsid w:val="3CAD649B"/>
    <w:rsid w:val="3CB93B7A"/>
    <w:rsid w:val="3CC33275"/>
    <w:rsid w:val="3CC34D87"/>
    <w:rsid w:val="3CCB4B5A"/>
    <w:rsid w:val="3CCE23CB"/>
    <w:rsid w:val="3CD17D17"/>
    <w:rsid w:val="3D095B46"/>
    <w:rsid w:val="3D3C7F39"/>
    <w:rsid w:val="3D4015F2"/>
    <w:rsid w:val="3D440F09"/>
    <w:rsid w:val="3D4504A0"/>
    <w:rsid w:val="3D5060AD"/>
    <w:rsid w:val="3D60541C"/>
    <w:rsid w:val="3D6F6425"/>
    <w:rsid w:val="3D8734BB"/>
    <w:rsid w:val="3D9A11D4"/>
    <w:rsid w:val="3DA16D89"/>
    <w:rsid w:val="3DA364BE"/>
    <w:rsid w:val="3DE041CB"/>
    <w:rsid w:val="3DF1250F"/>
    <w:rsid w:val="3E0D48F6"/>
    <w:rsid w:val="3E185305"/>
    <w:rsid w:val="3E1868B4"/>
    <w:rsid w:val="3E377251"/>
    <w:rsid w:val="3E42664B"/>
    <w:rsid w:val="3E4A4A56"/>
    <w:rsid w:val="3E4B4F87"/>
    <w:rsid w:val="3E5661DC"/>
    <w:rsid w:val="3E5A7334"/>
    <w:rsid w:val="3E6A0E96"/>
    <w:rsid w:val="3E7B5D6B"/>
    <w:rsid w:val="3E843E66"/>
    <w:rsid w:val="3E8F51FE"/>
    <w:rsid w:val="3E926F87"/>
    <w:rsid w:val="3E9A59DE"/>
    <w:rsid w:val="3EA6150B"/>
    <w:rsid w:val="3EAF4836"/>
    <w:rsid w:val="3EB96BF2"/>
    <w:rsid w:val="3EC33DFA"/>
    <w:rsid w:val="3EC84D62"/>
    <w:rsid w:val="3EE85404"/>
    <w:rsid w:val="3F060E16"/>
    <w:rsid w:val="3F173D18"/>
    <w:rsid w:val="3F1C4A39"/>
    <w:rsid w:val="3F1D1096"/>
    <w:rsid w:val="3F2F0234"/>
    <w:rsid w:val="3F485DF7"/>
    <w:rsid w:val="3F6363FE"/>
    <w:rsid w:val="3F756B8F"/>
    <w:rsid w:val="3F855795"/>
    <w:rsid w:val="3F8F60F8"/>
    <w:rsid w:val="3F95482B"/>
    <w:rsid w:val="3FA57E6B"/>
    <w:rsid w:val="4019356B"/>
    <w:rsid w:val="40275AB8"/>
    <w:rsid w:val="404345B0"/>
    <w:rsid w:val="4046605F"/>
    <w:rsid w:val="40592157"/>
    <w:rsid w:val="40674A44"/>
    <w:rsid w:val="406D07CC"/>
    <w:rsid w:val="406E1CAE"/>
    <w:rsid w:val="4070076D"/>
    <w:rsid w:val="407A39D5"/>
    <w:rsid w:val="40817E61"/>
    <w:rsid w:val="40842F0A"/>
    <w:rsid w:val="409254A7"/>
    <w:rsid w:val="40A0133A"/>
    <w:rsid w:val="40BD1BD6"/>
    <w:rsid w:val="40C11463"/>
    <w:rsid w:val="40C31A53"/>
    <w:rsid w:val="40FF545D"/>
    <w:rsid w:val="410067C8"/>
    <w:rsid w:val="41193901"/>
    <w:rsid w:val="418F0D2A"/>
    <w:rsid w:val="419929E5"/>
    <w:rsid w:val="41A22999"/>
    <w:rsid w:val="41B4781F"/>
    <w:rsid w:val="41D01505"/>
    <w:rsid w:val="41E9396D"/>
    <w:rsid w:val="41EF2605"/>
    <w:rsid w:val="41F90D90"/>
    <w:rsid w:val="421079C8"/>
    <w:rsid w:val="421E7984"/>
    <w:rsid w:val="42474939"/>
    <w:rsid w:val="424C3C57"/>
    <w:rsid w:val="42613FF3"/>
    <w:rsid w:val="42654F91"/>
    <w:rsid w:val="42660D96"/>
    <w:rsid w:val="428667D2"/>
    <w:rsid w:val="429A368A"/>
    <w:rsid w:val="42CC0595"/>
    <w:rsid w:val="42CD1CE0"/>
    <w:rsid w:val="42D71A17"/>
    <w:rsid w:val="42E1381E"/>
    <w:rsid w:val="42ED6459"/>
    <w:rsid w:val="42F16C31"/>
    <w:rsid w:val="42FE58DD"/>
    <w:rsid w:val="43144544"/>
    <w:rsid w:val="43174B3D"/>
    <w:rsid w:val="431C3DDE"/>
    <w:rsid w:val="43354997"/>
    <w:rsid w:val="434B790E"/>
    <w:rsid w:val="4360274F"/>
    <w:rsid w:val="4362779A"/>
    <w:rsid w:val="43977AB6"/>
    <w:rsid w:val="43A07FF2"/>
    <w:rsid w:val="43A24A91"/>
    <w:rsid w:val="43A3342B"/>
    <w:rsid w:val="43C77C27"/>
    <w:rsid w:val="43DE09EE"/>
    <w:rsid w:val="44002FAD"/>
    <w:rsid w:val="440C749E"/>
    <w:rsid w:val="4412328B"/>
    <w:rsid w:val="4415542B"/>
    <w:rsid w:val="44657104"/>
    <w:rsid w:val="44780252"/>
    <w:rsid w:val="449101DD"/>
    <w:rsid w:val="449806FE"/>
    <w:rsid w:val="44A40868"/>
    <w:rsid w:val="44BA722D"/>
    <w:rsid w:val="44DE1391"/>
    <w:rsid w:val="44F96CD2"/>
    <w:rsid w:val="45106B70"/>
    <w:rsid w:val="451B225C"/>
    <w:rsid w:val="452410C9"/>
    <w:rsid w:val="45317DFB"/>
    <w:rsid w:val="455A7D30"/>
    <w:rsid w:val="456D3CE4"/>
    <w:rsid w:val="45774DEB"/>
    <w:rsid w:val="4579042C"/>
    <w:rsid w:val="457F0571"/>
    <w:rsid w:val="45851176"/>
    <w:rsid w:val="45883496"/>
    <w:rsid w:val="45B10806"/>
    <w:rsid w:val="45C63B94"/>
    <w:rsid w:val="45C7395E"/>
    <w:rsid w:val="45FC1EFC"/>
    <w:rsid w:val="45FF50F7"/>
    <w:rsid w:val="460A332B"/>
    <w:rsid w:val="460E7DA5"/>
    <w:rsid w:val="46402205"/>
    <w:rsid w:val="46422483"/>
    <w:rsid w:val="4659254A"/>
    <w:rsid w:val="465B0637"/>
    <w:rsid w:val="465E3F0D"/>
    <w:rsid w:val="466A16E6"/>
    <w:rsid w:val="466A3861"/>
    <w:rsid w:val="467B69ED"/>
    <w:rsid w:val="46833504"/>
    <w:rsid w:val="46893F2B"/>
    <w:rsid w:val="46A74719"/>
    <w:rsid w:val="46A92CD7"/>
    <w:rsid w:val="46C4686E"/>
    <w:rsid w:val="46EA6DA0"/>
    <w:rsid w:val="46F618BC"/>
    <w:rsid w:val="470F0786"/>
    <w:rsid w:val="4715601C"/>
    <w:rsid w:val="476C6937"/>
    <w:rsid w:val="47704A29"/>
    <w:rsid w:val="477B778F"/>
    <w:rsid w:val="477F61D9"/>
    <w:rsid w:val="478203EC"/>
    <w:rsid w:val="478204AA"/>
    <w:rsid w:val="478661AE"/>
    <w:rsid w:val="47B025FA"/>
    <w:rsid w:val="47FE483C"/>
    <w:rsid w:val="4809698F"/>
    <w:rsid w:val="4811697D"/>
    <w:rsid w:val="483C40DA"/>
    <w:rsid w:val="487A3E25"/>
    <w:rsid w:val="488169AC"/>
    <w:rsid w:val="488B5503"/>
    <w:rsid w:val="48937E21"/>
    <w:rsid w:val="489A0361"/>
    <w:rsid w:val="48AD6A8D"/>
    <w:rsid w:val="48B94FF3"/>
    <w:rsid w:val="48C57445"/>
    <w:rsid w:val="48E37AAB"/>
    <w:rsid w:val="48FD4B4C"/>
    <w:rsid w:val="49061243"/>
    <w:rsid w:val="490A68E0"/>
    <w:rsid w:val="491055FE"/>
    <w:rsid w:val="495A44E3"/>
    <w:rsid w:val="495F5B3E"/>
    <w:rsid w:val="49681CBC"/>
    <w:rsid w:val="496F77D7"/>
    <w:rsid w:val="497654FD"/>
    <w:rsid w:val="497E2BEC"/>
    <w:rsid w:val="49B64211"/>
    <w:rsid w:val="49F6167F"/>
    <w:rsid w:val="4A064FA0"/>
    <w:rsid w:val="4A077ABF"/>
    <w:rsid w:val="4A0909A1"/>
    <w:rsid w:val="4A16615C"/>
    <w:rsid w:val="4A4424D7"/>
    <w:rsid w:val="4A7D1411"/>
    <w:rsid w:val="4A9D4A92"/>
    <w:rsid w:val="4AB82D0F"/>
    <w:rsid w:val="4ABB17CB"/>
    <w:rsid w:val="4ABE526B"/>
    <w:rsid w:val="4AD62A89"/>
    <w:rsid w:val="4AEB7664"/>
    <w:rsid w:val="4AFD7C19"/>
    <w:rsid w:val="4B0567D1"/>
    <w:rsid w:val="4B1C363A"/>
    <w:rsid w:val="4B1E0C59"/>
    <w:rsid w:val="4B236AAE"/>
    <w:rsid w:val="4B254FC3"/>
    <w:rsid w:val="4B707271"/>
    <w:rsid w:val="4B9739F7"/>
    <w:rsid w:val="4BD74F3E"/>
    <w:rsid w:val="4BEA27BB"/>
    <w:rsid w:val="4BEE2503"/>
    <w:rsid w:val="4BEF5BF8"/>
    <w:rsid w:val="4C245A30"/>
    <w:rsid w:val="4C503B9A"/>
    <w:rsid w:val="4C736329"/>
    <w:rsid w:val="4C7C718B"/>
    <w:rsid w:val="4C9A4AA6"/>
    <w:rsid w:val="4CB6685F"/>
    <w:rsid w:val="4CC367FE"/>
    <w:rsid w:val="4CD670E4"/>
    <w:rsid w:val="4D027691"/>
    <w:rsid w:val="4D077F3C"/>
    <w:rsid w:val="4D123355"/>
    <w:rsid w:val="4D2A3B31"/>
    <w:rsid w:val="4D312C52"/>
    <w:rsid w:val="4D693BB4"/>
    <w:rsid w:val="4D73233C"/>
    <w:rsid w:val="4D844549"/>
    <w:rsid w:val="4D905305"/>
    <w:rsid w:val="4D964A72"/>
    <w:rsid w:val="4D982235"/>
    <w:rsid w:val="4D9B759A"/>
    <w:rsid w:val="4D9C1254"/>
    <w:rsid w:val="4DC36632"/>
    <w:rsid w:val="4DF55F07"/>
    <w:rsid w:val="4DFC0584"/>
    <w:rsid w:val="4E6544E7"/>
    <w:rsid w:val="4E793892"/>
    <w:rsid w:val="4E800872"/>
    <w:rsid w:val="4EAC51FF"/>
    <w:rsid w:val="4EB63AF8"/>
    <w:rsid w:val="4EB8094F"/>
    <w:rsid w:val="4EC569ED"/>
    <w:rsid w:val="4ED50EA1"/>
    <w:rsid w:val="4EDF24BE"/>
    <w:rsid w:val="4EEC050C"/>
    <w:rsid w:val="4F104EC3"/>
    <w:rsid w:val="4F2C625F"/>
    <w:rsid w:val="4F47354A"/>
    <w:rsid w:val="4F710CA8"/>
    <w:rsid w:val="4F8627FB"/>
    <w:rsid w:val="4F911C54"/>
    <w:rsid w:val="4F9E5990"/>
    <w:rsid w:val="4FE625E0"/>
    <w:rsid w:val="4FE94F10"/>
    <w:rsid w:val="4FF83E3A"/>
    <w:rsid w:val="5021480F"/>
    <w:rsid w:val="50275849"/>
    <w:rsid w:val="50577BF5"/>
    <w:rsid w:val="506932DB"/>
    <w:rsid w:val="50962ECB"/>
    <w:rsid w:val="50A42E38"/>
    <w:rsid w:val="50A4577F"/>
    <w:rsid w:val="50B73D1F"/>
    <w:rsid w:val="50BD5BC9"/>
    <w:rsid w:val="50C11EEE"/>
    <w:rsid w:val="50C21746"/>
    <w:rsid w:val="50CD0EEC"/>
    <w:rsid w:val="50E97CFC"/>
    <w:rsid w:val="50FA4028"/>
    <w:rsid w:val="510D65B7"/>
    <w:rsid w:val="511157AB"/>
    <w:rsid w:val="512027DB"/>
    <w:rsid w:val="512C7869"/>
    <w:rsid w:val="51363839"/>
    <w:rsid w:val="51363DAD"/>
    <w:rsid w:val="5142540C"/>
    <w:rsid w:val="515B7CB7"/>
    <w:rsid w:val="517A1653"/>
    <w:rsid w:val="518832C8"/>
    <w:rsid w:val="519631F9"/>
    <w:rsid w:val="51A0432A"/>
    <w:rsid w:val="51A86090"/>
    <w:rsid w:val="51AC406F"/>
    <w:rsid w:val="51B278FC"/>
    <w:rsid w:val="51B7396D"/>
    <w:rsid w:val="51ED4DB3"/>
    <w:rsid w:val="522E4CC3"/>
    <w:rsid w:val="5244713B"/>
    <w:rsid w:val="52615633"/>
    <w:rsid w:val="52977FD4"/>
    <w:rsid w:val="529C2335"/>
    <w:rsid w:val="52A25790"/>
    <w:rsid w:val="52A96B6F"/>
    <w:rsid w:val="52B45975"/>
    <w:rsid w:val="52D94AA4"/>
    <w:rsid w:val="52EA3A62"/>
    <w:rsid w:val="52EA567C"/>
    <w:rsid w:val="52F50BB8"/>
    <w:rsid w:val="53097272"/>
    <w:rsid w:val="534A2842"/>
    <w:rsid w:val="53513CED"/>
    <w:rsid w:val="53544462"/>
    <w:rsid w:val="535A1773"/>
    <w:rsid w:val="53745B13"/>
    <w:rsid w:val="53946913"/>
    <w:rsid w:val="5397158E"/>
    <w:rsid w:val="53CD2A18"/>
    <w:rsid w:val="54013861"/>
    <w:rsid w:val="5416249B"/>
    <w:rsid w:val="54487265"/>
    <w:rsid w:val="544D6070"/>
    <w:rsid w:val="544F6E13"/>
    <w:rsid w:val="54593DEF"/>
    <w:rsid w:val="54605E1E"/>
    <w:rsid w:val="54B3506A"/>
    <w:rsid w:val="54CA0D16"/>
    <w:rsid w:val="54D934E7"/>
    <w:rsid w:val="54DD4057"/>
    <w:rsid w:val="54E7490F"/>
    <w:rsid w:val="54FA328F"/>
    <w:rsid w:val="550764A4"/>
    <w:rsid w:val="550B2BF6"/>
    <w:rsid w:val="55214EB5"/>
    <w:rsid w:val="55364EFD"/>
    <w:rsid w:val="555D4828"/>
    <w:rsid w:val="557A4C8B"/>
    <w:rsid w:val="558931E1"/>
    <w:rsid w:val="55902A27"/>
    <w:rsid w:val="55923347"/>
    <w:rsid w:val="55925180"/>
    <w:rsid w:val="55983B1B"/>
    <w:rsid w:val="55A8376B"/>
    <w:rsid w:val="55A97243"/>
    <w:rsid w:val="55D50903"/>
    <w:rsid w:val="55DC29B6"/>
    <w:rsid w:val="55DD4241"/>
    <w:rsid w:val="55DF0EB7"/>
    <w:rsid w:val="561926D0"/>
    <w:rsid w:val="565F3864"/>
    <w:rsid w:val="566B6D1E"/>
    <w:rsid w:val="567F39AF"/>
    <w:rsid w:val="569F6AC7"/>
    <w:rsid w:val="56A15059"/>
    <w:rsid w:val="56AA6827"/>
    <w:rsid w:val="56AB2B47"/>
    <w:rsid w:val="56BD4D01"/>
    <w:rsid w:val="57032A2C"/>
    <w:rsid w:val="570F5219"/>
    <w:rsid w:val="575D12B5"/>
    <w:rsid w:val="57610A87"/>
    <w:rsid w:val="5772374D"/>
    <w:rsid w:val="577B1140"/>
    <w:rsid w:val="577B7F21"/>
    <w:rsid w:val="577F181B"/>
    <w:rsid w:val="57921984"/>
    <w:rsid w:val="579737F0"/>
    <w:rsid w:val="57AB7B30"/>
    <w:rsid w:val="57AF5251"/>
    <w:rsid w:val="57B26373"/>
    <w:rsid w:val="57B63F04"/>
    <w:rsid w:val="57CD20C2"/>
    <w:rsid w:val="57D675AB"/>
    <w:rsid w:val="57D95FDD"/>
    <w:rsid w:val="57EA58F1"/>
    <w:rsid w:val="58023FFF"/>
    <w:rsid w:val="58142FFC"/>
    <w:rsid w:val="58917D2F"/>
    <w:rsid w:val="5894085C"/>
    <w:rsid w:val="589668C2"/>
    <w:rsid w:val="58AE4F0C"/>
    <w:rsid w:val="58B85899"/>
    <w:rsid w:val="58BB2F7B"/>
    <w:rsid w:val="58DC7F4D"/>
    <w:rsid w:val="58E363A9"/>
    <w:rsid w:val="590E29AC"/>
    <w:rsid w:val="595E1678"/>
    <w:rsid w:val="596D5BD4"/>
    <w:rsid w:val="59782F99"/>
    <w:rsid w:val="597E3DD8"/>
    <w:rsid w:val="59D634DF"/>
    <w:rsid w:val="59E24BF1"/>
    <w:rsid w:val="59E44380"/>
    <w:rsid w:val="59F05D38"/>
    <w:rsid w:val="59F80043"/>
    <w:rsid w:val="5A09252F"/>
    <w:rsid w:val="5A0B2778"/>
    <w:rsid w:val="5A133E67"/>
    <w:rsid w:val="5A2A7C7B"/>
    <w:rsid w:val="5A3E2560"/>
    <w:rsid w:val="5A5D3B6E"/>
    <w:rsid w:val="5A637A76"/>
    <w:rsid w:val="5A6D33BA"/>
    <w:rsid w:val="5A792B1F"/>
    <w:rsid w:val="5A7D5519"/>
    <w:rsid w:val="5A874767"/>
    <w:rsid w:val="5A8C7BCC"/>
    <w:rsid w:val="5A8D7133"/>
    <w:rsid w:val="5A944CE3"/>
    <w:rsid w:val="5AAD6F28"/>
    <w:rsid w:val="5ACD0108"/>
    <w:rsid w:val="5AD63A24"/>
    <w:rsid w:val="5ADD79C6"/>
    <w:rsid w:val="5AEA5EB6"/>
    <w:rsid w:val="5AEA62E5"/>
    <w:rsid w:val="5AFF3461"/>
    <w:rsid w:val="5B1511F3"/>
    <w:rsid w:val="5B167F88"/>
    <w:rsid w:val="5B247AA9"/>
    <w:rsid w:val="5B2E1A1D"/>
    <w:rsid w:val="5B317CC1"/>
    <w:rsid w:val="5B6B0A58"/>
    <w:rsid w:val="5B843A1C"/>
    <w:rsid w:val="5B873E3F"/>
    <w:rsid w:val="5B897053"/>
    <w:rsid w:val="5BA83A02"/>
    <w:rsid w:val="5BF3746A"/>
    <w:rsid w:val="5C02690E"/>
    <w:rsid w:val="5C196DA7"/>
    <w:rsid w:val="5C1D0043"/>
    <w:rsid w:val="5C2A048C"/>
    <w:rsid w:val="5C5E54CC"/>
    <w:rsid w:val="5C80234E"/>
    <w:rsid w:val="5C8A680C"/>
    <w:rsid w:val="5CA644DC"/>
    <w:rsid w:val="5CE01922"/>
    <w:rsid w:val="5CEC7655"/>
    <w:rsid w:val="5D0B2591"/>
    <w:rsid w:val="5D0C4701"/>
    <w:rsid w:val="5D0F0395"/>
    <w:rsid w:val="5D221076"/>
    <w:rsid w:val="5D397964"/>
    <w:rsid w:val="5D3E2967"/>
    <w:rsid w:val="5D5A391C"/>
    <w:rsid w:val="5D5F10C0"/>
    <w:rsid w:val="5D891B7B"/>
    <w:rsid w:val="5DA35AD2"/>
    <w:rsid w:val="5DAA5DD8"/>
    <w:rsid w:val="5DAD38EE"/>
    <w:rsid w:val="5DCE5EE9"/>
    <w:rsid w:val="5E006862"/>
    <w:rsid w:val="5E0207B9"/>
    <w:rsid w:val="5E0B0AD6"/>
    <w:rsid w:val="5E1834A1"/>
    <w:rsid w:val="5E261785"/>
    <w:rsid w:val="5E4A0E97"/>
    <w:rsid w:val="5E4A7017"/>
    <w:rsid w:val="5E4F2952"/>
    <w:rsid w:val="5E552BBA"/>
    <w:rsid w:val="5E610D01"/>
    <w:rsid w:val="5E611C10"/>
    <w:rsid w:val="5E632B19"/>
    <w:rsid w:val="5E655CD1"/>
    <w:rsid w:val="5E766130"/>
    <w:rsid w:val="5EA31D4C"/>
    <w:rsid w:val="5EFC7377"/>
    <w:rsid w:val="5F06174D"/>
    <w:rsid w:val="5F3A3602"/>
    <w:rsid w:val="5F6277C6"/>
    <w:rsid w:val="5F6D0B1D"/>
    <w:rsid w:val="5F6E7612"/>
    <w:rsid w:val="5F6FF5AD"/>
    <w:rsid w:val="5F8D0B82"/>
    <w:rsid w:val="5FCC5339"/>
    <w:rsid w:val="5FE34A5B"/>
    <w:rsid w:val="5FFE1E36"/>
    <w:rsid w:val="600502B2"/>
    <w:rsid w:val="60232584"/>
    <w:rsid w:val="602C4E9D"/>
    <w:rsid w:val="602C61F7"/>
    <w:rsid w:val="605E35A7"/>
    <w:rsid w:val="6060009F"/>
    <w:rsid w:val="607330CE"/>
    <w:rsid w:val="60825176"/>
    <w:rsid w:val="609F2AC4"/>
    <w:rsid w:val="60FA2EE8"/>
    <w:rsid w:val="61054A27"/>
    <w:rsid w:val="610A52BC"/>
    <w:rsid w:val="611D2366"/>
    <w:rsid w:val="611E354A"/>
    <w:rsid w:val="61401BAF"/>
    <w:rsid w:val="61421856"/>
    <w:rsid w:val="615227C4"/>
    <w:rsid w:val="6153074E"/>
    <w:rsid w:val="61654E3F"/>
    <w:rsid w:val="61721216"/>
    <w:rsid w:val="6182292A"/>
    <w:rsid w:val="618D5C6B"/>
    <w:rsid w:val="619F7F92"/>
    <w:rsid w:val="61B60EF8"/>
    <w:rsid w:val="61CD186D"/>
    <w:rsid w:val="61EF4230"/>
    <w:rsid w:val="61F94C26"/>
    <w:rsid w:val="62000E56"/>
    <w:rsid w:val="620A1913"/>
    <w:rsid w:val="620E01E9"/>
    <w:rsid w:val="620F44F5"/>
    <w:rsid w:val="622554D9"/>
    <w:rsid w:val="62330149"/>
    <w:rsid w:val="624E346D"/>
    <w:rsid w:val="624F3E49"/>
    <w:rsid w:val="62632286"/>
    <w:rsid w:val="626369CC"/>
    <w:rsid w:val="62885958"/>
    <w:rsid w:val="62B674A5"/>
    <w:rsid w:val="62F40B65"/>
    <w:rsid w:val="62FC2CFE"/>
    <w:rsid w:val="63024505"/>
    <w:rsid w:val="631D4DCC"/>
    <w:rsid w:val="63282FC3"/>
    <w:rsid w:val="632C6FB1"/>
    <w:rsid w:val="633D721D"/>
    <w:rsid w:val="63461B81"/>
    <w:rsid w:val="635B1DB5"/>
    <w:rsid w:val="636B0439"/>
    <w:rsid w:val="63711FED"/>
    <w:rsid w:val="63880DDC"/>
    <w:rsid w:val="638D750D"/>
    <w:rsid w:val="63A36518"/>
    <w:rsid w:val="63AC6CC0"/>
    <w:rsid w:val="63D066D2"/>
    <w:rsid w:val="64055776"/>
    <w:rsid w:val="640C0875"/>
    <w:rsid w:val="640E127D"/>
    <w:rsid w:val="64240056"/>
    <w:rsid w:val="643E143A"/>
    <w:rsid w:val="644F7F1F"/>
    <w:rsid w:val="645A71B2"/>
    <w:rsid w:val="648B6EEF"/>
    <w:rsid w:val="648C1B70"/>
    <w:rsid w:val="64A66F94"/>
    <w:rsid w:val="64B021C1"/>
    <w:rsid w:val="64C158BF"/>
    <w:rsid w:val="64C27B00"/>
    <w:rsid w:val="64CE2EAA"/>
    <w:rsid w:val="64D66A7C"/>
    <w:rsid w:val="653C3090"/>
    <w:rsid w:val="65405CCA"/>
    <w:rsid w:val="655A3BEA"/>
    <w:rsid w:val="65854376"/>
    <w:rsid w:val="658767BE"/>
    <w:rsid w:val="65892531"/>
    <w:rsid w:val="65BA52F7"/>
    <w:rsid w:val="66065A48"/>
    <w:rsid w:val="66195831"/>
    <w:rsid w:val="662B5A52"/>
    <w:rsid w:val="662D6DA8"/>
    <w:rsid w:val="662E75B1"/>
    <w:rsid w:val="66342C2E"/>
    <w:rsid w:val="663E784C"/>
    <w:rsid w:val="667A09B7"/>
    <w:rsid w:val="668B6A45"/>
    <w:rsid w:val="66A45BDC"/>
    <w:rsid w:val="66AF1795"/>
    <w:rsid w:val="66C74351"/>
    <w:rsid w:val="671B2C97"/>
    <w:rsid w:val="672F3F24"/>
    <w:rsid w:val="673E055F"/>
    <w:rsid w:val="67551CE3"/>
    <w:rsid w:val="67762F9E"/>
    <w:rsid w:val="679413D5"/>
    <w:rsid w:val="679B2025"/>
    <w:rsid w:val="67A22552"/>
    <w:rsid w:val="67B22DCC"/>
    <w:rsid w:val="67BE71AA"/>
    <w:rsid w:val="67D90273"/>
    <w:rsid w:val="67DE3C2F"/>
    <w:rsid w:val="67DE5875"/>
    <w:rsid w:val="67E55852"/>
    <w:rsid w:val="67EB1AB4"/>
    <w:rsid w:val="67FA1285"/>
    <w:rsid w:val="683C5CF5"/>
    <w:rsid w:val="68551F4F"/>
    <w:rsid w:val="685847A6"/>
    <w:rsid w:val="68724E19"/>
    <w:rsid w:val="687C10C9"/>
    <w:rsid w:val="68840C16"/>
    <w:rsid w:val="68876EFB"/>
    <w:rsid w:val="68884654"/>
    <w:rsid w:val="6888718C"/>
    <w:rsid w:val="689D149E"/>
    <w:rsid w:val="689F444F"/>
    <w:rsid w:val="68B96DBB"/>
    <w:rsid w:val="68BB37A7"/>
    <w:rsid w:val="68CA2805"/>
    <w:rsid w:val="68E937A3"/>
    <w:rsid w:val="68F2242F"/>
    <w:rsid w:val="69196B57"/>
    <w:rsid w:val="691C4BA2"/>
    <w:rsid w:val="693E15D3"/>
    <w:rsid w:val="694E7060"/>
    <w:rsid w:val="695B03FD"/>
    <w:rsid w:val="69627681"/>
    <w:rsid w:val="69701FBE"/>
    <w:rsid w:val="6977531D"/>
    <w:rsid w:val="697B1F3A"/>
    <w:rsid w:val="698431D7"/>
    <w:rsid w:val="69A53598"/>
    <w:rsid w:val="69A556AB"/>
    <w:rsid w:val="69C85FF1"/>
    <w:rsid w:val="69CC2BFF"/>
    <w:rsid w:val="69F745C9"/>
    <w:rsid w:val="69FD55B8"/>
    <w:rsid w:val="6A072428"/>
    <w:rsid w:val="6A0B1C62"/>
    <w:rsid w:val="6A2406C8"/>
    <w:rsid w:val="6A2C3AC3"/>
    <w:rsid w:val="6A4B7311"/>
    <w:rsid w:val="6A787D0E"/>
    <w:rsid w:val="6A834F5B"/>
    <w:rsid w:val="6A8453C5"/>
    <w:rsid w:val="6A9A6657"/>
    <w:rsid w:val="6ADE0BD1"/>
    <w:rsid w:val="6AE96859"/>
    <w:rsid w:val="6B147746"/>
    <w:rsid w:val="6B24787C"/>
    <w:rsid w:val="6B26761E"/>
    <w:rsid w:val="6B380B3D"/>
    <w:rsid w:val="6B426AD4"/>
    <w:rsid w:val="6B573233"/>
    <w:rsid w:val="6B5B6274"/>
    <w:rsid w:val="6B935D53"/>
    <w:rsid w:val="6B95468B"/>
    <w:rsid w:val="6B9D1285"/>
    <w:rsid w:val="6BDA1BDD"/>
    <w:rsid w:val="6BDC30C6"/>
    <w:rsid w:val="6BEA5003"/>
    <w:rsid w:val="6BF341E6"/>
    <w:rsid w:val="6C133194"/>
    <w:rsid w:val="6C196F71"/>
    <w:rsid w:val="6C1A6BD0"/>
    <w:rsid w:val="6C216DAB"/>
    <w:rsid w:val="6C226FCB"/>
    <w:rsid w:val="6C31226F"/>
    <w:rsid w:val="6C514E57"/>
    <w:rsid w:val="6C552F0B"/>
    <w:rsid w:val="6C8C67B7"/>
    <w:rsid w:val="6C9D744C"/>
    <w:rsid w:val="6CC55D31"/>
    <w:rsid w:val="6CE04EAE"/>
    <w:rsid w:val="6D0C6748"/>
    <w:rsid w:val="6D167928"/>
    <w:rsid w:val="6D26299B"/>
    <w:rsid w:val="6D4772EC"/>
    <w:rsid w:val="6D9078AF"/>
    <w:rsid w:val="6DAA1953"/>
    <w:rsid w:val="6DAA3FEF"/>
    <w:rsid w:val="6DBF2DB2"/>
    <w:rsid w:val="6DC0172B"/>
    <w:rsid w:val="6DCB690C"/>
    <w:rsid w:val="6DD41A5B"/>
    <w:rsid w:val="6DF43C2E"/>
    <w:rsid w:val="6DF51CA3"/>
    <w:rsid w:val="6E0863D3"/>
    <w:rsid w:val="6E7E64B7"/>
    <w:rsid w:val="6E8335BD"/>
    <w:rsid w:val="6E8E12EF"/>
    <w:rsid w:val="6E9662E6"/>
    <w:rsid w:val="6E972936"/>
    <w:rsid w:val="6EBF1DC3"/>
    <w:rsid w:val="6ED446C5"/>
    <w:rsid w:val="6EE12839"/>
    <w:rsid w:val="6F2A7D94"/>
    <w:rsid w:val="6F730377"/>
    <w:rsid w:val="6F8331F1"/>
    <w:rsid w:val="6F8A0F8C"/>
    <w:rsid w:val="6FAE1A09"/>
    <w:rsid w:val="6FD44A65"/>
    <w:rsid w:val="6FD75BF8"/>
    <w:rsid w:val="70206492"/>
    <w:rsid w:val="704E4817"/>
    <w:rsid w:val="707723D0"/>
    <w:rsid w:val="70BF3010"/>
    <w:rsid w:val="70E5507E"/>
    <w:rsid w:val="70F5661B"/>
    <w:rsid w:val="71084023"/>
    <w:rsid w:val="710E183A"/>
    <w:rsid w:val="711B4915"/>
    <w:rsid w:val="71360107"/>
    <w:rsid w:val="713B688E"/>
    <w:rsid w:val="7151750C"/>
    <w:rsid w:val="71A265F4"/>
    <w:rsid w:val="71D25EF0"/>
    <w:rsid w:val="71D43752"/>
    <w:rsid w:val="71D74F57"/>
    <w:rsid w:val="71E03B95"/>
    <w:rsid w:val="71F1796A"/>
    <w:rsid w:val="72035AD5"/>
    <w:rsid w:val="72093BA6"/>
    <w:rsid w:val="720C45CB"/>
    <w:rsid w:val="72132D4D"/>
    <w:rsid w:val="72154626"/>
    <w:rsid w:val="72262B5D"/>
    <w:rsid w:val="72283FF7"/>
    <w:rsid w:val="722E7212"/>
    <w:rsid w:val="723A0474"/>
    <w:rsid w:val="724F4877"/>
    <w:rsid w:val="725923E4"/>
    <w:rsid w:val="727163BD"/>
    <w:rsid w:val="72777EDD"/>
    <w:rsid w:val="72864BF7"/>
    <w:rsid w:val="729023FC"/>
    <w:rsid w:val="72B62B48"/>
    <w:rsid w:val="72CE1FD6"/>
    <w:rsid w:val="7328339C"/>
    <w:rsid w:val="73286404"/>
    <w:rsid w:val="73460898"/>
    <w:rsid w:val="736F67EC"/>
    <w:rsid w:val="73793866"/>
    <w:rsid w:val="73B95C72"/>
    <w:rsid w:val="73C0646E"/>
    <w:rsid w:val="73C6500C"/>
    <w:rsid w:val="73D239B1"/>
    <w:rsid w:val="73D96AEE"/>
    <w:rsid w:val="73E6120B"/>
    <w:rsid w:val="742222F5"/>
    <w:rsid w:val="74476126"/>
    <w:rsid w:val="7463243A"/>
    <w:rsid w:val="74681C20"/>
    <w:rsid w:val="74706664"/>
    <w:rsid w:val="747F3682"/>
    <w:rsid w:val="748E79EE"/>
    <w:rsid w:val="749C4185"/>
    <w:rsid w:val="74BC6A08"/>
    <w:rsid w:val="74E17820"/>
    <w:rsid w:val="75067759"/>
    <w:rsid w:val="75223BAA"/>
    <w:rsid w:val="752E6DCD"/>
    <w:rsid w:val="754405BD"/>
    <w:rsid w:val="754F2B6C"/>
    <w:rsid w:val="7551380D"/>
    <w:rsid w:val="75600BE5"/>
    <w:rsid w:val="7564475C"/>
    <w:rsid w:val="7583797F"/>
    <w:rsid w:val="75D20F1D"/>
    <w:rsid w:val="75DA2C18"/>
    <w:rsid w:val="75F54412"/>
    <w:rsid w:val="761C1A7F"/>
    <w:rsid w:val="761D08E0"/>
    <w:rsid w:val="763A5CD8"/>
    <w:rsid w:val="765D347C"/>
    <w:rsid w:val="766B05BB"/>
    <w:rsid w:val="76826699"/>
    <w:rsid w:val="76A34634"/>
    <w:rsid w:val="76B800A3"/>
    <w:rsid w:val="76C87133"/>
    <w:rsid w:val="76CD08D5"/>
    <w:rsid w:val="76DB4B92"/>
    <w:rsid w:val="76F51E90"/>
    <w:rsid w:val="77052AA4"/>
    <w:rsid w:val="770F479C"/>
    <w:rsid w:val="77136511"/>
    <w:rsid w:val="77315B09"/>
    <w:rsid w:val="77340A39"/>
    <w:rsid w:val="77351FD0"/>
    <w:rsid w:val="77472422"/>
    <w:rsid w:val="777F31F2"/>
    <w:rsid w:val="779C6247"/>
    <w:rsid w:val="77D1700D"/>
    <w:rsid w:val="77DF044B"/>
    <w:rsid w:val="77E0504E"/>
    <w:rsid w:val="77E12CB2"/>
    <w:rsid w:val="77EC04CC"/>
    <w:rsid w:val="77ED2B68"/>
    <w:rsid w:val="77FB7178"/>
    <w:rsid w:val="77FDDB5F"/>
    <w:rsid w:val="78063EE4"/>
    <w:rsid w:val="781A0520"/>
    <w:rsid w:val="78602ACB"/>
    <w:rsid w:val="78664675"/>
    <w:rsid w:val="78775729"/>
    <w:rsid w:val="789324D6"/>
    <w:rsid w:val="78A42DB0"/>
    <w:rsid w:val="78A656AB"/>
    <w:rsid w:val="78B2245C"/>
    <w:rsid w:val="78CC2A74"/>
    <w:rsid w:val="78DF1AD6"/>
    <w:rsid w:val="78E172CC"/>
    <w:rsid w:val="78E201F2"/>
    <w:rsid w:val="78EA1D1F"/>
    <w:rsid w:val="7904172F"/>
    <w:rsid w:val="790F7E27"/>
    <w:rsid w:val="7916119D"/>
    <w:rsid w:val="792A231A"/>
    <w:rsid w:val="79316829"/>
    <w:rsid w:val="79475498"/>
    <w:rsid w:val="796368C7"/>
    <w:rsid w:val="797E66A9"/>
    <w:rsid w:val="79A97383"/>
    <w:rsid w:val="79B7342D"/>
    <w:rsid w:val="79D35D8D"/>
    <w:rsid w:val="79E27E8B"/>
    <w:rsid w:val="79F850CE"/>
    <w:rsid w:val="79FD443C"/>
    <w:rsid w:val="7A1D1975"/>
    <w:rsid w:val="7A307068"/>
    <w:rsid w:val="7A3B356F"/>
    <w:rsid w:val="7A3E5150"/>
    <w:rsid w:val="7A4670D6"/>
    <w:rsid w:val="7A534B63"/>
    <w:rsid w:val="7A615382"/>
    <w:rsid w:val="7A67303B"/>
    <w:rsid w:val="7A916F8C"/>
    <w:rsid w:val="7AAB1D04"/>
    <w:rsid w:val="7ABA4368"/>
    <w:rsid w:val="7ACD1C1E"/>
    <w:rsid w:val="7AD05746"/>
    <w:rsid w:val="7B1D7C08"/>
    <w:rsid w:val="7B2173E8"/>
    <w:rsid w:val="7B257FFD"/>
    <w:rsid w:val="7B343476"/>
    <w:rsid w:val="7B5A2978"/>
    <w:rsid w:val="7B5A7E4C"/>
    <w:rsid w:val="7B667AF9"/>
    <w:rsid w:val="7B6B7668"/>
    <w:rsid w:val="7B7468F8"/>
    <w:rsid w:val="7B7C1ABA"/>
    <w:rsid w:val="7BC30888"/>
    <w:rsid w:val="7BEE0103"/>
    <w:rsid w:val="7BF56183"/>
    <w:rsid w:val="7C0A0FE4"/>
    <w:rsid w:val="7C1A1F01"/>
    <w:rsid w:val="7C1F52BA"/>
    <w:rsid w:val="7C254906"/>
    <w:rsid w:val="7C30396B"/>
    <w:rsid w:val="7C590818"/>
    <w:rsid w:val="7C6FCA9D"/>
    <w:rsid w:val="7C7C10F6"/>
    <w:rsid w:val="7C8025FB"/>
    <w:rsid w:val="7C853BEA"/>
    <w:rsid w:val="7C881368"/>
    <w:rsid w:val="7CD72403"/>
    <w:rsid w:val="7CE27788"/>
    <w:rsid w:val="7CF14EA8"/>
    <w:rsid w:val="7D0A41BC"/>
    <w:rsid w:val="7D0C32F1"/>
    <w:rsid w:val="7D0F408D"/>
    <w:rsid w:val="7D1E214B"/>
    <w:rsid w:val="7D491C6C"/>
    <w:rsid w:val="7D5429C0"/>
    <w:rsid w:val="7D6E6D43"/>
    <w:rsid w:val="7D7E1AD8"/>
    <w:rsid w:val="7D99747C"/>
    <w:rsid w:val="7DB57A34"/>
    <w:rsid w:val="7DE60973"/>
    <w:rsid w:val="7DEF0916"/>
    <w:rsid w:val="7DF74B1D"/>
    <w:rsid w:val="7E1E5218"/>
    <w:rsid w:val="7E290672"/>
    <w:rsid w:val="7E441043"/>
    <w:rsid w:val="7E8D00FD"/>
    <w:rsid w:val="7E924985"/>
    <w:rsid w:val="7E9A4E1F"/>
    <w:rsid w:val="7EA7723A"/>
    <w:rsid w:val="7EB720E9"/>
    <w:rsid w:val="7ED02A96"/>
    <w:rsid w:val="7EF56FBB"/>
    <w:rsid w:val="7F0768EB"/>
    <w:rsid w:val="7F143BEC"/>
    <w:rsid w:val="7F28097A"/>
    <w:rsid w:val="7F715AF2"/>
    <w:rsid w:val="7F800BF4"/>
    <w:rsid w:val="7F886E69"/>
    <w:rsid w:val="7FFA4FF3"/>
    <w:rsid w:val="BB7FA927"/>
    <w:rsid w:val="DEFFAD92"/>
    <w:rsid w:val="F5FFD31F"/>
    <w:rsid w:val="FA47BF2E"/>
    <w:rsid w:val="FA7DB66F"/>
    <w:rsid w:val="FEEF3596"/>
    <w:rsid w:val="FFF7D9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77"/>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3"/>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9"/>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3"/>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4"/>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36"/>
    <w:qFormat/>
    <w:uiPriority w:val="0"/>
    <w:pPr>
      <w:autoSpaceDE w:val="0"/>
      <w:autoSpaceDN w:val="0"/>
      <w:spacing w:line="360" w:lineRule="auto"/>
    </w:pPr>
    <w:rPr>
      <w:rFonts w:ascii="宋体" w:hAnsi="Arial" w:cs="Arial"/>
      <w:snapToGrid w:val="0"/>
      <w:sz w:val="24"/>
      <w:szCs w:val="21"/>
      <w:lang w:val="zh-CN"/>
    </w:rPr>
  </w:style>
  <w:style w:type="paragraph" w:styleId="3">
    <w:name w:val="Body Text 2"/>
    <w:basedOn w:val="1"/>
    <w:next w:val="1"/>
    <w:link w:val="308"/>
    <w:qFormat/>
    <w:uiPriority w:val="0"/>
    <w:pPr>
      <w:spacing w:after="120" w:line="480" w:lineRule="auto"/>
    </w:p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
    <w:link w:val="198"/>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34"/>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7"/>
    <w:qFormat/>
    <w:uiPriority w:val="0"/>
    <w:pPr>
      <w:shd w:val="clear" w:color="auto" w:fill="000080"/>
    </w:pPr>
  </w:style>
  <w:style w:type="paragraph" w:styleId="21">
    <w:name w:val="annotation text"/>
    <w:basedOn w:val="1"/>
    <w:link w:val="350"/>
    <w:qFormat/>
    <w:uiPriority w:val="99"/>
    <w:pPr>
      <w:jc w:val="left"/>
    </w:pPr>
  </w:style>
  <w:style w:type="paragraph" w:styleId="22">
    <w:name w:val="Salutation"/>
    <w:basedOn w:val="1"/>
    <w:next w:val="1"/>
    <w:link w:val="304"/>
    <w:qFormat/>
    <w:uiPriority w:val="0"/>
    <w:rPr>
      <w:rFonts w:ascii="仿宋_GB2312" w:eastAsia="仿宋_GB2312"/>
      <w:sz w:val="28"/>
      <w:szCs w:val="20"/>
    </w:rPr>
  </w:style>
  <w:style w:type="paragraph" w:styleId="23">
    <w:name w:val="Body Text 3"/>
    <w:basedOn w:val="1"/>
    <w:link w:val="336"/>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26"/>
    <w:link w:val="271"/>
    <w:qFormat/>
    <w:uiPriority w:val="0"/>
    <w:pPr>
      <w:spacing w:line="480" w:lineRule="exact"/>
      <w:ind w:firstLine="480" w:firstLineChars="200"/>
    </w:pPr>
    <w:rPr>
      <w:rFonts w:ascii="宋体" w:hAnsi="宋体"/>
      <w:sz w:val="24"/>
    </w:rPr>
  </w:style>
  <w:style w:type="paragraph" w:styleId="26">
    <w:name w:val="envelope return"/>
    <w:basedOn w:val="1"/>
    <w:qFormat/>
    <w:uiPriority w:val="0"/>
    <w:pPr>
      <w:snapToGrid w:val="0"/>
    </w:pPr>
    <w:rPr>
      <w:rFonts w:ascii="Arial" w:hAnsi="Arial" w:cs="Arial"/>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4"/>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30"/>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6"/>
    <w:qFormat/>
    <w:uiPriority w:val="0"/>
    <w:pPr>
      <w:ind w:left="100" w:leftChars="2500"/>
    </w:pPr>
    <w:rPr>
      <w:rFonts w:ascii="宋体"/>
      <w:sz w:val="24"/>
      <w:szCs w:val="21"/>
      <w:lang w:val="zh-CN"/>
    </w:rPr>
  </w:style>
  <w:style w:type="paragraph" w:styleId="38">
    <w:name w:val="Body Text Indent 2"/>
    <w:basedOn w:val="1"/>
    <w:link w:val="314"/>
    <w:qFormat/>
    <w:uiPriority w:val="0"/>
    <w:pPr>
      <w:spacing w:line="360" w:lineRule="auto"/>
      <w:ind w:firstLine="601"/>
      <w:textAlignment w:val="baseline"/>
    </w:pPr>
    <w:rPr>
      <w:rFonts w:ascii="宋体"/>
      <w:kern w:val="0"/>
      <w:sz w:val="28"/>
      <w:szCs w:val="20"/>
    </w:rPr>
  </w:style>
  <w:style w:type="paragraph" w:styleId="39">
    <w:name w:val="endnote text"/>
    <w:basedOn w:val="1"/>
    <w:link w:val="935"/>
    <w:qFormat/>
    <w:uiPriority w:val="0"/>
    <w:rPr>
      <w:lang w:val="zh-CN"/>
    </w:rPr>
  </w:style>
  <w:style w:type="paragraph" w:styleId="40">
    <w:name w:val="Balloon Text"/>
    <w:basedOn w:val="1"/>
    <w:link w:val="193"/>
    <w:qFormat/>
    <w:uiPriority w:val="0"/>
    <w:rPr>
      <w:sz w:val="18"/>
      <w:szCs w:val="18"/>
    </w:rPr>
  </w:style>
  <w:style w:type="paragraph" w:styleId="41">
    <w:name w:val="footer"/>
    <w:basedOn w:val="1"/>
    <w:link w:val="389"/>
    <w:qFormat/>
    <w:uiPriority w:val="99"/>
    <w:pPr>
      <w:tabs>
        <w:tab w:val="center" w:pos="4153"/>
        <w:tab w:val="right" w:pos="8306"/>
      </w:tabs>
      <w:snapToGrid w:val="0"/>
      <w:jc w:val="left"/>
    </w:pPr>
    <w:rPr>
      <w:sz w:val="18"/>
      <w:szCs w:val="18"/>
    </w:rPr>
  </w:style>
  <w:style w:type="paragraph" w:styleId="42">
    <w:name w:val="header"/>
    <w:basedOn w:val="1"/>
    <w:link w:val="398"/>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51"/>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
    <w:link w:val="316"/>
    <w:qFormat/>
    <w:uiPriority w:val="0"/>
    <w:pPr>
      <w:adjustRightInd/>
      <w:spacing w:before="60" w:after="60" w:line="300" w:lineRule="exact"/>
    </w:pPr>
    <w:rPr>
      <w:rFonts w:ascii="Calibri"/>
      <w:color w:val="0000FF"/>
      <w:kern w:val="0"/>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81"/>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HTML Preformatted"/>
    <w:basedOn w:val="1"/>
    <w:link w:val="30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292"/>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101"/>
    <w:qFormat/>
    <w:uiPriority w:val="0"/>
    <w:rPr>
      <w:b/>
      <w:bCs/>
    </w:rPr>
  </w:style>
  <w:style w:type="paragraph" w:styleId="61">
    <w:name w:val="Body Text First Indent"/>
    <w:basedOn w:val="2"/>
    <w:next w:val="52"/>
    <w:link w:val="327"/>
    <w:qFormat/>
    <w:uiPriority w:val="0"/>
    <w:pPr>
      <w:ind w:firstLine="420"/>
    </w:pPr>
    <w:rPr>
      <w:rFonts w:hAnsi="Calibri" w:cs="Times New Roman"/>
      <w:snapToGrid/>
      <w:szCs w:val="20"/>
    </w:rPr>
  </w:style>
  <w:style w:type="paragraph" w:styleId="62">
    <w:name w:val="Body Text First Indent 2"/>
    <w:basedOn w:val="25"/>
    <w:link w:val="126"/>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basedOn w:val="70"/>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basedOn w:val="70"/>
    <w:link w:val="1"/>
    <w:qFormat/>
    <w:uiPriority w:val="99"/>
    <w:rPr>
      <w:rFonts w:ascii="Times New Roman" w:hAnsi="Times New Roman" w:eastAsia="宋体" w:cs="Times New Roman"/>
      <w:kern w:val="2"/>
      <w:sz w:val="21"/>
      <w:szCs w:val="24"/>
      <w:lang w:val="en-US" w:eastAsia="zh-CN" w:bidi="ar-SA"/>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81">
    <w:name w:val="TOC 91"/>
    <w:next w:val="1"/>
    <w:qFormat/>
    <w:uiPriority w:val="0"/>
    <w:pPr>
      <w:wordWrap w:val="0"/>
      <w:ind w:left="3400"/>
      <w:jc w:val="both"/>
    </w:pPr>
    <w:rPr>
      <w:rFonts w:ascii="宋体" w:hAnsi="宋体" w:cs="Times New Roman" w:eastAsiaTheme="minorEastAsia"/>
      <w:sz w:val="21"/>
      <w:lang w:val="en-US" w:eastAsia="zh-CN" w:bidi="ar-SA"/>
    </w:rPr>
  </w:style>
  <w:style w:type="paragraph" w:customStyle="1" w:styleId="8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83">
    <w:name w:val="正文1"/>
    <w:basedOn w:val="33"/>
    <w:next w:val="1"/>
    <w:qFormat/>
    <w:uiPriority w:val="0"/>
    <w:pPr>
      <w:ind w:left="0" w:leftChars="0" w:firstLine="480" w:firstLineChars="200"/>
    </w:pPr>
    <w:rPr>
      <w:rFonts w:ascii="仿宋_GB2312" w:hAnsi="Courier New" w:eastAsia="仿宋_GB2312"/>
      <w:kern w:val="28"/>
      <w:sz w:val="24"/>
    </w:rPr>
  </w:style>
  <w:style w:type="paragraph" w:customStyle="1" w:styleId="84">
    <w:name w:val="文章正文"/>
    <w:basedOn w:val="1"/>
    <w:qFormat/>
    <w:uiPriority w:val="0"/>
    <w:pPr>
      <w:spacing w:line="360" w:lineRule="auto"/>
      <w:ind w:firstLine="200" w:firstLineChars="200"/>
    </w:pPr>
    <w:rPr>
      <w:rFonts w:ascii="Calibri" w:hAnsi="Calibri"/>
      <w:sz w:val="24"/>
    </w:rPr>
  </w:style>
  <w:style w:type="paragraph" w:customStyle="1" w:styleId="85">
    <w:name w:val="_Style 2"/>
    <w:basedOn w:val="1"/>
    <w:qFormat/>
    <w:uiPriority w:val="0"/>
    <w:pPr>
      <w:ind w:firstLine="200" w:firstLineChars="200"/>
    </w:pPr>
    <w:rPr>
      <w:rFonts w:ascii="Calibri" w:hAnsi="Calibri"/>
      <w:sz w:val="28"/>
    </w:rPr>
  </w:style>
  <w:style w:type="paragraph" w:customStyle="1" w:styleId="86">
    <w:name w:val="标准正文"/>
    <w:basedOn w:val="1"/>
    <w:qFormat/>
    <w:uiPriority w:val="0"/>
    <w:pPr>
      <w:tabs>
        <w:tab w:val="left" w:pos="780"/>
      </w:tabs>
      <w:adjustRightInd/>
      <w:spacing w:line="360" w:lineRule="auto"/>
      <w:ind w:left="200" w:leftChars="200" w:firstLine="200" w:firstLineChars="200"/>
    </w:pPr>
    <w:rPr>
      <w:sz w:val="24"/>
    </w:rPr>
  </w:style>
  <w:style w:type="character" w:customStyle="1" w:styleId="87">
    <w:name w:val="表格非标题文字 Char"/>
    <w:link w:val="88"/>
    <w:qFormat/>
    <w:uiPriority w:val="0"/>
    <w:rPr>
      <w:rFonts w:ascii="Futura Bk" w:hAnsi="Futura Bk"/>
      <w:kern w:val="2"/>
      <w:sz w:val="18"/>
      <w:szCs w:val="21"/>
      <w:lang w:val="en-US" w:eastAsia="zh-CN" w:bidi="ar-SA"/>
    </w:rPr>
  </w:style>
  <w:style w:type="paragraph" w:customStyle="1" w:styleId="88">
    <w:name w:val="表格非标题文字"/>
    <w:link w:val="87"/>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9">
    <w:name w:val="*正文 Char"/>
    <w:link w:val="90"/>
    <w:qFormat/>
    <w:locked/>
    <w:uiPriority w:val="0"/>
    <w:rPr>
      <w:rFonts w:ascii="宋体" w:hAnsi="宋体"/>
      <w:sz w:val="24"/>
    </w:rPr>
  </w:style>
  <w:style w:type="paragraph" w:customStyle="1" w:styleId="90">
    <w:name w:val="*正文"/>
    <w:basedOn w:val="1"/>
    <w:link w:val="89"/>
    <w:qFormat/>
    <w:uiPriority w:val="0"/>
    <w:pPr>
      <w:snapToGrid w:val="0"/>
      <w:spacing w:line="360" w:lineRule="auto"/>
      <w:ind w:firstLine="482"/>
      <w:jc w:val="left"/>
    </w:pPr>
    <w:rPr>
      <w:rFonts w:ascii="宋体" w:hAnsi="宋体"/>
      <w:kern w:val="0"/>
      <w:sz w:val="24"/>
      <w:szCs w:val="20"/>
    </w:rPr>
  </w:style>
  <w:style w:type="character" w:customStyle="1" w:styleId="91">
    <w:name w:val="Char Char71"/>
    <w:semiHidden/>
    <w:qFormat/>
    <w:uiPriority w:val="0"/>
    <w:rPr>
      <w:rFonts w:eastAsia="宋体"/>
      <w:kern w:val="2"/>
      <w:sz w:val="21"/>
      <w:szCs w:val="24"/>
      <w:lang w:val="en-US" w:eastAsia="zh-CN" w:bidi="ar-SA"/>
    </w:rPr>
  </w:style>
  <w:style w:type="character" w:customStyle="1" w:styleId="92">
    <w:name w:val="Char Char6"/>
    <w:qFormat/>
    <w:uiPriority w:val="0"/>
    <w:rPr>
      <w:rFonts w:eastAsia="宋体"/>
      <w:kern w:val="2"/>
      <w:sz w:val="21"/>
      <w:szCs w:val="24"/>
      <w:lang w:val="en-US" w:eastAsia="zh-CN" w:bidi="ar-SA"/>
    </w:rPr>
  </w:style>
  <w:style w:type="character" w:customStyle="1" w:styleId="93">
    <w:name w:val="正文缩进 Char"/>
    <w:qFormat/>
    <w:uiPriority w:val="0"/>
    <w:rPr>
      <w:rFonts w:eastAsia="宋体"/>
      <w:kern w:val="2"/>
      <w:sz w:val="21"/>
      <w:lang w:val="en-US" w:eastAsia="zh-CN"/>
    </w:rPr>
  </w:style>
  <w:style w:type="character" w:customStyle="1" w:styleId="94">
    <w:name w:val="正文首行缩进 Char1"/>
    <w:qFormat/>
    <w:uiPriority w:val="0"/>
    <w:rPr>
      <w:rFonts w:ascii="宋体" w:hAnsi="Times New Roman" w:eastAsia="宋体" w:cs="Times New Roman"/>
      <w:snapToGrid w:val="0"/>
      <w:kern w:val="2"/>
      <w:sz w:val="24"/>
      <w:szCs w:val="21"/>
      <w:lang w:val="zh-CN"/>
    </w:rPr>
  </w:style>
  <w:style w:type="character" w:customStyle="1" w:styleId="95">
    <w:name w:val="Char Char28"/>
    <w:qFormat/>
    <w:uiPriority w:val="6"/>
    <w:rPr>
      <w:rFonts w:ascii="仿宋_GB2312" w:hAnsi="仿宋_GB2312" w:eastAsia="仿宋_GB2312"/>
      <w:kern w:val="1"/>
      <w:sz w:val="28"/>
    </w:rPr>
  </w:style>
  <w:style w:type="character" w:customStyle="1" w:styleId="9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7">
    <w:name w:val="Heading 1 Char"/>
    <w:qFormat/>
    <w:uiPriority w:val="6"/>
    <w:rPr>
      <w:rFonts w:ascii="Times New Roman" w:hAnsi="Times New Roman" w:eastAsia="黑体" w:cs="Times New Roman"/>
      <w:b/>
      <w:kern w:val="0"/>
      <w:sz w:val="24"/>
      <w:szCs w:val="24"/>
    </w:rPr>
  </w:style>
  <w:style w:type="character" w:customStyle="1" w:styleId="98">
    <w:name w:val="U_正文 Char"/>
    <w:link w:val="99"/>
    <w:qFormat/>
    <w:uiPriority w:val="0"/>
    <w:rPr>
      <w:sz w:val="24"/>
      <w:szCs w:val="24"/>
    </w:rPr>
  </w:style>
  <w:style w:type="paragraph" w:customStyle="1" w:styleId="99">
    <w:name w:val="U_正文"/>
    <w:basedOn w:val="1"/>
    <w:link w:val="98"/>
    <w:qFormat/>
    <w:uiPriority w:val="0"/>
    <w:pPr>
      <w:adjustRightInd/>
      <w:spacing w:beforeLines="20" w:afterLines="20" w:line="300" w:lineRule="auto"/>
      <w:ind w:firstLine="200" w:firstLineChars="200"/>
    </w:pPr>
    <w:rPr>
      <w:kern w:val="0"/>
      <w:sz w:val="24"/>
    </w:rPr>
  </w:style>
  <w:style w:type="character" w:customStyle="1" w:styleId="100">
    <w:name w:val="HTML 地址 Char1"/>
    <w:qFormat/>
    <w:uiPriority w:val="0"/>
    <w:rPr>
      <w:rFonts w:ascii="Times New Roman" w:hAnsi="Times New Roman" w:eastAsia="宋体" w:cs="Times New Roman"/>
      <w:i/>
      <w:iCs/>
      <w:szCs w:val="24"/>
    </w:rPr>
  </w:style>
  <w:style w:type="character" w:customStyle="1" w:styleId="101">
    <w:name w:val="批注主题 字符"/>
    <w:link w:val="60"/>
    <w:qFormat/>
    <w:uiPriority w:val="0"/>
    <w:rPr>
      <w:b/>
      <w:bCs/>
      <w:kern w:val="2"/>
      <w:sz w:val="21"/>
      <w:szCs w:val="24"/>
    </w:rPr>
  </w:style>
  <w:style w:type="character" w:customStyle="1" w:styleId="102">
    <w:name w:val="Char Char51"/>
    <w:qFormat/>
    <w:uiPriority w:val="0"/>
    <w:rPr>
      <w:rFonts w:ascii="宋体" w:hAnsi="Courier New" w:eastAsia="宋体"/>
      <w:kern w:val="2"/>
      <w:sz w:val="21"/>
      <w:lang w:val="en-US" w:eastAsia="zh-CN"/>
    </w:rPr>
  </w:style>
  <w:style w:type="character" w:customStyle="1" w:styleId="103">
    <w:name w:val="表正文 Char"/>
    <w:qFormat/>
    <w:uiPriority w:val="0"/>
    <w:rPr>
      <w:rFonts w:ascii="宋体" w:eastAsia="宋体"/>
      <w:snapToGrid w:val="0"/>
      <w:color w:val="000000"/>
      <w:kern w:val="28"/>
      <w:sz w:val="28"/>
      <w:lang w:val="en-US" w:eastAsia="zh-CN" w:bidi="ar-SA"/>
    </w:rPr>
  </w:style>
  <w:style w:type="character" w:customStyle="1" w:styleId="104">
    <w:name w:val="Char Char34"/>
    <w:qFormat/>
    <w:uiPriority w:val="6"/>
    <w:rPr>
      <w:b/>
      <w:kern w:val="1"/>
      <w:sz w:val="28"/>
      <w:szCs w:val="28"/>
    </w:rPr>
  </w:style>
  <w:style w:type="character" w:customStyle="1" w:styleId="105">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6">
    <w:name w:val="哈哈正文 Char"/>
    <w:link w:val="107"/>
    <w:qFormat/>
    <w:uiPriority w:val="0"/>
    <w:rPr>
      <w:rFonts w:ascii="宋体" w:hAnsi="宋体" w:eastAsia="宋体"/>
      <w:kern w:val="2"/>
      <w:sz w:val="24"/>
      <w:lang w:bidi="ar-SA"/>
    </w:rPr>
  </w:style>
  <w:style w:type="paragraph" w:customStyle="1" w:styleId="107">
    <w:name w:val="哈哈正文"/>
    <w:basedOn w:val="1"/>
    <w:link w:val="106"/>
    <w:qFormat/>
    <w:uiPriority w:val="0"/>
    <w:pPr>
      <w:adjustRightInd/>
      <w:spacing w:line="360" w:lineRule="auto"/>
      <w:ind w:firstLine="200" w:firstLineChars="200"/>
    </w:pPr>
    <w:rPr>
      <w:rFonts w:ascii="宋体" w:hAnsi="宋体"/>
      <w:sz w:val="24"/>
      <w:szCs w:val="20"/>
    </w:rPr>
  </w:style>
  <w:style w:type="character" w:customStyle="1" w:styleId="108">
    <w:name w:val="未处理的提及1"/>
    <w:qFormat/>
    <w:uiPriority w:val="0"/>
    <w:rPr>
      <w:color w:val="808080"/>
      <w:shd w:val="clear" w:color="auto" w:fill="E6E6E6"/>
    </w:rPr>
  </w:style>
  <w:style w:type="character" w:customStyle="1" w:styleId="109">
    <w:name w:val="txt"/>
    <w:qFormat/>
    <w:uiPriority w:val="0"/>
    <w:rPr>
      <w:rFonts w:ascii="仿宋_GB2312" w:eastAsia="微软雅黑"/>
      <w:b/>
      <w:kern w:val="2"/>
      <w:sz w:val="32"/>
      <w:szCs w:val="32"/>
      <w:lang w:val="en-US" w:eastAsia="zh-CN" w:bidi="ar-SA"/>
    </w:rPr>
  </w:style>
  <w:style w:type="character" w:customStyle="1" w:styleId="110">
    <w:name w:val="二级标题 Char Char"/>
    <w:qFormat/>
    <w:uiPriority w:val="0"/>
    <w:rPr>
      <w:rFonts w:ascii="宋体" w:hAnsi="宋体" w:eastAsia="宋体"/>
      <w:b/>
      <w:snapToGrid w:val="0"/>
      <w:kern w:val="2"/>
      <w:sz w:val="24"/>
      <w:szCs w:val="24"/>
      <w:lang w:val="en-US" w:eastAsia="zh-CN" w:bidi="ar-SA"/>
    </w:rPr>
  </w:style>
  <w:style w:type="character" w:customStyle="1" w:styleId="111">
    <w:name w:val="Char Char32"/>
    <w:qFormat/>
    <w:uiPriority w:val="6"/>
    <w:rPr>
      <w:b/>
      <w:kern w:val="1"/>
      <w:sz w:val="24"/>
      <w:szCs w:val="24"/>
    </w:rPr>
  </w:style>
  <w:style w:type="character" w:customStyle="1" w:styleId="112">
    <w:name w:val="PI Char1"/>
    <w:qFormat/>
    <w:uiPriority w:val="0"/>
    <w:rPr>
      <w:rFonts w:ascii="宋体" w:hAnsi="宋体"/>
      <w:kern w:val="2"/>
      <w:sz w:val="24"/>
      <w:szCs w:val="24"/>
    </w:rPr>
  </w:style>
  <w:style w:type="character" w:customStyle="1" w:styleId="113">
    <w:name w:val="tw4winTerm"/>
    <w:qFormat/>
    <w:uiPriority w:val="0"/>
    <w:rPr>
      <w:color w:val="0000FF"/>
    </w:rPr>
  </w:style>
  <w:style w:type="character" w:customStyle="1" w:styleId="114">
    <w:name w:val="Footer Char"/>
    <w:qFormat/>
    <w:locked/>
    <w:uiPriority w:val="0"/>
    <w:rPr>
      <w:rFonts w:eastAsia="宋体"/>
      <w:kern w:val="2"/>
      <w:sz w:val="18"/>
      <w:lang w:val="en-US" w:eastAsia="zh-CN" w:bidi="ar-SA"/>
    </w:rPr>
  </w:style>
  <w:style w:type="character" w:customStyle="1" w:styleId="115">
    <w:name w:val="普通文字 Char Char1"/>
    <w:qFormat/>
    <w:uiPriority w:val="0"/>
    <w:rPr>
      <w:rFonts w:ascii="宋体" w:hAnsi="Courier New"/>
      <w:kern w:val="2"/>
      <w:sz w:val="21"/>
    </w:rPr>
  </w:style>
  <w:style w:type="character" w:customStyle="1" w:styleId="116">
    <w:name w:val="Char Char101"/>
    <w:qFormat/>
    <w:uiPriority w:val="6"/>
    <w:rPr>
      <w:rFonts w:ascii="宋体" w:hAnsi="宋体"/>
      <w:kern w:val="2"/>
      <w:sz w:val="21"/>
      <w:szCs w:val="24"/>
      <w:lang w:val="en-US" w:eastAsia="zh-CN"/>
    </w:rPr>
  </w:style>
  <w:style w:type="character" w:customStyle="1" w:styleId="117">
    <w:name w:val="标题 4 Char"/>
    <w:qFormat/>
    <w:uiPriority w:val="0"/>
    <w:rPr>
      <w:rFonts w:ascii="Arial" w:hAnsi="Arial" w:eastAsia="黑体"/>
      <w:b/>
      <w:kern w:val="2"/>
      <w:sz w:val="28"/>
    </w:rPr>
  </w:style>
  <w:style w:type="character" w:customStyle="1" w:styleId="118">
    <w:name w:val="链接"/>
    <w:qFormat/>
    <w:uiPriority w:val="0"/>
    <w:rPr>
      <w:color w:val="0000FF"/>
      <w:sz w:val="21"/>
      <w:szCs w:val="21"/>
      <w:u w:val="single"/>
    </w:rPr>
  </w:style>
  <w:style w:type="character" w:customStyle="1" w:styleId="119">
    <w:name w:val="h4 Char"/>
    <w:qFormat/>
    <w:uiPriority w:val="0"/>
    <w:rPr>
      <w:rFonts w:ascii="Arial" w:hAnsi="Arial" w:eastAsia="黑体"/>
      <w:b/>
      <w:bCs/>
      <w:kern w:val="2"/>
      <w:sz w:val="28"/>
      <w:szCs w:val="28"/>
      <w:lang w:val="zh-CN" w:eastAsia="zh-CN" w:bidi="ar-SA"/>
    </w:rPr>
  </w:style>
  <w:style w:type="character" w:customStyle="1" w:styleId="120">
    <w:name w:val="5正文 Char"/>
    <w:link w:val="121"/>
    <w:qFormat/>
    <w:uiPriority w:val="0"/>
    <w:rPr>
      <w:rFonts w:ascii="仿宋_GB2312" w:hAnsi="微软雅黑" w:eastAsia="仿宋_GB2312"/>
      <w:sz w:val="28"/>
      <w:szCs w:val="21"/>
    </w:rPr>
  </w:style>
  <w:style w:type="paragraph" w:customStyle="1" w:styleId="121">
    <w:name w:val="5正文"/>
    <w:basedOn w:val="1"/>
    <w:link w:val="120"/>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2">
    <w:name w:val="标题 3 字符"/>
    <w:qFormat/>
    <w:uiPriority w:val="9"/>
    <w:rPr>
      <w:b/>
      <w:bCs/>
      <w:kern w:val="2"/>
      <w:sz w:val="32"/>
      <w:szCs w:val="32"/>
    </w:rPr>
  </w:style>
  <w:style w:type="character" w:customStyle="1" w:styleId="123">
    <w:name w:val="样式6 Char"/>
    <w:qFormat/>
    <w:uiPriority w:val="0"/>
    <w:rPr>
      <w:rFonts w:ascii="仿宋_GB2312" w:hAnsi="宋体" w:eastAsia="仿宋_GB2312"/>
      <w:b/>
      <w:bCs/>
      <w:kern w:val="2"/>
      <w:sz w:val="24"/>
      <w:szCs w:val="24"/>
      <w:lang w:val="en-US" w:eastAsia="zh-CN" w:bidi="ar-SA"/>
    </w:rPr>
  </w:style>
  <w:style w:type="character" w:customStyle="1" w:styleId="124">
    <w:name w:val="Char Char14"/>
    <w:qFormat/>
    <w:uiPriority w:val="6"/>
    <w:rPr>
      <w:rFonts w:ascii="黑体" w:hAnsi="黑体" w:eastAsia="黑体"/>
    </w:rPr>
  </w:style>
  <w:style w:type="character" w:customStyle="1" w:styleId="125">
    <w:name w:val="Heading 2 Hidden Char"/>
    <w:qFormat/>
    <w:uiPriority w:val="0"/>
    <w:rPr>
      <w:rFonts w:ascii="仿宋_GB2312" w:eastAsia="仿宋_GB2312"/>
      <w:b/>
      <w:bCs/>
      <w:kern w:val="2"/>
      <w:sz w:val="24"/>
      <w:szCs w:val="24"/>
      <w:lang w:val="zh-CN" w:eastAsia="zh-CN" w:bidi="ar-SA"/>
    </w:rPr>
  </w:style>
  <w:style w:type="character" w:customStyle="1" w:styleId="126">
    <w:name w:val="正文文本首行缩进 2 字符"/>
    <w:link w:val="62"/>
    <w:qFormat/>
    <w:uiPriority w:val="0"/>
    <w:rPr>
      <w:rFonts w:ascii="宋体" w:hAnsi="宋体"/>
      <w:kern w:val="2"/>
      <w:sz w:val="21"/>
      <w:szCs w:val="24"/>
    </w:rPr>
  </w:style>
  <w:style w:type="character" w:customStyle="1" w:styleId="127">
    <w:name w:val="font11"/>
    <w:basedOn w:val="70"/>
    <w:qFormat/>
    <w:uiPriority w:val="0"/>
    <w:rPr>
      <w:rFonts w:hint="default" w:ascii="Times New Roman" w:hAnsi="Times New Roman" w:cs="Times New Roman"/>
      <w:color w:val="000000"/>
      <w:sz w:val="22"/>
      <w:szCs w:val="22"/>
      <w:u w:val="none"/>
    </w:rPr>
  </w:style>
  <w:style w:type="character" w:customStyle="1" w:styleId="128">
    <w:name w:val="表正文 Char1"/>
    <w:qFormat/>
    <w:uiPriority w:val="0"/>
    <w:rPr>
      <w:rFonts w:ascii="宋体" w:eastAsia="宋体"/>
      <w:snapToGrid w:val="0"/>
      <w:color w:val="000000"/>
      <w:kern w:val="28"/>
      <w:sz w:val="28"/>
    </w:rPr>
  </w:style>
  <w:style w:type="character" w:customStyle="1" w:styleId="129">
    <w:name w:val="blue1"/>
    <w:basedOn w:val="70"/>
    <w:qFormat/>
    <w:uiPriority w:val="0"/>
    <w:rPr>
      <w:rFonts w:ascii="Arial" w:hAnsi="Arial" w:eastAsia="黑体" w:cs="Arial"/>
      <w:snapToGrid w:val="0"/>
      <w:kern w:val="0"/>
      <w:szCs w:val="21"/>
    </w:rPr>
  </w:style>
  <w:style w:type="character" w:customStyle="1" w:styleId="130">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31">
    <w:name w:val="标书1 Char"/>
    <w:qFormat/>
    <w:uiPriority w:val="0"/>
    <w:rPr>
      <w:rFonts w:eastAsia="宋体"/>
      <w:b/>
      <w:bCs/>
      <w:kern w:val="44"/>
      <w:sz w:val="44"/>
      <w:szCs w:val="44"/>
      <w:lang w:val="en-US" w:eastAsia="zh-CN" w:bidi="ar-SA"/>
    </w:rPr>
  </w:style>
  <w:style w:type="character" w:customStyle="1" w:styleId="132">
    <w:name w:val="样式5 Char"/>
    <w:qFormat/>
    <w:uiPriority w:val="0"/>
    <w:rPr>
      <w:rFonts w:ascii="仿宋_GB2312" w:hAnsi="仿宋" w:eastAsia="仿宋_GB2312"/>
      <w:kern w:val="2"/>
      <w:sz w:val="24"/>
      <w:szCs w:val="24"/>
    </w:rPr>
  </w:style>
  <w:style w:type="character" w:customStyle="1" w:styleId="133">
    <w:name w:val="样式4 Char"/>
    <w:qFormat/>
    <w:uiPriority w:val="0"/>
    <w:rPr>
      <w:rFonts w:ascii="仿宋_GB2312" w:hAnsi="仿宋" w:eastAsia="仿宋_GB2312"/>
      <w:b/>
      <w:kern w:val="2"/>
      <w:sz w:val="32"/>
      <w:szCs w:val="32"/>
      <w:lang w:bidi="ar-SA"/>
    </w:rPr>
  </w:style>
  <w:style w:type="character" w:customStyle="1" w:styleId="134">
    <w:name w:val="插图说明 Char"/>
    <w:qFormat/>
    <w:uiPriority w:val="0"/>
    <w:rPr>
      <w:rFonts w:eastAsia="黑体"/>
      <w:sz w:val="24"/>
      <w:lang w:val="en-US" w:eastAsia="zh-CN"/>
    </w:rPr>
  </w:style>
  <w:style w:type="character" w:customStyle="1" w:styleId="135">
    <w:name w:val="正文2 Char Char"/>
    <w:link w:val="136"/>
    <w:qFormat/>
    <w:uiPriority w:val="0"/>
    <w:rPr>
      <w:rFonts w:eastAsia="宋体"/>
      <w:kern w:val="2"/>
      <w:sz w:val="24"/>
      <w:lang w:val="en-US" w:eastAsia="zh-CN" w:bidi="ar-SA"/>
    </w:rPr>
  </w:style>
  <w:style w:type="paragraph" w:customStyle="1" w:styleId="136">
    <w:name w:val="正文2"/>
    <w:basedOn w:val="1"/>
    <w:link w:val="135"/>
    <w:qFormat/>
    <w:uiPriority w:val="0"/>
    <w:pPr>
      <w:spacing w:before="156" w:line="360" w:lineRule="auto"/>
      <w:ind w:firstLine="510" w:firstLineChars="200"/>
    </w:pPr>
    <w:rPr>
      <w:sz w:val="24"/>
      <w:szCs w:val="20"/>
    </w:rPr>
  </w:style>
  <w:style w:type="character" w:customStyle="1" w:styleId="137">
    <w:name w:val="Char Char24"/>
    <w:qFormat/>
    <w:uiPriority w:val="6"/>
    <w:rPr>
      <w:kern w:val="1"/>
      <w:sz w:val="21"/>
    </w:rPr>
  </w:style>
  <w:style w:type="character" w:customStyle="1" w:styleId="138">
    <w:name w:val="副标题 字符"/>
    <w:link w:val="48"/>
    <w:qFormat/>
    <w:uiPriority w:val="0"/>
    <w:rPr>
      <w:rFonts w:ascii="Arial" w:hAnsi="Arial" w:eastAsia="隶书"/>
      <w:b/>
      <w:bCs/>
      <w:kern w:val="28"/>
      <w:sz w:val="44"/>
      <w:szCs w:val="32"/>
      <w:lang w:val="en-US" w:eastAsia="zh-CN" w:bidi="ar-SA"/>
    </w:rPr>
  </w:style>
  <w:style w:type="character" w:customStyle="1" w:styleId="139">
    <w:name w:val="普通文字 Char1 Char"/>
    <w:qFormat/>
    <w:uiPriority w:val="0"/>
    <w:rPr>
      <w:rFonts w:ascii="宋体" w:hAnsi="Courier New" w:eastAsia="宋体"/>
      <w:kern w:val="2"/>
      <w:sz w:val="21"/>
      <w:szCs w:val="24"/>
      <w:lang w:val="en-US" w:eastAsia="zh-CN" w:bidi="ar-SA"/>
    </w:rPr>
  </w:style>
  <w:style w:type="character" w:customStyle="1" w:styleId="140">
    <w:name w:val="h3 Char1"/>
    <w:qFormat/>
    <w:uiPriority w:val="0"/>
    <w:rPr>
      <w:rFonts w:eastAsia="宋体"/>
      <w:b/>
      <w:bCs/>
      <w:kern w:val="2"/>
      <w:sz w:val="32"/>
      <w:szCs w:val="32"/>
      <w:lang w:bidi="ar-SA"/>
    </w:rPr>
  </w:style>
  <w:style w:type="character" w:customStyle="1" w:styleId="141">
    <w:name w:val="标题 Char1"/>
    <w:qFormat/>
    <w:uiPriority w:val="0"/>
    <w:rPr>
      <w:rFonts w:ascii="Cambria" w:hAnsi="Cambria" w:eastAsia="宋体" w:cs="Times New Roman"/>
      <w:b/>
      <w:bCs/>
      <w:sz w:val="32"/>
      <w:szCs w:val="32"/>
      <w:lang w:bidi="ar-SA"/>
    </w:rPr>
  </w:style>
  <w:style w:type="character" w:customStyle="1" w:styleId="142">
    <w:name w:val="gf正文1 Char"/>
    <w:qFormat/>
    <w:uiPriority w:val="0"/>
    <w:rPr>
      <w:rFonts w:ascii="宋体" w:hAnsi="宋体" w:eastAsia="宋体" w:cs="宋体"/>
      <w:kern w:val="2"/>
      <w:sz w:val="24"/>
      <w:szCs w:val="24"/>
      <w:lang w:val="en-US" w:eastAsia="zh-CN" w:bidi="ar-SA"/>
    </w:rPr>
  </w:style>
  <w:style w:type="character" w:customStyle="1" w:styleId="143">
    <w:name w:val="正文文本缩进 Char1"/>
    <w:qFormat/>
    <w:uiPriority w:val="0"/>
    <w:rPr>
      <w:rFonts w:ascii="Calibri" w:hAnsi="Calibri"/>
      <w:sz w:val="28"/>
    </w:rPr>
  </w:style>
  <w:style w:type="character" w:customStyle="1" w:styleId="144">
    <w:name w:val="No Spacing Char"/>
    <w:link w:val="145"/>
    <w:qFormat/>
    <w:uiPriority w:val="1"/>
    <w:rPr>
      <w:sz w:val="22"/>
      <w:szCs w:val="22"/>
      <w:lang w:val="en-US" w:eastAsia="zh-CN" w:bidi="ar-SA"/>
    </w:rPr>
  </w:style>
  <w:style w:type="paragraph" w:customStyle="1" w:styleId="145">
    <w:name w:val="无间隔1"/>
    <w:link w:val="144"/>
    <w:qFormat/>
    <w:uiPriority w:val="1"/>
    <w:rPr>
      <w:rFonts w:ascii="Times New Roman" w:hAnsi="Times New Roman" w:eastAsia="宋体" w:cs="Times New Roman"/>
      <w:sz w:val="22"/>
      <w:szCs w:val="22"/>
      <w:lang w:val="en-US" w:eastAsia="zh-CN" w:bidi="ar-SA"/>
    </w:rPr>
  </w:style>
  <w:style w:type="character" w:customStyle="1" w:styleId="146">
    <w:name w:val="样式7 Char"/>
    <w:qFormat/>
    <w:uiPriority w:val="0"/>
    <w:rPr>
      <w:rFonts w:ascii="仿宋_GB2312" w:hAnsi="仿宋" w:eastAsia="仿宋_GB2312"/>
      <w:b/>
      <w:kern w:val="2"/>
      <w:sz w:val="24"/>
      <w:szCs w:val="24"/>
    </w:rPr>
  </w:style>
  <w:style w:type="character" w:customStyle="1" w:styleId="147">
    <w:name w:val="font12gray1"/>
    <w:qFormat/>
    <w:uiPriority w:val="0"/>
    <w:rPr>
      <w:rFonts w:ascii="仿宋_GB2312" w:eastAsia="微软雅黑"/>
      <w:b/>
      <w:spacing w:val="300"/>
      <w:kern w:val="2"/>
      <w:sz w:val="18"/>
      <w:szCs w:val="18"/>
      <w:lang w:val="en-US" w:eastAsia="zh-CN" w:bidi="ar-SA"/>
    </w:rPr>
  </w:style>
  <w:style w:type="character" w:customStyle="1" w:styleId="148">
    <w:name w:val="Char Char7"/>
    <w:semiHidden/>
    <w:qFormat/>
    <w:uiPriority w:val="0"/>
    <w:rPr>
      <w:rFonts w:eastAsia="宋体"/>
      <w:kern w:val="2"/>
      <w:sz w:val="21"/>
      <w:szCs w:val="24"/>
      <w:lang w:val="en-US" w:eastAsia="zh-CN" w:bidi="ar-SA"/>
    </w:rPr>
  </w:style>
  <w:style w:type="character" w:customStyle="1" w:styleId="149">
    <w:name w:val="表名 Char"/>
    <w:qFormat/>
    <w:uiPriority w:val="0"/>
    <w:rPr>
      <w:rFonts w:eastAsia="宋体"/>
      <w:b/>
      <w:bCs/>
      <w:kern w:val="2"/>
      <w:sz w:val="24"/>
      <w:szCs w:val="24"/>
      <w:lang w:val="en-US" w:eastAsia="zh-CN" w:bidi="ar-SA"/>
    </w:rPr>
  </w:style>
  <w:style w:type="character" w:customStyle="1" w:styleId="150">
    <w:name w:val="Document Map Char"/>
    <w:qFormat/>
    <w:locked/>
    <w:uiPriority w:val="0"/>
    <w:rPr>
      <w:rFonts w:eastAsia="宋体"/>
      <w:kern w:val="2"/>
      <w:sz w:val="21"/>
      <w:szCs w:val="24"/>
      <w:lang w:val="en-US" w:eastAsia="zh-CN" w:bidi="ar-SA"/>
    </w:rPr>
  </w:style>
  <w:style w:type="character" w:customStyle="1" w:styleId="151">
    <w:name w:val="font41"/>
    <w:basedOn w:val="70"/>
    <w:qFormat/>
    <w:uiPriority w:val="0"/>
    <w:rPr>
      <w:rFonts w:hint="eastAsia" w:ascii="仿宋_GB2312" w:eastAsia="仿宋_GB2312" w:cs="仿宋_GB2312"/>
      <w:color w:val="000000"/>
      <w:sz w:val="22"/>
      <w:szCs w:val="22"/>
      <w:u w:val="none"/>
    </w:rPr>
  </w:style>
  <w:style w:type="character" w:customStyle="1" w:styleId="152">
    <w:name w:val="标题 6 字符"/>
    <w:link w:val="9"/>
    <w:qFormat/>
    <w:uiPriority w:val="0"/>
    <w:rPr>
      <w:rFonts w:ascii="Arial" w:hAnsi="Arial" w:eastAsia="黑体"/>
      <w:b/>
      <w:bCs/>
      <w:kern w:val="2"/>
      <w:sz w:val="24"/>
      <w:szCs w:val="24"/>
    </w:rPr>
  </w:style>
  <w:style w:type="character" w:customStyle="1" w:styleId="153">
    <w:name w:val="纯文本 Char_0"/>
    <w:link w:val="154"/>
    <w:qFormat/>
    <w:uiPriority w:val="0"/>
    <w:rPr>
      <w:rFonts w:ascii="宋体" w:hAnsi="Courier New"/>
      <w:kern w:val="2"/>
      <w:sz w:val="21"/>
      <w:szCs w:val="21"/>
      <w:lang w:val="en-US" w:eastAsia="zh-CN"/>
    </w:rPr>
  </w:style>
  <w:style w:type="paragraph" w:customStyle="1" w:styleId="154">
    <w:name w:val="纯文本_0_0"/>
    <w:basedOn w:val="155"/>
    <w:link w:val="153"/>
    <w:qFormat/>
    <w:uiPriority w:val="0"/>
    <w:rPr>
      <w:rFonts w:ascii="宋体" w:hAnsi="Courier New"/>
      <w:szCs w:val="21"/>
    </w:rPr>
  </w:style>
  <w:style w:type="paragraph" w:customStyle="1" w:styleId="155">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6">
    <w:name w:val="Balloon Text Char"/>
    <w:qFormat/>
    <w:locked/>
    <w:uiPriority w:val="0"/>
    <w:rPr>
      <w:rFonts w:eastAsia="宋体"/>
      <w:kern w:val="2"/>
      <w:sz w:val="18"/>
      <w:szCs w:val="18"/>
      <w:lang w:val="en-US" w:eastAsia="zh-CN" w:bidi="ar-SA"/>
    </w:rPr>
  </w:style>
  <w:style w:type="character" w:customStyle="1" w:styleId="157">
    <w:name w:val="正文 项目2 Char"/>
    <w:basedOn w:val="158"/>
    <w:qFormat/>
    <w:uiPriority w:val="0"/>
    <w:rPr>
      <w:rFonts w:ascii="仿宋_GB2312" w:hAnsi="仿宋_GB2312" w:eastAsia="仿宋_GB2312"/>
      <w:kern w:val="2"/>
      <w:sz w:val="24"/>
      <w:lang w:bidi="ar-SA"/>
    </w:rPr>
  </w:style>
  <w:style w:type="character" w:customStyle="1" w:styleId="158">
    <w:name w:val="正文 项目 Char"/>
    <w:qFormat/>
    <w:uiPriority w:val="0"/>
    <w:rPr>
      <w:rFonts w:ascii="仿宋_GB2312" w:hAnsi="仿宋_GB2312" w:eastAsia="仿宋_GB2312"/>
      <w:kern w:val="2"/>
      <w:sz w:val="24"/>
      <w:lang w:bidi="ar-SA"/>
    </w:rPr>
  </w:style>
  <w:style w:type="character" w:customStyle="1" w:styleId="159">
    <w:name w:val="h Char Char1"/>
    <w:qFormat/>
    <w:uiPriority w:val="0"/>
    <w:rPr>
      <w:rFonts w:eastAsia="宋体"/>
      <w:kern w:val="2"/>
      <w:sz w:val="18"/>
      <w:szCs w:val="18"/>
      <w:lang w:val="en-US" w:eastAsia="zh-CN" w:bidi="ar-SA"/>
    </w:rPr>
  </w:style>
  <w:style w:type="character" w:customStyle="1" w:styleId="160">
    <w:name w:val="Char Char27"/>
    <w:qFormat/>
    <w:uiPriority w:val="6"/>
    <w:rPr>
      <w:rFonts w:ascii="宋体" w:hAnsi="宋体" w:eastAsia="宋体"/>
      <w:color w:val="000000"/>
      <w:kern w:val="1"/>
      <w:sz w:val="28"/>
      <w:lang w:val="en-US" w:eastAsia="zh-CN" w:bidi="ar-SA"/>
    </w:rPr>
  </w:style>
  <w:style w:type="character" w:customStyle="1" w:styleId="161">
    <w:name w:val="px14"/>
    <w:qFormat/>
    <w:uiPriority w:val="0"/>
    <w:rPr>
      <w:rFonts w:ascii="仿宋_GB2312" w:eastAsia="微软雅黑" w:cs="Times New Roman"/>
      <w:b/>
      <w:kern w:val="2"/>
      <w:sz w:val="32"/>
      <w:szCs w:val="32"/>
      <w:lang w:val="en-US" w:eastAsia="zh-CN" w:bidi="ar-SA"/>
    </w:rPr>
  </w:style>
  <w:style w:type="character" w:customStyle="1" w:styleId="162">
    <w:name w:val="HTML 预设格式 Char1"/>
    <w:qFormat/>
    <w:uiPriority w:val="0"/>
    <w:rPr>
      <w:rFonts w:ascii="Courier New" w:hAnsi="Courier New" w:eastAsia="宋体" w:cs="Courier New"/>
      <w:sz w:val="20"/>
      <w:szCs w:val="20"/>
    </w:rPr>
  </w:style>
  <w:style w:type="character" w:customStyle="1" w:styleId="163">
    <w:name w:val="普通文字 Char1"/>
    <w:qFormat/>
    <w:uiPriority w:val="0"/>
    <w:rPr>
      <w:rFonts w:ascii="宋体" w:hAnsi="Courier New" w:eastAsia="宋体"/>
      <w:kern w:val="2"/>
      <w:sz w:val="21"/>
      <w:lang w:val="en-US" w:eastAsia="zh-CN"/>
    </w:rPr>
  </w:style>
  <w:style w:type="character" w:customStyle="1" w:styleId="164">
    <w:name w:val="hei16b1"/>
    <w:qFormat/>
    <w:uiPriority w:val="0"/>
    <w:rPr>
      <w:rFonts w:hint="default" w:ascii="Arial" w:hAnsi="Arial" w:cs="Arial"/>
      <w:b/>
      <w:bCs/>
      <w:color w:val="000000"/>
      <w:sz w:val="24"/>
      <w:szCs w:val="24"/>
    </w:rPr>
  </w:style>
  <w:style w:type="character" w:customStyle="1" w:styleId="165">
    <w:name w:val="正文（绿盟科技） Char"/>
    <w:link w:val="166"/>
    <w:qFormat/>
    <w:uiPriority w:val="0"/>
    <w:rPr>
      <w:rFonts w:ascii="Arial" w:hAnsi="Arial"/>
      <w:sz w:val="21"/>
      <w:szCs w:val="21"/>
    </w:rPr>
  </w:style>
  <w:style w:type="paragraph" w:customStyle="1" w:styleId="166">
    <w:name w:val="正文（绿盟科技）"/>
    <w:link w:val="165"/>
    <w:qFormat/>
    <w:uiPriority w:val="0"/>
    <w:pPr>
      <w:spacing w:line="300" w:lineRule="auto"/>
    </w:pPr>
    <w:rPr>
      <w:rFonts w:ascii="Arial" w:hAnsi="Arial" w:eastAsia="宋体" w:cs="Times New Roman"/>
      <w:sz w:val="21"/>
      <w:szCs w:val="21"/>
      <w:lang w:val="en-US" w:eastAsia="zh-CN" w:bidi="ar-SA"/>
    </w:rPr>
  </w:style>
  <w:style w:type="character" w:customStyle="1" w:styleId="167">
    <w:name w:val="Char Char19"/>
    <w:qFormat/>
    <w:uiPriority w:val="6"/>
    <w:rPr>
      <w:rFonts w:ascii="宋体" w:hAnsi="宋体"/>
      <w:i/>
      <w:sz w:val="24"/>
      <w:szCs w:val="24"/>
    </w:rPr>
  </w:style>
  <w:style w:type="character" w:customStyle="1" w:styleId="168">
    <w:name w:val="页脚 Char"/>
    <w:qFormat/>
    <w:uiPriority w:val="0"/>
    <w:rPr>
      <w:rFonts w:eastAsia="仿宋_GB2312"/>
      <w:kern w:val="2"/>
      <w:sz w:val="18"/>
      <w:lang w:val="en-US" w:eastAsia="zh-CN"/>
    </w:rPr>
  </w:style>
  <w:style w:type="character" w:customStyle="1" w:styleId="169">
    <w:name w:val="批注主题 Char"/>
    <w:qFormat/>
    <w:uiPriority w:val="0"/>
    <w:rPr>
      <w:rFonts w:eastAsia="宋体"/>
      <w:b/>
      <w:bCs/>
      <w:kern w:val="2"/>
      <w:sz w:val="21"/>
      <w:szCs w:val="24"/>
      <w:lang w:val="en-US" w:eastAsia="zh-CN" w:bidi="ar-SA"/>
    </w:rPr>
  </w:style>
  <w:style w:type="character" w:customStyle="1" w:styleId="170">
    <w:name w:val="Comment Text Char"/>
    <w:qFormat/>
    <w:locked/>
    <w:uiPriority w:val="0"/>
    <w:rPr>
      <w:rFonts w:ascii="宋体" w:hAnsi="宋体" w:eastAsia="宋体"/>
      <w:kern w:val="2"/>
      <w:sz w:val="24"/>
      <w:lang w:val="en-US" w:eastAsia="zh-CN" w:bidi="ar-SA"/>
    </w:rPr>
  </w:style>
  <w:style w:type="character" w:customStyle="1" w:styleId="171">
    <w:name w:val="标题 2 字符"/>
    <w:qFormat/>
    <w:uiPriority w:val="1"/>
    <w:rPr>
      <w:rFonts w:ascii="仿宋_GB2312" w:hAnsi="Times New Roman" w:eastAsia="仿宋_GB2312" w:cs="Times New Roman"/>
      <w:b/>
      <w:kern w:val="2"/>
      <w:sz w:val="24"/>
      <w:lang w:val="zh-CN"/>
    </w:rPr>
  </w:style>
  <w:style w:type="character" w:customStyle="1" w:styleId="172">
    <w:name w:val="Char Char72"/>
    <w:qFormat/>
    <w:uiPriority w:val="0"/>
    <w:rPr>
      <w:rFonts w:eastAsia="宋体"/>
      <w:kern w:val="2"/>
      <w:sz w:val="21"/>
      <w:szCs w:val="24"/>
      <w:lang w:val="en-US" w:eastAsia="zh-CN" w:bidi="ar-SA"/>
    </w:rPr>
  </w:style>
  <w:style w:type="character" w:customStyle="1" w:styleId="173">
    <w:name w:val="正文文本缩进 Char2"/>
    <w:qFormat/>
    <w:uiPriority w:val="0"/>
    <w:rPr>
      <w:rFonts w:ascii="Times New Roman" w:hAnsi="Times New Roman" w:eastAsia="宋体" w:cs="Times New Roman"/>
      <w:snapToGrid w:val="0"/>
      <w:kern w:val="0"/>
      <w:szCs w:val="24"/>
    </w:rPr>
  </w:style>
  <w:style w:type="character" w:customStyle="1" w:styleId="174">
    <w:name w:val="样式2 Char"/>
    <w:qFormat/>
    <w:uiPriority w:val="0"/>
    <w:rPr>
      <w:rFonts w:ascii="仿宋_GB2312" w:hAnsi="仿宋" w:eastAsia="仿宋_GB2312" w:cs="仿宋_GB2312"/>
      <w:b/>
      <w:bCs/>
      <w:sz w:val="32"/>
      <w:szCs w:val="30"/>
      <w:lang w:val="zh-CN"/>
    </w:rPr>
  </w:style>
  <w:style w:type="character" w:customStyle="1" w:styleId="175">
    <w:name w:val="表格名称[858D7CFB-ED40-4347-BF05-701D383B685F]"/>
    <w:link w:val="176"/>
    <w:qFormat/>
    <w:uiPriority w:val="0"/>
    <w:rPr>
      <w:sz w:val="32"/>
    </w:rPr>
  </w:style>
  <w:style w:type="paragraph" w:customStyle="1" w:styleId="176">
    <w:name w:val="表格名称"/>
    <w:basedOn w:val="5"/>
    <w:link w:val="175"/>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7">
    <w:name w:val="Char Char4"/>
    <w:qFormat/>
    <w:uiPriority w:val="0"/>
    <w:rPr>
      <w:rFonts w:eastAsia="宋体"/>
      <w:b/>
      <w:sz w:val="24"/>
      <w:lang w:val="en-GB" w:eastAsia="zh-CN" w:bidi="ar-SA"/>
    </w:rPr>
  </w:style>
  <w:style w:type="character" w:customStyle="1" w:styleId="178">
    <w:name w:val="c7 style3"/>
    <w:qFormat/>
    <w:uiPriority w:val="0"/>
  </w:style>
  <w:style w:type="character" w:customStyle="1" w:styleId="179">
    <w:name w:val="正文文本 3 Char1"/>
    <w:semiHidden/>
    <w:qFormat/>
    <w:uiPriority w:val="99"/>
    <w:rPr>
      <w:rFonts w:ascii="Times New Roman" w:hAnsi="Times New Roman" w:eastAsia="宋体" w:cs="Times New Roman"/>
      <w:sz w:val="16"/>
      <w:szCs w:val="16"/>
    </w:rPr>
  </w:style>
  <w:style w:type="character" w:customStyle="1" w:styleId="180">
    <w:name w:val="tw4winInternal"/>
    <w:qFormat/>
    <w:uiPriority w:val="0"/>
    <w:rPr>
      <w:rFonts w:ascii="Courier New" w:hAnsi="Courier New" w:cs="Courier New"/>
      <w:color w:val="FF0000"/>
      <w:lang w:val="en-US" w:eastAsia="zh-CN"/>
    </w:rPr>
  </w:style>
  <w:style w:type="character" w:customStyle="1" w:styleId="181">
    <w:name w:val="Char Char10"/>
    <w:semiHidden/>
    <w:qFormat/>
    <w:uiPriority w:val="0"/>
    <w:rPr>
      <w:rFonts w:ascii="宋体" w:hAnsi="宋体"/>
      <w:kern w:val="2"/>
      <w:sz w:val="21"/>
      <w:szCs w:val="24"/>
      <w:lang w:val="en-US" w:eastAsia="zh-CN"/>
    </w:rPr>
  </w:style>
  <w:style w:type="character" w:customStyle="1" w:styleId="182">
    <w:name w:val="shadow11"/>
    <w:qFormat/>
    <w:uiPriority w:val="0"/>
    <w:rPr>
      <w:color w:val="000000"/>
      <w:sz w:val="21"/>
    </w:rPr>
  </w:style>
  <w:style w:type="character" w:customStyle="1" w:styleId="183">
    <w:name w:val="正文非缩进 Char3"/>
    <w:qFormat/>
    <w:uiPriority w:val="0"/>
    <w:rPr>
      <w:rFonts w:ascii="宋体" w:eastAsia="宋体"/>
      <w:snapToGrid w:val="0"/>
      <w:color w:val="000000"/>
      <w:kern w:val="28"/>
      <w:sz w:val="28"/>
      <w:lang w:val="en-US" w:eastAsia="zh-CN" w:bidi="ar-SA"/>
    </w:rPr>
  </w:style>
  <w:style w:type="character" w:customStyle="1" w:styleId="184">
    <w:name w:val="Char Char"/>
    <w:qFormat/>
    <w:uiPriority w:val="0"/>
    <w:rPr>
      <w:rFonts w:ascii="宋体" w:hAnsi="Courier New" w:eastAsia="宋体"/>
      <w:kern w:val="2"/>
      <w:sz w:val="21"/>
      <w:lang w:val="en-US" w:eastAsia="zh-CN" w:bidi="ar-SA"/>
    </w:rPr>
  </w:style>
  <w:style w:type="character" w:customStyle="1" w:styleId="185">
    <w:name w:val="签名 Char1"/>
    <w:qFormat/>
    <w:uiPriority w:val="0"/>
    <w:rPr>
      <w:rFonts w:ascii="Times New Roman" w:hAnsi="Times New Roman" w:eastAsia="宋体" w:cs="Times New Roman"/>
      <w:szCs w:val="24"/>
    </w:rPr>
  </w:style>
  <w:style w:type="character" w:customStyle="1" w:styleId="186">
    <w:name w:val="日期 字符"/>
    <w:link w:val="37"/>
    <w:qFormat/>
    <w:uiPriority w:val="0"/>
    <w:rPr>
      <w:rFonts w:ascii="宋体"/>
      <w:kern w:val="2"/>
      <w:sz w:val="24"/>
      <w:szCs w:val="21"/>
      <w:lang w:val="zh-CN"/>
    </w:rPr>
  </w:style>
  <w:style w:type="character" w:customStyle="1" w:styleId="187">
    <w:name w:val="标题 9 字符"/>
    <w:link w:val="12"/>
    <w:qFormat/>
    <w:uiPriority w:val="0"/>
    <w:rPr>
      <w:rFonts w:ascii="Arial" w:hAnsi="Arial" w:eastAsia="黑体"/>
      <w:kern w:val="2"/>
      <w:sz w:val="21"/>
      <w:szCs w:val="21"/>
    </w:rPr>
  </w:style>
  <w:style w:type="character" w:customStyle="1" w:styleId="188">
    <w:name w:val="Char Char18"/>
    <w:qFormat/>
    <w:uiPriority w:val="6"/>
    <w:rPr>
      <w:rFonts w:ascii="宋体" w:hAnsi="宋体"/>
      <w:sz w:val="28"/>
    </w:rPr>
  </w:style>
  <w:style w:type="character" w:customStyle="1" w:styleId="189">
    <w:name w:val="批注文字 Char"/>
    <w:qFormat/>
    <w:uiPriority w:val="99"/>
    <w:rPr>
      <w:kern w:val="2"/>
      <w:sz w:val="21"/>
      <w:szCs w:val="24"/>
    </w:rPr>
  </w:style>
  <w:style w:type="character" w:customStyle="1" w:styleId="190">
    <w:name w:val="Char Char22"/>
    <w:qFormat/>
    <w:uiPriority w:val="6"/>
    <w:rPr>
      <w:rFonts w:ascii="宋体" w:hAnsi="宋体"/>
      <w:kern w:val="1"/>
      <w:sz w:val="24"/>
      <w:szCs w:val="24"/>
    </w:rPr>
  </w:style>
  <w:style w:type="character" w:customStyle="1" w:styleId="191">
    <w:name w:val="pt141"/>
    <w:qFormat/>
    <w:uiPriority w:val="0"/>
    <w:rPr>
      <w:color w:val="330066"/>
      <w:sz w:val="22"/>
      <w:szCs w:val="22"/>
    </w:rPr>
  </w:style>
  <w:style w:type="character" w:customStyle="1" w:styleId="192">
    <w:name w:val="正文文本缩进 2 Char1"/>
    <w:semiHidden/>
    <w:qFormat/>
    <w:uiPriority w:val="99"/>
    <w:rPr>
      <w:rFonts w:ascii="Times New Roman" w:hAnsi="Times New Roman" w:eastAsia="宋体" w:cs="Times New Roman"/>
      <w:szCs w:val="24"/>
    </w:rPr>
  </w:style>
  <w:style w:type="character" w:customStyle="1" w:styleId="193">
    <w:name w:val="批注框文本 字符1"/>
    <w:link w:val="40"/>
    <w:qFormat/>
    <w:uiPriority w:val="0"/>
    <w:rPr>
      <w:kern w:val="2"/>
      <w:sz w:val="18"/>
      <w:szCs w:val="18"/>
    </w:rPr>
  </w:style>
  <w:style w:type="character" w:customStyle="1" w:styleId="194">
    <w:name w:val="Char Char611"/>
    <w:qFormat/>
    <w:uiPriority w:val="0"/>
    <w:rPr>
      <w:rFonts w:eastAsia="宋体"/>
      <w:kern w:val="2"/>
      <w:sz w:val="21"/>
      <w:szCs w:val="24"/>
      <w:lang w:val="en-US" w:eastAsia="zh-CN" w:bidi="ar-SA"/>
    </w:rPr>
  </w:style>
  <w:style w:type="character" w:customStyle="1" w:styleId="195">
    <w:name w:val="highlight1"/>
    <w:qFormat/>
    <w:uiPriority w:val="0"/>
    <w:rPr>
      <w:rFonts w:ascii="仿宋_GB2312" w:eastAsia="微软雅黑"/>
      <w:b/>
      <w:kern w:val="2"/>
      <w:sz w:val="23"/>
      <w:szCs w:val="23"/>
      <w:lang w:val="en-US" w:eastAsia="zh-CN" w:bidi="ar-SA"/>
    </w:rPr>
  </w:style>
  <w:style w:type="character" w:customStyle="1" w:styleId="196">
    <w:name w:val="my正文 Char"/>
    <w:link w:val="197"/>
    <w:qFormat/>
    <w:locked/>
    <w:uiPriority w:val="0"/>
    <w:rPr>
      <w:rFonts w:ascii="Tahoma" w:hAnsi="Tahoma"/>
      <w:sz w:val="24"/>
      <w:szCs w:val="24"/>
    </w:rPr>
  </w:style>
  <w:style w:type="paragraph" w:customStyle="1" w:styleId="197">
    <w:name w:val="my正文"/>
    <w:basedOn w:val="1"/>
    <w:link w:val="196"/>
    <w:qFormat/>
    <w:uiPriority w:val="0"/>
    <w:pPr>
      <w:adjustRightInd/>
      <w:spacing w:line="360" w:lineRule="auto"/>
      <w:ind w:firstLine="480" w:firstLineChars="200"/>
    </w:pPr>
    <w:rPr>
      <w:rFonts w:ascii="Tahoma" w:hAnsi="Tahoma"/>
      <w:kern w:val="0"/>
      <w:sz w:val="24"/>
    </w:rPr>
  </w:style>
  <w:style w:type="character" w:customStyle="1" w:styleId="198">
    <w:name w:val="正文缩进 字符2"/>
    <w:link w:val="17"/>
    <w:qFormat/>
    <w:uiPriority w:val="0"/>
    <w:rPr>
      <w:rFonts w:ascii="宋体" w:eastAsia="宋体"/>
      <w:snapToGrid w:val="0"/>
      <w:color w:val="000000"/>
      <w:kern w:val="28"/>
      <w:sz w:val="28"/>
      <w:lang w:val="en-US" w:eastAsia="zh-CN" w:bidi="ar-SA"/>
    </w:rPr>
  </w:style>
  <w:style w:type="character" w:customStyle="1" w:styleId="199">
    <w:name w:val="Used by Word for text of Help footnotes Char Char1"/>
    <w:qFormat/>
    <w:uiPriority w:val="0"/>
    <w:rPr>
      <w:color w:val="0000FF"/>
      <w:sz w:val="21"/>
    </w:rPr>
  </w:style>
  <w:style w:type="character" w:customStyle="1" w:styleId="200">
    <w:name w:val="页眉 Char"/>
    <w:qFormat/>
    <w:uiPriority w:val="0"/>
    <w:rPr>
      <w:rFonts w:eastAsia="仿宋_GB2312"/>
      <w:kern w:val="2"/>
      <w:sz w:val="18"/>
      <w:lang w:val="en-US" w:eastAsia="zh-CN"/>
    </w:rPr>
  </w:style>
  <w:style w:type="character" w:customStyle="1" w:styleId="201">
    <w:name w:val="FA正文 Char Char"/>
    <w:qFormat/>
    <w:uiPriority w:val="0"/>
    <w:rPr>
      <w:rFonts w:hAnsi="宋体"/>
      <w:kern w:val="2"/>
      <w:sz w:val="24"/>
      <w:lang w:bidi="ar-SA"/>
    </w:rPr>
  </w:style>
  <w:style w:type="character" w:customStyle="1" w:styleId="202">
    <w:name w:val="纯文本 字符"/>
    <w:qFormat/>
    <w:uiPriority w:val="0"/>
    <w:rPr>
      <w:rFonts w:ascii="宋体" w:hAnsi="Courier New" w:eastAsia="宋体" w:cs="Arial"/>
      <w:snapToGrid w:val="0"/>
      <w:kern w:val="2"/>
      <w:sz w:val="21"/>
      <w:szCs w:val="21"/>
      <w:lang w:val="en-US" w:eastAsia="zh-CN" w:bidi="ar-SA"/>
    </w:rPr>
  </w:style>
  <w:style w:type="character" w:customStyle="1" w:styleId="203">
    <w:name w:val="3级 Char"/>
    <w:link w:val="204"/>
    <w:qFormat/>
    <w:uiPriority w:val="0"/>
    <w:rPr>
      <w:rFonts w:ascii="宋体" w:hAnsi="宋体"/>
      <w:b/>
      <w:bCs/>
      <w:snapToGrid/>
      <w:sz w:val="28"/>
    </w:rPr>
  </w:style>
  <w:style w:type="paragraph" w:customStyle="1" w:styleId="204">
    <w:name w:val="3级"/>
    <w:basedOn w:val="205"/>
    <w:link w:val="203"/>
    <w:qFormat/>
    <w:uiPriority w:val="0"/>
    <w:pPr>
      <w:ind w:left="0" w:right="466" w:firstLine="288"/>
    </w:pPr>
    <w:rPr>
      <w:rFonts w:hAnsi="宋体"/>
      <w:snapToGrid/>
    </w:rPr>
  </w:style>
  <w:style w:type="paragraph" w:customStyle="1" w:styleId="205">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6">
    <w:name w:val="myp11"/>
    <w:qFormat/>
    <w:uiPriority w:val="0"/>
    <w:rPr>
      <w:rFonts w:ascii="仿宋_GB2312" w:eastAsia="微软雅黑"/>
      <w:b/>
      <w:kern w:val="2"/>
      <w:sz w:val="32"/>
      <w:szCs w:val="32"/>
      <w:lang w:val="en-US" w:eastAsia="zh-CN" w:bidi="ar-SA"/>
    </w:rPr>
  </w:style>
  <w:style w:type="character" w:customStyle="1" w:styleId="207">
    <w:name w:val="文档结构图 字符"/>
    <w:link w:val="20"/>
    <w:qFormat/>
    <w:uiPriority w:val="0"/>
    <w:rPr>
      <w:kern w:val="2"/>
      <w:sz w:val="21"/>
      <w:szCs w:val="24"/>
      <w:shd w:val="clear" w:color="auto" w:fill="000080"/>
    </w:rPr>
  </w:style>
  <w:style w:type="character" w:customStyle="1" w:styleId="208">
    <w:name w:val="H6 Char"/>
    <w:qFormat/>
    <w:uiPriority w:val="0"/>
    <w:rPr>
      <w:rFonts w:ascii="Arial" w:hAnsi="Arial" w:eastAsia="黑体"/>
      <w:b/>
      <w:bCs/>
      <w:kern w:val="2"/>
      <w:sz w:val="24"/>
      <w:szCs w:val="24"/>
    </w:rPr>
  </w:style>
  <w:style w:type="character" w:customStyle="1" w:styleId="209">
    <w:name w:val="Char Char91"/>
    <w:qFormat/>
    <w:uiPriority w:val="0"/>
    <w:rPr>
      <w:rFonts w:eastAsia="宋体"/>
      <w:kern w:val="2"/>
      <w:sz w:val="18"/>
      <w:szCs w:val="18"/>
      <w:lang w:val="en-US" w:eastAsia="zh-CN" w:bidi="ar-SA"/>
    </w:rPr>
  </w:style>
  <w:style w:type="character" w:customStyle="1" w:styleId="210">
    <w:name w:val="副标题 Char1"/>
    <w:qFormat/>
    <w:uiPriority w:val="0"/>
    <w:rPr>
      <w:rFonts w:ascii="Cambria" w:hAnsi="Cambria" w:eastAsia="宋体" w:cs="Times New Roman"/>
      <w:b/>
      <w:bCs/>
      <w:snapToGrid w:val="0"/>
      <w:kern w:val="28"/>
      <w:sz w:val="32"/>
      <w:szCs w:val="32"/>
    </w:rPr>
  </w:style>
  <w:style w:type="character" w:customStyle="1" w:styleId="211">
    <w:name w:val="font61"/>
    <w:basedOn w:val="70"/>
    <w:qFormat/>
    <w:uiPriority w:val="0"/>
    <w:rPr>
      <w:rFonts w:hint="eastAsia" w:ascii="仿宋" w:hAnsi="仿宋" w:eastAsia="仿宋" w:cs="仿宋"/>
      <w:color w:val="000000"/>
      <w:sz w:val="20"/>
      <w:szCs w:val="20"/>
      <w:u w:val="none"/>
    </w:rPr>
  </w:style>
  <w:style w:type="character" w:customStyle="1" w:styleId="21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3">
    <w:name w:val="Char Char211"/>
    <w:qFormat/>
    <w:uiPriority w:val="0"/>
    <w:rPr>
      <w:rFonts w:eastAsia="宋体"/>
      <w:b/>
      <w:bCs/>
      <w:kern w:val="2"/>
      <w:sz w:val="21"/>
      <w:szCs w:val="24"/>
      <w:lang w:val="en-US" w:eastAsia="zh-CN" w:bidi="ar-SA"/>
    </w:rPr>
  </w:style>
  <w:style w:type="character" w:customStyle="1" w:styleId="214">
    <w:name w:val="标题 2 Char"/>
    <w:qFormat/>
    <w:uiPriority w:val="0"/>
    <w:rPr>
      <w:rFonts w:ascii="Arial" w:hAnsi="Arial" w:eastAsia="黑体"/>
      <w:b/>
      <w:kern w:val="2"/>
      <w:sz w:val="32"/>
      <w:lang w:val="en-US" w:eastAsia="zh-CN"/>
    </w:rPr>
  </w:style>
  <w:style w:type="character" w:customStyle="1" w:styleId="215">
    <w:name w:val="maywed421"/>
    <w:qFormat/>
    <w:uiPriority w:val="0"/>
    <w:rPr>
      <w:color w:val="366FB6"/>
      <w:u w:val="none"/>
    </w:rPr>
  </w:style>
  <w:style w:type="character" w:customStyle="1" w:styleId="216">
    <w:name w:val="正文文本缩进 Char"/>
    <w:qFormat/>
    <w:uiPriority w:val="0"/>
    <w:rPr>
      <w:rFonts w:ascii="宋体" w:hAnsi="宋体"/>
      <w:kern w:val="2"/>
      <w:sz w:val="24"/>
      <w:szCs w:val="24"/>
    </w:rPr>
  </w:style>
  <w:style w:type="character" w:customStyle="1" w:styleId="217">
    <w:name w:val="Char Char102"/>
    <w:semiHidden/>
    <w:qFormat/>
    <w:uiPriority w:val="0"/>
    <w:rPr>
      <w:rFonts w:ascii="宋体" w:hAnsi="宋体"/>
      <w:kern w:val="2"/>
      <w:sz w:val="21"/>
      <w:szCs w:val="24"/>
      <w:lang w:val="en-US" w:eastAsia="zh-CN"/>
    </w:rPr>
  </w:style>
  <w:style w:type="character" w:customStyle="1" w:styleId="218">
    <w:name w:val="页眉 Char1"/>
    <w:qFormat/>
    <w:uiPriority w:val="0"/>
    <w:rPr>
      <w:rFonts w:eastAsia="宋体"/>
      <w:kern w:val="2"/>
      <w:sz w:val="18"/>
      <w:szCs w:val="18"/>
      <w:lang w:val="en-US" w:eastAsia="zh-CN" w:bidi="ar-SA"/>
    </w:rPr>
  </w:style>
  <w:style w:type="character" w:customStyle="1" w:styleId="219">
    <w:name w:val="md"/>
    <w:basedOn w:val="70"/>
    <w:qFormat/>
    <w:uiPriority w:val="0"/>
    <w:rPr>
      <w:rFonts w:ascii="Arial" w:hAnsi="Arial" w:eastAsia="黑体" w:cs="Arial"/>
      <w:snapToGrid w:val="0"/>
      <w:kern w:val="0"/>
      <w:szCs w:val="21"/>
    </w:rPr>
  </w:style>
  <w:style w:type="character" w:customStyle="1" w:styleId="220">
    <w:name w:val="big1"/>
    <w:qFormat/>
    <w:uiPriority w:val="0"/>
    <w:rPr>
      <w:rFonts w:hint="eastAsia" w:ascii="宋体" w:hAnsi="宋体" w:eastAsia="宋体"/>
      <w:color w:val="333333"/>
      <w:sz w:val="22"/>
      <w:szCs w:val="22"/>
    </w:rPr>
  </w:style>
  <w:style w:type="character" w:customStyle="1" w:styleId="221">
    <w:name w:val="Char Char311"/>
    <w:qFormat/>
    <w:uiPriority w:val="0"/>
    <w:rPr>
      <w:rFonts w:eastAsia="宋体"/>
      <w:kern w:val="2"/>
      <w:sz w:val="21"/>
      <w:szCs w:val="24"/>
      <w:lang w:val="en-US" w:eastAsia="zh-CN" w:bidi="ar-SA"/>
    </w:rPr>
  </w:style>
  <w:style w:type="character" w:customStyle="1" w:styleId="222">
    <w:name w:val="Char Char81"/>
    <w:qFormat/>
    <w:uiPriority w:val="6"/>
    <w:rPr>
      <w:rFonts w:eastAsia="宋体"/>
      <w:b/>
      <w:sz w:val="24"/>
      <w:lang w:val="en-GB" w:eastAsia="zh-CN"/>
    </w:rPr>
  </w:style>
  <w:style w:type="character" w:customStyle="1" w:styleId="223">
    <w:name w:val="样式3 Char"/>
    <w:basedOn w:val="174"/>
    <w:qFormat/>
    <w:uiPriority w:val="0"/>
    <w:rPr>
      <w:rFonts w:ascii="仿宋_GB2312" w:hAnsi="仿宋" w:eastAsia="仿宋_GB2312" w:cs="仿宋_GB2312"/>
      <w:sz w:val="32"/>
      <w:szCs w:val="30"/>
      <w:lang w:val="zh-CN"/>
    </w:rPr>
  </w:style>
  <w:style w:type="character" w:customStyle="1" w:styleId="224">
    <w:name w:val="HTML 地址 字符"/>
    <w:link w:val="31"/>
    <w:qFormat/>
    <w:uiPriority w:val="0"/>
    <w:rPr>
      <w:rFonts w:ascii="宋体" w:hAnsi="宋体"/>
      <w:i/>
      <w:iCs/>
      <w:sz w:val="24"/>
      <w:szCs w:val="24"/>
    </w:rPr>
  </w:style>
  <w:style w:type="character" w:customStyle="1" w:styleId="225">
    <w:name w:val="正文首行缩进 2 Char1"/>
    <w:qFormat/>
    <w:uiPriority w:val="0"/>
    <w:rPr>
      <w:rFonts w:ascii="Times New Roman" w:hAnsi="Times New Roman" w:eastAsia="宋体" w:cs="Times New Roman"/>
      <w:kern w:val="2"/>
      <w:sz w:val="24"/>
      <w:szCs w:val="24"/>
    </w:rPr>
  </w:style>
  <w:style w:type="character" w:customStyle="1" w:styleId="226">
    <w:name w:val="副标题 Char2"/>
    <w:qFormat/>
    <w:uiPriority w:val="0"/>
    <w:rPr>
      <w:rFonts w:ascii="Cambria" w:hAnsi="Cambria" w:eastAsia="宋体" w:cs="Times New Roman"/>
      <w:b/>
      <w:bCs/>
      <w:snapToGrid w:val="0"/>
      <w:kern w:val="28"/>
      <w:sz w:val="32"/>
      <w:szCs w:val="32"/>
    </w:rPr>
  </w:style>
  <w:style w:type="character" w:customStyle="1" w:styleId="227">
    <w:name w:val="标题4-dyf Char"/>
    <w:link w:val="228"/>
    <w:qFormat/>
    <w:uiPriority w:val="0"/>
    <w:rPr>
      <w:rFonts w:ascii="Cambria" w:hAnsi="Cambria"/>
      <w:b/>
      <w:bCs/>
      <w:color w:val="000000"/>
      <w:kern w:val="2"/>
      <w:sz w:val="21"/>
      <w:szCs w:val="21"/>
    </w:rPr>
  </w:style>
  <w:style w:type="paragraph" w:customStyle="1" w:styleId="228">
    <w:name w:val="标题4-dyf"/>
    <w:basedOn w:val="7"/>
    <w:link w:val="227"/>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9">
    <w:name w:val="dectext1"/>
    <w:qFormat/>
    <w:uiPriority w:val="0"/>
    <w:rPr>
      <w:rFonts w:ascii="宋体" w:hAnsi="宋体" w:eastAsia="宋体"/>
      <w:color w:val="333333"/>
      <w:sz w:val="21"/>
      <w:szCs w:val="21"/>
      <w:u w:val="none"/>
    </w:rPr>
  </w:style>
  <w:style w:type="character" w:customStyle="1" w:styleId="230">
    <w:name w:val="冯 Char"/>
    <w:link w:val="231"/>
    <w:qFormat/>
    <w:uiPriority w:val="0"/>
    <w:rPr>
      <w:rFonts w:ascii="宋体" w:hAnsi="宋体"/>
      <w:color w:val="000000"/>
      <w:sz w:val="24"/>
      <w:szCs w:val="24"/>
    </w:rPr>
  </w:style>
  <w:style w:type="paragraph" w:customStyle="1" w:styleId="231">
    <w:name w:val="冯"/>
    <w:basedOn w:val="1"/>
    <w:link w:val="230"/>
    <w:qFormat/>
    <w:uiPriority w:val="0"/>
    <w:pPr>
      <w:widowControl/>
      <w:adjustRightInd/>
      <w:spacing w:line="360" w:lineRule="auto"/>
      <w:ind w:firstLine="480" w:firstLineChars="200"/>
    </w:pPr>
    <w:rPr>
      <w:rFonts w:ascii="宋体" w:hAnsi="宋体"/>
      <w:color w:val="000000"/>
      <w:kern w:val="0"/>
      <w:sz w:val="24"/>
    </w:rPr>
  </w:style>
  <w:style w:type="character" w:customStyle="1" w:styleId="232">
    <w:name w:val="Header Char"/>
    <w:qFormat/>
    <w:locked/>
    <w:uiPriority w:val="0"/>
    <w:rPr>
      <w:rFonts w:eastAsia="宋体"/>
      <w:kern w:val="2"/>
      <w:sz w:val="18"/>
      <w:szCs w:val="18"/>
      <w:lang w:val="en-US" w:eastAsia="zh-CN" w:bidi="ar-SA"/>
    </w:rPr>
  </w:style>
  <w:style w:type="character" w:customStyle="1" w:styleId="233">
    <w:name w:val="Char Char12"/>
    <w:qFormat/>
    <w:uiPriority w:val="0"/>
    <w:rPr>
      <w:rFonts w:ascii="仿宋_GB2312" w:eastAsia="仿宋_GB2312"/>
      <w:b/>
      <w:bCs/>
      <w:kern w:val="2"/>
      <w:sz w:val="24"/>
      <w:szCs w:val="24"/>
      <w:lang w:val="zh-CN" w:eastAsia="zh-CN" w:bidi="ar-SA"/>
    </w:rPr>
  </w:style>
  <w:style w:type="character" w:customStyle="1" w:styleId="234">
    <w:name w:val="题注 字符"/>
    <w:link w:val="18"/>
    <w:qFormat/>
    <w:uiPriority w:val="0"/>
    <w:rPr>
      <w:b/>
      <w:kern w:val="2"/>
      <w:sz w:val="28"/>
    </w:rPr>
  </w:style>
  <w:style w:type="character" w:customStyle="1" w:styleId="235">
    <w:name w:val="普通文字 Char3"/>
    <w:qFormat/>
    <w:uiPriority w:val="0"/>
    <w:rPr>
      <w:rFonts w:ascii="宋体" w:hAnsi="Courier New" w:eastAsia="宋体"/>
      <w:kern w:val="2"/>
      <w:sz w:val="21"/>
      <w:lang w:val="en-US" w:eastAsia="zh-CN" w:bidi="ar-SA"/>
    </w:rPr>
  </w:style>
  <w:style w:type="character" w:customStyle="1" w:styleId="236">
    <w:name w:val="公文正文 Char"/>
    <w:qFormat/>
    <w:uiPriority w:val="0"/>
    <w:rPr>
      <w:rFonts w:ascii="仿宋_GB2312" w:eastAsia="仿宋_GB2312"/>
      <w:kern w:val="2"/>
      <w:sz w:val="24"/>
      <w:szCs w:val="24"/>
      <w:lang w:val="en-US" w:eastAsia="zh-CN" w:bidi="ar-SA"/>
    </w:rPr>
  </w:style>
  <w:style w:type="character" w:customStyle="1" w:styleId="237">
    <w:name w:val="正文首行缩进 Char Char Char Char Char"/>
    <w:qFormat/>
    <w:uiPriority w:val="0"/>
    <w:rPr>
      <w:rFonts w:ascii="宋体"/>
      <w:kern w:val="2"/>
      <w:sz w:val="24"/>
      <w:lang w:val="zh-CN"/>
    </w:rPr>
  </w:style>
  <w:style w:type="character" w:customStyle="1" w:styleId="238">
    <w:name w:val="PI Char"/>
    <w:qFormat/>
    <w:uiPriority w:val="0"/>
    <w:rPr>
      <w:rFonts w:ascii="宋体" w:hAnsi="宋体" w:eastAsia="宋体"/>
      <w:kern w:val="2"/>
      <w:sz w:val="24"/>
      <w:szCs w:val="24"/>
      <w:lang w:val="en-US" w:eastAsia="zh-CN" w:bidi="ar-SA"/>
    </w:rPr>
  </w:style>
  <w:style w:type="character" w:customStyle="1" w:styleId="239">
    <w:name w:val="Default Char"/>
    <w:link w:val="240"/>
    <w:qFormat/>
    <w:uiPriority w:val="0"/>
    <w:rPr>
      <w:rFonts w:ascii="仿宋_GB2312" w:eastAsia="仿宋_GB2312" w:cs="仿宋_GB2312"/>
      <w:color w:val="000000"/>
      <w:sz w:val="24"/>
      <w:szCs w:val="24"/>
      <w:lang w:val="en-US" w:eastAsia="zh-CN" w:bidi="ar-SA"/>
    </w:rPr>
  </w:style>
  <w:style w:type="paragraph" w:customStyle="1" w:styleId="240">
    <w:name w:val="Default"/>
    <w:next w:val="241"/>
    <w:link w:val="23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41">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42">
    <w:name w:val="style91"/>
    <w:qFormat/>
    <w:uiPriority w:val="0"/>
    <w:rPr>
      <w:color w:val="333333"/>
    </w:rPr>
  </w:style>
  <w:style w:type="character" w:customStyle="1" w:styleId="243">
    <w:name w:val="列出段落 Char2"/>
    <w:qFormat/>
    <w:uiPriority w:val="34"/>
    <w:rPr>
      <w:rFonts w:ascii="Calibri" w:hAnsi="Calibri"/>
      <w:kern w:val="2"/>
      <w:sz w:val="28"/>
    </w:rPr>
  </w:style>
  <w:style w:type="character" w:customStyle="1" w:styleId="244">
    <w:name w:val="mdeck"/>
    <w:qFormat/>
    <w:uiPriority w:val="0"/>
    <w:rPr>
      <w:rFonts w:ascii="仿宋_GB2312" w:eastAsia="微软雅黑"/>
      <w:b/>
      <w:kern w:val="2"/>
      <w:sz w:val="32"/>
      <w:szCs w:val="32"/>
      <w:lang w:val="en-US" w:eastAsia="zh-CN" w:bidi="ar-SA"/>
    </w:rPr>
  </w:style>
  <w:style w:type="character" w:customStyle="1" w:styleId="245">
    <w:name w:val="unnamed11"/>
    <w:qFormat/>
    <w:uiPriority w:val="0"/>
    <w:rPr>
      <w:sz w:val="20"/>
      <w:szCs w:val="20"/>
    </w:rPr>
  </w:style>
  <w:style w:type="character" w:customStyle="1" w:styleId="246">
    <w:name w:val="正文文本 Char2"/>
    <w:semiHidden/>
    <w:qFormat/>
    <w:uiPriority w:val="99"/>
    <w:rPr>
      <w:rFonts w:ascii="Times New Roman" w:hAnsi="Times New Roman" w:eastAsia="宋体" w:cs="Times New Roman"/>
      <w:snapToGrid w:val="0"/>
      <w:kern w:val="0"/>
      <w:szCs w:val="24"/>
    </w:rPr>
  </w:style>
  <w:style w:type="character" w:customStyle="1" w:styleId="247">
    <w:name w:val="标书正文格式 Char"/>
    <w:qFormat/>
    <w:uiPriority w:val="0"/>
    <w:rPr>
      <w:rFonts w:eastAsia="楷体_GB2312"/>
      <w:kern w:val="2"/>
      <w:sz w:val="24"/>
      <w:szCs w:val="24"/>
      <w:lang w:bidi="ar-SA"/>
    </w:rPr>
  </w:style>
  <w:style w:type="character" w:customStyle="1" w:styleId="248">
    <w:name w:val="Char Char11"/>
    <w:qFormat/>
    <w:locked/>
    <w:uiPriority w:val="0"/>
    <w:rPr>
      <w:rFonts w:ascii="宋体" w:hAnsi="宋体" w:eastAsia="宋体"/>
      <w:b/>
      <w:kern w:val="2"/>
      <w:sz w:val="24"/>
      <w:szCs w:val="24"/>
      <w:lang w:val="en-US" w:eastAsia="zh-CN" w:bidi="ar-SA"/>
    </w:rPr>
  </w:style>
  <w:style w:type="character" w:customStyle="1" w:styleId="249">
    <w:name w:val="ca-131"/>
    <w:qFormat/>
    <w:uiPriority w:val="0"/>
    <w:rPr>
      <w:rFonts w:hint="eastAsia" w:ascii="仿宋_GB2312" w:eastAsia="仿宋_GB2312"/>
      <w:b/>
      <w:bCs/>
      <w:color w:val="000000"/>
      <w:spacing w:val="-20"/>
      <w:sz w:val="24"/>
      <w:szCs w:val="24"/>
    </w:rPr>
  </w:style>
  <w:style w:type="character" w:customStyle="1" w:styleId="250">
    <w:name w:val="tw4winMark"/>
    <w:qFormat/>
    <w:uiPriority w:val="0"/>
    <w:rPr>
      <w:rFonts w:ascii="Courier New" w:hAnsi="Courier New" w:cs="Courier New"/>
      <w:vanish/>
      <w:color w:val="800080"/>
      <w:sz w:val="24"/>
      <w:szCs w:val="24"/>
      <w:vertAlign w:val="subscript"/>
    </w:rPr>
  </w:style>
  <w:style w:type="character" w:customStyle="1" w:styleId="251">
    <w:name w:val="正文样式 Char"/>
    <w:link w:val="252"/>
    <w:qFormat/>
    <w:uiPriority w:val="0"/>
    <w:rPr>
      <w:rFonts w:ascii="Calibri" w:hAnsi="Calibri"/>
      <w:sz w:val="24"/>
      <w:szCs w:val="24"/>
    </w:rPr>
  </w:style>
  <w:style w:type="paragraph" w:customStyle="1" w:styleId="252">
    <w:name w:val="正文样式"/>
    <w:basedOn w:val="1"/>
    <w:link w:val="251"/>
    <w:qFormat/>
    <w:uiPriority w:val="0"/>
    <w:pPr>
      <w:adjustRightInd/>
      <w:spacing w:line="360" w:lineRule="auto"/>
      <w:ind w:firstLine="480" w:firstLineChars="200"/>
    </w:pPr>
    <w:rPr>
      <w:kern w:val="0"/>
      <w:sz w:val="24"/>
    </w:rPr>
  </w:style>
  <w:style w:type="character" w:customStyle="1" w:styleId="253">
    <w:name w:val="表正文 Char3"/>
    <w:qFormat/>
    <w:uiPriority w:val="0"/>
    <w:rPr>
      <w:rFonts w:eastAsia="宋体"/>
    </w:rPr>
  </w:style>
  <w:style w:type="character" w:customStyle="1" w:styleId="254">
    <w:name w:val="H5 Char"/>
    <w:qFormat/>
    <w:uiPriority w:val="0"/>
    <w:rPr>
      <w:b/>
      <w:bCs/>
      <w:kern w:val="2"/>
      <w:sz w:val="28"/>
      <w:szCs w:val="28"/>
    </w:rPr>
  </w:style>
  <w:style w:type="character" w:customStyle="1" w:styleId="255">
    <w:name w:val="Char Char3"/>
    <w:qFormat/>
    <w:uiPriority w:val="0"/>
    <w:rPr>
      <w:rFonts w:eastAsia="宋体"/>
      <w:kern w:val="2"/>
      <w:sz w:val="21"/>
      <w:szCs w:val="24"/>
      <w:lang w:val="en-US" w:eastAsia="zh-CN" w:bidi="ar-SA"/>
    </w:rPr>
  </w:style>
  <w:style w:type="character" w:customStyle="1" w:styleId="256">
    <w:name w:val="正文 编号 Char"/>
    <w:qFormat/>
    <w:uiPriority w:val="0"/>
    <w:rPr>
      <w:rFonts w:ascii="仿宋_GB2312" w:hAnsi="仿宋_GB2312" w:eastAsia="仿宋_GB2312"/>
      <w:kern w:val="2"/>
      <w:sz w:val="24"/>
      <w:lang w:bidi="ar-SA"/>
    </w:rPr>
  </w:style>
  <w:style w:type="character" w:customStyle="1" w:styleId="257">
    <w:name w:val="question-title2"/>
    <w:qFormat/>
    <w:uiPriority w:val="6"/>
    <w:rPr>
      <w:rFonts w:ascii="Arial" w:hAnsi="Arial" w:eastAsia="黑体" w:cs="Arial"/>
      <w:snapToGrid w:val="0"/>
      <w:kern w:val="0"/>
      <w:szCs w:val="21"/>
    </w:rPr>
  </w:style>
  <w:style w:type="character" w:customStyle="1" w:styleId="258">
    <w:name w:val="gf正文1 Char Char"/>
    <w:link w:val="259"/>
    <w:qFormat/>
    <w:uiPriority w:val="0"/>
    <w:rPr>
      <w:rFonts w:ascii="宋体" w:hAnsi="宋体" w:cs="宋体"/>
      <w:kern w:val="2"/>
      <w:sz w:val="24"/>
      <w:szCs w:val="24"/>
    </w:rPr>
  </w:style>
  <w:style w:type="paragraph" w:customStyle="1" w:styleId="259">
    <w:name w:val="gf正文1"/>
    <w:basedOn w:val="1"/>
    <w:link w:val="258"/>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0">
    <w:name w:val="Char Char15"/>
    <w:qFormat/>
    <w:uiPriority w:val="6"/>
    <w:rPr>
      <w:rFonts w:ascii="宋体" w:hAnsi="宋体"/>
      <w:kern w:val="1"/>
      <w:sz w:val="21"/>
    </w:rPr>
  </w:style>
  <w:style w:type="character" w:customStyle="1" w:styleId="261">
    <w:name w:val="正文缩进 Char3"/>
    <w:qFormat/>
    <w:uiPriority w:val="0"/>
    <w:rPr>
      <w:rFonts w:ascii="宋体" w:eastAsia="宋体"/>
      <w:snapToGrid w:val="0"/>
      <w:color w:val="000000"/>
      <w:kern w:val="28"/>
      <w:sz w:val="28"/>
      <w:lang w:val="en-US" w:eastAsia="zh-CN" w:bidi="ar-SA"/>
    </w:rPr>
  </w:style>
  <w:style w:type="character" w:customStyle="1" w:styleId="262">
    <w:name w:val="列出段落 Char1"/>
    <w:link w:val="263"/>
    <w:qFormat/>
    <w:uiPriority w:val="0"/>
    <w:rPr>
      <w:rFonts w:ascii="Calibri" w:hAnsi="Calibri"/>
      <w:sz w:val="24"/>
      <w:lang w:eastAsia="en-US"/>
    </w:rPr>
  </w:style>
  <w:style w:type="paragraph" w:customStyle="1" w:styleId="263">
    <w:name w:val="列表1"/>
    <w:basedOn w:val="1"/>
    <w:next w:val="264"/>
    <w:link w:val="262"/>
    <w:qFormat/>
    <w:uiPriority w:val="0"/>
    <w:pPr>
      <w:widowControl/>
      <w:adjustRightInd/>
      <w:spacing w:after="200" w:line="360" w:lineRule="auto"/>
      <w:ind w:left="720" w:firstLine="200" w:firstLineChars="200"/>
      <w:jc w:val="left"/>
    </w:pPr>
    <w:rPr>
      <w:kern w:val="0"/>
      <w:sz w:val="24"/>
      <w:szCs w:val="20"/>
      <w:lang w:eastAsia="en-US"/>
    </w:rPr>
  </w:style>
  <w:style w:type="paragraph" w:styleId="264">
    <w:name w:val="List Paragraph"/>
    <w:basedOn w:val="1"/>
    <w:qFormat/>
    <w:uiPriority w:val="34"/>
    <w:pPr>
      <w:spacing w:line="360" w:lineRule="auto"/>
      <w:ind w:firstLine="200" w:firstLineChars="200"/>
    </w:pPr>
    <w:rPr>
      <w:rFonts w:eastAsia="楷体_GB2312" w:cs="Lucida Sans"/>
      <w:sz w:val="24"/>
    </w:rPr>
  </w:style>
  <w:style w:type="character" w:customStyle="1" w:styleId="265">
    <w:name w:val="Char Char8"/>
    <w:qFormat/>
    <w:uiPriority w:val="0"/>
    <w:rPr>
      <w:rFonts w:eastAsia="宋体"/>
      <w:b/>
      <w:sz w:val="24"/>
      <w:lang w:val="en-GB" w:eastAsia="zh-CN"/>
    </w:rPr>
  </w:style>
  <w:style w:type="character" w:customStyle="1" w:styleId="266">
    <w:name w:val="Normal Indent Char Char"/>
    <w:qFormat/>
    <w:uiPriority w:val="0"/>
    <w:rPr>
      <w:rFonts w:eastAsia="宋体"/>
      <w:kern w:val="2"/>
      <w:sz w:val="21"/>
      <w:lang w:val="en-US" w:eastAsia="zh-CN" w:bidi="ar-SA"/>
    </w:rPr>
  </w:style>
  <w:style w:type="character" w:customStyle="1" w:styleId="267">
    <w:name w:val="列表段落 字符"/>
    <w:qFormat/>
    <w:uiPriority w:val="99"/>
  </w:style>
  <w:style w:type="character" w:customStyle="1" w:styleId="268">
    <w:name w:val="Ò³Ã¼ Char Char1"/>
    <w:qFormat/>
    <w:uiPriority w:val="0"/>
    <w:rPr>
      <w:rFonts w:eastAsia="宋体"/>
      <w:kern w:val="2"/>
      <w:sz w:val="18"/>
      <w:szCs w:val="18"/>
      <w:lang w:val="en-US" w:eastAsia="zh-CN" w:bidi="ar-SA"/>
    </w:rPr>
  </w:style>
  <w:style w:type="character" w:customStyle="1" w:styleId="269">
    <w:name w:val="方案正文 Char"/>
    <w:qFormat/>
    <w:uiPriority w:val="0"/>
    <w:rPr>
      <w:rFonts w:ascii="仿宋_GB2312" w:eastAsia="仿宋_GB2312"/>
      <w:b/>
      <w:color w:val="000000"/>
      <w:kern w:val="2"/>
      <w:sz w:val="24"/>
      <w:lang w:val="en-US" w:eastAsia="zh-CN" w:bidi="ar-SA"/>
    </w:rPr>
  </w:style>
  <w:style w:type="character" w:customStyle="1" w:styleId="270">
    <w:name w:val="Char Char30"/>
    <w:qFormat/>
    <w:uiPriority w:val="6"/>
    <w:rPr>
      <w:rFonts w:ascii="Arial" w:hAnsi="Arial" w:eastAsia="黑体"/>
      <w:kern w:val="1"/>
      <w:sz w:val="21"/>
      <w:szCs w:val="21"/>
    </w:rPr>
  </w:style>
  <w:style w:type="character" w:customStyle="1" w:styleId="271">
    <w:name w:val="正文文本缩进 字符1"/>
    <w:link w:val="25"/>
    <w:qFormat/>
    <w:uiPriority w:val="0"/>
    <w:rPr>
      <w:rFonts w:ascii="宋体" w:hAnsi="宋体"/>
      <w:kern w:val="2"/>
      <w:sz w:val="24"/>
      <w:szCs w:val="24"/>
    </w:rPr>
  </w:style>
  <w:style w:type="character" w:customStyle="1" w:styleId="272">
    <w:name w:val="font01"/>
    <w:basedOn w:val="70"/>
    <w:qFormat/>
    <w:uiPriority w:val="0"/>
    <w:rPr>
      <w:rFonts w:hint="eastAsia" w:ascii="微软雅黑" w:hAnsi="微软雅黑" w:eastAsia="微软雅黑" w:cs="微软雅黑"/>
      <w:color w:val="000000"/>
      <w:sz w:val="20"/>
      <w:szCs w:val="20"/>
      <w:u w:val="none"/>
    </w:rPr>
  </w:style>
  <w:style w:type="character" w:customStyle="1" w:styleId="273">
    <w:name w:val="Char Char20"/>
    <w:qFormat/>
    <w:uiPriority w:val="6"/>
    <w:rPr>
      <w:kern w:val="1"/>
      <w:sz w:val="24"/>
    </w:rPr>
  </w:style>
  <w:style w:type="character" w:customStyle="1" w:styleId="274">
    <w:name w:val="tw4winExternal"/>
    <w:qFormat/>
    <w:uiPriority w:val="0"/>
    <w:rPr>
      <w:rFonts w:ascii="Courier New" w:hAnsi="Courier New" w:cs="Courier New"/>
      <w:color w:val="808080"/>
      <w:lang w:val="en-US" w:eastAsia="zh-CN"/>
    </w:rPr>
  </w:style>
  <w:style w:type="character" w:customStyle="1" w:styleId="275">
    <w:name w:val="标题 4 Char1"/>
    <w:qFormat/>
    <w:uiPriority w:val="9"/>
    <w:rPr>
      <w:rFonts w:ascii="Cambria" w:hAnsi="Cambria" w:eastAsia="宋体" w:cs="Times New Roman"/>
      <w:b/>
      <w:bCs/>
      <w:kern w:val="2"/>
      <w:sz w:val="28"/>
      <w:szCs w:val="28"/>
    </w:rPr>
  </w:style>
  <w:style w:type="character" w:customStyle="1" w:styleId="276">
    <w:name w:val="批注文字 Char2"/>
    <w:qFormat/>
    <w:uiPriority w:val="99"/>
    <w:rPr>
      <w:rFonts w:ascii="Times New Roman" w:hAnsi="Times New Roman" w:eastAsia="宋体" w:cs="Times New Roman"/>
      <w:snapToGrid w:val="0"/>
      <w:kern w:val="0"/>
      <w:szCs w:val="24"/>
    </w:rPr>
  </w:style>
  <w:style w:type="character" w:customStyle="1" w:styleId="277">
    <w:name w:val="正文文本 2 Char"/>
    <w:qFormat/>
    <w:uiPriority w:val="0"/>
    <w:rPr>
      <w:rFonts w:eastAsia="宋体"/>
      <w:kern w:val="2"/>
      <w:sz w:val="21"/>
      <w:szCs w:val="24"/>
      <w:lang w:val="en-US" w:eastAsia="zh-CN" w:bidi="ar-SA"/>
    </w:rPr>
  </w:style>
  <w:style w:type="character" w:customStyle="1" w:styleId="278">
    <w:name w:val="Ò³Ã¼ Char Char"/>
    <w:qFormat/>
    <w:uiPriority w:val="0"/>
    <w:rPr>
      <w:rFonts w:eastAsia="宋体"/>
      <w:kern w:val="2"/>
      <w:sz w:val="18"/>
      <w:lang w:val="en-US" w:eastAsia="zh-CN" w:bidi="ar-SA"/>
    </w:rPr>
  </w:style>
  <w:style w:type="character" w:customStyle="1" w:styleId="279">
    <w:name w:val="message1"/>
    <w:qFormat/>
    <w:uiPriority w:val="0"/>
    <w:rPr>
      <w:rFonts w:hint="default" w:ascii="Tahoma" w:hAnsi="Tahoma" w:cs="Tahoma"/>
      <w:sz w:val="18"/>
      <w:szCs w:val="18"/>
    </w:rPr>
  </w:style>
  <w:style w:type="character" w:customStyle="1" w:styleId="280">
    <w:name w:val="Char Char23"/>
    <w:qFormat/>
    <w:uiPriority w:val="6"/>
    <w:rPr>
      <w:color w:val="0000FF"/>
      <w:sz w:val="21"/>
    </w:rPr>
  </w:style>
  <w:style w:type="character" w:customStyle="1" w:styleId="281">
    <w:name w:val="批注框文本 字符"/>
    <w:qFormat/>
    <w:uiPriority w:val="0"/>
    <w:rPr>
      <w:rFonts w:ascii="Arial" w:hAnsi="Arial" w:eastAsia="黑体" w:cs="Arial"/>
      <w:snapToGrid w:val="0"/>
      <w:kern w:val="0"/>
      <w:sz w:val="18"/>
      <w:szCs w:val="18"/>
    </w:rPr>
  </w:style>
  <w:style w:type="character" w:customStyle="1" w:styleId="282">
    <w:name w:val="纯文本 Char2"/>
    <w:semiHidden/>
    <w:qFormat/>
    <w:uiPriority w:val="99"/>
    <w:rPr>
      <w:rFonts w:ascii="宋体" w:hAnsi="Courier New" w:eastAsia="宋体" w:cs="Courier New"/>
    </w:rPr>
  </w:style>
  <w:style w:type="character" w:customStyle="1" w:styleId="283">
    <w:name w:val="Char Char25"/>
    <w:qFormat/>
    <w:uiPriority w:val="6"/>
    <w:rPr>
      <w:rFonts w:ascii="宋体" w:hAnsi="宋体"/>
      <w:kern w:val="1"/>
      <w:sz w:val="24"/>
      <w:lang w:val="zh-CN"/>
    </w:rPr>
  </w:style>
  <w:style w:type="character" w:customStyle="1" w:styleId="284">
    <w:name w:val="Char Char411"/>
    <w:qFormat/>
    <w:uiPriority w:val="0"/>
    <w:rPr>
      <w:rFonts w:eastAsia="宋体"/>
      <w:b/>
      <w:sz w:val="24"/>
      <w:lang w:val="en-GB" w:eastAsia="zh-CN" w:bidi="ar-SA"/>
    </w:rPr>
  </w:style>
  <w:style w:type="character" w:customStyle="1" w:styleId="285">
    <w:name w:val="Heading 7 Char"/>
    <w:qFormat/>
    <w:locked/>
    <w:uiPriority w:val="0"/>
    <w:rPr>
      <w:rFonts w:ascii="宋体" w:hAnsi="宋体" w:eastAsia="宋体"/>
      <w:b/>
      <w:bCs/>
      <w:kern w:val="2"/>
      <w:sz w:val="24"/>
      <w:szCs w:val="24"/>
      <w:lang w:val="en-US" w:eastAsia="zh-CN" w:bidi="ar-SA"/>
    </w:rPr>
  </w:style>
  <w:style w:type="character" w:customStyle="1" w:styleId="286">
    <w:name w:val="此正文 Char"/>
    <w:link w:val="287"/>
    <w:qFormat/>
    <w:uiPriority w:val="0"/>
    <w:rPr>
      <w:kern w:val="2"/>
      <w:sz w:val="24"/>
      <w:szCs w:val="24"/>
    </w:rPr>
  </w:style>
  <w:style w:type="paragraph" w:customStyle="1" w:styleId="287">
    <w:name w:val="此正文"/>
    <w:basedOn w:val="1"/>
    <w:link w:val="286"/>
    <w:qFormat/>
    <w:uiPriority w:val="0"/>
    <w:pPr>
      <w:adjustRightInd/>
      <w:spacing w:line="360" w:lineRule="auto"/>
      <w:ind w:firstLine="200" w:firstLineChars="200"/>
    </w:pPr>
    <w:rPr>
      <w:sz w:val="24"/>
    </w:rPr>
  </w:style>
  <w:style w:type="character" w:customStyle="1" w:styleId="288">
    <w:name w:val="Char Char2"/>
    <w:qFormat/>
    <w:uiPriority w:val="0"/>
    <w:rPr>
      <w:rFonts w:eastAsia="宋体"/>
      <w:b/>
      <w:bCs/>
      <w:kern w:val="2"/>
      <w:sz w:val="21"/>
      <w:szCs w:val="24"/>
      <w:lang w:val="en-US" w:eastAsia="zh-CN" w:bidi="ar-SA"/>
    </w:rPr>
  </w:style>
  <w:style w:type="character" w:customStyle="1" w:styleId="289">
    <w:name w:val="标题 1 字符1"/>
    <w:link w:val="4"/>
    <w:qFormat/>
    <w:uiPriority w:val="9"/>
    <w:rPr>
      <w:b/>
      <w:bCs/>
      <w:kern w:val="44"/>
      <w:sz w:val="44"/>
      <w:szCs w:val="44"/>
    </w:rPr>
  </w:style>
  <w:style w:type="character" w:customStyle="1" w:styleId="290">
    <w:name w:val="Footer-Even Char1"/>
    <w:qFormat/>
    <w:uiPriority w:val="0"/>
    <w:rPr>
      <w:rFonts w:eastAsia="宋体"/>
      <w:kern w:val="2"/>
      <w:sz w:val="18"/>
      <w:szCs w:val="18"/>
      <w:lang w:val="en-US" w:eastAsia="zh-CN" w:bidi="ar-SA"/>
    </w:rPr>
  </w:style>
  <w:style w:type="character" w:customStyle="1" w:styleId="291">
    <w:name w:val="Char Char29"/>
    <w:qFormat/>
    <w:uiPriority w:val="6"/>
    <w:rPr>
      <w:rFonts w:ascii="Arial" w:hAnsi="Arial" w:eastAsia="微软雅黑"/>
      <w:b/>
      <w:kern w:val="1"/>
      <w:sz w:val="44"/>
      <w:szCs w:val="32"/>
      <w:lang w:val="en-US" w:eastAsia="zh-CN" w:bidi="ar-SA"/>
    </w:rPr>
  </w:style>
  <w:style w:type="character" w:customStyle="1" w:styleId="292">
    <w:name w:val="标题 字符"/>
    <w:link w:val="59"/>
    <w:qFormat/>
    <w:uiPriority w:val="10"/>
    <w:rPr>
      <w:b/>
      <w:sz w:val="24"/>
      <w:lang w:val="en-GB"/>
    </w:rPr>
  </w:style>
  <w:style w:type="character" w:customStyle="1" w:styleId="293">
    <w:name w:val="font81"/>
    <w:qFormat/>
    <w:uiPriority w:val="0"/>
    <w:rPr>
      <w:rFonts w:ascii="微软雅黑" w:hAnsi="微软雅黑" w:eastAsia="微软雅黑" w:cs="微软雅黑"/>
      <w:color w:val="000000"/>
      <w:sz w:val="20"/>
      <w:szCs w:val="20"/>
      <w:u w:val="none"/>
    </w:rPr>
  </w:style>
  <w:style w:type="character" w:customStyle="1" w:styleId="294">
    <w:name w:val="Char Char312"/>
    <w:qFormat/>
    <w:uiPriority w:val="0"/>
    <w:rPr>
      <w:rFonts w:ascii="Times New Roman" w:hAnsi="Times New Roman" w:eastAsia="宋体" w:cs="Times New Roman"/>
      <w:b/>
      <w:kern w:val="2"/>
      <w:sz w:val="32"/>
      <w:szCs w:val="24"/>
      <w:lang w:val="en-US" w:eastAsia="zh-CN" w:bidi="ar-SA"/>
    </w:rPr>
  </w:style>
  <w:style w:type="character" w:customStyle="1" w:styleId="295">
    <w:name w:val="t21"/>
    <w:qFormat/>
    <w:uiPriority w:val="0"/>
    <w:rPr>
      <w:rFonts w:ascii="仿宋_GB2312" w:eastAsia="微软雅黑"/>
      <w:b/>
      <w:kern w:val="2"/>
      <w:sz w:val="23"/>
      <w:szCs w:val="23"/>
      <w:lang w:val="en-US" w:eastAsia="zh-CN" w:bidi="ar-SA"/>
    </w:rPr>
  </w:style>
  <w:style w:type="character" w:customStyle="1" w:styleId="296">
    <w:name w:val="样式8 Char"/>
    <w:qFormat/>
    <w:uiPriority w:val="0"/>
    <w:rPr>
      <w:rFonts w:ascii="仿宋_GB2312" w:hAnsi="宋体" w:eastAsia="仿宋_GB2312"/>
      <w:b/>
      <w:bCs/>
      <w:kern w:val="2"/>
      <w:sz w:val="24"/>
      <w:szCs w:val="24"/>
    </w:rPr>
  </w:style>
  <w:style w:type="character" w:customStyle="1" w:styleId="297">
    <w:name w:val="表格 Char Char"/>
    <w:qFormat/>
    <w:uiPriority w:val="0"/>
    <w:rPr>
      <w:rFonts w:ascii="宋体" w:hAnsi="宋体" w:eastAsia="宋体"/>
      <w:lang w:bidi="ar-SA"/>
    </w:rPr>
  </w:style>
  <w:style w:type="character" w:customStyle="1" w:styleId="298">
    <w:name w:val="正文文本 字符1"/>
    <w:qFormat/>
    <w:uiPriority w:val="0"/>
    <w:rPr>
      <w:rFonts w:ascii="Calibri" w:hAnsi="Calibri" w:eastAsia="黑体" w:cs="Arial"/>
      <w:snapToGrid w:val="0"/>
      <w:kern w:val="2"/>
      <w:sz w:val="28"/>
      <w:szCs w:val="21"/>
    </w:rPr>
  </w:style>
  <w:style w:type="character" w:customStyle="1" w:styleId="299">
    <w:name w:val="标题 5 字符"/>
    <w:link w:val="8"/>
    <w:qFormat/>
    <w:uiPriority w:val="9"/>
    <w:rPr>
      <w:b/>
      <w:bCs/>
      <w:kern w:val="2"/>
      <w:sz w:val="28"/>
      <w:szCs w:val="28"/>
    </w:rPr>
  </w:style>
  <w:style w:type="character" w:customStyle="1" w:styleId="300">
    <w:name w:val="标题 6 Char1"/>
    <w:qFormat/>
    <w:uiPriority w:val="0"/>
    <w:rPr>
      <w:rFonts w:ascii="Arial" w:hAnsi="Arial" w:eastAsia="黑体" w:cs="Times New Roman"/>
      <w:b/>
      <w:sz w:val="24"/>
      <w:szCs w:val="20"/>
      <w:lang w:bidi="ar-SA"/>
    </w:rPr>
  </w:style>
  <w:style w:type="character" w:customStyle="1" w:styleId="301">
    <w:name w:val="带编号样式 Char"/>
    <w:qFormat/>
    <w:uiPriority w:val="0"/>
    <w:rPr>
      <w:rFonts w:ascii="仿宋_GB2312" w:eastAsia="仿宋_GB2312"/>
      <w:color w:val="000000"/>
      <w:sz w:val="24"/>
      <w:lang w:bidi="ar-SA"/>
    </w:rPr>
  </w:style>
  <w:style w:type="character" w:customStyle="1" w:styleId="302">
    <w:name w:val="unnamed31"/>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qFormat/>
    <w:uiPriority w:val="0"/>
    <w:rPr>
      <w:rFonts w:ascii="宋体" w:eastAsia="宋体"/>
      <w:kern w:val="2"/>
      <w:sz w:val="24"/>
      <w:szCs w:val="24"/>
      <w:lang w:val="zh-CN" w:bidi="ar-SA"/>
    </w:rPr>
  </w:style>
  <w:style w:type="character" w:customStyle="1" w:styleId="304">
    <w:name w:val="称呼 字符"/>
    <w:link w:val="22"/>
    <w:qFormat/>
    <w:uiPriority w:val="0"/>
    <w:rPr>
      <w:rFonts w:ascii="仿宋_GB2312" w:eastAsia="仿宋_GB2312"/>
      <w:kern w:val="2"/>
      <w:sz w:val="28"/>
    </w:rPr>
  </w:style>
  <w:style w:type="character" w:customStyle="1" w:styleId="305">
    <w:name w:val="文本正文 Char Char"/>
    <w:qFormat/>
    <w:locked/>
    <w:uiPriority w:val="0"/>
    <w:rPr>
      <w:sz w:val="24"/>
      <w:lang w:bidi="ar-SA"/>
    </w:rPr>
  </w:style>
  <w:style w:type="character" w:customStyle="1" w:styleId="306">
    <w:name w:val="正文缩进 字符"/>
    <w:qFormat/>
    <w:uiPriority w:val="0"/>
    <w:rPr>
      <w:rFonts w:ascii="宋体" w:eastAsia="宋体"/>
      <w:snapToGrid w:val="0"/>
      <w:color w:val="000000"/>
      <w:kern w:val="28"/>
      <w:sz w:val="28"/>
      <w:lang w:val="en-US" w:eastAsia="zh-CN" w:bidi="ar-SA"/>
    </w:rPr>
  </w:style>
  <w:style w:type="character" w:customStyle="1" w:styleId="307">
    <w:name w:val="HTML 预设格式 字符"/>
    <w:link w:val="57"/>
    <w:qFormat/>
    <w:uiPriority w:val="0"/>
    <w:rPr>
      <w:rFonts w:ascii="黑体" w:hAnsi="Courier New" w:eastAsia="黑体"/>
    </w:rPr>
  </w:style>
  <w:style w:type="character" w:customStyle="1" w:styleId="308">
    <w:name w:val="正文文本 2 字符1"/>
    <w:link w:val="3"/>
    <w:qFormat/>
    <w:uiPriority w:val="0"/>
    <w:rPr>
      <w:kern w:val="2"/>
      <w:sz w:val="21"/>
      <w:szCs w:val="24"/>
    </w:rPr>
  </w:style>
  <w:style w:type="character" w:customStyle="1" w:styleId="309">
    <w:name w:val="样式 样式 标题 4h4H4Fab-4T5Ref Heading 1rh1Heading sqlsect 1.2.3.... +... Char"/>
    <w:link w:val="310"/>
    <w:qFormat/>
    <w:uiPriority w:val="0"/>
    <w:rPr>
      <w:rFonts w:ascii="微软雅黑" w:hAnsi="微软雅黑" w:eastAsia="微软雅黑"/>
      <w:b/>
      <w:bCs/>
      <w:kern w:val="2"/>
      <w:sz w:val="24"/>
      <w:szCs w:val="28"/>
    </w:rPr>
  </w:style>
  <w:style w:type="paragraph" w:customStyle="1" w:styleId="310">
    <w:name w:val="样式 样式 标题 4h4H4Fab-4T5Ref Heading 1rh1Heading sqlsect 1.2.3.... +..."/>
    <w:basedOn w:val="311"/>
    <w:link w:val="309"/>
    <w:qFormat/>
    <w:uiPriority w:val="0"/>
    <w:pPr>
      <w:tabs>
        <w:tab w:val="left" w:pos="2356"/>
      </w:tabs>
    </w:pPr>
  </w:style>
  <w:style w:type="paragraph" w:customStyle="1" w:styleId="311">
    <w:name w:val="样式 标题 4h4H4Fab-4T5Ref Heading 1rh1Heading sqlsect 1.2.3...."/>
    <w:basedOn w:val="7"/>
    <w:link w:val="41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2">
    <w:name w:val="正文非缩进 Char"/>
    <w:qFormat/>
    <w:uiPriority w:val="0"/>
    <w:rPr>
      <w:rFonts w:ascii="宋体" w:eastAsia="宋体"/>
      <w:snapToGrid w:val="0"/>
      <w:color w:val="000000"/>
      <w:kern w:val="28"/>
      <w:sz w:val="28"/>
      <w:lang w:val="en-US" w:eastAsia="zh-CN" w:bidi="ar-SA"/>
    </w:rPr>
  </w:style>
  <w:style w:type="character" w:customStyle="1" w:styleId="313">
    <w:name w:val="标题 7 字符"/>
    <w:link w:val="10"/>
    <w:qFormat/>
    <w:uiPriority w:val="0"/>
    <w:rPr>
      <w:b/>
      <w:bCs/>
      <w:kern w:val="2"/>
      <w:sz w:val="24"/>
      <w:szCs w:val="24"/>
    </w:rPr>
  </w:style>
  <w:style w:type="character" w:customStyle="1" w:styleId="314">
    <w:name w:val="正文文本缩进 2 字符"/>
    <w:link w:val="38"/>
    <w:qFormat/>
    <w:uiPriority w:val="0"/>
    <w:rPr>
      <w:rFonts w:ascii="宋体"/>
      <w:sz w:val="28"/>
    </w:rPr>
  </w:style>
  <w:style w:type="character" w:customStyle="1" w:styleId="315">
    <w:name w:val="Char Char5"/>
    <w:qFormat/>
    <w:uiPriority w:val="0"/>
    <w:rPr>
      <w:rFonts w:ascii="宋体" w:hAnsi="Courier New" w:eastAsia="宋体"/>
      <w:kern w:val="2"/>
      <w:sz w:val="21"/>
      <w:lang w:val="en-US" w:eastAsia="zh-CN"/>
    </w:rPr>
  </w:style>
  <w:style w:type="character" w:customStyle="1" w:styleId="316">
    <w:name w:val="脚注文本 字符"/>
    <w:link w:val="51"/>
    <w:qFormat/>
    <w:uiPriority w:val="0"/>
    <w:rPr>
      <w:color w:val="0000FF"/>
      <w:sz w:val="21"/>
    </w:rPr>
  </w:style>
  <w:style w:type="character" w:customStyle="1" w:styleId="317">
    <w:name w:val="称呼 Char1"/>
    <w:qFormat/>
    <w:uiPriority w:val="0"/>
    <w:rPr>
      <w:rFonts w:ascii="Times New Roman" w:hAnsi="Times New Roman" w:eastAsia="宋体" w:cs="Times New Roman"/>
      <w:szCs w:val="24"/>
    </w:rPr>
  </w:style>
  <w:style w:type="character" w:customStyle="1" w:styleId="318">
    <w:name w:val="正文1 Char"/>
    <w:qFormat/>
    <w:uiPriority w:val="0"/>
    <w:rPr>
      <w:rFonts w:ascii="宋体" w:eastAsia="宋体"/>
      <w:snapToGrid w:val="0"/>
      <w:color w:val="000000"/>
      <w:kern w:val="28"/>
      <w:sz w:val="28"/>
      <w:lang w:val="en-US" w:eastAsia="zh-CN" w:bidi="ar-SA"/>
    </w:rPr>
  </w:style>
  <w:style w:type="character" w:customStyle="1" w:styleId="319">
    <w:name w:val="正文缩进 Char1"/>
    <w:qFormat/>
    <w:uiPriority w:val="0"/>
    <w:rPr>
      <w:rFonts w:ascii="宋体" w:eastAsia="宋体"/>
      <w:snapToGrid w:val="0"/>
      <w:color w:val="000000"/>
      <w:kern w:val="28"/>
      <w:sz w:val="28"/>
      <w:lang w:val="en-US" w:eastAsia="zh-CN" w:bidi="ar-SA"/>
    </w:rPr>
  </w:style>
  <w:style w:type="character" w:customStyle="1" w:styleId="320">
    <w:name w:val="font21"/>
    <w:basedOn w:val="70"/>
    <w:qFormat/>
    <w:uiPriority w:val="0"/>
    <w:rPr>
      <w:rFonts w:hint="eastAsia" w:ascii="宋体" w:hAnsi="宋体" w:eastAsia="宋体"/>
      <w:kern w:val="2"/>
      <w:sz w:val="28"/>
      <w:szCs w:val="28"/>
      <w:lang w:val="en-US" w:eastAsia="zh-CN" w:bidi="ar-SA"/>
    </w:rPr>
  </w:style>
  <w:style w:type="character" w:customStyle="1" w:styleId="321">
    <w:name w:val="Char Char26"/>
    <w:qFormat/>
    <w:uiPriority w:val="6"/>
    <w:rPr>
      <w:kern w:val="1"/>
      <w:sz w:val="21"/>
      <w:szCs w:val="24"/>
    </w:rPr>
  </w:style>
  <w:style w:type="character" w:customStyle="1" w:styleId="322">
    <w:name w:val="Item List Char"/>
    <w:link w:val="323"/>
    <w:qFormat/>
    <w:uiPriority w:val="0"/>
    <w:rPr>
      <w:rFonts w:ascii="Arial"/>
      <w:bCs/>
      <w:sz w:val="21"/>
      <w:szCs w:val="21"/>
      <w:lang w:val="en-US" w:eastAsia="zh-CN" w:bidi="ar-SA"/>
    </w:rPr>
  </w:style>
  <w:style w:type="paragraph" w:customStyle="1" w:styleId="323">
    <w:name w:val="Item List"/>
    <w:link w:val="322"/>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4">
    <w:name w:val="批注框文本 Char1"/>
    <w:qFormat/>
    <w:uiPriority w:val="0"/>
    <w:rPr>
      <w:rFonts w:ascii="Times New Roman" w:hAnsi="Times New Roman" w:eastAsia="宋体" w:cs="Times New Roman"/>
      <w:sz w:val="18"/>
      <w:szCs w:val="18"/>
    </w:rPr>
  </w:style>
  <w:style w:type="character" w:customStyle="1" w:styleId="325">
    <w:name w:val="纯文本 Char1"/>
    <w:link w:val="326"/>
    <w:qFormat/>
    <w:uiPriority w:val="0"/>
    <w:rPr>
      <w:rFonts w:ascii="宋体" w:hAnsi="Courier New"/>
    </w:rPr>
  </w:style>
  <w:style w:type="paragraph" w:customStyle="1" w:styleId="326">
    <w:name w:val="纯文本1"/>
    <w:basedOn w:val="1"/>
    <w:link w:val="325"/>
    <w:qFormat/>
    <w:uiPriority w:val="0"/>
    <w:pPr>
      <w:adjustRightInd/>
    </w:pPr>
    <w:rPr>
      <w:rFonts w:ascii="宋体" w:hAnsi="Courier New"/>
      <w:kern w:val="0"/>
      <w:sz w:val="20"/>
      <w:szCs w:val="20"/>
    </w:rPr>
  </w:style>
  <w:style w:type="character" w:customStyle="1" w:styleId="327">
    <w:name w:val="正文文本首行缩进 字符"/>
    <w:link w:val="61"/>
    <w:qFormat/>
    <w:uiPriority w:val="0"/>
    <w:rPr>
      <w:rFonts w:ascii="宋体"/>
      <w:kern w:val="2"/>
      <w:sz w:val="24"/>
      <w:lang w:val="zh-CN"/>
    </w:rPr>
  </w:style>
  <w:style w:type="character" w:customStyle="1" w:styleId="328">
    <w:name w:val="h3 Char"/>
    <w:qFormat/>
    <w:uiPriority w:val="0"/>
    <w:rPr>
      <w:rFonts w:eastAsia="宋体"/>
      <w:b/>
      <w:kern w:val="2"/>
      <w:sz w:val="32"/>
      <w:lang w:val="en-US" w:eastAsia="zh-CN" w:bidi="ar-SA"/>
    </w:rPr>
  </w:style>
  <w:style w:type="character" w:customStyle="1" w:styleId="329">
    <w:name w:val="dandyren_title1"/>
    <w:qFormat/>
    <w:uiPriority w:val="0"/>
    <w:rPr>
      <w:b/>
      <w:bCs/>
      <w:color w:val="FF6633"/>
      <w:sz w:val="18"/>
      <w:szCs w:val="18"/>
    </w:rPr>
  </w:style>
  <w:style w:type="character" w:customStyle="1" w:styleId="330">
    <w:name w:val="Char Char31"/>
    <w:qFormat/>
    <w:uiPriority w:val="6"/>
    <w:rPr>
      <w:rFonts w:ascii="Arial" w:hAnsi="Arial" w:eastAsia="黑体"/>
      <w:kern w:val="1"/>
      <w:sz w:val="24"/>
      <w:szCs w:val="24"/>
    </w:rPr>
  </w:style>
  <w:style w:type="character" w:customStyle="1" w:styleId="331">
    <w:name w:val="h Char1"/>
    <w:qFormat/>
    <w:uiPriority w:val="0"/>
    <w:rPr>
      <w:sz w:val="18"/>
      <w:szCs w:val="18"/>
    </w:rPr>
  </w:style>
  <w:style w:type="character" w:customStyle="1" w:styleId="332">
    <w:name w:val="solutionfonts"/>
    <w:qFormat/>
    <w:uiPriority w:val="0"/>
  </w:style>
  <w:style w:type="character" w:customStyle="1" w:styleId="333">
    <w:name w:val="标题 4 字符1"/>
    <w:link w:val="7"/>
    <w:qFormat/>
    <w:uiPriority w:val="9"/>
    <w:rPr>
      <w:rFonts w:ascii="Arial" w:hAnsi="Arial" w:eastAsia="黑体"/>
      <w:b/>
      <w:bCs/>
      <w:kern w:val="2"/>
      <w:sz w:val="28"/>
      <w:szCs w:val="28"/>
      <w:lang w:val="zh-CN"/>
    </w:rPr>
  </w:style>
  <w:style w:type="character" w:customStyle="1" w:styleId="334">
    <w:name w:val="首行缩进 Char"/>
    <w:qFormat/>
    <w:uiPriority w:val="0"/>
    <w:rPr>
      <w:rFonts w:ascii="宋体" w:eastAsia="宋体"/>
      <w:kern w:val="2"/>
      <w:sz w:val="24"/>
      <w:lang w:val="en-US" w:eastAsia="zh-CN" w:bidi="ar-SA"/>
    </w:rPr>
  </w:style>
  <w:style w:type="character" w:customStyle="1" w:styleId="335">
    <w:name w:val="Char Char52"/>
    <w:qFormat/>
    <w:uiPriority w:val="0"/>
    <w:rPr>
      <w:rFonts w:ascii="宋体" w:hAnsi="Courier New" w:eastAsia="宋体"/>
      <w:kern w:val="2"/>
      <w:sz w:val="21"/>
      <w:lang w:val="en-US" w:eastAsia="zh-CN"/>
    </w:rPr>
  </w:style>
  <w:style w:type="character" w:customStyle="1" w:styleId="336">
    <w:name w:val="正文文本 3 字符"/>
    <w:link w:val="23"/>
    <w:qFormat/>
    <w:uiPriority w:val="0"/>
    <w:rPr>
      <w:kern w:val="2"/>
      <w:sz w:val="21"/>
    </w:rPr>
  </w:style>
  <w:style w:type="character" w:customStyle="1" w:styleId="337">
    <w:name w:val="font31"/>
    <w:qFormat/>
    <w:uiPriority w:val="0"/>
    <w:rPr>
      <w:rFonts w:hint="eastAsia" w:ascii="仿宋" w:hAnsi="仿宋" w:eastAsia="仿宋" w:cs="仿宋"/>
      <w:color w:val="000000"/>
      <w:sz w:val="20"/>
      <w:szCs w:val="20"/>
      <w:u w:val="none"/>
    </w:rPr>
  </w:style>
  <w:style w:type="character" w:customStyle="1" w:styleId="338">
    <w:name w:val="正文说明 Char"/>
    <w:link w:val="339"/>
    <w:qFormat/>
    <w:uiPriority w:val="0"/>
    <w:rPr>
      <w:sz w:val="24"/>
      <w:szCs w:val="24"/>
    </w:rPr>
  </w:style>
  <w:style w:type="paragraph" w:customStyle="1" w:styleId="339">
    <w:name w:val="正文说明"/>
    <w:basedOn w:val="1"/>
    <w:link w:val="338"/>
    <w:qFormat/>
    <w:uiPriority w:val="0"/>
    <w:pPr>
      <w:adjustRightInd/>
      <w:spacing w:line="360" w:lineRule="auto"/>
    </w:pPr>
    <w:rPr>
      <w:kern w:val="0"/>
      <w:sz w:val="24"/>
    </w:rPr>
  </w:style>
  <w:style w:type="character" w:customStyle="1" w:styleId="340">
    <w:name w:val="脚注文本 Char1"/>
    <w:qFormat/>
    <w:uiPriority w:val="0"/>
    <w:rPr>
      <w:rFonts w:ascii="Times New Roman" w:hAnsi="Times New Roman" w:eastAsia="宋体" w:cs="Times New Roman"/>
      <w:sz w:val="18"/>
      <w:szCs w:val="18"/>
    </w:rPr>
  </w:style>
  <w:style w:type="character" w:customStyle="1" w:styleId="341">
    <w:name w:val="Char Char1211"/>
    <w:qFormat/>
    <w:uiPriority w:val="0"/>
    <w:rPr>
      <w:rFonts w:ascii="仿宋_GB2312" w:eastAsia="仿宋_GB2312"/>
      <w:b/>
      <w:bCs/>
      <w:kern w:val="2"/>
      <w:sz w:val="24"/>
      <w:szCs w:val="24"/>
      <w:lang w:val="zh-CN" w:eastAsia="zh-CN" w:bidi="ar-SA"/>
    </w:rPr>
  </w:style>
  <w:style w:type="character" w:customStyle="1" w:styleId="342">
    <w:name w:val="标题 Char"/>
    <w:qFormat/>
    <w:uiPriority w:val="0"/>
    <w:rPr>
      <w:rFonts w:eastAsia="宋体"/>
      <w:b/>
      <w:sz w:val="24"/>
      <w:lang w:val="en-GB" w:eastAsia="zh-CN" w:bidi="ar-SA"/>
    </w:rPr>
  </w:style>
  <w:style w:type="character" w:customStyle="1" w:styleId="343">
    <w:name w:val="Char Char35"/>
    <w:qFormat/>
    <w:uiPriority w:val="6"/>
    <w:rPr>
      <w:rFonts w:ascii="Arial" w:hAnsi="Arial" w:eastAsia="黑体"/>
      <w:b/>
      <w:kern w:val="1"/>
      <w:sz w:val="28"/>
      <w:szCs w:val="28"/>
      <w:lang w:val="zh-CN"/>
    </w:rPr>
  </w:style>
  <w:style w:type="character" w:customStyle="1" w:styleId="344">
    <w:name w:val="纯文本 Char Char Char"/>
    <w:qFormat/>
    <w:uiPriority w:val="0"/>
    <w:rPr>
      <w:rFonts w:ascii="宋体" w:hAnsi="Courier New" w:eastAsia="宋体"/>
      <w:kern w:val="2"/>
      <w:sz w:val="21"/>
      <w:lang w:val="en-US" w:eastAsia="zh-CN" w:bidi="ar-SA"/>
    </w:rPr>
  </w:style>
  <w:style w:type="character" w:customStyle="1" w:styleId="345">
    <w:name w:val="Table Text Char"/>
    <w:link w:val="346"/>
    <w:qFormat/>
    <w:uiPriority w:val="0"/>
    <w:rPr>
      <w:sz w:val="24"/>
      <w:szCs w:val="24"/>
    </w:rPr>
  </w:style>
  <w:style w:type="paragraph" w:customStyle="1" w:styleId="346">
    <w:name w:val="Table Text"/>
    <w:basedOn w:val="1"/>
    <w:link w:val="345"/>
    <w:qFormat/>
    <w:uiPriority w:val="0"/>
    <w:pPr>
      <w:widowControl/>
      <w:spacing w:before="60" w:after="60"/>
      <w:jc w:val="left"/>
    </w:pPr>
    <w:rPr>
      <w:kern w:val="0"/>
      <w:sz w:val="24"/>
    </w:rPr>
  </w:style>
  <w:style w:type="character" w:customStyle="1" w:styleId="347">
    <w:name w:val="正文1 Char1"/>
    <w:qFormat/>
    <w:uiPriority w:val="0"/>
    <w:rPr>
      <w:rFonts w:ascii="仿宋_GB2312" w:hAnsi="Courier New" w:eastAsia="仿宋_GB2312"/>
      <w:kern w:val="28"/>
      <w:sz w:val="24"/>
      <w:szCs w:val="24"/>
      <w:lang w:val="en-US" w:eastAsia="zh-CN"/>
    </w:rPr>
  </w:style>
  <w:style w:type="character" w:customStyle="1" w:styleId="348">
    <w:name w:val="页脚 Char1"/>
    <w:qFormat/>
    <w:uiPriority w:val="0"/>
    <w:rPr>
      <w:rFonts w:eastAsia="宋体"/>
      <w:kern w:val="2"/>
      <w:sz w:val="18"/>
      <w:szCs w:val="18"/>
      <w:lang w:val="en-US" w:eastAsia="zh-CN" w:bidi="ar-SA"/>
    </w:rPr>
  </w:style>
  <w:style w:type="character" w:customStyle="1" w:styleId="349">
    <w:name w:val="Bold"/>
    <w:qFormat/>
    <w:uiPriority w:val="0"/>
    <w:rPr>
      <w:rFonts w:ascii="Arial" w:hAnsi="Arial" w:eastAsia="黑体" w:cs="Times New Roman"/>
      <w:b/>
      <w:kern w:val="2"/>
      <w:sz w:val="32"/>
      <w:szCs w:val="32"/>
      <w:lang w:val="en-US" w:eastAsia="zh-CN" w:bidi="ar-SA"/>
    </w:rPr>
  </w:style>
  <w:style w:type="character" w:customStyle="1" w:styleId="350">
    <w:name w:val="批注文字 字符1"/>
    <w:link w:val="21"/>
    <w:qFormat/>
    <w:uiPriority w:val="0"/>
    <w:rPr>
      <w:kern w:val="2"/>
      <w:sz w:val="21"/>
      <w:szCs w:val="24"/>
    </w:rPr>
  </w:style>
  <w:style w:type="character" w:customStyle="1" w:styleId="351">
    <w:name w:val="签名 字符"/>
    <w:link w:val="43"/>
    <w:qFormat/>
    <w:uiPriority w:val="0"/>
    <w:rPr>
      <w:rFonts w:eastAsia="仿宋_GB2312"/>
      <w:sz w:val="24"/>
    </w:rPr>
  </w:style>
  <w:style w:type="character" w:customStyle="1" w:styleId="352">
    <w:name w:val="hui3"/>
    <w:qFormat/>
    <w:uiPriority w:val="0"/>
    <w:rPr>
      <w:color w:val="333333"/>
    </w:rPr>
  </w:style>
  <w:style w:type="character" w:customStyle="1" w:styleId="353">
    <w:name w:val="Char Char17"/>
    <w:qFormat/>
    <w:uiPriority w:val="6"/>
    <w:rPr>
      <w:rFonts w:eastAsia="仿宋_GB2312"/>
      <w:sz w:val="24"/>
    </w:rPr>
  </w:style>
  <w:style w:type="character" w:customStyle="1" w:styleId="354">
    <w:name w:val="标题 4 字符"/>
    <w:qFormat/>
    <w:uiPriority w:val="9"/>
    <w:rPr>
      <w:rFonts w:ascii="等线 Light" w:hAnsi="等线 Light" w:eastAsia="等线 Light" w:cs="Times New Roman"/>
      <w:b/>
      <w:bCs/>
      <w:snapToGrid w:val="0"/>
      <w:kern w:val="0"/>
      <w:sz w:val="28"/>
      <w:szCs w:val="28"/>
    </w:rPr>
  </w:style>
  <w:style w:type="character" w:customStyle="1" w:styleId="355">
    <w:name w:val="Char Char37"/>
    <w:qFormat/>
    <w:uiPriority w:val="6"/>
    <w:rPr>
      <w:b/>
      <w:kern w:val="1"/>
      <w:sz w:val="44"/>
      <w:szCs w:val="44"/>
    </w:rPr>
  </w:style>
  <w:style w:type="character" w:customStyle="1" w:styleId="356">
    <w:name w:val="列出段落 Char"/>
    <w:qFormat/>
    <w:uiPriority w:val="0"/>
    <w:rPr>
      <w:rFonts w:eastAsia="楷体_GB2312" w:cs="Lucida Sans"/>
      <w:kern w:val="2"/>
      <w:sz w:val="24"/>
      <w:szCs w:val="24"/>
      <w:lang w:val="en-US" w:eastAsia="zh-CN" w:bidi="ar-SA"/>
    </w:rPr>
  </w:style>
  <w:style w:type="character" w:customStyle="1" w:styleId="357">
    <w:name w:val="正文文本缩进 3 Char1"/>
    <w:semiHidden/>
    <w:qFormat/>
    <w:uiPriority w:val="99"/>
    <w:rPr>
      <w:rFonts w:ascii="Times New Roman" w:hAnsi="Times New Roman" w:eastAsia="宋体" w:cs="Times New Roman"/>
      <w:sz w:val="16"/>
      <w:szCs w:val="16"/>
    </w:rPr>
  </w:style>
  <w:style w:type="character" w:customStyle="1" w:styleId="358">
    <w:name w:val="公文正文 Char Char"/>
    <w:link w:val="359"/>
    <w:qFormat/>
    <w:uiPriority w:val="0"/>
    <w:rPr>
      <w:rFonts w:ascii="仿宋_GB2312" w:eastAsia="仿宋_GB2312"/>
      <w:kern w:val="2"/>
      <w:sz w:val="24"/>
      <w:szCs w:val="24"/>
    </w:rPr>
  </w:style>
  <w:style w:type="paragraph" w:customStyle="1" w:styleId="359">
    <w:name w:val="公文正文"/>
    <w:basedOn w:val="1"/>
    <w:link w:val="358"/>
    <w:qFormat/>
    <w:uiPriority w:val="0"/>
    <w:pPr>
      <w:adjustRightInd/>
      <w:spacing w:before="156" w:line="360" w:lineRule="auto"/>
      <w:ind w:firstLine="360" w:firstLineChars="200"/>
    </w:pPr>
    <w:rPr>
      <w:rFonts w:ascii="仿宋_GB2312" w:eastAsia="仿宋_GB2312"/>
      <w:sz w:val="24"/>
    </w:rPr>
  </w:style>
  <w:style w:type="character" w:customStyle="1" w:styleId="360">
    <w:name w:val="Table Text Char1"/>
    <w:qFormat/>
    <w:uiPriority w:val="0"/>
    <w:rPr>
      <w:rFonts w:eastAsia="宋体"/>
      <w:sz w:val="24"/>
      <w:szCs w:val="24"/>
      <w:lang w:val="en-US" w:eastAsia="zh-CN" w:bidi="ar-SA"/>
    </w:rPr>
  </w:style>
  <w:style w:type="character" w:customStyle="1" w:styleId="361">
    <w:name w:val="标题 1 Char Char"/>
    <w:qFormat/>
    <w:uiPriority w:val="0"/>
    <w:rPr>
      <w:rFonts w:hint="eastAsia" w:ascii="宋体" w:hAnsi="宋体" w:eastAsia="宋体"/>
      <w:b/>
      <w:spacing w:val="-2"/>
      <w:sz w:val="24"/>
      <w:lang w:val="en-US" w:eastAsia="zh-CN" w:bidi="ar-SA"/>
    </w:rPr>
  </w:style>
  <w:style w:type="character" w:customStyle="1" w:styleId="362">
    <w:name w:val="正文（缩进2汉字） Char"/>
    <w:link w:val="363"/>
    <w:qFormat/>
    <w:uiPriority w:val="0"/>
    <w:rPr>
      <w:rFonts w:ascii="宋体"/>
    </w:rPr>
  </w:style>
  <w:style w:type="paragraph" w:customStyle="1" w:styleId="363">
    <w:name w:val="正文（缩进2汉字）"/>
    <w:basedOn w:val="1"/>
    <w:link w:val="362"/>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4">
    <w:name w:val="标题 8 字符"/>
    <w:link w:val="11"/>
    <w:qFormat/>
    <w:uiPriority w:val="0"/>
    <w:rPr>
      <w:rFonts w:ascii="Arial" w:hAnsi="Arial" w:eastAsia="黑体"/>
      <w:kern w:val="2"/>
      <w:sz w:val="24"/>
      <w:szCs w:val="24"/>
    </w:rPr>
  </w:style>
  <w:style w:type="character" w:customStyle="1" w:styleId="365">
    <w:name w:val="标书表格字体格式 Char"/>
    <w:qFormat/>
    <w:uiPriority w:val="0"/>
    <w:rPr>
      <w:kern w:val="2"/>
      <w:sz w:val="21"/>
      <w:szCs w:val="24"/>
      <w:lang w:bidi="ar-SA"/>
    </w:rPr>
  </w:style>
  <w:style w:type="character" w:customStyle="1" w:styleId="366">
    <w:name w:val="tw4winError"/>
    <w:qFormat/>
    <w:uiPriority w:val="0"/>
    <w:rPr>
      <w:rFonts w:ascii="Courier New" w:hAnsi="Courier New" w:cs="Courier New"/>
      <w:color w:val="00FF00"/>
      <w:sz w:val="40"/>
      <w:szCs w:val="40"/>
    </w:rPr>
  </w:style>
  <w:style w:type="character" w:customStyle="1" w:styleId="367">
    <w:name w:val="Body Text(ch) Char Char"/>
    <w:qFormat/>
    <w:uiPriority w:val="0"/>
    <w:rPr>
      <w:rFonts w:ascii="宋体"/>
      <w:kern w:val="2"/>
      <w:sz w:val="24"/>
      <w:szCs w:val="21"/>
      <w:lang w:val="zh-CN"/>
    </w:rPr>
  </w:style>
  <w:style w:type="character" w:customStyle="1" w:styleId="368">
    <w:name w:val="正文首行缩进两字 Char"/>
    <w:qFormat/>
    <w:uiPriority w:val="0"/>
    <w:rPr>
      <w:sz w:val="24"/>
      <w:szCs w:val="24"/>
      <w:lang w:val="en-US" w:eastAsia="zh-CN" w:bidi="ar-SA"/>
    </w:rPr>
  </w:style>
  <w:style w:type="character" w:customStyle="1" w:styleId="369">
    <w:name w:val="正文文本 Char"/>
    <w:qFormat/>
    <w:uiPriority w:val="0"/>
    <w:rPr>
      <w:rFonts w:eastAsia="宋体"/>
      <w:kern w:val="2"/>
      <w:sz w:val="24"/>
      <w:szCs w:val="24"/>
      <w:lang w:val="en-US" w:eastAsia="zh-CN" w:bidi="ar-SA"/>
    </w:rPr>
  </w:style>
  <w:style w:type="character" w:customStyle="1" w:styleId="370">
    <w:name w:val="文档结构图 字符1"/>
    <w:qFormat/>
    <w:uiPriority w:val="0"/>
    <w:rPr>
      <w:rFonts w:ascii="宋体" w:hAnsi="Calibri" w:eastAsia="黑体" w:cs="Arial"/>
      <w:snapToGrid w:val="0"/>
      <w:kern w:val="2"/>
      <w:sz w:val="18"/>
      <w:szCs w:val="18"/>
    </w:rPr>
  </w:style>
  <w:style w:type="character" w:customStyle="1" w:styleId="371">
    <w:name w:val="content"/>
    <w:qFormat/>
    <w:uiPriority w:val="0"/>
  </w:style>
  <w:style w:type="character" w:customStyle="1" w:styleId="372">
    <w:name w:val="tw4winPopup"/>
    <w:qFormat/>
    <w:uiPriority w:val="0"/>
    <w:rPr>
      <w:rFonts w:ascii="Courier New" w:hAnsi="Courier New" w:cs="Courier New"/>
      <w:color w:val="008000"/>
      <w:lang w:val="en-US" w:eastAsia="zh-CN"/>
    </w:rPr>
  </w:style>
  <w:style w:type="character" w:customStyle="1" w:styleId="373">
    <w:name w:val="param-name"/>
    <w:qFormat/>
    <w:uiPriority w:val="99"/>
    <w:rPr>
      <w:rFonts w:ascii="Arial" w:hAnsi="Arial" w:eastAsia="黑体" w:cs="Arial"/>
      <w:snapToGrid w:val="0"/>
      <w:kern w:val="0"/>
      <w:szCs w:val="21"/>
    </w:rPr>
  </w:style>
  <w:style w:type="character" w:customStyle="1" w:styleId="374">
    <w:name w:val="标准正文格式 Char"/>
    <w:qFormat/>
    <w:uiPriority w:val="0"/>
    <w:rPr>
      <w:rFonts w:ascii="宋体" w:eastAsia="仿宋_GB2312" w:cs="宋体"/>
      <w:color w:val="000000"/>
      <w:sz w:val="24"/>
      <w:lang w:val="en-US" w:eastAsia="zh-CN" w:bidi="ar-SA"/>
    </w:rPr>
  </w:style>
  <w:style w:type="character" w:customStyle="1" w:styleId="375">
    <w:name w:val="Char Char212"/>
    <w:qFormat/>
    <w:uiPriority w:val="0"/>
    <w:rPr>
      <w:rFonts w:eastAsia="宋体"/>
      <w:b/>
      <w:bCs/>
      <w:kern w:val="2"/>
      <w:sz w:val="21"/>
      <w:szCs w:val="24"/>
      <w:lang w:val="en-US" w:eastAsia="zh-CN" w:bidi="ar-SA"/>
    </w:rPr>
  </w:style>
  <w:style w:type="character" w:customStyle="1" w:styleId="376">
    <w:name w:val="文档结构图 Char"/>
    <w:qFormat/>
    <w:uiPriority w:val="0"/>
    <w:rPr>
      <w:rFonts w:eastAsia="宋体"/>
      <w:kern w:val="2"/>
      <w:sz w:val="21"/>
      <w:szCs w:val="24"/>
      <w:lang w:val="en-US" w:eastAsia="zh-CN" w:bidi="ar-SA"/>
    </w:rPr>
  </w:style>
  <w:style w:type="character" w:customStyle="1" w:styleId="377">
    <w:name w:val="zbggmain style9"/>
    <w:qFormat/>
    <w:uiPriority w:val="0"/>
  </w:style>
  <w:style w:type="character" w:customStyle="1" w:styleId="378">
    <w:name w:val="Char Char16"/>
    <w:qFormat/>
    <w:uiPriority w:val="6"/>
    <w:rPr>
      <w:kern w:val="1"/>
      <w:sz w:val="18"/>
      <w:szCs w:val="18"/>
    </w:rPr>
  </w:style>
  <w:style w:type="character" w:customStyle="1" w:styleId="379">
    <w:name w:val="font51"/>
    <w:basedOn w:val="70"/>
    <w:qFormat/>
    <w:uiPriority w:val="0"/>
    <w:rPr>
      <w:rFonts w:hint="eastAsia" w:ascii="仿宋" w:hAnsi="仿宋" w:eastAsia="仿宋" w:cs="仿宋"/>
      <w:color w:val="000000"/>
      <w:sz w:val="20"/>
      <w:szCs w:val="20"/>
      <w:u w:val="none"/>
    </w:rPr>
  </w:style>
  <w:style w:type="character" w:customStyle="1" w:styleId="380">
    <w:name w:val="Char Char82"/>
    <w:qFormat/>
    <w:uiPriority w:val="0"/>
    <w:rPr>
      <w:rFonts w:eastAsia="宋体"/>
      <w:b/>
      <w:sz w:val="24"/>
      <w:lang w:val="en-GB" w:eastAsia="zh-CN"/>
    </w:rPr>
  </w:style>
  <w:style w:type="character" w:customStyle="1" w:styleId="381">
    <w:name w:val="正文文本缩进 3 字符"/>
    <w:link w:val="54"/>
    <w:qFormat/>
    <w:uiPriority w:val="0"/>
    <w:rPr>
      <w:kern w:val="2"/>
      <w:sz w:val="24"/>
    </w:rPr>
  </w:style>
  <w:style w:type="character" w:customStyle="1" w:styleId="382">
    <w:name w:val="日期 Char1"/>
    <w:semiHidden/>
    <w:qFormat/>
    <w:uiPriority w:val="99"/>
    <w:rPr>
      <w:rFonts w:ascii="Times New Roman" w:hAnsi="Times New Roman" w:eastAsia="宋体" w:cs="Times New Roman"/>
      <w:szCs w:val="24"/>
    </w:rPr>
  </w:style>
  <w:style w:type="character" w:customStyle="1" w:styleId="383">
    <w:name w:val="页眉 字符"/>
    <w:qFormat/>
    <w:uiPriority w:val="99"/>
    <w:rPr>
      <w:kern w:val="2"/>
      <w:sz w:val="18"/>
      <w:szCs w:val="18"/>
    </w:rPr>
  </w:style>
  <w:style w:type="character" w:customStyle="1" w:styleId="384">
    <w:name w:val="Char Char33"/>
    <w:qFormat/>
    <w:uiPriority w:val="6"/>
    <w:rPr>
      <w:rFonts w:ascii="Arial" w:hAnsi="Arial" w:eastAsia="黑体"/>
      <w:b/>
      <w:kern w:val="1"/>
      <w:sz w:val="24"/>
      <w:szCs w:val="24"/>
    </w:rPr>
  </w:style>
  <w:style w:type="character" w:customStyle="1" w:styleId="385">
    <w:name w:val="b11_01b Char"/>
    <w:link w:val="386"/>
    <w:qFormat/>
    <w:uiPriority w:val="0"/>
    <w:rPr>
      <w:rFonts w:ascii="Verdana" w:hAnsi="Verdana"/>
      <w:b/>
      <w:bCs/>
      <w:color w:val="4A82CA"/>
      <w:sz w:val="17"/>
      <w:szCs w:val="17"/>
    </w:rPr>
  </w:style>
  <w:style w:type="paragraph" w:customStyle="1" w:styleId="386">
    <w:name w:val="b11_01b"/>
    <w:basedOn w:val="1"/>
    <w:next w:val="1"/>
    <w:link w:val="385"/>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7">
    <w:name w:val="Char Char121"/>
    <w:qFormat/>
    <w:uiPriority w:val="6"/>
    <w:rPr>
      <w:rFonts w:ascii="仿宋_GB2312" w:eastAsia="仿宋_GB2312"/>
      <w:b/>
      <w:bCs/>
      <w:kern w:val="2"/>
      <w:sz w:val="24"/>
      <w:szCs w:val="24"/>
      <w:lang w:val="zh-CN" w:eastAsia="zh-CN" w:bidi="ar-SA"/>
    </w:rPr>
  </w:style>
  <w:style w:type="character" w:customStyle="1" w:styleId="388">
    <w:name w:val="Footer-Even Char"/>
    <w:qFormat/>
    <w:uiPriority w:val="0"/>
    <w:rPr>
      <w:rFonts w:eastAsia="宋体"/>
      <w:kern w:val="2"/>
      <w:sz w:val="18"/>
      <w:lang w:val="en-US" w:eastAsia="zh-CN" w:bidi="ar-SA"/>
    </w:rPr>
  </w:style>
  <w:style w:type="character" w:customStyle="1" w:styleId="389">
    <w:name w:val="页脚 字符2"/>
    <w:link w:val="41"/>
    <w:qFormat/>
    <w:locked/>
    <w:uiPriority w:val="99"/>
    <w:rPr>
      <w:kern w:val="2"/>
      <w:sz w:val="18"/>
      <w:szCs w:val="18"/>
    </w:rPr>
  </w:style>
  <w:style w:type="character" w:customStyle="1" w:styleId="390">
    <w:name w:val="Char Char36"/>
    <w:qFormat/>
    <w:uiPriority w:val="6"/>
    <w:rPr>
      <w:rFonts w:ascii="仿宋_GB2312" w:hAnsi="仿宋_GB2312" w:eastAsia="仿宋_GB2312" w:cs="Arial"/>
      <w:b/>
      <w:kern w:val="1"/>
      <w:sz w:val="32"/>
      <w:szCs w:val="32"/>
      <w:lang w:val="zh-CN" w:eastAsia="zh-CN" w:bidi="ar-SA"/>
    </w:rPr>
  </w:style>
  <w:style w:type="character" w:customStyle="1" w:styleId="391">
    <w:name w:val="Char Char61"/>
    <w:qFormat/>
    <w:uiPriority w:val="6"/>
    <w:rPr>
      <w:rFonts w:eastAsia="宋体"/>
      <w:kern w:val="2"/>
      <w:sz w:val="21"/>
      <w:szCs w:val="24"/>
      <w:lang w:val="en-US" w:eastAsia="zh-CN" w:bidi="ar-SA"/>
    </w:rPr>
  </w:style>
  <w:style w:type="character" w:customStyle="1" w:styleId="392">
    <w:name w:val="正文文字缩进 2 Char Char"/>
    <w:qFormat/>
    <w:uiPriority w:val="0"/>
    <w:rPr>
      <w:rFonts w:ascii="宋体"/>
      <w:sz w:val="28"/>
    </w:rPr>
  </w:style>
  <w:style w:type="character" w:customStyle="1" w:styleId="393">
    <w:name w:val="f141"/>
    <w:qFormat/>
    <w:uiPriority w:val="0"/>
    <w:rPr>
      <w:rFonts w:ascii="Tahoma" w:hAnsi="Tahoma" w:eastAsia="宋体"/>
      <w:b/>
      <w:kern w:val="2"/>
      <w:sz w:val="21"/>
      <w:szCs w:val="21"/>
      <w:lang w:val="en-US" w:eastAsia="zh-CN" w:bidi="ar-SA"/>
    </w:rPr>
  </w:style>
  <w:style w:type="character" w:customStyle="1" w:styleId="394">
    <w:name w:val="段落 Char Char"/>
    <w:link w:val="395"/>
    <w:qFormat/>
    <w:uiPriority w:val="0"/>
    <w:rPr>
      <w:rFonts w:ascii="宋体" w:hAnsi="宋体"/>
      <w:sz w:val="24"/>
    </w:rPr>
  </w:style>
  <w:style w:type="paragraph" w:customStyle="1" w:styleId="395">
    <w:name w:val="段落"/>
    <w:basedOn w:val="1"/>
    <w:link w:val="394"/>
    <w:qFormat/>
    <w:uiPriority w:val="0"/>
    <w:pPr>
      <w:adjustRightInd/>
      <w:spacing w:line="360" w:lineRule="auto"/>
      <w:ind w:firstLine="480" w:firstLineChars="200"/>
    </w:pPr>
    <w:rPr>
      <w:rFonts w:ascii="宋体" w:hAnsi="宋体"/>
      <w:kern w:val="0"/>
      <w:sz w:val="24"/>
      <w:szCs w:val="20"/>
    </w:rPr>
  </w:style>
  <w:style w:type="character" w:customStyle="1" w:styleId="396">
    <w:name w:val="标题 3 Char2"/>
    <w:qFormat/>
    <w:uiPriority w:val="0"/>
    <w:rPr>
      <w:rFonts w:eastAsia="宋体"/>
      <w:b/>
      <w:bCs/>
      <w:kern w:val="2"/>
      <w:sz w:val="32"/>
      <w:szCs w:val="32"/>
      <w:lang w:val="en-US" w:eastAsia="zh-CN" w:bidi="ar-SA"/>
    </w:rPr>
  </w:style>
  <w:style w:type="character" w:customStyle="1" w:styleId="397">
    <w:name w:val="apple-converted-space"/>
    <w:qFormat/>
    <w:uiPriority w:val="0"/>
  </w:style>
  <w:style w:type="character" w:customStyle="1" w:styleId="398">
    <w:name w:val="页眉 字符2"/>
    <w:link w:val="42"/>
    <w:qFormat/>
    <w:uiPriority w:val="99"/>
    <w:rPr>
      <w:kern w:val="2"/>
      <w:sz w:val="18"/>
      <w:szCs w:val="18"/>
    </w:rPr>
  </w:style>
  <w:style w:type="character" w:customStyle="1" w:styleId="399">
    <w:name w:val="Char Char9"/>
    <w:qFormat/>
    <w:uiPriority w:val="0"/>
    <w:rPr>
      <w:rFonts w:eastAsia="宋体"/>
      <w:kern w:val="2"/>
      <w:sz w:val="18"/>
      <w:szCs w:val="18"/>
      <w:lang w:val="en-US" w:eastAsia="zh-CN" w:bidi="ar-SA"/>
    </w:rPr>
  </w:style>
  <w:style w:type="character" w:customStyle="1" w:styleId="400">
    <w:name w:val="Char Char41"/>
    <w:qFormat/>
    <w:uiPriority w:val="0"/>
    <w:rPr>
      <w:rFonts w:eastAsia="宋体"/>
      <w:b/>
      <w:sz w:val="24"/>
      <w:lang w:val="en-GB" w:eastAsia="zh-CN" w:bidi="ar-SA"/>
    </w:rPr>
  </w:style>
  <w:style w:type="character" w:customStyle="1" w:styleId="401">
    <w:name w:val="large1"/>
    <w:qFormat/>
    <w:uiPriority w:val="0"/>
    <w:rPr>
      <w:rFonts w:hint="eastAsia" w:ascii="宋体" w:hAnsi="宋体" w:eastAsia="宋体"/>
      <w:sz w:val="21"/>
      <w:szCs w:val="21"/>
    </w:rPr>
  </w:style>
  <w:style w:type="character" w:customStyle="1" w:styleId="402">
    <w:name w:val="正文段 Char"/>
    <w:link w:val="403"/>
    <w:qFormat/>
    <w:uiPriority w:val="0"/>
    <w:rPr>
      <w:sz w:val="24"/>
    </w:rPr>
  </w:style>
  <w:style w:type="paragraph" w:customStyle="1" w:styleId="403">
    <w:name w:val="正文段"/>
    <w:basedOn w:val="1"/>
    <w:link w:val="402"/>
    <w:qFormat/>
    <w:uiPriority w:val="0"/>
    <w:pPr>
      <w:widowControl/>
      <w:snapToGrid w:val="0"/>
      <w:spacing w:after="156" w:afterLines="50"/>
      <w:ind w:firstLine="200" w:firstLineChars="200"/>
    </w:pPr>
    <w:rPr>
      <w:kern w:val="0"/>
      <w:sz w:val="24"/>
      <w:szCs w:val="20"/>
    </w:rPr>
  </w:style>
  <w:style w:type="character" w:customStyle="1" w:styleId="404">
    <w:name w:val="Char Char13"/>
    <w:qFormat/>
    <w:uiPriority w:val="6"/>
    <w:rPr>
      <w:rFonts w:ascii="宋体" w:hAnsi="宋体"/>
      <w:kern w:val="1"/>
      <w:sz w:val="21"/>
      <w:szCs w:val="24"/>
    </w:rPr>
  </w:style>
  <w:style w:type="character" w:customStyle="1" w:styleId="40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6">
    <w:name w:val="冯广丽 Char"/>
    <w:link w:val="407"/>
    <w:qFormat/>
    <w:uiPriority w:val="0"/>
    <w:rPr>
      <w:rFonts w:ascii="宋体" w:hAnsi="宋体"/>
      <w:kern w:val="2"/>
      <w:sz w:val="24"/>
      <w:szCs w:val="22"/>
    </w:rPr>
  </w:style>
  <w:style w:type="paragraph" w:customStyle="1" w:styleId="407">
    <w:name w:val="冯广丽"/>
    <w:basedOn w:val="1"/>
    <w:link w:val="406"/>
    <w:qFormat/>
    <w:uiPriority w:val="0"/>
    <w:pPr>
      <w:adjustRightInd/>
      <w:spacing w:line="360" w:lineRule="auto"/>
      <w:ind w:firstLine="480" w:firstLineChars="200"/>
    </w:pPr>
    <w:rPr>
      <w:rFonts w:ascii="宋体" w:hAnsi="宋体"/>
      <w:sz w:val="24"/>
      <w:szCs w:val="22"/>
    </w:rPr>
  </w:style>
  <w:style w:type="character" w:customStyle="1" w:styleId="408">
    <w:name w:val="批注文字 字符"/>
    <w:qFormat/>
    <w:uiPriority w:val="0"/>
    <w:rPr>
      <w:rFonts w:ascii="Arial" w:hAnsi="Arial" w:eastAsia="黑体" w:cs="Arial"/>
      <w:snapToGrid w:val="0"/>
      <w:kern w:val="0"/>
      <w:szCs w:val="21"/>
    </w:rPr>
  </w:style>
  <w:style w:type="character" w:customStyle="1" w:styleId="409">
    <w:name w:val="Char Char161"/>
    <w:qFormat/>
    <w:uiPriority w:val="0"/>
    <w:rPr>
      <w:rFonts w:eastAsia="宋体"/>
      <w:b/>
      <w:kern w:val="2"/>
      <w:sz w:val="32"/>
      <w:lang w:val="en-US" w:eastAsia="zh-CN"/>
    </w:rPr>
  </w:style>
  <w:style w:type="character" w:customStyle="1" w:styleId="410">
    <w:name w:val="javascript"/>
    <w:qFormat/>
    <w:uiPriority w:val="0"/>
  </w:style>
  <w:style w:type="character" w:customStyle="1" w:styleId="411">
    <w:name w:val="图名 Char"/>
    <w:qFormat/>
    <w:uiPriority w:val="0"/>
    <w:rPr>
      <w:rFonts w:ascii="Arial" w:hAnsi="Arial" w:eastAsia="黑体"/>
      <w:kern w:val="2"/>
      <w:sz w:val="24"/>
      <w:szCs w:val="24"/>
      <w:lang w:val="en-US" w:eastAsia="zh-CN" w:bidi="ar-SA"/>
    </w:rPr>
  </w:style>
  <w:style w:type="character" w:customStyle="1" w:styleId="412">
    <w:name w:val="Used by Word for text of Help footnotes Char Char"/>
    <w:qFormat/>
    <w:uiPriority w:val="0"/>
    <w:rPr>
      <w:rFonts w:ascii="Times New Roman" w:hAnsi="Times New Roman" w:eastAsia="宋体" w:cs="Times New Roman"/>
      <w:sz w:val="20"/>
      <w:szCs w:val="20"/>
    </w:rPr>
  </w:style>
  <w:style w:type="character" w:customStyle="1" w:styleId="413">
    <w:name w:val="编号，小四 Char"/>
    <w:link w:val="414"/>
    <w:qFormat/>
    <w:uiPriority w:val="0"/>
    <w:rPr>
      <w:rFonts w:ascii="Arial" w:hAnsi="Arial"/>
      <w:sz w:val="24"/>
    </w:rPr>
  </w:style>
  <w:style w:type="paragraph" w:customStyle="1" w:styleId="414">
    <w:name w:val="编号，小四"/>
    <w:basedOn w:val="1"/>
    <w:link w:val="413"/>
    <w:qFormat/>
    <w:uiPriority w:val="0"/>
    <w:pPr>
      <w:tabs>
        <w:tab w:val="left" w:pos="432"/>
      </w:tabs>
      <w:adjustRightInd/>
      <w:spacing w:line="360" w:lineRule="auto"/>
      <w:ind w:left="432" w:hanging="432"/>
    </w:pPr>
    <w:rPr>
      <w:rFonts w:ascii="Arial" w:hAnsi="Arial"/>
      <w:kern w:val="0"/>
      <w:sz w:val="24"/>
      <w:szCs w:val="20"/>
    </w:rPr>
  </w:style>
  <w:style w:type="character" w:customStyle="1" w:styleId="415">
    <w:name w:val="Font Style82"/>
    <w:qFormat/>
    <w:uiPriority w:val="99"/>
    <w:rPr>
      <w:rFonts w:ascii="宋体" w:eastAsia="宋体" w:cs="宋体"/>
      <w:color w:val="000000"/>
      <w:sz w:val="14"/>
      <w:szCs w:val="14"/>
    </w:rPr>
  </w:style>
  <w:style w:type="character" w:customStyle="1" w:styleId="416">
    <w:name w:val="标题 2 Char Char"/>
    <w:qFormat/>
    <w:uiPriority w:val="0"/>
    <w:rPr>
      <w:rFonts w:ascii="楷体_GB2312" w:hAnsi="Arial" w:eastAsia="楷体_GB2312"/>
      <w:b/>
      <w:bCs/>
      <w:kern w:val="2"/>
      <w:sz w:val="24"/>
      <w:szCs w:val="32"/>
      <w:lang w:val="en-US" w:eastAsia="zh-CN" w:bidi="ar-SA"/>
    </w:rPr>
  </w:style>
  <w:style w:type="character" w:customStyle="1" w:styleId="417">
    <w:name w:val="未用 Char"/>
    <w:qFormat/>
    <w:uiPriority w:val="0"/>
    <w:rPr>
      <w:rFonts w:ascii="Arial" w:hAnsi="Arial" w:eastAsia="黑体"/>
      <w:kern w:val="2"/>
      <w:sz w:val="21"/>
      <w:szCs w:val="21"/>
      <w:lang w:val="en-US" w:eastAsia="zh-CN" w:bidi="ar-SA"/>
    </w:rPr>
  </w:style>
  <w:style w:type="character" w:customStyle="1" w:styleId="418">
    <w:name w:val="myp1111"/>
    <w:qFormat/>
    <w:uiPriority w:val="0"/>
    <w:rPr>
      <w:rFonts w:hint="default" w:ascii="ˎ̥" w:hAnsi="ˎ̥"/>
      <w:color w:val="000000"/>
      <w:sz w:val="20"/>
      <w:szCs w:val="20"/>
      <w:u w:val="none"/>
    </w:rPr>
  </w:style>
  <w:style w:type="character" w:customStyle="1" w:styleId="419">
    <w:name w:val="样式 标题 4h4H4Fab-4T5Ref Heading 1rh1Heading sqlsect 1.2.3.... Char"/>
    <w:link w:val="311"/>
    <w:qFormat/>
    <w:uiPriority w:val="0"/>
    <w:rPr>
      <w:rFonts w:ascii="微软雅黑" w:hAnsi="微软雅黑" w:eastAsia="微软雅黑"/>
      <w:b/>
      <w:bCs/>
      <w:kern w:val="2"/>
      <w:sz w:val="24"/>
      <w:szCs w:val="28"/>
    </w:rPr>
  </w:style>
  <w:style w:type="character" w:customStyle="1" w:styleId="420">
    <w:name w:val="h Char Char"/>
    <w:qFormat/>
    <w:uiPriority w:val="0"/>
    <w:rPr>
      <w:rFonts w:eastAsia="宋体"/>
      <w:kern w:val="2"/>
      <w:sz w:val="18"/>
      <w:lang w:val="en-US" w:eastAsia="zh-CN" w:bidi="ar-SA"/>
    </w:rPr>
  </w:style>
  <w:style w:type="character" w:customStyle="1" w:styleId="421">
    <w:name w:val="仿宋正文 Char"/>
    <w:link w:val="422"/>
    <w:qFormat/>
    <w:uiPriority w:val="0"/>
    <w:rPr>
      <w:rFonts w:ascii="仿宋_GB2312" w:eastAsia="仿宋_GB2312"/>
      <w:kern w:val="2"/>
      <w:sz w:val="24"/>
      <w:lang w:val="en-US" w:eastAsia="zh-CN" w:bidi="ar-SA"/>
    </w:rPr>
  </w:style>
  <w:style w:type="paragraph" w:customStyle="1" w:styleId="422">
    <w:name w:val="仿宋正文"/>
    <w:basedOn w:val="1"/>
    <w:link w:val="421"/>
    <w:qFormat/>
    <w:uiPriority w:val="0"/>
    <w:pPr>
      <w:adjustRightInd/>
      <w:spacing w:line="360" w:lineRule="auto"/>
      <w:ind w:firstLine="480" w:firstLineChars="200"/>
    </w:pPr>
    <w:rPr>
      <w:rFonts w:ascii="仿宋_GB2312" w:eastAsia="仿宋_GB2312"/>
      <w:sz w:val="24"/>
      <w:szCs w:val="20"/>
    </w:rPr>
  </w:style>
  <w:style w:type="character" w:customStyle="1" w:styleId="423">
    <w:name w:val="正文首行缩进 Char Char Char Char Char Char"/>
    <w:qFormat/>
    <w:uiPriority w:val="0"/>
    <w:rPr>
      <w:rFonts w:ascii="宋体" w:eastAsia="宋体"/>
      <w:kern w:val="2"/>
      <w:sz w:val="24"/>
      <w:lang w:val="zh-CN" w:bidi="ar-SA"/>
    </w:rPr>
  </w:style>
  <w:style w:type="character" w:customStyle="1" w:styleId="424">
    <w:name w:val="样式 宋体"/>
    <w:qFormat/>
    <w:uiPriority w:val="0"/>
    <w:rPr>
      <w:rFonts w:ascii="宋体" w:hAnsi="宋体"/>
      <w:sz w:val="24"/>
    </w:rPr>
  </w:style>
  <w:style w:type="character" w:customStyle="1" w:styleId="425">
    <w:name w:val="tw4winJump"/>
    <w:qFormat/>
    <w:uiPriority w:val="0"/>
    <w:rPr>
      <w:rFonts w:ascii="Courier New" w:hAnsi="Courier New" w:cs="Courier New"/>
      <w:color w:val="008080"/>
      <w:lang w:val="en-US" w:eastAsia="zh-CN"/>
    </w:rPr>
  </w:style>
  <w:style w:type="character" w:customStyle="1" w:styleId="426">
    <w:name w:val="标题 1 字符"/>
    <w:qFormat/>
    <w:uiPriority w:val="9"/>
    <w:rPr>
      <w:rFonts w:ascii="Arial" w:hAnsi="Arial" w:eastAsia="黑体" w:cs="Arial"/>
      <w:b/>
      <w:bCs/>
      <w:snapToGrid w:val="0"/>
      <w:kern w:val="44"/>
      <w:sz w:val="44"/>
      <w:szCs w:val="44"/>
    </w:rPr>
  </w:style>
  <w:style w:type="character" w:customStyle="1" w:styleId="427">
    <w:name w:val="style36"/>
    <w:basedOn w:val="70"/>
    <w:qFormat/>
    <w:uiPriority w:val="0"/>
    <w:rPr>
      <w:rFonts w:ascii="Arial" w:hAnsi="Arial" w:eastAsia="黑体" w:cs="Arial"/>
      <w:snapToGrid w:val="0"/>
      <w:kern w:val="0"/>
      <w:szCs w:val="21"/>
    </w:rPr>
  </w:style>
  <w:style w:type="character" w:customStyle="1" w:styleId="428">
    <w:name w:val="pt9"/>
    <w:qFormat/>
    <w:uiPriority w:val="0"/>
    <w:rPr>
      <w:rFonts w:ascii="仿宋_GB2312" w:eastAsia="微软雅黑"/>
      <w:b/>
      <w:kern w:val="2"/>
      <w:sz w:val="32"/>
      <w:szCs w:val="32"/>
      <w:lang w:val="en-US" w:eastAsia="zh-CN" w:bidi="ar-SA"/>
    </w:rPr>
  </w:style>
  <w:style w:type="character" w:customStyle="1" w:styleId="429">
    <w:name w:val="DO_NOT_TRANSLATE"/>
    <w:qFormat/>
    <w:uiPriority w:val="0"/>
    <w:rPr>
      <w:rFonts w:ascii="Courier New" w:hAnsi="Courier New" w:cs="Courier New"/>
      <w:color w:val="800000"/>
      <w:lang w:val="en-US" w:eastAsia="zh-CN"/>
    </w:rPr>
  </w:style>
  <w:style w:type="character" w:customStyle="1" w:styleId="430">
    <w:name w:val="标书1 Char1"/>
    <w:qFormat/>
    <w:uiPriority w:val="0"/>
    <w:rPr>
      <w:rFonts w:eastAsia="宋体"/>
      <w:b/>
      <w:bCs/>
      <w:kern w:val="44"/>
      <w:sz w:val="44"/>
      <w:szCs w:val="44"/>
      <w:lang w:val="en-US" w:eastAsia="zh-CN" w:bidi="ar-SA"/>
    </w:rPr>
  </w:style>
  <w:style w:type="character" w:customStyle="1" w:styleId="431">
    <w:name w:val="页脚 字符"/>
    <w:qFormat/>
    <w:uiPriority w:val="99"/>
    <w:rPr>
      <w:kern w:val="2"/>
      <w:sz w:val="18"/>
      <w:szCs w:val="18"/>
    </w:rPr>
  </w:style>
  <w:style w:type="character" w:customStyle="1" w:styleId="432">
    <w:name w:val="正文2 Char"/>
    <w:qFormat/>
    <w:uiPriority w:val="0"/>
    <w:rPr>
      <w:rFonts w:eastAsia="宋体"/>
      <w:kern w:val="2"/>
      <w:sz w:val="24"/>
      <w:lang w:val="en-US" w:eastAsia="zh-CN" w:bidi="ar-SA"/>
    </w:rPr>
  </w:style>
  <w:style w:type="character" w:customStyle="1" w:styleId="433">
    <w:name w:val="Char Char21"/>
    <w:qFormat/>
    <w:uiPriority w:val="6"/>
    <w:rPr>
      <w:rFonts w:ascii="宋体" w:hAnsi="宋体"/>
      <w:kern w:val="1"/>
      <w:sz w:val="24"/>
      <w:szCs w:val="21"/>
      <w:lang w:val="zh-CN"/>
    </w:rPr>
  </w:style>
  <w:style w:type="character" w:customStyle="1" w:styleId="434">
    <w:name w:val="样式 正文缩进 + 首行缩进:  2 字符 Char Char"/>
    <w:link w:val="435"/>
    <w:qFormat/>
    <w:uiPriority w:val="0"/>
    <w:rPr>
      <w:rFonts w:cs="宋体"/>
      <w:kern w:val="2"/>
      <w:sz w:val="24"/>
    </w:rPr>
  </w:style>
  <w:style w:type="paragraph" w:customStyle="1" w:styleId="435">
    <w:name w:val="样式 正文缩进 + 首行缩进:  2 字符"/>
    <w:basedOn w:val="17"/>
    <w:link w:val="434"/>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6">
    <w:name w:val="正文文本 字符"/>
    <w:link w:val="2"/>
    <w:qFormat/>
    <w:uiPriority w:val="0"/>
    <w:rPr>
      <w:rFonts w:ascii="宋体" w:hAnsi="Arial" w:eastAsia="宋体" w:cs="Arial"/>
      <w:snapToGrid w:val="0"/>
      <w:kern w:val="2"/>
      <w:sz w:val="24"/>
      <w:szCs w:val="21"/>
      <w:lang w:val="zh-CN" w:eastAsia="zh-CN" w:bidi="ar-SA"/>
    </w:rPr>
  </w:style>
  <w:style w:type="character" w:customStyle="1" w:styleId="437">
    <w:name w:val="gray6"/>
    <w:basedOn w:val="70"/>
    <w:qFormat/>
    <w:uiPriority w:val="0"/>
    <w:rPr>
      <w:rFonts w:ascii="Arial" w:hAnsi="Arial" w:eastAsia="黑体" w:cs="Arial"/>
      <w:snapToGrid w:val="0"/>
      <w:kern w:val="0"/>
      <w:szCs w:val="21"/>
    </w:rPr>
  </w:style>
  <w:style w:type="character" w:customStyle="1" w:styleId="438">
    <w:name w:val="hui"/>
    <w:basedOn w:val="70"/>
    <w:qFormat/>
    <w:uiPriority w:val="0"/>
    <w:rPr>
      <w:rFonts w:ascii="Arial" w:hAnsi="Arial" w:eastAsia="黑体" w:cs="Arial"/>
      <w:snapToGrid w:val="0"/>
      <w:kern w:val="0"/>
      <w:szCs w:val="21"/>
    </w:rPr>
  </w:style>
  <w:style w:type="character" w:customStyle="1" w:styleId="439">
    <w:name w:val="哈哈正文 Char Char"/>
    <w:qFormat/>
    <w:uiPriority w:val="0"/>
    <w:rPr>
      <w:rFonts w:ascii="宋体" w:hAnsi="宋体" w:eastAsia="宋体" w:cs="宋体"/>
      <w:kern w:val="2"/>
      <w:sz w:val="24"/>
      <w:lang w:val="en-US" w:eastAsia="zh-CN" w:bidi="ar-SA"/>
    </w:rPr>
  </w:style>
  <w:style w:type="paragraph" w:customStyle="1" w:styleId="440">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2">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4">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6">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7">
    <w:name w:val="标题4_自定义"/>
    <w:basedOn w:val="7"/>
    <w:qFormat/>
    <w:uiPriority w:val="0"/>
    <w:pPr>
      <w:adjustRightInd/>
      <w:spacing w:before="0" w:after="0" w:line="360" w:lineRule="auto"/>
    </w:pPr>
    <w:rPr>
      <w:rFonts w:ascii="Verdana" w:eastAsia="Verdana"/>
      <w:sz w:val="21"/>
      <w:lang w:val="en-US"/>
    </w:rPr>
  </w:style>
  <w:style w:type="paragraph" w:customStyle="1" w:styleId="448">
    <w:name w:val="正文 内标 序号标"/>
    <w:basedOn w:val="449"/>
    <w:qFormat/>
    <w:uiPriority w:val="0"/>
    <w:pPr>
      <w:tabs>
        <w:tab w:val="left" w:pos="0"/>
      </w:tabs>
      <w:adjustRightInd/>
      <w:spacing w:before="0"/>
      <w:ind w:firstLine="482"/>
    </w:pPr>
    <w:rPr>
      <w:rFonts w:ascii="微软雅黑" w:hAnsi="微软雅黑"/>
      <w:sz w:val="24"/>
      <w:szCs w:val="24"/>
    </w:rPr>
  </w:style>
  <w:style w:type="paragraph" w:customStyle="1" w:styleId="449">
    <w:name w:val="My正文"/>
    <w:basedOn w:val="1"/>
    <w:qFormat/>
    <w:uiPriority w:val="0"/>
    <w:pPr>
      <w:spacing w:before="120" w:line="360" w:lineRule="auto"/>
      <w:ind w:firstLine="567"/>
    </w:pPr>
    <w:rPr>
      <w:rFonts w:ascii="Arial" w:hAnsi="Arial"/>
      <w:sz w:val="20"/>
      <w:szCs w:val="20"/>
    </w:rPr>
  </w:style>
  <w:style w:type="paragraph" w:customStyle="1" w:styleId="4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1">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3">
    <w:name w:val="修订2"/>
    <w:qFormat/>
    <w:uiPriority w:val="0"/>
    <w:rPr>
      <w:rFonts w:ascii="Times New Roman" w:hAnsi="Times New Roman" w:eastAsia="宋体" w:cs="Times New Roman"/>
      <w:kern w:val="2"/>
      <w:sz w:val="21"/>
      <w:lang w:val="en-US" w:eastAsia="zh-CN" w:bidi="ar-SA"/>
    </w:rPr>
  </w:style>
  <w:style w:type="paragraph" w:customStyle="1" w:styleId="454">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5">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6">
    <w:name w:val="文章标题"/>
    <w:next w:val="457"/>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7">
    <w:name w:val="封面公司名"/>
    <w:qFormat/>
    <w:uiPriority w:val="0"/>
    <w:pPr>
      <w:jc w:val="center"/>
    </w:pPr>
    <w:rPr>
      <w:rFonts w:ascii="Arial" w:hAnsi="Arial" w:eastAsia="楷体_GB2312" w:cs="宋体"/>
      <w:bCs/>
      <w:kern w:val="2"/>
      <w:sz w:val="28"/>
      <w:lang w:val="en-US" w:eastAsia="zh-CN" w:bidi="ar-SA"/>
    </w:rPr>
  </w:style>
  <w:style w:type="paragraph" w:customStyle="1" w:styleId="458">
    <w:name w:val="Char1 Char Char Char5"/>
    <w:basedOn w:val="1"/>
    <w:qFormat/>
    <w:uiPriority w:val="0"/>
    <w:pPr>
      <w:adjustRightInd/>
      <w:ind w:firstLine="200" w:firstLineChars="200"/>
    </w:pPr>
    <w:rPr>
      <w:rFonts w:ascii="Tahoma" w:hAnsi="Tahoma"/>
      <w:sz w:val="24"/>
      <w:szCs w:val="20"/>
    </w:rPr>
  </w:style>
  <w:style w:type="paragraph" w:customStyle="1" w:styleId="45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0">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1">
    <w:name w:val="Char Char Char Char Char Char Char Char"/>
    <w:basedOn w:val="1"/>
    <w:qFormat/>
    <w:uiPriority w:val="0"/>
    <w:pPr>
      <w:tabs>
        <w:tab w:val="left" w:pos="360"/>
      </w:tabs>
    </w:pPr>
    <w:rPr>
      <w:sz w:val="24"/>
      <w:szCs w:val="20"/>
    </w:rPr>
  </w:style>
  <w:style w:type="paragraph" w:customStyle="1" w:styleId="462">
    <w:name w:val="Char Char11 Char Char Char"/>
    <w:basedOn w:val="1"/>
    <w:qFormat/>
    <w:uiPriority w:val="0"/>
    <w:pPr>
      <w:spacing w:line="360" w:lineRule="auto"/>
    </w:pPr>
    <w:rPr>
      <w:szCs w:val="20"/>
    </w:rPr>
  </w:style>
  <w:style w:type="paragraph" w:customStyle="1" w:styleId="463">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5">
    <w:name w:val="样式3"/>
    <w:basedOn w:val="466"/>
    <w:qFormat/>
    <w:uiPriority w:val="0"/>
    <w:pPr>
      <w:tabs>
        <w:tab w:val="left" w:pos="2790"/>
        <w:tab w:val="left" w:pos="4230"/>
      </w:tabs>
      <w:spacing w:before="312" w:beforeLines="100"/>
      <w:jc w:val="left"/>
    </w:pPr>
  </w:style>
  <w:style w:type="paragraph" w:customStyle="1" w:styleId="46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7">
    <w:name w:val="Char Char1 Char Char1 Char Char1"/>
    <w:basedOn w:val="1"/>
    <w:qFormat/>
    <w:uiPriority w:val="0"/>
    <w:pPr>
      <w:tabs>
        <w:tab w:val="left" w:pos="840"/>
      </w:tabs>
      <w:ind w:left="840" w:hanging="420"/>
    </w:pPr>
    <w:rPr>
      <w:rFonts w:ascii="Tahoma" w:hAnsi="Tahoma"/>
      <w:sz w:val="24"/>
    </w:rPr>
  </w:style>
  <w:style w:type="paragraph" w:customStyle="1" w:styleId="46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9">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70">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1">
    <w:name w:val="正文21"/>
    <w:basedOn w:val="1"/>
    <w:qFormat/>
    <w:uiPriority w:val="0"/>
    <w:pPr>
      <w:adjustRightInd/>
      <w:spacing w:before="156" w:line="360" w:lineRule="auto"/>
      <w:ind w:firstLine="510" w:firstLineChars="200"/>
    </w:pPr>
    <w:rPr>
      <w:sz w:val="24"/>
      <w:szCs w:val="20"/>
    </w:rPr>
  </w:style>
  <w:style w:type="paragraph" w:customStyle="1" w:styleId="472">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4">
    <w:name w:val="Char1"/>
    <w:basedOn w:val="1"/>
    <w:qFormat/>
    <w:uiPriority w:val="0"/>
    <w:rPr>
      <w:rFonts w:ascii="仿宋_GB2312" w:eastAsia="仿宋_GB2312"/>
      <w:b/>
      <w:sz w:val="32"/>
      <w:szCs w:val="32"/>
    </w:rPr>
  </w:style>
  <w:style w:type="paragraph" w:customStyle="1" w:styleId="475">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6">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7">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8">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9">
    <w:name w:val="6级标题"/>
    <w:basedOn w:val="480"/>
    <w:qFormat/>
    <w:uiPriority w:val="0"/>
    <w:pPr>
      <w:keepNext/>
      <w:tabs>
        <w:tab w:val="left" w:pos="360"/>
      </w:tabs>
      <w:spacing w:before="0" w:after="0"/>
      <w:outlineLvl w:val="5"/>
    </w:pPr>
  </w:style>
  <w:style w:type="paragraph" w:customStyle="1" w:styleId="480">
    <w:name w:val="5级标题"/>
    <w:basedOn w:val="481"/>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1">
    <w:name w:val="4级标题"/>
    <w:basedOn w:val="264"/>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2">
    <w:name w:val="样式 正文文本缩进 + 段前: 2 字符"/>
    <w:basedOn w:val="1"/>
    <w:qFormat/>
    <w:uiPriority w:val="0"/>
    <w:pPr>
      <w:adjustRightInd/>
      <w:ind w:left="420" w:leftChars="200"/>
      <w:jc w:val="left"/>
    </w:pPr>
    <w:rPr>
      <w:sz w:val="28"/>
      <w:szCs w:val="20"/>
      <w:lang w:eastAsia="zh-TW"/>
    </w:rPr>
  </w:style>
  <w:style w:type="paragraph" w:customStyle="1" w:styleId="483">
    <w:name w:val="Char2 Char Char"/>
    <w:basedOn w:val="1"/>
    <w:qFormat/>
    <w:uiPriority w:val="0"/>
    <w:pPr>
      <w:adjustRightInd/>
    </w:pPr>
    <w:rPr>
      <w:rFonts w:ascii="Tahoma" w:hAnsi="Tahoma"/>
      <w:sz w:val="24"/>
      <w:szCs w:val="20"/>
    </w:rPr>
  </w:style>
  <w:style w:type="paragraph" w:customStyle="1" w:styleId="484">
    <w:name w:val="_Style 11"/>
    <w:basedOn w:val="1"/>
    <w:qFormat/>
    <w:uiPriority w:val="34"/>
    <w:pPr>
      <w:adjustRightInd/>
      <w:ind w:firstLine="420" w:firstLineChars="200"/>
    </w:pPr>
    <w:rPr>
      <w:rFonts w:eastAsia="仿宋_GB2312"/>
      <w:sz w:val="28"/>
    </w:rPr>
  </w:style>
  <w:style w:type="paragraph" w:customStyle="1" w:styleId="485">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6">
    <w:name w:val="Char Char Char"/>
    <w:basedOn w:val="1"/>
    <w:qFormat/>
    <w:uiPriority w:val="0"/>
    <w:rPr>
      <w:rFonts w:ascii="Tahoma" w:hAnsi="Tahoma"/>
      <w:sz w:val="24"/>
      <w:szCs w:val="20"/>
    </w:rPr>
  </w:style>
  <w:style w:type="paragraph" w:customStyle="1" w:styleId="487">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8">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9">
    <w:name w:val="No Spacing"/>
    <w:basedOn w:val="1"/>
    <w:link w:val="936"/>
    <w:qFormat/>
    <w:uiPriority w:val="99"/>
    <w:rPr>
      <w:szCs w:val="22"/>
    </w:rPr>
  </w:style>
  <w:style w:type="paragraph" w:customStyle="1" w:styleId="49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1">
    <w:name w:val="Char Char Char Char Char Char Char Char Char Char Char Char1 Char1"/>
    <w:basedOn w:val="1"/>
    <w:qFormat/>
    <w:uiPriority w:val="6"/>
    <w:rPr>
      <w:rFonts w:ascii="Tahoma" w:hAnsi="Tahoma" w:cs="仿宋_GB2312"/>
      <w:sz w:val="24"/>
      <w:szCs w:val="20"/>
    </w:rPr>
  </w:style>
  <w:style w:type="paragraph" w:customStyle="1" w:styleId="492">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3">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5">
    <w:name w:val="MM Topic 2"/>
    <w:basedOn w:val="5"/>
    <w:qFormat/>
    <w:uiPriority w:val="0"/>
    <w:pPr>
      <w:tabs>
        <w:tab w:val="left" w:pos="1260"/>
      </w:tabs>
      <w:ind w:left="1260" w:hanging="420"/>
    </w:pPr>
    <w:rPr>
      <w:rFonts w:ascii="Arial" w:hAnsi="Arial" w:eastAsia="黑体"/>
      <w:lang w:val="en-US"/>
    </w:rPr>
  </w:style>
  <w:style w:type="paragraph" w:customStyle="1" w:styleId="496">
    <w:name w:val="五级无标题条"/>
    <w:basedOn w:val="1"/>
    <w:qFormat/>
    <w:uiPriority w:val="0"/>
    <w:pPr>
      <w:adjustRightInd/>
    </w:pPr>
  </w:style>
  <w:style w:type="paragraph" w:customStyle="1" w:styleId="497">
    <w:name w:val="Char5"/>
    <w:basedOn w:val="1"/>
    <w:qFormat/>
    <w:uiPriority w:val="0"/>
    <w:rPr>
      <w:rFonts w:ascii="仿宋_GB2312" w:eastAsia="仿宋_GB2312"/>
      <w:b/>
      <w:sz w:val="32"/>
      <w:szCs w:val="32"/>
    </w:rPr>
  </w:style>
  <w:style w:type="paragraph" w:customStyle="1" w:styleId="498">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9">
    <w:name w:val="彩色列表 - 强调文字颜色 12"/>
    <w:basedOn w:val="1"/>
    <w:qFormat/>
    <w:uiPriority w:val="0"/>
    <w:pPr>
      <w:adjustRightInd/>
      <w:ind w:firstLine="420" w:firstLineChars="200"/>
    </w:pPr>
    <w:rPr>
      <w:rFonts w:ascii="Calibri" w:hAnsi="Calibri"/>
      <w:szCs w:val="22"/>
    </w:rPr>
  </w:style>
  <w:style w:type="paragraph" w:customStyle="1" w:styleId="500">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1">
    <w:name w:val="Char2"/>
    <w:basedOn w:val="1"/>
    <w:qFormat/>
    <w:uiPriority w:val="0"/>
    <w:rPr>
      <w:rFonts w:ascii="仿宋_GB2312" w:eastAsia="仿宋_GB2312"/>
      <w:b/>
      <w:sz w:val="32"/>
      <w:szCs w:val="32"/>
    </w:rPr>
  </w:style>
  <w:style w:type="paragraph" w:customStyle="1" w:styleId="502">
    <w:name w:val="数字标题3"/>
    <w:basedOn w:val="6"/>
    <w:next w:val="1"/>
    <w:qFormat/>
    <w:uiPriority w:val="0"/>
    <w:pPr>
      <w:spacing w:line="240" w:lineRule="auto"/>
    </w:pPr>
    <w:rPr>
      <w:sz w:val="28"/>
      <w:szCs w:val="28"/>
    </w:rPr>
  </w:style>
  <w:style w:type="paragraph" w:customStyle="1" w:styleId="503">
    <w:name w:val="FA正文"/>
    <w:basedOn w:val="1"/>
    <w:qFormat/>
    <w:uiPriority w:val="0"/>
    <w:pPr>
      <w:spacing w:line="360" w:lineRule="auto"/>
      <w:ind w:firstLine="480" w:firstLineChars="200"/>
    </w:pPr>
    <w:rPr>
      <w:rFonts w:hAnsi="宋体"/>
      <w:sz w:val="24"/>
      <w:szCs w:val="20"/>
    </w:rPr>
  </w:style>
  <w:style w:type="paragraph" w:customStyle="1" w:styleId="504">
    <w:name w:val="MM Topic 5"/>
    <w:basedOn w:val="8"/>
    <w:qFormat/>
    <w:uiPriority w:val="0"/>
    <w:pPr>
      <w:tabs>
        <w:tab w:val="left" w:pos="2520"/>
      </w:tabs>
      <w:adjustRightInd/>
      <w:ind w:left="2520" w:hanging="420"/>
    </w:pPr>
  </w:style>
  <w:style w:type="paragraph" w:customStyle="1" w:styleId="505">
    <w:name w:val="Char Char Char Char Char Char Char Char Char Char1"/>
    <w:basedOn w:val="1"/>
    <w:qFormat/>
    <w:uiPriority w:val="0"/>
    <w:rPr>
      <w:rFonts w:ascii="仿宋_GB2312" w:eastAsia="仿宋_GB2312"/>
      <w:b/>
      <w:sz w:val="32"/>
      <w:szCs w:val="32"/>
    </w:rPr>
  </w:style>
  <w:style w:type="paragraph" w:customStyle="1" w:styleId="506">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7">
    <w:name w:val="修订1"/>
    <w:qFormat/>
    <w:uiPriority w:val="3"/>
    <w:rPr>
      <w:rFonts w:ascii="Times New Roman" w:hAnsi="Times New Roman" w:eastAsia="宋体" w:cs="Times New Roman"/>
      <w:color w:val="000000"/>
      <w:kern w:val="1"/>
      <w:sz w:val="21"/>
      <w:lang w:val="en-US" w:eastAsia="zh-CN" w:bidi="ar-SA"/>
    </w:rPr>
  </w:style>
  <w:style w:type="paragraph" w:customStyle="1" w:styleId="508">
    <w:name w:val="Char2 Char Char Char"/>
    <w:basedOn w:val="1"/>
    <w:qFormat/>
    <w:uiPriority w:val="0"/>
    <w:rPr>
      <w:rFonts w:ascii="仿宋_GB2312" w:eastAsia="仿宋_GB2312"/>
      <w:b/>
      <w:sz w:val="32"/>
      <w:szCs w:val="32"/>
    </w:rPr>
  </w:style>
  <w:style w:type="paragraph" w:customStyle="1" w:styleId="509">
    <w:name w:val="Char2 Char Char Char1"/>
    <w:basedOn w:val="1"/>
    <w:qFormat/>
    <w:uiPriority w:val="6"/>
    <w:rPr>
      <w:rFonts w:ascii="仿宋_GB2312" w:eastAsia="仿宋_GB2312"/>
      <w:b/>
      <w:sz w:val="32"/>
      <w:szCs w:val="32"/>
    </w:rPr>
  </w:style>
  <w:style w:type="paragraph" w:customStyle="1" w:styleId="510">
    <w:name w:val="默认段落样式"/>
    <w:basedOn w:val="136"/>
    <w:qFormat/>
    <w:uiPriority w:val="0"/>
    <w:pPr>
      <w:spacing w:before="0"/>
      <w:ind w:firstLine="480"/>
      <w:outlineLvl w:val="2"/>
    </w:pPr>
    <w:rPr>
      <w:rFonts w:ascii="仿宋_GB2312" w:hAnsi="宋体" w:eastAsia="仿宋_GB2312"/>
      <w:color w:val="000000"/>
      <w:szCs w:val="24"/>
    </w:rPr>
  </w:style>
  <w:style w:type="paragraph" w:customStyle="1" w:styleId="511">
    <w:name w:val="图中文字"/>
    <w:basedOn w:val="1"/>
    <w:qFormat/>
    <w:uiPriority w:val="0"/>
    <w:pPr>
      <w:snapToGrid w:val="0"/>
      <w:spacing w:line="0" w:lineRule="atLeast"/>
      <w:ind w:firstLine="200" w:firstLineChars="200"/>
      <w:jc w:val="center"/>
    </w:pPr>
    <w:rPr>
      <w:sz w:val="24"/>
      <w:szCs w:val="20"/>
    </w:rPr>
  </w:style>
  <w:style w:type="paragraph" w:customStyle="1" w:styleId="512">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3">
    <w:name w:val="MM Topic 3"/>
    <w:basedOn w:val="6"/>
    <w:qFormat/>
    <w:uiPriority w:val="0"/>
    <w:pPr>
      <w:tabs>
        <w:tab w:val="left" w:pos="1680"/>
      </w:tabs>
      <w:adjustRightInd/>
      <w:ind w:left="1680" w:hanging="420"/>
    </w:pPr>
  </w:style>
  <w:style w:type="paragraph" w:customStyle="1" w:styleId="514">
    <w:name w:val="标准小四"/>
    <w:basedOn w:val="1"/>
    <w:qFormat/>
    <w:uiPriority w:val="0"/>
    <w:pPr>
      <w:spacing w:line="360" w:lineRule="auto"/>
      <w:ind w:firstLine="480" w:firstLineChars="200"/>
    </w:pPr>
    <w:rPr>
      <w:rFonts w:ascii="Arial" w:hAnsi="Arial"/>
      <w:sz w:val="24"/>
      <w:szCs w:val="21"/>
    </w:rPr>
  </w:style>
  <w:style w:type="paragraph" w:customStyle="1" w:styleId="515">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6">
    <w:name w:val="表格（小）"/>
    <w:basedOn w:val="1"/>
    <w:qFormat/>
    <w:uiPriority w:val="0"/>
    <w:pPr>
      <w:adjustRightInd/>
      <w:snapToGrid w:val="0"/>
      <w:spacing w:line="300" w:lineRule="auto"/>
    </w:pPr>
    <w:rPr>
      <w:rFonts w:eastAsia="仿宋"/>
      <w:szCs w:val="21"/>
    </w:rPr>
  </w:style>
  <w:style w:type="paragraph" w:customStyle="1" w:styleId="517">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8">
    <w:name w:val="Char2 Char Char1"/>
    <w:basedOn w:val="1"/>
    <w:qFormat/>
    <w:uiPriority w:val="6"/>
    <w:pPr>
      <w:adjustRightInd/>
    </w:pPr>
    <w:rPr>
      <w:rFonts w:ascii="Tahoma" w:hAnsi="Tahoma"/>
      <w:sz w:val="24"/>
      <w:szCs w:val="20"/>
    </w:rPr>
  </w:style>
  <w:style w:type="paragraph" w:customStyle="1" w:styleId="519">
    <w:name w:val="列出段落5"/>
    <w:basedOn w:val="1"/>
    <w:qFormat/>
    <w:uiPriority w:val="0"/>
    <w:pPr>
      <w:spacing w:line="360" w:lineRule="auto"/>
      <w:ind w:firstLine="200" w:firstLineChars="200"/>
    </w:pPr>
    <w:rPr>
      <w:rFonts w:eastAsia="楷体_GB2312" w:cs="Lucida Sans"/>
      <w:sz w:val="24"/>
    </w:rPr>
  </w:style>
  <w:style w:type="paragraph" w:customStyle="1" w:styleId="520">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1">
    <w:name w:val="表格文字"/>
    <w:basedOn w:val="1"/>
    <w:qFormat/>
    <w:uiPriority w:val="0"/>
    <w:pPr>
      <w:adjustRightInd/>
      <w:ind w:firstLine="200" w:firstLineChars="200"/>
    </w:pPr>
    <w:rPr>
      <w:rFonts w:ascii="Arial" w:hAnsi="Arial"/>
      <w:spacing w:val="-5"/>
      <w:kern w:val="0"/>
      <w:sz w:val="24"/>
      <w:szCs w:val="20"/>
    </w:rPr>
  </w:style>
  <w:style w:type="paragraph" w:customStyle="1" w:styleId="522">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3">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7">
    <w:name w:val="_Style 3"/>
    <w:basedOn w:val="1"/>
    <w:qFormat/>
    <w:uiPriority w:val="0"/>
    <w:pPr>
      <w:adjustRightInd/>
      <w:ind w:firstLine="420" w:firstLineChars="200"/>
    </w:pPr>
    <w:rPr>
      <w:rFonts w:eastAsia="仿宋_GB2312"/>
      <w:sz w:val="28"/>
    </w:rPr>
  </w:style>
  <w:style w:type="paragraph" w:customStyle="1" w:styleId="52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9">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0">
    <w:name w:val="左对齐表格文字"/>
    <w:basedOn w:val="1"/>
    <w:qFormat/>
    <w:uiPriority w:val="0"/>
    <w:pPr>
      <w:adjustRightInd/>
      <w:ind w:firstLine="200" w:firstLineChars="200"/>
      <w:jc w:val="right"/>
    </w:pPr>
  </w:style>
  <w:style w:type="paragraph" w:customStyle="1" w:styleId="531">
    <w:name w:val="Char Char11 Char Char Char Char Char Char Char Char Char"/>
    <w:basedOn w:val="1"/>
    <w:qFormat/>
    <w:uiPriority w:val="0"/>
    <w:pPr>
      <w:spacing w:line="360" w:lineRule="auto"/>
    </w:pPr>
    <w:rPr>
      <w:szCs w:val="20"/>
    </w:rPr>
  </w:style>
  <w:style w:type="paragraph" w:customStyle="1" w:styleId="532">
    <w:name w:val="正文1.25"/>
    <w:basedOn w:val="1"/>
    <w:qFormat/>
    <w:uiPriority w:val="0"/>
    <w:pPr>
      <w:adjustRightInd/>
      <w:spacing w:line="300" w:lineRule="auto"/>
      <w:ind w:firstLine="480" w:firstLineChars="200"/>
    </w:pPr>
    <w:rPr>
      <w:sz w:val="24"/>
      <w:szCs w:val="20"/>
    </w:rPr>
  </w:style>
  <w:style w:type="paragraph" w:customStyle="1" w:styleId="533">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5">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6">
    <w:name w:val="Char Char1 Char Char Char1"/>
    <w:basedOn w:val="1"/>
    <w:qFormat/>
    <w:uiPriority w:val="6"/>
    <w:rPr>
      <w:rFonts w:ascii="仿宋_GB2312" w:eastAsia="仿宋_GB2312"/>
      <w:b/>
      <w:sz w:val="32"/>
      <w:szCs w:val="20"/>
    </w:rPr>
  </w:style>
  <w:style w:type="paragraph" w:customStyle="1" w:styleId="537">
    <w:name w:val="列出段落2"/>
    <w:basedOn w:val="1"/>
    <w:qFormat/>
    <w:uiPriority w:val="0"/>
    <w:pPr>
      <w:adjustRightInd/>
      <w:ind w:firstLine="420" w:firstLineChars="200"/>
    </w:pPr>
    <w:rPr>
      <w:rFonts w:ascii="宋体" w:hAnsi="宋体"/>
      <w:sz w:val="24"/>
    </w:rPr>
  </w:style>
  <w:style w:type="paragraph" w:customStyle="1" w:styleId="538">
    <w:name w:val="默认段落字体 Para Char Char Char Char Char Char Char"/>
    <w:basedOn w:val="1"/>
    <w:qFormat/>
    <w:uiPriority w:val="0"/>
    <w:rPr>
      <w:rFonts w:eastAsia="仿宋_GB2312"/>
      <w:sz w:val="28"/>
      <w:szCs w:val="20"/>
    </w:rPr>
  </w:style>
  <w:style w:type="paragraph" w:customStyle="1" w:styleId="539">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0">
    <w:name w:val="样式 标题 4PIM 4H4h4bulletblbbH41H42H43H44H45H46H47H48...1"/>
    <w:basedOn w:val="7"/>
    <w:qFormat/>
    <w:uiPriority w:val="0"/>
    <w:pPr>
      <w:widowControl/>
      <w:jc w:val="left"/>
    </w:pPr>
    <w:rPr>
      <w:rFonts w:cs="宋体"/>
      <w:sz w:val="24"/>
      <w:szCs w:val="20"/>
    </w:rPr>
  </w:style>
  <w:style w:type="paragraph" w:customStyle="1" w:styleId="541">
    <w:name w:val="彩色列表 - 强调文字颜色 11"/>
    <w:basedOn w:val="1"/>
    <w:qFormat/>
    <w:uiPriority w:val="0"/>
    <w:pPr>
      <w:adjustRightInd/>
      <w:ind w:firstLine="420" w:firstLineChars="200"/>
    </w:pPr>
    <w:rPr>
      <w:rFonts w:ascii="Calibri" w:hAnsi="Calibri"/>
      <w:szCs w:val="22"/>
    </w:rPr>
  </w:style>
  <w:style w:type="paragraph" w:customStyle="1" w:styleId="542">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3">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4">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5">
    <w:name w:val="Char Char Char1 Char1"/>
    <w:basedOn w:val="1"/>
    <w:qFormat/>
    <w:uiPriority w:val="6"/>
    <w:rPr>
      <w:szCs w:val="20"/>
    </w:rPr>
  </w:style>
  <w:style w:type="paragraph" w:customStyle="1" w:styleId="54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7">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8">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9">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1">
    <w:name w:val="CM14"/>
    <w:basedOn w:val="240"/>
    <w:next w:val="240"/>
    <w:qFormat/>
    <w:uiPriority w:val="0"/>
    <w:pPr>
      <w:spacing w:after="68"/>
    </w:pPr>
    <w:rPr>
      <w:rFonts w:ascii="FHLHE E+ Futura Bk" w:eastAsia="FHLHE E+ Futura Bk" w:cs="Times New Roman"/>
      <w:color w:val="auto"/>
    </w:rPr>
  </w:style>
  <w:style w:type="paragraph" w:customStyle="1" w:styleId="552">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5">
    <w:name w:val="正文文字 2"/>
    <w:basedOn w:val="240"/>
    <w:next w:val="240"/>
    <w:qFormat/>
    <w:uiPriority w:val="0"/>
    <w:rPr>
      <w:rFonts w:ascii="宋体" w:eastAsia="宋体" w:cs="Times New Roman"/>
      <w:color w:val="auto"/>
    </w:rPr>
  </w:style>
  <w:style w:type="paragraph" w:customStyle="1" w:styleId="556">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7">
    <w:name w:val="Char Char1 Char"/>
    <w:basedOn w:val="1"/>
    <w:qFormat/>
    <w:uiPriority w:val="0"/>
    <w:rPr>
      <w:rFonts w:ascii="仿宋_GB2312" w:eastAsia="仿宋_GB2312"/>
      <w:b/>
      <w:sz w:val="32"/>
      <w:szCs w:val="32"/>
    </w:rPr>
  </w:style>
  <w:style w:type="paragraph" w:customStyle="1" w:styleId="558">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9">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0">
    <w:name w:val="Char Char111"/>
    <w:basedOn w:val="1"/>
    <w:qFormat/>
    <w:uiPriority w:val="0"/>
    <w:pPr>
      <w:spacing w:line="360" w:lineRule="auto"/>
    </w:pPr>
    <w:rPr>
      <w:szCs w:val="20"/>
    </w:rPr>
  </w:style>
  <w:style w:type="paragraph" w:customStyle="1" w:styleId="561">
    <w:name w:val="Char"/>
    <w:basedOn w:val="1"/>
    <w:qFormat/>
    <w:uiPriority w:val="0"/>
    <w:rPr>
      <w:rFonts w:ascii="仿宋_GB2312" w:eastAsia="仿宋_GB2312"/>
      <w:b/>
      <w:sz w:val="32"/>
      <w:szCs w:val="32"/>
    </w:rPr>
  </w:style>
  <w:style w:type="paragraph" w:customStyle="1" w:styleId="56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4">
    <w:name w:val="Char Char Char1 Char"/>
    <w:basedOn w:val="1"/>
    <w:qFormat/>
    <w:uiPriority w:val="0"/>
    <w:rPr>
      <w:szCs w:val="20"/>
    </w:rPr>
  </w:style>
  <w:style w:type="paragraph" w:customStyle="1" w:styleId="565">
    <w:name w:val="正文标准"/>
    <w:basedOn w:val="1"/>
    <w:qFormat/>
    <w:uiPriority w:val="0"/>
    <w:pPr>
      <w:adjustRightInd/>
      <w:spacing w:line="360" w:lineRule="auto"/>
      <w:ind w:firstLine="200" w:firstLineChars="200"/>
    </w:pPr>
    <w:rPr>
      <w:rFonts w:ascii="宋体" w:hAnsi="Calibri"/>
      <w:sz w:val="24"/>
    </w:rPr>
  </w:style>
  <w:style w:type="paragraph" w:customStyle="1" w:styleId="566">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7">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70">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1">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2">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3">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4">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6">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7">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8">
    <w:name w:val="Char Char Char Char Char Char Char Char Char Char"/>
    <w:basedOn w:val="1"/>
    <w:qFormat/>
    <w:uiPriority w:val="0"/>
    <w:rPr>
      <w:rFonts w:ascii="仿宋_GB2312" w:eastAsia="仿宋_GB2312"/>
      <w:b/>
      <w:sz w:val="32"/>
      <w:szCs w:val="32"/>
    </w:rPr>
  </w:style>
  <w:style w:type="paragraph" w:customStyle="1" w:styleId="579">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0">
    <w:name w:val="_正文段落"/>
    <w:basedOn w:val="1"/>
    <w:qFormat/>
    <w:uiPriority w:val="0"/>
    <w:pPr>
      <w:adjustRightInd/>
      <w:ind w:firstLine="560"/>
    </w:pPr>
    <w:rPr>
      <w:rFonts w:ascii="仿宋_GB2312" w:hAnsi="仿宋" w:eastAsia="仿宋_GB2312"/>
      <w:kern w:val="0"/>
      <w:sz w:val="28"/>
      <w:szCs w:val="28"/>
    </w:rPr>
  </w:style>
  <w:style w:type="paragraph" w:customStyle="1" w:styleId="581">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3">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6">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7">
    <w:name w:val="Char Char Char1 Char2"/>
    <w:basedOn w:val="1"/>
    <w:qFormat/>
    <w:uiPriority w:val="0"/>
    <w:rPr>
      <w:szCs w:val="20"/>
    </w:rPr>
  </w:style>
  <w:style w:type="paragraph" w:customStyle="1" w:styleId="58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9">
    <w:name w:val="默认段落字体 Para Char"/>
    <w:basedOn w:val="1"/>
    <w:qFormat/>
    <w:uiPriority w:val="0"/>
    <w:rPr>
      <w:rFonts w:ascii="Tahoma" w:hAnsi="Tahoma"/>
      <w:sz w:val="24"/>
      <w:szCs w:val="20"/>
    </w:rPr>
  </w:style>
  <w:style w:type="paragraph" w:customStyle="1" w:styleId="590">
    <w:name w:val="标题五"/>
    <w:basedOn w:val="1"/>
    <w:qFormat/>
    <w:uiPriority w:val="0"/>
    <w:pPr>
      <w:adjustRightInd/>
      <w:spacing w:before="156" w:beforeLines="50" w:line="360" w:lineRule="auto"/>
    </w:pPr>
    <w:rPr>
      <w:b/>
      <w:sz w:val="24"/>
    </w:rPr>
  </w:style>
  <w:style w:type="paragraph" w:customStyle="1" w:styleId="591">
    <w:name w:val="Char Char1101"/>
    <w:basedOn w:val="1"/>
    <w:qFormat/>
    <w:uiPriority w:val="0"/>
    <w:pPr>
      <w:spacing w:line="360" w:lineRule="auto"/>
    </w:pPr>
    <w:rPr>
      <w:rFonts w:ascii="Tahoma" w:hAnsi="Tahoma"/>
      <w:sz w:val="24"/>
      <w:szCs w:val="20"/>
    </w:rPr>
  </w:style>
  <w:style w:type="paragraph" w:customStyle="1" w:styleId="592">
    <w:name w:val="Char Char Char Char Char Char Char Char1"/>
    <w:basedOn w:val="1"/>
    <w:qFormat/>
    <w:uiPriority w:val="0"/>
    <w:pPr>
      <w:tabs>
        <w:tab w:val="left" w:pos="360"/>
      </w:tabs>
    </w:pPr>
    <w:rPr>
      <w:sz w:val="24"/>
      <w:szCs w:val="20"/>
    </w:rPr>
  </w:style>
  <w:style w:type="paragraph" w:customStyle="1" w:styleId="593">
    <w:name w:val="Char Char Char 字元 字元"/>
    <w:basedOn w:val="1"/>
    <w:qFormat/>
    <w:uiPriority w:val="0"/>
    <w:pPr>
      <w:adjustRightInd/>
      <w:spacing w:line="360" w:lineRule="auto"/>
      <w:ind w:firstLine="200" w:firstLineChars="200"/>
    </w:pPr>
    <w:rPr>
      <w:szCs w:val="20"/>
    </w:rPr>
  </w:style>
  <w:style w:type="paragraph" w:customStyle="1" w:styleId="594">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5">
    <w:name w:val="Char Char Char Char Char Char Char"/>
    <w:basedOn w:val="1"/>
    <w:qFormat/>
    <w:uiPriority w:val="0"/>
    <w:rPr>
      <w:rFonts w:ascii="仿宋_GB2312" w:eastAsia="仿宋_GB2312"/>
      <w:b/>
      <w:sz w:val="32"/>
      <w:szCs w:val="32"/>
    </w:rPr>
  </w:style>
  <w:style w:type="paragraph" w:customStyle="1" w:styleId="59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8">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9">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600">
    <w:name w:val="批注框文本 Char Char"/>
    <w:basedOn w:val="1"/>
    <w:qFormat/>
    <w:uiPriority w:val="0"/>
    <w:pPr>
      <w:adjustRightInd/>
    </w:pPr>
    <w:rPr>
      <w:sz w:val="18"/>
      <w:szCs w:val="20"/>
    </w:rPr>
  </w:style>
  <w:style w:type="paragraph" w:customStyle="1" w:styleId="60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4">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5">
    <w:name w:val="索引 11"/>
    <w:basedOn w:val="1"/>
    <w:next w:val="1"/>
    <w:qFormat/>
    <w:uiPriority w:val="99"/>
    <w:pPr>
      <w:adjustRightInd/>
      <w:spacing w:line="360" w:lineRule="auto"/>
    </w:pPr>
    <w:rPr>
      <w:rFonts w:ascii="仿宋_GB2312" w:eastAsia="仿宋_GB2312"/>
      <w:sz w:val="24"/>
      <w:szCs w:val="20"/>
    </w:rPr>
  </w:style>
  <w:style w:type="paragraph" w:customStyle="1" w:styleId="606">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7">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8">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9">
    <w:name w:val="文档正文"/>
    <w:basedOn w:val="1"/>
    <w:qFormat/>
    <w:uiPriority w:val="0"/>
    <w:pPr>
      <w:spacing w:line="480" w:lineRule="atLeast"/>
      <w:ind w:firstLine="567"/>
      <w:textAlignment w:val="baseline"/>
    </w:pPr>
    <w:rPr>
      <w:kern w:val="0"/>
      <w:sz w:val="24"/>
      <w:szCs w:val="20"/>
    </w:rPr>
  </w:style>
  <w:style w:type="paragraph" w:customStyle="1" w:styleId="610">
    <w:name w:val="正文文字表格居中"/>
    <w:basedOn w:val="1"/>
    <w:next w:val="3"/>
    <w:qFormat/>
    <w:uiPriority w:val="0"/>
    <w:pPr>
      <w:snapToGrid w:val="0"/>
      <w:spacing w:line="360" w:lineRule="auto"/>
    </w:pPr>
    <w:rPr>
      <w:rFonts w:ascii="宋体"/>
      <w:b/>
      <w:sz w:val="24"/>
      <w:szCs w:val="20"/>
    </w:rPr>
  </w:style>
  <w:style w:type="paragraph" w:customStyle="1" w:styleId="61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2">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3">
    <w:name w:val="Plain Text1"/>
    <w:basedOn w:val="1"/>
    <w:qFormat/>
    <w:uiPriority w:val="7"/>
    <w:pPr>
      <w:adjustRightInd/>
    </w:pPr>
    <w:rPr>
      <w:rFonts w:ascii="宋体" w:hAnsi="Courier New"/>
    </w:rPr>
  </w:style>
  <w:style w:type="paragraph" w:customStyle="1" w:styleId="614">
    <w:name w:val="Char3"/>
    <w:basedOn w:val="1"/>
    <w:qFormat/>
    <w:uiPriority w:val="0"/>
    <w:pPr>
      <w:adjustRightInd/>
    </w:pPr>
    <w:rPr>
      <w:rFonts w:ascii="仿宋_GB2312" w:eastAsia="仿宋_GB2312"/>
      <w:b/>
      <w:sz w:val="32"/>
      <w:szCs w:val="32"/>
    </w:rPr>
  </w:style>
  <w:style w:type="paragraph" w:customStyle="1" w:styleId="61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7">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8">
    <w:name w:val="List Paragraph1"/>
    <w:basedOn w:val="1"/>
    <w:qFormat/>
    <w:uiPriority w:val="0"/>
    <w:pPr>
      <w:spacing w:line="360" w:lineRule="auto"/>
      <w:ind w:firstLine="200" w:firstLineChars="200"/>
    </w:pPr>
    <w:rPr>
      <w:rFonts w:eastAsia="楷体_GB2312" w:cs="Lucida Sans"/>
      <w:sz w:val="24"/>
    </w:rPr>
  </w:style>
  <w:style w:type="paragraph" w:customStyle="1" w:styleId="619">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0">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2">
    <w:name w:val="Char3 Char Char Char"/>
    <w:basedOn w:val="1"/>
    <w:qFormat/>
    <w:uiPriority w:val="0"/>
    <w:pPr>
      <w:widowControl/>
      <w:adjustRightInd/>
      <w:spacing w:after="160" w:line="240" w:lineRule="exact"/>
      <w:jc w:val="left"/>
    </w:pPr>
    <w:rPr>
      <w:szCs w:val="20"/>
    </w:rPr>
  </w:style>
  <w:style w:type="paragraph" w:customStyle="1" w:styleId="623">
    <w:name w:val="表格标题2"/>
    <w:basedOn w:val="624"/>
    <w:qFormat/>
    <w:uiPriority w:val="0"/>
    <w:rPr>
      <w:b/>
    </w:rPr>
  </w:style>
  <w:style w:type="paragraph" w:customStyle="1" w:styleId="624">
    <w:name w:val="表格内文"/>
    <w:basedOn w:val="1"/>
    <w:qFormat/>
    <w:uiPriority w:val="0"/>
    <w:pPr>
      <w:adjustRightInd/>
      <w:spacing w:line="360" w:lineRule="auto"/>
    </w:pPr>
    <w:rPr>
      <w:rFonts w:ascii="宋体" w:hAnsi="宋体" w:cs="宋体"/>
      <w:color w:val="000000"/>
      <w:szCs w:val="20"/>
    </w:rPr>
  </w:style>
  <w:style w:type="paragraph" w:customStyle="1" w:styleId="625">
    <w:name w:val="Char Char Char Char Char Char Char Char Char Char2"/>
    <w:basedOn w:val="1"/>
    <w:qFormat/>
    <w:uiPriority w:val="0"/>
    <w:rPr>
      <w:rFonts w:ascii="仿宋_GB2312" w:eastAsia="仿宋_GB2312"/>
      <w:b/>
      <w:sz w:val="32"/>
      <w:szCs w:val="32"/>
    </w:rPr>
  </w:style>
  <w:style w:type="paragraph" w:customStyle="1" w:styleId="626">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7">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8">
    <w:name w:val="Char Char11 Char Char Char Char Char Char Char Char Char11"/>
    <w:basedOn w:val="1"/>
    <w:qFormat/>
    <w:uiPriority w:val="0"/>
    <w:pPr>
      <w:spacing w:line="360" w:lineRule="auto"/>
    </w:pPr>
    <w:rPr>
      <w:szCs w:val="20"/>
    </w:rPr>
  </w:style>
  <w:style w:type="paragraph" w:customStyle="1" w:styleId="629">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0">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1">
    <w:name w:val="MM Topic 1"/>
    <w:basedOn w:val="4"/>
    <w:qFormat/>
    <w:uiPriority w:val="0"/>
    <w:pPr>
      <w:tabs>
        <w:tab w:val="left" w:pos="840"/>
      </w:tabs>
      <w:adjustRightInd/>
      <w:ind w:left="840" w:hanging="420"/>
    </w:pPr>
  </w:style>
  <w:style w:type="paragraph" w:customStyle="1" w:styleId="632">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33">
    <w:name w:val="文本正文 Char"/>
    <w:basedOn w:val="1"/>
    <w:qFormat/>
    <w:uiPriority w:val="0"/>
    <w:pPr>
      <w:spacing w:line="360" w:lineRule="auto"/>
      <w:ind w:firstLine="200" w:firstLineChars="200"/>
    </w:pPr>
    <w:rPr>
      <w:kern w:val="0"/>
      <w:sz w:val="24"/>
      <w:szCs w:val="20"/>
    </w:rPr>
  </w:style>
  <w:style w:type="paragraph" w:customStyle="1" w:styleId="634">
    <w:name w:val="表格"/>
    <w:basedOn w:val="1"/>
    <w:qFormat/>
    <w:uiPriority w:val="0"/>
    <w:pPr>
      <w:snapToGrid w:val="0"/>
      <w:ind w:firstLine="42" w:firstLineChars="21"/>
    </w:pPr>
    <w:rPr>
      <w:rFonts w:ascii="宋体" w:hAnsi="宋体"/>
      <w:kern w:val="0"/>
      <w:sz w:val="20"/>
      <w:szCs w:val="20"/>
    </w:rPr>
  </w:style>
  <w:style w:type="paragraph" w:customStyle="1" w:styleId="635">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6">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7">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8">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9">
    <w:name w:val="EB_表格"/>
    <w:basedOn w:val="1"/>
    <w:qFormat/>
    <w:uiPriority w:val="0"/>
    <w:pPr>
      <w:adjustRightInd/>
      <w:spacing w:line="300" w:lineRule="auto"/>
      <w:jc w:val="center"/>
    </w:pPr>
  </w:style>
  <w:style w:type="paragraph" w:customStyle="1" w:styleId="640">
    <w:name w:val="_Style 6"/>
    <w:basedOn w:val="1"/>
    <w:qFormat/>
    <w:uiPriority w:val="34"/>
    <w:pPr>
      <w:adjustRightInd/>
      <w:ind w:firstLine="420" w:firstLineChars="200"/>
    </w:pPr>
    <w:rPr>
      <w:rFonts w:eastAsia="仿宋_GB2312"/>
      <w:sz w:val="28"/>
    </w:rPr>
  </w:style>
  <w:style w:type="paragraph" w:customStyle="1" w:styleId="64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2">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3">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44">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5">
    <w:name w:val="正文表标题"/>
    <w:next w:val="646"/>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6">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7">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8">
    <w:name w:val="trademark"/>
    <w:qFormat/>
    <w:uiPriority w:val="0"/>
    <w:pPr>
      <w:spacing w:after="60"/>
    </w:pPr>
    <w:rPr>
      <w:rFonts w:ascii="Futura Bk" w:hAnsi="Futura Bk" w:eastAsia="宋体" w:cs="Times New Roman"/>
      <w:sz w:val="15"/>
      <w:lang w:val="en-US" w:eastAsia="en-US" w:bidi="ar-SA"/>
    </w:rPr>
  </w:style>
  <w:style w:type="paragraph" w:customStyle="1" w:styleId="649">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0">
    <w:name w:val="Char Char1 Char Char Char Char Char Char1"/>
    <w:basedOn w:val="1"/>
    <w:qFormat/>
    <w:uiPriority w:val="0"/>
    <w:rPr>
      <w:rFonts w:ascii="仿宋_GB2312" w:eastAsia="仿宋_GB2312"/>
      <w:b/>
      <w:sz w:val="32"/>
      <w:szCs w:val="20"/>
    </w:rPr>
  </w:style>
  <w:style w:type="paragraph" w:customStyle="1" w:styleId="651">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2">
    <w:name w:val="Char1 Char Char Char1"/>
    <w:basedOn w:val="1"/>
    <w:qFormat/>
    <w:uiPriority w:val="0"/>
    <w:pPr>
      <w:adjustRightInd/>
      <w:ind w:firstLine="200" w:firstLineChars="200"/>
    </w:pPr>
    <w:rPr>
      <w:rFonts w:ascii="Tahoma" w:hAnsi="Tahoma"/>
      <w:sz w:val="24"/>
      <w:szCs w:val="20"/>
    </w:rPr>
  </w:style>
  <w:style w:type="paragraph" w:customStyle="1" w:styleId="653">
    <w:name w:val="a1"/>
    <w:basedOn w:val="1"/>
    <w:qFormat/>
    <w:uiPriority w:val="0"/>
    <w:pPr>
      <w:widowControl/>
      <w:spacing w:line="300" w:lineRule="atLeast"/>
      <w:jc w:val="left"/>
    </w:pPr>
    <w:rPr>
      <w:rFonts w:ascii="宋体" w:hAnsi="宋体"/>
      <w:kern w:val="0"/>
      <w:sz w:val="18"/>
      <w:szCs w:val="20"/>
    </w:rPr>
  </w:style>
  <w:style w:type="paragraph" w:customStyle="1" w:styleId="654">
    <w:name w:val="样式7"/>
    <w:basedOn w:val="655"/>
    <w:next w:val="1"/>
    <w:qFormat/>
    <w:uiPriority w:val="0"/>
    <w:pPr>
      <w:spacing w:after="156" w:afterLines="50"/>
      <w:jc w:val="left"/>
      <w:outlineLvl w:val="3"/>
    </w:pPr>
    <w:rPr>
      <w:sz w:val="24"/>
      <w:szCs w:val="24"/>
    </w:rPr>
  </w:style>
  <w:style w:type="paragraph" w:customStyle="1" w:styleId="65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7">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8">
    <w:name w:val="样式 样式2 + 左侧:  1 字符 右侧:  1 字符"/>
    <w:basedOn w:val="46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9">
    <w:name w:val="Char2 Char Char2"/>
    <w:basedOn w:val="1"/>
    <w:qFormat/>
    <w:uiPriority w:val="0"/>
    <w:pPr>
      <w:adjustRightInd/>
    </w:pPr>
    <w:rPr>
      <w:rFonts w:ascii="Tahoma" w:hAnsi="Tahoma"/>
      <w:sz w:val="24"/>
      <w:szCs w:val="20"/>
    </w:rPr>
  </w:style>
  <w:style w:type="paragraph" w:customStyle="1" w:styleId="660">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1">
    <w:name w:val="三级条标题"/>
    <w:basedOn w:val="662"/>
    <w:next w:val="646"/>
    <w:qFormat/>
    <w:uiPriority w:val="0"/>
    <w:pPr>
      <w:tabs>
        <w:tab w:val="left" w:pos="1260"/>
        <w:tab w:val="left" w:pos="1680"/>
        <w:tab w:val="left" w:pos="2100"/>
        <w:tab w:val="left" w:pos="2520"/>
      </w:tabs>
      <w:ind w:left="2520"/>
      <w:outlineLvl w:val="4"/>
    </w:pPr>
  </w:style>
  <w:style w:type="paragraph" w:customStyle="1" w:styleId="662">
    <w:name w:val="二级条标题"/>
    <w:basedOn w:val="663"/>
    <w:next w:val="646"/>
    <w:qFormat/>
    <w:uiPriority w:val="0"/>
    <w:pPr>
      <w:tabs>
        <w:tab w:val="left" w:pos="1260"/>
        <w:tab w:val="left" w:pos="1680"/>
        <w:tab w:val="left" w:pos="2100"/>
      </w:tabs>
      <w:ind w:left="0"/>
      <w:outlineLvl w:val="3"/>
    </w:pPr>
  </w:style>
  <w:style w:type="paragraph" w:customStyle="1" w:styleId="663">
    <w:name w:val="一级条标题"/>
    <w:basedOn w:val="664"/>
    <w:next w:val="646"/>
    <w:qFormat/>
    <w:uiPriority w:val="0"/>
    <w:pPr>
      <w:tabs>
        <w:tab w:val="left" w:pos="1260"/>
        <w:tab w:val="left" w:pos="1680"/>
      </w:tabs>
      <w:spacing w:before="0" w:beforeLines="0" w:after="0" w:afterLines="0"/>
      <w:ind w:left="1680"/>
      <w:outlineLvl w:val="2"/>
    </w:pPr>
  </w:style>
  <w:style w:type="paragraph" w:customStyle="1" w:styleId="664">
    <w:name w:val="章标题"/>
    <w:next w:val="646"/>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5">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6">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7">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9">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0">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1">
    <w:name w:val="正文 项目2"/>
    <w:basedOn w:val="672"/>
    <w:qFormat/>
    <w:uiPriority w:val="0"/>
    <w:pPr>
      <w:tabs>
        <w:tab w:val="left" w:pos="840"/>
      </w:tabs>
      <w:spacing w:after="0"/>
      <w:ind w:left="900"/>
    </w:pPr>
  </w:style>
  <w:style w:type="paragraph" w:customStyle="1" w:styleId="67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3">
    <w:name w:val="Body Text 2*"/>
    <w:basedOn w:val="1"/>
    <w:qFormat/>
    <w:uiPriority w:val="6"/>
    <w:pPr>
      <w:widowControl/>
      <w:adjustRightInd/>
      <w:ind w:left="720" w:hanging="720"/>
    </w:pPr>
    <w:rPr>
      <w:color w:val="000000"/>
      <w:kern w:val="0"/>
      <w:sz w:val="24"/>
      <w:szCs w:val="20"/>
      <w:lang w:val="en-GB"/>
    </w:rPr>
  </w:style>
  <w:style w:type="paragraph" w:customStyle="1" w:styleId="674">
    <w:name w:val="表1"/>
    <w:basedOn w:val="1"/>
    <w:qFormat/>
    <w:uiPriority w:val="0"/>
    <w:pPr>
      <w:tabs>
        <w:tab w:val="left" w:pos="703"/>
      </w:tabs>
      <w:adjustRightInd/>
      <w:spacing w:line="360" w:lineRule="auto"/>
      <w:ind w:left="703"/>
      <w:jc w:val="center"/>
    </w:pPr>
  </w:style>
  <w:style w:type="paragraph" w:customStyle="1" w:styleId="675">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6">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7">
    <w:name w:val="2级标题"/>
    <w:basedOn w:val="678"/>
    <w:qFormat/>
    <w:uiPriority w:val="0"/>
    <w:pPr>
      <w:jc w:val="left"/>
      <w:outlineLvl w:val="1"/>
    </w:pPr>
    <w:rPr>
      <w:rFonts w:ascii="Times New Roman" w:hAnsi="Times New Roman" w:eastAsia="仿宋"/>
      <w:sz w:val="30"/>
    </w:rPr>
  </w:style>
  <w:style w:type="paragraph" w:customStyle="1" w:styleId="67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3">
    <w:name w:val="bullet"/>
    <w:basedOn w:val="1"/>
    <w:qFormat/>
    <w:uiPriority w:val="0"/>
    <w:pPr>
      <w:tabs>
        <w:tab w:val="left" w:pos="840"/>
      </w:tabs>
      <w:adjustRightInd/>
      <w:ind w:left="840" w:hanging="420"/>
    </w:pPr>
  </w:style>
  <w:style w:type="paragraph" w:customStyle="1" w:styleId="68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1">
    <w:name w:val="MM Topic 4"/>
    <w:basedOn w:val="7"/>
    <w:qFormat/>
    <w:uiPriority w:val="0"/>
    <w:pPr>
      <w:tabs>
        <w:tab w:val="left" w:pos="2100"/>
      </w:tabs>
      <w:adjustRightInd/>
      <w:ind w:left="2100" w:hanging="420"/>
    </w:pPr>
    <w:rPr>
      <w:lang w:val="en-US"/>
    </w:rPr>
  </w:style>
  <w:style w:type="paragraph" w:customStyle="1" w:styleId="69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4">
    <w:name w:val="Char Char11 Char Char Char Char Char Char Char Char Char1"/>
    <w:basedOn w:val="1"/>
    <w:qFormat/>
    <w:uiPriority w:val="6"/>
    <w:pPr>
      <w:spacing w:line="360" w:lineRule="auto"/>
    </w:pPr>
    <w:rPr>
      <w:szCs w:val="20"/>
    </w:rPr>
  </w:style>
  <w:style w:type="paragraph" w:customStyle="1" w:styleId="69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7">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4">
    <w:name w:val="单元格居中"/>
    <w:basedOn w:val="1"/>
    <w:qFormat/>
    <w:uiPriority w:val="0"/>
    <w:pPr>
      <w:adjustRightInd/>
      <w:spacing w:line="360" w:lineRule="auto"/>
      <w:jc w:val="center"/>
    </w:pPr>
    <w:rPr>
      <w:sz w:val="24"/>
    </w:rPr>
  </w:style>
  <w:style w:type="paragraph" w:customStyle="1" w:styleId="70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6">
    <w:name w:val="Char Char Char Char Char Char Char1"/>
    <w:basedOn w:val="1"/>
    <w:qFormat/>
    <w:uiPriority w:val="6"/>
    <w:rPr>
      <w:rFonts w:ascii="仿宋_GB2312" w:eastAsia="仿宋_GB2312"/>
      <w:b/>
      <w:sz w:val="32"/>
      <w:szCs w:val="32"/>
    </w:rPr>
  </w:style>
  <w:style w:type="paragraph" w:customStyle="1" w:styleId="707">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9">
    <w:name w:val="Char3 Char Char Char11"/>
    <w:basedOn w:val="1"/>
    <w:qFormat/>
    <w:uiPriority w:val="0"/>
    <w:pPr>
      <w:widowControl/>
      <w:adjustRightInd/>
      <w:spacing w:after="160" w:line="240" w:lineRule="exact"/>
      <w:jc w:val="left"/>
    </w:pPr>
    <w:rPr>
      <w:szCs w:val="20"/>
    </w:rPr>
  </w:style>
  <w:style w:type="paragraph" w:customStyle="1" w:styleId="710">
    <w:name w:val="Char Char1121"/>
    <w:basedOn w:val="1"/>
    <w:qFormat/>
    <w:uiPriority w:val="0"/>
    <w:pPr>
      <w:spacing w:line="360" w:lineRule="auto"/>
    </w:pPr>
    <w:rPr>
      <w:szCs w:val="20"/>
    </w:rPr>
  </w:style>
  <w:style w:type="paragraph" w:customStyle="1" w:styleId="711">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2">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3">
    <w:name w:val="Normal0"/>
    <w:qFormat/>
    <w:uiPriority w:val="0"/>
    <w:rPr>
      <w:rFonts w:ascii="Times New Roman" w:hAnsi="Times New Roman" w:eastAsia="宋体" w:cs="Times New Roman"/>
      <w:lang w:val="en-US" w:eastAsia="en-US" w:bidi="ar-SA"/>
    </w:rPr>
  </w:style>
  <w:style w:type="paragraph" w:customStyle="1" w:styleId="714">
    <w:name w:val="带编号样式"/>
    <w:basedOn w:val="633"/>
    <w:qFormat/>
    <w:uiPriority w:val="0"/>
    <w:pPr>
      <w:tabs>
        <w:tab w:val="left" w:pos="840"/>
      </w:tabs>
      <w:snapToGrid w:val="0"/>
      <w:ind w:left="840" w:hanging="420" w:firstLineChars="0"/>
    </w:pPr>
    <w:rPr>
      <w:rFonts w:ascii="仿宋_GB2312" w:eastAsia="仿宋_GB2312"/>
      <w:color w:val="000000"/>
    </w:rPr>
  </w:style>
  <w:style w:type="paragraph" w:customStyle="1" w:styleId="715">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6">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7">
    <w:name w:val="封面"/>
    <w:basedOn w:val="1"/>
    <w:qFormat/>
    <w:uiPriority w:val="0"/>
    <w:pPr>
      <w:spacing w:line="360" w:lineRule="atLeast"/>
      <w:jc w:val="right"/>
      <w:textAlignment w:val="baseline"/>
    </w:pPr>
    <w:rPr>
      <w:rFonts w:ascii="Symbol" w:hAnsi="Symbol"/>
      <w:kern w:val="0"/>
      <w:szCs w:val="20"/>
    </w:rPr>
  </w:style>
  <w:style w:type="paragraph" w:customStyle="1" w:styleId="718">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9">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0">
    <w:name w:val="默认段落字体 Para Char Char Char1 Char"/>
    <w:basedOn w:val="1"/>
    <w:qFormat/>
    <w:uiPriority w:val="0"/>
    <w:pPr>
      <w:spacing w:line="240" w:lineRule="atLeast"/>
      <w:ind w:left="420" w:firstLine="420"/>
    </w:pPr>
    <w:rPr>
      <w:sz w:val="24"/>
    </w:rPr>
  </w:style>
  <w:style w:type="paragraph" w:customStyle="1" w:styleId="721">
    <w:name w:val="WW-正文文字缩进 2"/>
    <w:basedOn w:val="1"/>
    <w:qFormat/>
    <w:uiPriority w:val="0"/>
    <w:pPr>
      <w:suppressAutoHyphens/>
      <w:adjustRightInd/>
      <w:ind w:firstLine="420"/>
    </w:pPr>
    <w:rPr>
      <w:kern w:val="1"/>
      <w:szCs w:val="20"/>
    </w:rPr>
  </w:style>
  <w:style w:type="paragraph" w:customStyle="1" w:styleId="72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3">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4">
    <w:name w:val="有符号正文"/>
    <w:basedOn w:val="1"/>
    <w:qFormat/>
    <w:uiPriority w:val="0"/>
    <w:pPr>
      <w:adjustRightInd/>
      <w:spacing w:line="400" w:lineRule="exact"/>
      <w:ind w:firstLine="200" w:firstLineChars="200"/>
    </w:pPr>
    <w:rPr>
      <w:rFonts w:ascii="Arial" w:hAnsi="Arial"/>
    </w:rPr>
  </w:style>
  <w:style w:type="paragraph" w:customStyle="1" w:styleId="725">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7">
    <w:name w:val="4"/>
    <w:basedOn w:val="1"/>
    <w:next w:val="38"/>
    <w:qFormat/>
    <w:uiPriority w:val="0"/>
    <w:pPr>
      <w:spacing w:after="120" w:line="480" w:lineRule="auto"/>
      <w:ind w:left="420" w:leftChars="200"/>
    </w:pPr>
    <w:rPr>
      <w:sz w:val="24"/>
      <w:szCs w:val="20"/>
    </w:rPr>
  </w:style>
  <w:style w:type="paragraph" w:customStyle="1" w:styleId="72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0">
    <w:name w:val="样式 标题 3H3 + 两端对齐"/>
    <w:basedOn w:val="6"/>
    <w:qFormat/>
    <w:uiPriority w:val="0"/>
    <w:pPr>
      <w:keepLines w:val="0"/>
      <w:spacing w:before="0" w:after="0" w:line="240" w:lineRule="auto"/>
      <w:jc w:val="left"/>
    </w:pPr>
    <w:rPr>
      <w:rFonts w:cs="宋体"/>
      <w:sz w:val="21"/>
      <w:szCs w:val="20"/>
    </w:rPr>
  </w:style>
  <w:style w:type="paragraph" w:customStyle="1" w:styleId="73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4">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5">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6">
    <w:name w:val="Char Char1 Char Char Char"/>
    <w:basedOn w:val="1"/>
    <w:qFormat/>
    <w:uiPriority w:val="0"/>
    <w:rPr>
      <w:rFonts w:ascii="仿宋_GB2312" w:eastAsia="仿宋_GB2312"/>
      <w:b/>
      <w:sz w:val="32"/>
      <w:szCs w:val="20"/>
    </w:rPr>
  </w:style>
  <w:style w:type="paragraph" w:customStyle="1" w:styleId="737">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9">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0">
    <w:name w:val="Char Char1 Char Char Char2"/>
    <w:basedOn w:val="1"/>
    <w:qFormat/>
    <w:uiPriority w:val="0"/>
    <w:rPr>
      <w:rFonts w:ascii="仿宋_GB2312" w:eastAsia="仿宋_GB2312"/>
      <w:b/>
      <w:sz w:val="32"/>
      <w:szCs w:val="32"/>
    </w:rPr>
  </w:style>
  <w:style w:type="paragraph" w:customStyle="1" w:styleId="741">
    <w:name w:val="Char3 Char Char Char1"/>
    <w:basedOn w:val="1"/>
    <w:qFormat/>
    <w:uiPriority w:val="6"/>
    <w:pPr>
      <w:widowControl/>
      <w:adjustRightInd/>
      <w:spacing w:after="160" w:line="240" w:lineRule="exact"/>
      <w:jc w:val="left"/>
    </w:pPr>
    <w:rPr>
      <w:szCs w:val="20"/>
    </w:rPr>
  </w:style>
  <w:style w:type="paragraph" w:customStyle="1" w:styleId="742">
    <w:name w:val="Char1 Char Char Char21"/>
    <w:basedOn w:val="1"/>
    <w:qFormat/>
    <w:uiPriority w:val="0"/>
    <w:rPr>
      <w:rFonts w:ascii="Tahoma" w:hAnsi="Tahoma"/>
      <w:sz w:val="24"/>
      <w:szCs w:val="20"/>
    </w:rPr>
  </w:style>
  <w:style w:type="paragraph" w:customStyle="1" w:styleId="743">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4">
    <w:name w:val="正文（标题三）"/>
    <w:basedOn w:val="1"/>
    <w:qFormat/>
    <w:uiPriority w:val="0"/>
    <w:pPr>
      <w:spacing w:line="360" w:lineRule="auto"/>
      <w:ind w:firstLine="200" w:firstLineChars="200"/>
    </w:pPr>
    <w:rPr>
      <w:sz w:val="24"/>
    </w:rPr>
  </w:style>
  <w:style w:type="paragraph" w:customStyle="1" w:styleId="74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6">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7">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0">
    <w:name w:val="Char1 Char Char Char4"/>
    <w:basedOn w:val="1"/>
    <w:qFormat/>
    <w:uiPriority w:val="0"/>
    <w:pPr>
      <w:adjustRightInd/>
      <w:ind w:firstLine="200" w:firstLineChars="200"/>
    </w:pPr>
    <w:rPr>
      <w:rFonts w:ascii="Tahoma" w:hAnsi="Tahoma"/>
      <w:sz w:val="24"/>
      <w:szCs w:val="20"/>
    </w:rPr>
  </w:style>
  <w:style w:type="paragraph" w:customStyle="1" w:styleId="751">
    <w:name w:val="_标题2"/>
    <w:basedOn w:val="718"/>
    <w:next w:val="718"/>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2">
    <w:name w:val="样式1 + (中宋体"/>
    <w:basedOn w:val="72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6">
    <w:name w:val="四号　首行缩进"/>
    <w:basedOn w:val="1"/>
    <w:qFormat/>
    <w:uiPriority w:val="0"/>
    <w:pPr>
      <w:adjustRightInd/>
      <w:spacing w:line="360" w:lineRule="auto"/>
    </w:pPr>
    <w:rPr>
      <w:rFonts w:ascii="宋体" w:hAnsi="宋体"/>
      <w:szCs w:val="20"/>
    </w:rPr>
  </w:style>
  <w:style w:type="paragraph" w:customStyle="1" w:styleId="75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8">
    <w:name w:val="Char Char Char Char Char Char Char Char Char Char Char1 Char"/>
    <w:basedOn w:val="1"/>
    <w:qFormat/>
    <w:uiPriority w:val="0"/>
    <w:pPr>
      <w:adjustRightInd/>
    </w:pPr>
    <w:rPr>
      <w:rFonts w:ascii="Tahoma" w:hAnsi="Tahoma"/>
      <w:sz w:val="24"/>
    </w:rPr>
  </w:style>
  <w:style w:type="paragraph" w:customStyle="1" w:styleId="759">
    <w:name w:val="Char Char Char Char11"/>
    <w:basedOn w:val="1"/>
    <w:qFormat/>
    <w:uiPriority w:val="0"/>
    <w:rPr>
      <w:rFonts w:ascii="Tahoma" w:hAnsi="Tahoma"/>
      <w:sz w:val="24"/>
      <w:szCs w:val="20"/>
    </w:rPr>
  </w:style>
  <w:style w:type="paragraph" w:customStyle="1" w:styleId="76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1">
    <w:name w:val="Char Char Char Char"/>
    <w:basedOn w:val="1"/>
    <w:qFormat/>
    <w:uiPriority w:val="0"/>
    <w:rPr>
      <w:rFonts w:ascii="Tahoma" w:hAnsi="Tahoma"/>
      <w:sz w:val="24"/>
      <w:szCs w:val="20"/>
    </w:rPr>
  </w:style>
  <w:style w:type="paragraph" w:customStyle="1" w:styleId="762">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3">
    <w:name w:val="Char19"/>
    <w:basedOn w:val="1"/>
    <w:qFormat/>
    <w:uiPriority w:val="0"/>
    <w:pPr>
      <w:adjustRightInd/>
    </w:pPr>
    <w:rPr>
      <w:szCs w:val="20"/>
    </w:rPr>
  </w:style>
  <w:style w:type="paragraph" w:customStyle="1" w:styleId="76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5">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6">
    <w:name w:val="_Style 5"/>
    <w:basedOn w:val="1"/>
    <w:qFormat/>
    <w:uiPriority w:val="34"/>
    <w:pPr>
      <w:adjustRightInd/>
      <w:ind w:firstLine="420" w:firstLineChars="200"/>
    </w:pPr>
    <w:rPr>
      <w:rFonts w:eastAsia="仿宋_GB2312"/>
      <w:sz w:val="28"/>
    </w:rPr>
  </w:style>
  <w:style w:type="paragraph" w:customStyle="1" w:styleId="76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8">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0">
    <w:name w:val="标书表格字体格式"/>
    <w:next w:val="764"/>
    <w:qFormat/>
    <w:uiPriority w:val="0"/>
    <w:rPr>
      <w:rFonts w:ascii="Times New Roman" w:hAnsi="Times New Roman" w:eastAsia="宋体" w:cs="Times New Roman"/>
      <w:kern w:val="2"/>
      <w:sz w:val="21"/>
      <w:szCs w:val="24"/>
      <w:lang w:val="en-US" w:eastAsia="zh-CN" w:bidi="ar-SA"/>
    </w:rPr>
  </w:style>
  <w:style w:type="paragraph" w:customStyle="1" w:styleId="771">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2">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3">
    <w:name w:val="修订3"/>
    <w:qFormat/>
    <w:uiPriority w:val="0"/>
    <w:rPr>
      <w:rFonts w:ascii="Times New Roman" w:hAnsi="Times New Roman" w:eastAsia="宋体" w:cs="Times New Roman"/>
      <w:kern w:val="2"/>
      <w:sz w:val="21"/>
      <w:lang w:val="en-US" w:eastAsia="zh-CN" w:bidi="ar-SA"/>
    </w:rPr>
  </w:style>
  <w:style w:type="paragraph" w:customStyle="1" w:styleId="774">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5">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6">
    <w:name w:val="表文字"/>
    <w:qFormat/>
    <w:uiPriority w:val="0"/>
    <w:rPr>
      <w:rFonts w:ascii="宋体" w:hAnsi="Times New Roman" w:eastAsia="宋体" w:cs="Times New Roman"/>
      <w:kern w:val="2"/>
      <w:lang w:val="en-US" w:eastAsia="zh-CN" w:bidi="ar-SA"/>
    </w:rPr>
  </w:style>
  <w:style w:type="paragraph" w:customStyle="1" w:styleId="777">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0">
    <w:name w:val="Char Char Char Char Char Char Char Char2"/>
    <w:basedOn w:val="1"/>
    <w:qFormat/>
    <w:uiPriority w:val="0"/>
    <w:pPr>
      <w:tabs>
        <w:tab w:val="left" w:pos="360"/>
      </w:tabs>
    </w:pPr>
    <w:rPr>
      <w:sz w:val="24"/>
      <w:szCs w:val="20"/>
    </w:rPr>
  </w:style>
  <w:style w:type="paragraph" w:customStyle="1" w:styleId="781">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3">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4">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6">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7">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8">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9">
    <w:name w:val="p0"/>
    <w:basedOn w:val="1"/>
    <w:qFormat/>
    <w:uiPriority w:val="0"/>
    <w:pPr>
      <w:widowControl/>
      <w:adjustRightInd/>
    </w:pPr>
    <w:rPr>
      <w:kern w:val="0"/>
      <w:szCs w:val="21"/>
    </w:rPr>
  </w:style>
  <w:style w:type="paragraph" w:customStyle="1" w:styleId="790">
    <w:name w:val="Char6"/>
    <w:basedOn w:val="1"/>
    <w:qFormat/>
    <w:uiPriority w:val="0"/>
    <w:rPr>
      <w:rFonts w:ascii="仿宋_GB2312" w:eastAsia="仿宋_GB2312"/>
      <w:b/>
      <w:sz w:val="32"/>
      <w:szCs w:val="32"/>
    </w:rPr>
  </w:style>
  <w:style w:type="paragraph" w:customStyle="1" w:styleId="791">
    <w:name w:val="Char111"/>
    <w:basedOn w:val="1"/>
    <w:qFormat/>
    <w:uiPriority w:val="0"/>
    <w:rPr>
      <w:rFonts w:ascii="仿宋_GB2312" w:eastAsia="仿宋_GB2312"/>
      <w:b/>
      <w:sz w:val="32"/>
      <w:szCs w:val="32"/>
    </w:rPr>
  </w:style>
  <w:style w:type="paragraph" w:customStyle="1" w:styleId="792">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9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4">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5">
    <w:name w:val="Char1 Char Char Char2"/>
    <w:basedOn w:val="1"/>
    <w:qFormat/>
    <w:uiPriority w:val="0"/>
    <w:pPr>
      <w:adjustRightInd/>
      <w:ind w:firstLine="200" w:firstLineChars="200"/>
    </w:pPr>
    <w:rPr>
      <w:rFonts w:ascii="Tahoma" w:hAnsi="Tahoma"/>
      <w:sz w:val="24"/>
      <w:szCs w:val="20"/>
    </w:rPr>
  </w:style>
  <w:style w:type="paragraph" w:customStyle="1" w:styleId="796">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7">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8">
    <w:name w:val="Char Char Char Char Char Char Char2"/>
    <w:basedOn w:val="1"/>
    <w:qFormat/>
    <w:uiPriority w:val="0"/>
    <w:rPr>
      <w:rFonts w:ascii="仿宋_GB2312" w:eastAsia="仿宋_GB2312"/>
      <w:b/>
      <w:sz w:val="32"/>
      <w:szCs w:val="32"/>
    </w:rPr>
  </w:style>
  <w:style w:type="paragraph" w:customStyle="1" w:styleId="799">
    <w:name w:val="五级条标题"/>
    <w:basedOn w:val="800"/>
    <w:next w:val="646"/>
    <w:qFormat/>
    <w:uiPriority w:val="0"/>
    <w:pPr>
      <w:tabs>
        <w:tab w:val="left" w:pos="1260"/>
        <w:tab w:val="left" w:pos="1680"/>
        <w:tab w:val="left" w:pos="2100"/>
        <w:tab w:val="left" w:pos="2940"/>
        <w:tab w:val="left" w:pos="3360"/>
      </w:tabs>
      <w:ind w:left="3360"/>
      <w:outlineLvl w:val="6"/>
    </w:pPr>
  </w:style>
  <w:style w:type="paragraph" w:customStyle="1" w:styleId="800">
    <w:name w:val="四级条标题"/>
    <w:basedOn w:val="661"/>
    <w:next w:val="646"/>
    <w:qFormat/>
    <w:uiPriority w:val="0"/>
    <w:pPr>
      <w:tabs>
        <w:tab w:val="left" w:pos="2940"/>
        <w:tab w:val="clear" w:pos="2520"/>
      </w:tabs>
      <w:ind w:left="2940"/>
      <w:outlineLvl w:val="5"/>
    </w:pPr>
  </w:style>
  <w:style w:type="paragraph" w:customStyle="1" w:styleId="80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2">
    <w:name w:val="Char23"/>
    <w:basedOn w:val="1"/>
    <w:qFormat/>
    <w:uiPriority w:val="0"/>
    <w:rPr>
      <w:rFonts w:ascii="仿宋_GB2312" w:eastAsia="仿宋_GB2312"/>
      <w:b/>
      <w:sz w:val="32"/>
      <w:szCs w:val="32"/>
    </w:rPr>
  </w:style>
  <w:style w:type="paragraph" w:customStyle="1" w:styleId="803">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4">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5">
    <w:name w:val="首行缩进"/>
    <w:basedOn w:val="1"/>
    <w:qFormat/>
    <w:uiPriority w:val="0"/>
    <w:pPr>
      <w:spacing w:line="360" w:lineRule="auto"/>
      <w:ind w:firstLine="480" w:firstLineChars="200"/>
    </w:pPr>
    <w:rPr>
      <w:rFonts w:ascii="宋体"/>
      <w:sz w:val="24"/>
      <w:szCs w:val="20"/>
    </w:rPr>
  </w:style>
  <w:style w:type="paragraph" w:customStyle="1" w:styleId="80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7">
    <w:name w:val="单元格左对齐"/>
    <w:basedOn w:val="1"/>
    <w:qFormat/>
    <w:uiPriority w:val="0"/>
    <w:pPr>
      <w:adjustRightInd/>
      <w:spacing w:line="360" w:lineRule="auto"/>
    </w:pPr>
    <w:rPr>
      <w:sz w:val="24"/>
    </w:rPr>
  </w:style>
  <w:style w:type="paragraph" w:customStyle="1" w:styleId="808">
    <w:name w:val="正文主体"/>
    <w:basedOn w:val="630"/>
    <w:qFormat/>
    <w:uiPriority w:val="0"/>
  </w:style>
  <w:style w:type="paragraph" w:customStyle="1" w:styleId="809">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0">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1">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2">
    <w:name w:val="正文（首行缩进2字符）"/>
    <w:basedOn w:val="1"/>
    <w:qFormat/>
    <w:uiPriority w:val="0"/>
    <w:pPr>
      <w:adjustRightInd/>
      <w:spacing w:line="360" w:lineRule="auto"/>
      <w:ind w:firstLine="480" w:firstLineChars="200"/>
    </w:pPr>
    <w:rPr>
      <w:sz w:val="24"/>
      <w:szCs w:val="20"/>
    </w:rPr>
  </w:style>
  <w:style w:type="paragraph" w:customStyle="1" w:styleId="813">
    <w:name w:val="P1"/>
    <w:basedOn w:val="1"/>
    <w:qFormat/>
    <w:uiPriority w:val="0"/>
    <w:pPr>
      <w:adjustRightInd/>
      <w:spacing w:line="288" w:lineRule="auto"/>
      <w:ind w:firstLine="425" w:firstLineChars="200"/>
    </w:pPr>
  </w:style>
  <w:style w:type="paragraph" w:customStyle="1" w:styleId="814">
    <w:name w:val="列表内容"/>
    <w:basedOn w:val="1"/>
    <w:next w:val="1"/>
    <w:qFormat/>
    <w:uiPriority w:val="0"/>
    <w:pPr>
      <w:widowControl/>
      <w:tabs>
        <w:tab w:val="left" w:pos="840"/>
      </w:tabs>
      <w:ind w:left="840" w:hanging="420"/>
      <w:jc w:val="left"/>
    </w:pPr>
    <w:rPr>
      <w:kern w:val="0"/>
      <w:sz w:val="18"/>
    </w:rPr>
  </w:style>
  <w:style w:type="paragraph" w:customStyle="1" w:styleId="815">
    <w:name w:val="Char Char11 Char Char Char1"/>
    <w:basedOn w:val="1"/>
    <w:qFormat/>
    <w:uiPriority w:val="6"/>
    <w:pPr>
      <w:spacing w:line="360" w:lineRule="auto"/>
    </w:pPr>
    <w:rPr>
      <w:szCs w:val="20"/>
    </w:rPr>
  </w:style>
  <w:style w:type="paragraph" w:customStyle="1" w:styleId="816">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7">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0">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21">
    <w:name w:val="默认段落字体 Para Char Char Char Char"/>
    <w:basedOn w:val="1"/>
    <w:qFormat/>
    <w:uiPriority w:val="0"/>
    <w:pPr>
      <w:spacing w:line="360" w:lineRule="auto"/>
    </w:pPr>
    <w:rPr>
      <w:szCs w:val="20"/>
    </w:rPr>
  </w:style>
  <w:style w:type="paragraph" w:customStyle="1" w:styleId="822">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4">
    <w:name w:val="Char2 Char Char Char2"/>
    <w:basedOn w:val="1"/>
    <w:qFormat/>
    <w:uiPriority w:val="0"/>
    <w:rPr>
      <w:rFonts w:ascii="仿宋_GB2312" w:eastAsia="仿宋_GB2312"/>
      <w:b/>
      <w:sz w:val="32"/>
      <w:szCs w:val="32"/>
    </w:rPr>
  </w:style>
  <w:style w:type="paragraph" w:customStyle="1" w:styleId="825">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6">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7">
    <w:name w:val="正文 首行缩进:  2 字符 Char"/>
    <w:basedOn w:val="1"/>
    <w:qFormat/>
    <w:uiPriority w:val="0"/>
    <w:pPr>
      <w:adjustRightInd/>
      <w:spacing w:line="360" w:lineRule="auto"/>
      <w:ind w:firstLine="480"/>
    </w:pPr>
    <w:rPr>
      <w:rFonts w:cs="宋体"/>
      <w:sz w:val="24"/>
      <w:szCs w:val="20"/>
    </w:rPr>
  </w:style>
  <w:style w:type="paragraph" w:customStyle="1" w:styleId="828">
    <w:name w:val="Char Char4 Char Char"/>
    <w:basedOn w:val="1"/>
    <w:qFormat/>
    <w:uiPriority w:val="0"/>
    <w:pPr>
      <w:widowControl/>
      <w:adjustRightInd/>
      <w:spacing w:after="160" w:line="240" w:lineRule="exact"/>
      <w:jc w:val="left"/>
    </w:pPr>
  </w:style>
  <w:style w:type="paragraph" w:customStyle="1" w:styleId="82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0">
    <w:name w:val="Char Char11 Char Char Char2"/>
    <w:basedOn w:val="1"/>
    <w:qFormat/>
    <w:uiPriority w:val="0"/>
    <w:pPr>
      <w:spacing w:line="360" w:lineRule="auto"/>
    </w:pPr>
    <w:rPr>
      <w:szCs w:val="20"/>
    </w:rPr>
  </w:style>
  <w:style w:type="paragraph" w:customStyle="1" w:styleId="83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2">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3">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6">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7">
    <w:name w:val="Char311"/>
    <w:basedOn w:val="1"/>
    <w:qFormat/>
    <w:uiPriority w:val="0"/>
    <w:pPr>
      <w:adjustRightInd/>
      <w:ind w:firstLine="200" w:firstLineChars="200"/>
    </w:pPr>
    <w:rPr>
      <w:rFonts w:ascii="Tahoma" w:hAnsi="Tahoma"/>
      <w:sz w:val="24"/>
      <w:szCs w:val="20"/>
    </w:rPr>
  </w:style>
  <w:style w:type="paragraph" w:customStyle="1" w:styleId="838">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0">
    <w:name w:val="正文 内标"/>
    <w:basedOn w:val="755"/>
    <w:qFormat/>
    <w:uiPriority w:val="0"/>
    <w:pPr>
      <w:tabs>
        <w:tab w:val="left" w:pos="0"/>
      </w:tabs>
      <w:ind w:left="900" w:firstLine="0" w:firstLineChars="0"/>
    </w:pPr>
  </w:style>
  <w:style w:type="paragraph" w:customStyle="1" w:styleId="841">
    <w:name w:val="Bulleted List"/>
    <w:basedOn w:val="1"/>
    <w:qFormat/>
    <w:uiPriority w:val="0"/>
    <w:pPr>
      <w:tabs>
        <w:tab w:val="left" w:pos="1260"/>
      </w:tabs>
      <w:adjustRightInd/>
      <w:ind w:left="1260" w:hanging="420"/>
    </w:pPr>
  </w:style>
  <w:style w:type="paragraph" w:customStyle="1" w:styleId="842">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3">
    <w:name w:val="样式 左侧:  0.85 厘米"/>
    <w:basedOn w:val="1"/>
    <w:qFormat/>
    <w:uiPriority w:val="2"/>
    <w:pPr>
      <w:adjustRightInd/>
      <w:spacing w:line="360" w:lineRule="auto"/>
    </w:pPr>
    <w:rPr>
      <w:rFonts w:cs="宋体"/>
      <w:sz w:val="24"/>
      <w:szCs w:val="20"/>
    </w:rPr>
  </w:style>
  <w:style w:type="paragraph" w:customStyle="1" w:styleId="844">
    <w:name w:val="Char Char Char Char Char Char Char Char Char Char Char Char1 Char"/>
    <w:basedOn w:val="1"/>
    <w:qFormat/>
    <w:uiPriority w:val="0"/>
    <w:rPr>
      <w:rFonts w:ascii="Tahoma" w:hAnsi="Tahoma" w:cs="仿宋_GB2312"/>
      <w:sz w:val="24"/>
      <w:szCs w:val="20"/>
    </w:rPr>
  </w:style>
  <w:style w:type="paragraph" w:customStyle="1" w:styleId="84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7">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8">
    <w:name w:val="Char Char1 Char Char Char Char Char Char"/>
    <w:basedOn w:val="1"/>
    <w:qFormat/>
    <w:uiPriority w:val="0"/>
    <w:rPr>
      <w:rFonts w:ascii="仿宋_GB2312" w:eastAsia="仿宋_GB2312"/>
      <w:b/>
      <w:sz w:val="32"/>
      <w:szCs w:val="20"/>
    </w:rPr>
  </w:style>
  <w:style w:type="paragraph" w:customStyle="1" w:styleId="84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0">
    <w:name w:val="Char Char1 Char Char Char Char Char Char2"/>
    <w:basedOn w:val="1"/>
    <w:qFormat/>
    <w:uiPriority w:val="0"/>
    <w:rPr>
      <w:rFonts w:ascii="仿宋_GB2312" w:eastAsia="仿宋_GB2312"/>
      <w:b/>
      <w:sz w:val="32"/>
      <w:szCs w:val="20"/>
    </w:rPr>
  </w:style>
  <w:style w:type="paragraph" w:customStyle="1" w:styleId="85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0">
    <w:name w:val="Char31"/>
    <w:basedOn w:val="1"/>
    <w:qFormat/>
    <w:uiPriority w:val="0"/>
    <w:pPr>
      <w:adjustRightInd/>
    </w:pPr>
    <w:rPr>
      <w:rFonts w:ascii="仿宋_GB2312" w:eastAsia="仿宋_GB2312"/>
      <w:b/>
      <w:sz w:val="32"/>
      <w:szCs w:val="32"/>
    </w:rPr>
  </w:style>
  <w:style w:type="paragraph" w:customStyle="1" w:styleId="861">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62">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4">
    <w:name w:val="Char Char1"/>
    <w:basedOn w:val="1"/>
    <w:qFormat/>
    <w:uiPriority w:val="0"/>
    <w:pPr>
      <w:widowControl/>
      <w:spacing w:after="160" w:line="240" w:lineRule="exact"/>
      <w:jc w:val="left"/>
    </w:pPr>
    <w:rPr>
      <w:rFonts w:eastAsia="仿宋_GB2312"/>
      <w:sz w:val="28"/>
    </w:rPr>
  </w:style>
  <w:style w:type="paragraph" w:customStyle="1" w:styleId="865">
    <w:name w:val="Char21"/>
    <w:basedOn w:val="1"/>
    <w:qFormat/>
    <w:uiPriority w:val="0"/>
    <w:pPr>
      <w:adjustRightInd/>
      <w:ind w:firstLine="200" w:firstLineChars="200"/>
    </w:pPr>
    <w:rPr>
      <w:rFonts w:ascii="仿宋_GB2312" w:eastAsia="仿宋_GB2312"/>
      <w:b/>
      <w:sz w:val="32"/>
      <w:szCs w:val="32"/>
    </w:rPr>
  </w:style>
  <w:style w:type="paragraph" w:customStyle="1" w:styleId="866">
    <w:name w:val="列表段落1"/>
    <w:basedOn w:val="1"/>
    <w:qFormat/>
    <w:uiPriority w:val="34"/>
    <w:pPr>
      <w:adjustRightInd/>
      <w:ind w:right="238" w:firstLine="420"/>
    </w:pPr>
    <w:rPr>
      <w:rFonts w:ascii="Calibri" w:hAnsi="Calibri"/>
      <w:sz w:val="24"/>
    </w:rPr>
  </w:style>
  <w:style w:type="paragraph" w:customStyle="1" w:styleId="867">
    <w:name w:val="Char Char110"/>
    <w:basedOn w:val="1"/>
    <w:qFormat/>
    <w:uiPriority w:val="6"/>
    <w:pPr>
      <w:spacing w:line="360" w:lineRule="auto"/>
    </w:pPr>
    <w:rPr>
      <w:rFonts w:ascii="Tahoma" w:hAnsi="Tahoma"/>
      <w:sz w:val="24"/>
      <w:szCs w:val="20"/>
    </w:rPr>
  </w:style>
  <w:style w:type="paragraph" w:customStyle="1" w:styleId="86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2">
    <w:name w:val="Char Char Char Char Char Char Char Char Char Char Char Char1 Char2"/>
    <w:basedOn w:val="1"/>
    <w:qFormat/>
    <w:uiPriority w:val="0"/>
    <w:rPr>
      <w:rFonts w:ascii="Tahoma" w:hAnsi="Tahoma" w:cs="仿宋_GB2312"/>
      <w:sz w:val="24"/>
      <w:szCs w:val="20"/>
    </w:rPr>
  </w:style>
  <w:style w:type="paragraph" w:customStyle="1" w:styleId="87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5">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7">
    <w:name w:val="_Style 12"/>
    <w:basedOn w:val="20"/>
    <w:qFormat/>
    <w:uiPriority w:val="0"/>
    <w:pPr>
      <w:snapToGrid w:val="0"/>
      <w:spacing w:line="360" w:lineRule="auto"/>
    </w:pPr>
  </w:style>
  <w:style w:type="paragraph" w:customStyle="1" w:styleId="87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0">
    <w:name w:val="_Style 94"/>
    <w:basedOn w:val="1"/>
    <w:next w:val="264"/>
    <w:qFormat/>
    <w:uiPriority w:val="34"/>
    <w:pPr>
      <w:adjustRightInd/>
      <w:spacing w:line="360" w:lineRule="auto"/>
      <w:ind w:firstLine="200" w:firstLineChars="200"/>
    </w:pPr>
    <w:rPr>
      <w:rFonts w:ascii="Calibri" w:hAnsi="Calibri"/>
      <w:sz w:val="28"/>
      <w:szCs w:val="20"/>
    </w:rPr>
  </w:style>
  <w:style w:type="paragraph" w:customStyle="1" w:styleId="88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2">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3">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4">
    <w:name w:val="3级标题"/>
    <w:basedOn w:val="677"/>
    <w:qFormat/>
    <w:uiPriority w:val="0"/>
    <w:pPr>
      <w:outlineLvl w:val="2"/>
    </w:pPr>
  </w:style>
  <w:style w:type="paragraph" w:customStyle="1" w:styleId="885">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6">
    <w:name w:val="Char1 Char Char Char3"/>
    <w:basedOn w:val="1"/>
    <w:qFormat/>
    <w:uiPriority w:val="0"/>
    <w:pPr>
      <w:adjustRightInd/>
      <w:ind w:firstLine="200" w:firstLineChars="200"/>
    </w:pPr>
    <w:rPr>
      <w:rFonts w:ascii="Tahoma" w:hAnsi="Tahoma"/>
      <w:sz w:val="24"/>
      <w:szCs w:val="20"/>
    </w:rPr>
  </w:style>
  <w:style w:type="paragraph" w:customStyle="1" w:styleId="887">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8">
    <w:name w:val="MM Empty"/>
    <w:basedOn w:val="1"/>
    <w:qFormat/>
    <w:uiPriority w:val="0"/>
    <w:pPr>
      <w:adjustRightInd/>
    </w:pPr>
  </w:style>
  <w:style w:type="paragraph" w:customStyle="1" w:styleId="889">
    <w:name w:val="Char24"/>
    <w:basedOn w:val="1"/>
    <w:qFormat/>
    <w:uiPriority w:val="0"/>
    <w:rPr>
      <w:rFonts w:ascii="仿宋_GB2312" w:eastAsia="仿宋_GB2312"/>
      <w:b/>
      <w:sz w:val="32"/>
      <w:szCs w:val="32"/>
    </w:rPr>
  </w:style>
  <w:style w:type="paragraph" w:customStyle="1" w:styleId="890">
    <w:name w:val="正文箭头"/>
    <w:basedOn w:val="544"/>
    <w:qFormat/>
    <w:uiPriority w:val="0"/>
  </w:style>
  <w:style w:type="paragraph" w:customStyle="1" w:styleId="891">
    <w:name w:val="U_编号2"/>
    <w:basedOn w:val="1"/>
    <w:qFormat/>
    <w:uiPriority w:val="0"/>
    <w:pPr>
      <w:tabs>
        <w:tab w:val="left" w:pos="785"/>
      </w:tabs>
      <w:adjustRightInd/>
      <w:spacing w:beforeLines="10" w:afterLines="10" w:line="300" w:lineRule="auto"/>
    </w:pPr>
    <w:rPr>
      <w:sz w:val="24"/>
    </w:rPr>
  </w:style>
  <w:style w:type="paragraph" w:customStyle="1" w:styleId="892">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4">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5">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6">
    <w:name w:val="_Style 1"/>
    <w:basedOn w:val="1"/>
    <w:qFormat/>
    <w:uiPriority w:val="34"/>
    <w:pPr>
      <w:adjustRightInd/>
      <w:ind w:firstLine="420" w:firstLineChars="200"/>
    </w:pPr>
    <w:rPr>
      <w:rFonts w:eastAsia="仿宋_GB2312"/>
      <w:sz w:val="28"/>
    </w:rPr>
  </w:style>
  <w:style w:type="paragraph" w:customStyle="1" w:styleId="897">
    <w:name w:val="表格 内容"/>
    <w:basedOn w:val="734"/>
    <w:qFormat/>
    <w:uiPriority w:val="0"/>
    <w:rPr>
      <w:b w:val="0"/>
      <w:sz w:val="20"/>
    </w:rPr>
  </w:style>
  <w:style w:type="paragraph" w:customStyle="1" w:styleId="898">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9">
    <w:name w:val="数字标题5"/>
    <w:basedOn w:val="8"/>
    <w:next w:val="1"/>
    <w:qFormat/>
    <w:uiPriority w:val="0"/>
    <w:pPr>
      <w:tabs>
        <w:tab w:val="left" w:pos="1080"/>
      </w:tabs>
      <w:ind w:left="1080" w:hanging="1080"/>
    </w:pPr>
  </w:style>
  <w:style w:type="paragraph" w:customStyle="1" w:styleId="900">
    <w:name w:val="数字标题1"/>
    <w:basedOn w:val="4"/>
    <w:next w:val="1"/>
    <w:qFormat/>
    <w:uiPriority w:val="0"/>
    <w:pPr>
      <w:tabs>
        <w:tab w:val="left" w:pos="480"/>
      </w:tabs>
      <w:ind w:left="480" w:hanging="480"/>
    </w:pPr>
  </w:style>
  <w:style w:type="paragraph" w:customStyle="1" w:styleId="901">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7">
    <w:name w:val="0"/>
    <w:basedOn w:val="1"/>
    <w:qFormat/>
    <w:uiPriority w:val="0"/>
    <w:pPr>
      <w:widowControl/>
    </w:pPr>
    <w:rPr>
      <w:kern w:val="0"/>
      <w:sz w:val="24"/>
      <w:szCs w:val="20"/>
    </w:rPr>
  </w:style>
  <w:style w:type="paragraph" w:customStyle="1" w:styleId="908">
    <w:name w:val="Char Char113"/>
    <w:basedOn w:val="1"/>
    <w:qFormat/>
    <w:uiPriority w:val="0"/>
    <w:pPr>
      <w:widowControl/>
      <w:spacing w:after="160" w:line="240" w:lineRule="exact"/>
      <w:jc w:val="left"/>
    </w:pPr>
    <w:rPr>
      <w:rFonts w:eastAsia="仿宋_GB2312"/>
      <w:sz w:val="28"/>
    </w:rPr>
  </w:style>
  <w:style w:type="paragraph" w:customStyle="1" w:styleId="90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0">
    <w:name w:val="_Style 8"/>
    <w:basedOn w:val="1"/>
    <w:qFormat/>
    <w:uiPriority w:val="34"/>
    <w:pPr>
      <w:adjustRightInd/>
      <w:ind w:firstLine="420" w:firstLineChars="200"/>
    </w:pPr>
    <w:rPr>
      <w:rFonts w:eastAsia="仿宋_GB2312"/>
      <w:sz w:val="28"/>
    </w:rPr>
  </w:style>
  <w:style w:type="paragraph" w:customStyle="1" w:styleId="911">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2">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4">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6">
    <w:name w:val="Char Char112"/>
    <w:basedOn w:val="1"/>
    <w:qFormat/>
    <w:uiPriority w:val="6"/>
    <w:pPr>
      <w:widowControl/>
      <w:spacing w:after="160" w:line="240" w:lineRule="exact"/>
      <w:jc w:val="left"/>
    </w:pPr>
    <w:rPr>
      <w:rFonts w:eastAsia="仿宋_GB2312"/>
      <w:sz w:val="28"/>
    </w:rPr>
  </w:style>
  <w:style w:type="paragraph" w:customStyle="1" w:styleId="917">
    <w:name w:val="正文 图"/>
    <w:basedOn w:val="449"/>
    <w:qFormat/>
    <w:uiPriority w:val="0"/>
    <w:pPr>
      <w:adjustRightInd/>
      <w:spacing w:before="0"/>
      <w:ind w:firstLine="0"/>
      <w:jc w:val="center"/>
    </w:pPr>
    <w:rPr>
      <w:rFonts w:ascii="微软雅黑" w:hAnsi="微软雅黑"/>
    </w:rPr>
  </w:style>
  <w:style w:type="paragraph" w:customStyle="1" w:styleId="91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9">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0">
    <w:name w:val="Thf"/>
    <w:basedOn w:val="568"/>
    <w:qFormat/>
    <w:uiPriority w:val="0"/>
    <w:pPr>
      <w:ind w:left="0"/>
    </w:pPr>
  </w:style>
  <w:style w:type="paragraph" w:customStyle="1" w:styleId="921">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3">
    <w:name w:val="注释"/>
    <w:basedOn w:val="1"/>
    <w:qFormat/>
    <w:uiPriority w:val="0"/>
    <w:pPr>
      <w:adjustRightInd/>
      <w:spacing w:line="360" w:lineRule="auto"/>
      <w:ind w:firstLine="480"/>
    </w:pPr>
    <w:rPr>
      <w:sz w:val="24"/>
    </w:rPr>
  </w:style>
  <w:style w:type="table" w:customStyle="1" w:styleId="924">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0">
    <w:name w:val="列出段落111"/>
    <w:basedOn w:val="1"/>
    <w:qFormat/>
    <w:uiPriority w:val="34"/>
    <w:pPr>
      <w:ind w:firstLine="420" w:firstLineChars="200"/>
    </w:pPr>
  </w:style>
  <w:style w:type="character" w:customStyle="1" w:styleId="931">
    <w:name w:val="交叉引用"/>
    <w:qFormat/>
    <w:uiPriority w:val="1"/>
    <w:rPr>
      <w:rFonts w:ascii="Arial" w:hAnsi="Arial" w:eastAsia="黑体"/>
      <w:snapToGrid w:val="0"/>
      <w:color w:val="0000FF"/>
      <w:kern w:val="0"/>
      <w:sz w:val="20"/>
      <w:szCs w:val="21"/>
      <w:u w:val="single"/>
      <w:lang w:val="en-US" w:eastAsia="zh-CN"/>
    </w:rPr>
  </w:style>
  <w:style w:type="character" w:customStyle="1" w:styleId="932">
    <w:name w:val="正文缩进 字符1"/>
    <w:qFormat/>
    <w:uiPriority w:val="0"/>
    <w:rPr>
      <w:rFonts w:ascii="宋体" w:eastAsia="宋体"/>
      <w:snapToGrid w:val="0"/>
      <w:color w:val="000000"/>
      <w:kern w:val="28"/>
      <w:sz w:val="28"/>
      <w:lang w:val="en-US" w:eastAsia="zh-CN" w:bidi="ar-SA"/>
    </w:rPr>
  </w:style>
  <w:style w:type="character" w:customStyle="1" w:styleId="933">
    <w:name w:val="页脚 字符1"/>
    <w:qFormat/>
    <w:locked/>
    <w:uiPriority w:val="99"/>
    <w:rPr>
      <w:kern w:val="2"/>
      <w:sz w:val="18"/>
      <w:szCs w:val="18"/>
    </w:rPr>
  </w:style>
  <w:style w:type="character" w:customStyle="1" w:styleId="934">
    <w:name w:val="页眉 字符1"/>
    <w:qFormat/>
    <w:uiPriority w:val="99"/>
    <w:rPr>
      <w:kern w:val="2"/>
      <w:sz w:val="18"/>
      <w:szCs w:val="18"/>
    </w:rPr>
  </w:style>
  <w:style w:type="character" w:customStyle="1" w:styleId="935">
    <w:name w:val="尾注文本 字符"/>
    <w:link w:val="39"/>
    <w:qFormat/>
    <w:uiPriority w:val="0"/>
    <w:rPr>
      <w:kern w:val="2"/>
      <w:sz w:val="21"/>
      <w:szCs w:val="24"/>
      <w:lang w:val="zh-CN"/>
    </w:rPr>
  </w:style>
  <w:style w:type="character" w:customStyle="1" w:styleId="936">
    <w:name w:val="无间隔 字符"/>
    <w:link w:val="489"/>
    <w:qFormat/>
    <w:uiPriority w:val="99"/>
    <w:rPr>
      <w:kern w:val="2"/>
      <w:sz w:val="21"/>
      <w:szCs w:val="22"/>
    </w:rPr>
  </w:style>
  <w:style w:type="character" w:customStyle="1" w:styleId="937">
    <w:name w:val="标准文本 Char Char"/>
    <w:link w:val="938"/>
    <w:qFormat/>
    <w:uiPriority w:val="0"/>
    <w:rPr>
      <w:rFonts w:cs="宋体"/>
      <w:kern w:val="2"/>
      <w:sz w:val="24"/>
    </w:rPr>
  </w:style>
  <w:style w:type="paragraph" w:customStyle="1" w:styleId="938">
    <w:name w:val="标准文本"/>
    <w:basedOn w:val="1"/>
    <w:link w:val="937"/>
    <w:qFormat/>
    <w:uiPriority w:val="0"/>
    <w:pPr>
      <w:adjustRightInd/>
      <w:spacing w:line="360" w:lineRule="auto"/>
      <w:ind w:firstLine="480" w:firstLineChars="200"/>
    </w:pPr>
    <w:rPr>
      <w:rFonts w:cs="宋体"/>
      <w:sz w:val="24"/>
      <w:szCs w:val="20"/>
    </w:rPr>
  </w:style>
  <w:style w:type="character" w:customStyle="1" w:styleId="939">
    <w:name w:val="Char Char213"/>
    <w:qFormat/>
    <w:uiPriority w:val="0"/>
    <w:rPr>
      <w:rFonts w:eastAsia="Century Gothic"/>
      <w:b/>
      <w:bCs/>
      <w:kern w:val="44"/>
      <w:sz w:val="32"/>
      <w:szCs w:val="44"/>
      <w:lang w:val="en-US" w:eastAsia="zh-CN" w:bidi="ar-SA"/>
    </w:rPr>
  </w:style>
  <w:style w:type="character" w:customStyle="1" w:styleId="940">
    <w:name w:val="apple-style-span"/>
    <w:qFormat/>
    <w:uiPriority w:val="0"/>
    <w:rPr>
      <w:rFonts w:ascii="Arial" w:hAnsi="Arial" w:eastAsia="黑体" w:cs="Arial"/>
      <w:snapToGrid w:val="0"/>
      <w:kern w:val="0"/>
      <w:szCs w:val="21"/>
    </w:rPr>
  </w:style>
  <w:style w:type="character" w:customStyle="1" w:styleId="941">
    <w:name w:val="15"/>
    <w:qFormat/>
    <w:uiPriority w:val="0"/>
    <w:rPr>
      <w:rFonts w:hint="default" w:ascii="Calibri" w:hAnsi="Calibri"/>
      <w:color w:val="0000FF"/>
      <w:u w:val="single"/>
    </w:rPr>
  </w:style>
  <w:style w:type="character" w:customStyle="1" w:styleId="942">
    <w:name w:val="16"/>
    <w:qFormat/>
    <w:uiPriority w:val="0"/>
    <w:rPr>
      <w:rFonts w:hint="eastAsia" w:ascii="宋体" w:hAnsi="宋体" w:eastAsia="宋体"/>
      <w:color w:val="000000"/>
      <w:sz w:val="20"/>
      <w:szCs w:val="20"/>
    </w:rPr>
  </w:style>
  <w:style w:type="character" w:customStyle="1" w:styleId="943">
    <w:name w:val="edui-unclickable"/>
    <w:qFormat/>
    <w:uiPriority w:val="0"/>
    <w:rPr>
      <w:color w:val="808080"/>
    </w:rPr>
  </w:style>
  <w:style w:type="character" w:customStyle="1" w:styleId="944">
    <w:name w:val="tpc_content1"/>
    <w:qFormat/>
    <w:uiPriority w:val="0"/>
    <w:rPr>
      <w:sz w:val="20"/>
      <w:szCs w:val="20"/>
    </w:rPr>
  </w:style>
  <w:style w:type="character" w:customStyle="1" w:styleId="945">
    <w:name w:val="正文文本缩进 字符"/>
    <w:qFormat/>
    <w:uiPriority w:val="0"/>
    <w:rPr>
      <w:rFonts w:ascii="Century Gothic" w:hAnsi="Century Gothic" w:eastAsia="Century Gothic"/>
      <w:kern w:val="2"/>
      <w:sz w:val="24"/>
      <w:lang w:val="en-US" w:eastAsia="zh-CN" w:bidi="ar-SA"/>
    </w:rPr>
  </w:style>
  <w:style w:type="character" w:customStyle="1" w:styleId="946">
    <w:name w:val="正文文本 2 字符"/>
    <w:qFormat/>
    <w:uiPriority w:val="0"/>
    <w:rPr>
      <w:rFonts w:ascii="Arial" w:hAnsi="Arial" w:eastAsia="宋体"/>
      <w:kern w:val="2"/>
      <w:sz w:val="24"/>
      <w:szCs w:val="24"/>
      <w:lang w:val="en-US" w:eastAsia="zh-CN" w:bidi="ar-SA"/>
    </w:rPr>
  </w:style>
  <w:style w:type="character" w:customStyle="1" w:styleId="947">
    <w:name w:val="edui-clickable2"/>
    <w:qFormat/>
    <w:uiPriority w:val="0"/>
    <w:rPr>
      <w:color w:val="0000FF"/>
      <w:u w:val="single"/>
    </w:rPr>
  </w:style>
  <w:style w:type="character" w:customStyle="1" w:styleId="948">
    <w:name w:val="style1"/>
    <w:qFormat/>
    <w:uiPriority w:val="0"/>
    <w:rPr>
      <w:rFonts w:ascii="Arial" w:hAnsi="Arial" w:eastAsia="黑体" w:cs="Arial"/>
      <w:snapToGrid w:val="0"/>
      <w:kern w:val="0"/>
      <w:szCs w:val="21"/>
    </w:rPr>
  </w:style>
  <w:style w:type="character" w:customStyle="1" w:styleId="949">
    <w:name w:val="zbggtop11 style5"/>
    <w:qFormat/>
    <w:uiPriority w:val="0"/>
    <w:rPr>
      <w:rFonts w:ascii="Arial" w:hAnsi="Arial" w:eastAsia="黑体" w:cs="Arial"/>
      <w:snapToGrid w:val="0"/>
      <w:kern w:val="0"/>
      <w:szCs w:val="21"/>
    </w:rPr>
  </w:style>
  <w:style w:type="character" w:customStyle="1" w:styleId="950">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1">
    <w:name w:val="bulletintext1"/>
    <w:qFormat/>
    <w:uiPriority w:val="0"/>
    <w:rPr>
      <w:color w:val="000000"/>
      <w:sz w:val="18"/>
    </w:rPr>
  </w:style>
  <w:style w:type="paragraph" w:customStyle="1" w:styleId="952">
    <w:name w:val="_Style 947"/>
    <w:basedOn w:val="1"/>
    <w:next w:val="264"/>
    <w:qFormat/>
    <w:uiPriority w:val="34"/>
    <w:pPr>
      <w:adjustRightInd/>
      <w:ind w:firstLine="420" w:firstLineChars="200"/>
    </w:pPr>
  </w:style>
  <w:style w:type="paragraph" w:customStyle="1" w:styleId="953">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4">
    <w:name w:val="纯文本2"/>
    <w:basedOn w:val="1"/>
    <w:qFormat/>
    <w:uiPriority w:val="0"/>
    <w:pPr>
      <w:adjustRightInd/>
      <w:snapToGrid w:val="0"/>
      <w:jc w:val="left"/>
    </w:pPr>
    <w:rPr>
      <w:rFonts w:ascii="Century Gothic" w:hAnsi="楷体_GB2312" w:eastAsia="Century Gothic"/>
      <w:szCs w:val="20"/>
    </w:rPr>
  </w:style>
  <w:style w:type="paragraph" w:customStyle="1" w:styleId="955">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6">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7">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8">
    <w:name w:val="Blockquote"/>
    <w:basedOn w:val="1"/>
    <w:qFormat/>
    <w:uiPriority w:val="0"/>
    <w:pPr>
      <w:autoSpaceDE w:val="0"/>
      <w:autoSpaceDN w:val="0"/>
      <w:spacing w:before="100" w:after="100"/>
      <w:ind w:left="360" w:right="360"/>
      <w:jc w:val="left"/>
    </w:pPr>
    <w:rPr>
      <w:kern w:val="0"/>
      <w:sz w:val="24"/>
      <w:szCs w:val="20"/>
    </w:rPr>
  </w:style>
  <w:style w:type="paragraph" w:customStyle="1" w:styleId="959">
    <w:name w:val="p1"/>
    <w:basedOn w:val="1"/>
    <w:qFormat/>
    <w:uiPriority w:val="0"/>
    <w:pPr>
      <w:widowControl/>
      <w:adjustRightInd/>
      <w:jc w:val="left"/>
    </w:pPr>
    <w:rPr>
      <w:rFonts w:ascii=".PingFang SC" w:eastAsia=".PingFang SC"/>
      <w:color w:val="454545"/>
      <w:kern w:val="0"/>
      <w:sz w:val="18"/>
      <w:szCs w:val="18"/>
    </w:rPr>
  </w:style>
  <w:style w:type="paragraph" w:customStyle="1" w:styleId="960">
    <w:name w:val="Table Paragraph"/>
    <w:basedOn w:val="1"/>
    <w:qFormat/>
    <w:uiPriority w:val="0"/>
    <w:pPr>
      <w:adjustRightInd/>
      <w:jc w:val="left"/>
    </w:pPr>
    <w:rPr>
      <w:rFonts w:ascii="Calibri" w:hAnsi="Calibri"/>
      <w:kern w:val="0"/>
      <w:sz w:val="22"/>
      <w:szCs w:val="22"/>
      <w:lang w:eastAsia="en-US"/>
    </w:rPr>
  </w:style>
  <w:style w:type="paragraph" w:customStyle="1" w:styleId="96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2">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3">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4">
    <w:name w:val="ksfind_class_select1"/>
    <w:basedOn w:val="70"/>
    <w:qFormat/>
    <w:uiPriority w:val="0"/>
    <w:rPr>
      <w:color w:val="000000"/>
      <w:shd w:val="clear" w:color="auto" w:fill="EFD200"/>
    </w:rPr>
  </w:style>
  <w:style w:type="character" w:customStyle="1" w:styleId="965">
    <w:name w:val="font71"/>
    <w:basedOn w:val="70"/>
    <w:qFormat/>
    <w:uiPriority w:val="0"/>
    <w:rPr>
      <w:rFonts w:hint="eastAsia" w:ascii="宋体" w:hAnsi="宋体" w:eastAsia="宋体" w:cs="宋体"/>
      <w:color w:val="000000"/>
      <w:sz w:val="22"/>
      <w:szCs w:val="22"/>
      <w:u w:val="none"/>
    </w:rPr>
  </w:style>
  <w:style w:type="character" w:customStyle="1" w:styleId="966">
    <w:name w:val="font91"/>
    <w:qFormat/>
    <w:uiPriority w:val="0"/>
    <w:rPr>
      <w:rFonts w:hint="eastAsia" w:ascii="仿宋" w:hAnsi="仿宋" w:eastAsia="仿宋" w:cs="仿宋"/>
      <w:color w:val="000000"/>
      <w:sz w:val="22"/>
      <w:szCs w:val="22"/>
      <w:u w:val="none"/>
    </w:rPr>
  </w:style>
  <w:style w:type="paragraph" w:customStyle="1" w:styleId="967">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68">
    <w:name w:val="纯文本3"/>
    <w:basedOn w:val="1"/>
    <w:qFormat/>
    <w:uiPriority w:val="0"/>
    <w:pPr>
      <w:textAlignment w:val="baseline"/>
    </w:pPr>
    <w:rPr>
      <w:rFonts w:ascii="宋体" w:hAnsi="Courier New" w:eastAsia="楷体_GB2312"/>
      <w:sz w:val="26"/>
      <w:szCs w:val="20"/>
    </w:rPr>
  </w:style>
  <w:style w:type="paragraph" w:customStyle="1" w:styleId="969">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970">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1">
    <w:name w:val="Heading1"/>
    <w:basedOn w:val="1"/>
    <w:next w:val="1"/>
    <w:qFormat/>
    <w:uiPriority w:val="0"/>
    <w:pPr>
      <w:keepNext/>
      <w:keepLines/>
      <w:spacing w:before="340" w:after="330" w:line="578" w:lineRule="auto"/>
      <w:textAlignment w:val="baseline"/>
    </w:pPr>
    <w:rPr>
      <w:b/>
      <w:bCs/>
      <w:kern w:val="44"/>
      <w:sz w:val="44"/>
      <w:szCs w:val="44"/>
    </w:rPr>
  </w:style>
  <w:style w:type="character" w:customStyle="1" w:styleId="972">
    <w:name w:val="NormalCharacter"/>
    <w:qFormat/>
    <w:uiPriority w:val="0"/>
    <w:rPr>
      <w:kern w:val="2"/>
      <w:sz w:val="21"/>
      <w:szCs w:val="24"/>
      <w:lang w:val="en-US" w:eastAsia="zh-CN" w:bidi="ar-SA"/>
    </w:rPr>
  </w:style>
  <w:style w:type="character" w:customStyle="1" w:styleId="973">
    <w:name w:val="UserStyle_12"/>
    <w:qFormat/>
    <w:uiPriority w:val="0"/>
    <w:rPr>
      <w:kern w:val="2"/>
      <w:sz w:val="21"/>
      <w:szCs w:val="24"/>
      <w:lang w:val="en-US" w:eastAsia="zh-CN" w:bidi="ar-SA"/>
    </w:rPr>
  </w:style>
  <w:style w:type="paragraph" w:customStyle="1" w:styleId="974">
    <w:name w:val="BodyText"/>
    <w:basedOn w:val="1"/>
    <w:next w:val="975"/>
    <w:qFormat/>
    <w:uiPriority w:val="0"/>
    <w:pPr>
      <w:spacing w:after="120"/>
      <w:textAlignment w:val="baseline"/>
    </w:pPr>
    <w:rPr>
      <w:rFonts w:ascii="Calibri" w:hAnsi="Calibri"/>
    </w:rPr>
  </w:style>
  <w:style w:type="paragraph" w:customStyle="1" w:styleId="975">
    <w:name w:val="BodyText2"/>
    <w:basedOn w:val="1"/>
    <w:next w:val="1"/>
    <w:qFormat/>
    <w:uiPriority w:val="0"/>
    <w:pPr>
      <w:widowControl/>
      <w:snapToGrid w:val="0"/>
      <w:spacing w:before="50" w:after="156" w:line="400" w:lineRule="exact"/>
      <w:jc w:val="left"/>
      <w:textAlignment w:val="baseline"/>
    </w:pPr>
    <w:rPr>
      <w:rFonts w:ascii="宋体" w:hAnsi="宋体"/>
      <w:color w:val="000000"/>
      <w:sz w:val="24"/>
    </w:rPr>
  </w:style>
  <w:style w:type="paragraph" w:customStyle="1" w:styleId="976">
    <w:name w:val="纯文本4"/>
    <w:basedOn w:val="1"/>
    <w:qFormat/>
    <w:uiPriority w:val="0"/>
    <w:pPr>
      <w:textAlignment w:val="baseline"/>
    </w:pPr>
    <w:rPr>
      <w:rFonts w:ascii="宋体" w:hAnsi="Courier New" w:eastAsia="楷体_GB2312"/>
      <w:sz w:val="26"/>
      <w:szCs w:val="20"/>
    </w:rPr>
  </w:style>
  <w:style w:type="paragraph" w:customStyle="1" w:styleId="977">
    <w:name w:val="!正文"/>
    <w:basedOn w:val="1"/>
    <w:qFormat/>
    <w:uiPriority w:val="0"/>
    <w:pPr>
      <w:widowControl/>
      <w:spacing w:line="360" w:lineRule="auto"/>
      <w:ind w:firstLine="200" w:firstLineChars="200"/>
      <w:jc w:val="left"/>
    </w:pPr>
    <w:rPr>
      <w:rFonts w:ascii="Calibri" w:hAnsi="Calibri" w:eastAsia="微软雅黑" w:cs="微软雅黑"/>
      <w:szCs w:val="21"/>
    </w:rPr>
  </w:style>
  <w:style w:type="paragraph" w:customStyle="1" w:styleId="978">
    <w:name w:val="msolistparagraph"/>
    <w:basedOn w:val="1"/>
    <w:qFormat/>
    <w:uiPriority w:val="0"/>
    <w:pPr>
      <w:spacing w:line="360" w:lineRule="auto"/>
      <w:ind w:firstLine="420" w:firstLineChars="200"/>
    </w:pPr>
    <w:rPr>
      <w:rFonts w:hint="eastAsia" w:ascii="微软雅黑" w:hAnsi="微软雅黑" w:eastAsia="微软雅黑"/>
    </w:rPr>
  </w:style>
  <w:style w:type="table" w:customStyle="1" w:styleId="979">
    <w:name w:val="Table Normal"/>
    <w:unhideWhenUsed/>
    <w:qFormat/>
    <w:uiPriority w:val="0"/>
    <w:tblPr>
      <w:tblCellMar>
        <w:top w:w="0" w:type="dxa"/>
        <w:left w:w="0" w:type="dxa"/>
        <w:bottom w:w="0" w:type="dxa"/>
        <w:right w:w="0" w:type="dxa"/>
      </w:tblCellMar>
    </w:tblPr>
  </w:style>
  <w:style w:type="paragraph" w:customStyle="1" w:styleId="980">
    <w:name w:val="正文文本首行缩进1"/>
    <w:basedOn w:val="2"/>
    <w:qFormat/>
    <w:uiPriority w:val="0"/>
    <w:pPr>
      <w:ind w:firstLine="420" w:firstLineChars="100"/>
    </w:pPr>
    <w:rPr>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50</Pages>
  <Words>20888</Words>
  <Characters>22111</Characters>
  <Lines>389</Lines>
  <Paragraphs>109</Paragraphs>
  <TotalTime>0</TotalTime>
  <ScaleCrop>false</ScaleCrop>
  <LinksUpToDate>false</LinksUpToDate>
  <CharactersWithSpaces>22650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954</cp:lastModifiedBy>
  <cp:lastPrinted>2023-10-24T07:23:00Z</cp:lastPrinted>
  <dcterms:modified xsi:type="dcterms:W3CDTF">2025-04-01T01:42:35Z</dcterms:modified>
  <dc:title>杭州市市民卡扩大发卡工程</dc:title>
  <cp:revision>222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commondata">
    <vt:lpwstr>eyJoZGlkIjoiMGMzMTVmNWQ0ZWUwMDFhMGMxMjI0ODY0ODBlMmFiN2UifQ==</vt:lpwstr>
  </property>
  <property fmtid="{D5CDD505-2E9C-101B-9397-08002B2CF9AE}" pid="6" name="KSOTemplateDocerSaveRecord">
    <vt:lpwstr>eyJoZGlkIjoiMGMzMTVmNWQ0ZWUwMDFhMGMxMjI0ODY0ODBlMmFiN2UiLCJ1c2VySWQiOiIxNDkxNzg2MTEyIn0=</vt:lpwstr>
  </property>
</Properties>
</file>