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33F408F1">
      <w:pPr>
        <w:spacing w:line="360" w:lineRule="auto"/>
        <w:jc w:val="center"/>
        <w:rPr>
          <w:rFonts w:ascii="仿宋" w:hAnsi="仿宋" w:eastAsia="仿宋" w:cs="仿宋_GB2312"/>
          <w:b/>
          <w:color w:val="auto"/>
          <w:sz w:val="24"/>
          <w:highlight w:val="none"/>
        </w:rPr>
      </w:pPr>
    </w:p>
    <w:p w14:paraId="76D5A1F4">
      <w:pPr>
        <w:spacing w:line="1160" w:lineRule="exact"/>
        <w:jc w:val="center"/>
        <w:rPr>
          <w:rFonts w:hint="eastAsia" w:ascii="宋体" w:hAnsi="宋体" w:eastAsia="宋体"/>
          <w:b/>
          <w:color w:val="auto"/>
          <w:sz w:val="48"/>
          <w:szCs w:val="48"/>
          <w:highlight w:val="none"/>
          <w:lang w:eastAsia="zh-CN"/>
        </w:rPr>
      </w:pPr>
      <w:bookmarkStart w:id="0" w:name="_Hlt67893495"/>
      <w:bookmarkEnd w:id="0"/>
      <w:r>
        <w:rPr>
          <w:rFonts w:hint="eastAsia" w:ascii="宋体" w:hAnsi="宋体"/>
          <w:b/>
          <w:color w:val="auto"/>
          <w:sz w:val="44"/>
          <w:szCs w:val="44"/>
          <w:highlight w:val="none"/>
          <w:lang w:eastAsia="zh-CN"/>
        </w:rPr>
        <w:t>不动产业务和信息化建设（2025年不动产档案扫描建库项目）</w:t>
      </w:r>
    </w:p>
    <w:p w14:paraId="0CA1264A">
      <w:pPr>
        <w:spacing w:before="120" w:beforeLines="50"/>
        <w:rPr>
          <w:rFonts w:ascii="宋体" w:hAnsi="宋体"/>
          <w:color w:val="auto"/>
          <w:sz w:val="72"/>
          <w:szCs w:val="72"/>
          <w:highlight w:val="none"/>
        </w:rPr>
      </w:pPr>
    </w:p>
    <w:p w14:paraId="4C731B46">
      <w:pPr>
        <w:spacing w:before="120" w:beforeLines="50"/>
        <w:rPr>
          <w:rFonts w:ascii="宋体" w:hAnsi="宋体"/>
          <w:color w:val="auto"/>
          <w:sz w:val="72"/>
          <w:szCs w:val="72"/>
          <w:highlight w:val="none"/>
        </w:rPr>
      </w:pPr>
    </w:p>
    <w:p w14:paraId="5717DB0E">
      <w:pPr>
        <w:spacing w:before="120" w:beforeLines="50"/>
        <w:rPr>
          <w:rFonts w:ascii="宋体" w:hAnsi="宋体"/>
          <w:color w:val="auto"/>
          <w:sz w:val="72"/>
          <w:szCs w:val="72"/>
          <w:highlight w:val="none"/>
        </w:rPr>
      </w:pPr>
    </w:p>
    <w:p w14:paraId="7CBCF751">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公开招标文件</w:t>
      </w:r>
    </w:p>
    <w:p w14:paraId="5EBB011C">
      <w:pPr>
        <w:pStyle w:val="27"/>
        <w:rPr>
          <w:color w:val="auto"/>
          <w:highlight w:val="none"/>
        </w:rPr>
      </w:pPr>
    </w:p>
    <w:p w14:paraId="4FA4C4F7">
      <w:pPr>
        <w:snapToGrid w:val="0"/>
        <w:spacing w:before="120" w:beforeLines="50" w:line="360" w:lineRule="auto"/>
        <w:jc w:val="center"/>
        <w:rPr>
          <w:rFonts w:ascii="宋体" w:hAnsi="宋体"/>
          <w:color w:val="auto"/>
          <w:sz w:val="30"/>
          <w:szCs w:val="72"/>
          <w:highlight w:val="none"/>
        </w:rPr>
      </w:pPr>
    </w:p>
    <w:p w14:paraId="19B0F86B">
      <w:pPr>
        <w:snapToGrid w:val="0"/>
        <w:spacing w:before="120" w:beforeLines="50" w:line="360" w:lineRule="auto"/>
        <w:rPr>
          <w:rFonts w:ascii="宋体" w:hAnsi="宋体"/>
          <w:color w:val="auto"/>
          <w:sz w:val="30"/>
          <w:szCs w:val="72"/>
          <w:highlight w:val="none"/>
        </w:rPr>
      </w:pPr>
    </w:p>
    <w:p w14:paraId="288F2FC9">
      <w:pPr>
        <w:pStyle w:val="36"/>
        <w:snapToGrid w:val="0"/>
        <w:spacing w:before="120" w:after="120" w:line="360" w:lineRule="auto"/>
        <w:rPr>
          <w:b/>
          <w:color w:val="auto"/>
          <w:sz w:val="30"/>
          <w:szCs w:val="30"/>
          <w:highlight w:val="none"/>
        </w:rPr>
      </w:pPr>
    </w:p>
    <w:p w14:paraId="24BA2453">
      <w:pPr>
        <w:pStyle w:val="36"/>
        <w:snapToGrid w:val="0"/>
        <w:spacing w:before="120" w:after="120" w:line="360" w:lineRule="auto"/>
        <w:jc w:val="left"/>
        <w:rPr>
          <w:b/>
          <w:color w:val="auto"/>
          <w:sz w:val="30"/>
          <w:szCs w:val="30"/>
          <w:highlight w:val="none"/>
        </w:rPr>
      </w:pPr>
    </w:p>
    <w:p w14:paraId="4A93A222">
      <w:pPr>
        <w:pStyle w:val="36"/>
        <w:snapToGrid w:val="0"/>
        <w:spacing w:before="120" w:after="120" w:line="360" w:lineRule="auto"/>
        <w:jc w:val="left"/>
        <w:rPr>
          <w:b/>
          <w:color w:val="auto"/>
          <w:sz w:val="28"/>
          <w:szCs w:val="28"/>
          <w:highlight w:val="none"/>
        </w:rPr>
      </w:pPr>
      <w:r>
        <w:rPr>
          <w:b/>
          <w:color w:val="auto"/>
          <w:sz w:val="28"/>
          <w:szCs w:val="28"/>
          <w:highlight w:val="none"/>
        </w:rPr>
        <w:t>项目编号：</w:t>
      </w:r>
      <w:r>
        <w:rPr>
          <w:rFonts w:hint="eastAsia" w:hAnsi="宋体"/>
          <w:b/>
          <w:color w:val="auto"/>
          <w:sz w:val="28"/>
          <w:szCs w:val="44"/>
          <w:highlight w:val="none"/>
          <w:lang w:eastAsia="zh-CN"/>
        </w:rPr>
        <w:t>JXYJ2025003</w:t>
      </w:r>
      <w:r>
        <w:rPr>
          <w:rFonts w:hint="eastAsia" w:hAnsi="宋体"/>
          <w:b/>
          <w:color w:val="auto"/>
          <w:sz w:val="28"/>
          <w:szCs w:val="44"/>
          <w:highlight w:val="none"/>
        </w:rPr>
        <w:t>(G)</w:t>
      </w:r>
    </w:p>
    <w:p w14:paraId="011B8DEB">
      <w:pPr>
        <w:pStyle w:val="36"/>
        <w:snapToGrid w:val="0"/>
        <w:spacing w:before="120" w:after="120" w:line="360" w:lineRule="auto"/>
        <w:jc w:val="left"/>
        <w:rPr>
          <w:rFonts w:hint="eastAsia" w:eastAsia="宋体"/>
          <w:b/>
          <w:color w:val="auto"/>
          <w:sz w:val="28"/>
          <w:szCs w:val="28"/>
          <w:highlight w:val="none"/>
          <w:lang w:eastAsia="zh-CN"/>
        </w:rPr>
      </w:pPr>
      <w:r>
        <w:rPr>
          <w:rFonts w:hint="eastAsia"/>
          <w:b/>
          <w:color w:val="auto"/>
          <w:sz w:val="28"/>
          <w:szCs w:val="28"/>
          <w:highlight w:val="none"/>
        </w:rPr>
        <w:t>项目名称：</w:t>
      </w:r>
      <w:r>
        <w:rPr>
          <w:rFonts w:hint="eastAsia"/>
          <w:b/>
          <w:color w:val="auto"/>
          <w:sz w:val="28"/>
          <w:szCs w:val="28"/>
          <w:highlight w:val="none"/>
          <w:lang w:eastAsia="zh-CN"/>
        </w:rPr>
        <w:t>不动产业务和信息化建设（2025年不动产档案扫描建库项目）</w:t>
      </w:r>
    </w:p>
    <w:p w14:paraId="62469E58">
      <w:pPr>
        <w:pStyle w:val="36"/>
        <w:snapToGrid w:val="0"/>
        <w:spacing w:before="120" w:after="120" w:line="360" w:lineRule="auto"/>
        <w:jc w:val="left"/>
        <w:rPr>
          <w:rFonts w:hint="eastAsia" w:hAnsi="宋体" w:eastAsia="宋体"/>
          <w:b/>
          <w:color w:val="auto"/>
          <w:sz w:val="28"/>
          <w:szCs w:val="28"/>
          <w:highlight w:val="none"/>
          <w:lang w:eastAsia="zh-CN"/>
        </w:rPr>
      </w:pPr>
      <w:r>
        <w:rPr>
          <w:b/>
          <w:color w:val="auto"/>
          <w:sz w:val="28"/>
          <w:szCs w:val="28"/>
          <w:highlight w:val="none"/>
        </w:rPr>
        <w:t>采购</w:t>
      </w:r>
      <w:r>
        <w:rPr>
          <w:rFonts w:hint="eastAsia"/>
          <w:b/>
          <w:color w:val="auto"/>
          <w:sz w:val="28"/>
          <w:szCs w:val="28"/>
          <w:highlight w:val="none"/>
        </w:rPr>
        <w:t>单位</w:t>
      </w:r>
      <w:r>
        <w:rPr>
          <w:b/>
          <w:color w:val="auto"/>
          <w:sz w:val="28"/>
          <w:szCs w:val="28"/>
          <w:highlight w:val="none"/>
        </w:rPr>
        <w:t>：</w:t>
      </w:r>
      <w:r>
        <w:rPr>
          <w:rFonts w:hint="eastAsia"/>
          <w:b/>
          <w:color w:val="auto"/>
          <w:sz w:val="28"/>
          <w:szCs w:val="28"/>
          <w:highlight w:val="none"/>
          <w:lang w:eastAsia="zh-CN"/>
        </w:rPr>
        <w:t>嘉善县自然资源和规划局</w:t>
      </w:r>
    </w:p>
    <w:p w14:paraId="05A8B17A">
      <w:pPr>
        <w:pStyle w:val="36"/>
        <w:snapToGrid w:val="0"/>
        <w:spacing w:before="120" w:after="120" w:line="360" w:lineRule="auto"/>
        <w:jc w:val="left"/>
        <w:rPr>
          <w:rFonts w:hAnsi="宋体"/>
          <w:b/>
          <w:bCs/>
          <w:color w:val="auto"/>
          <w:sz w:val="28"/>
          <w:szCs w:val="28"/>
          <w:highlight w:val="none"/>
        </w:rPr>
      </w:pPr>
      <w:r>
        <w:rPr>
          <w:rFonts w:hint="eastAsia"/>
          <w:b/>
          <w:color w:val="auto"/>
          <w:sz w:val="28"/>
          <w:szCs w:val="28"/>
          <w:highlight w:val="none"/>
        </w:rPr>
        <w:t>采购代理机构</w:t>
      </w:r>
      <w:r>
        <w:rPr>
          <w:b/>
          <w:color w:val="auto"/>
          <w:sz w:val="28"/>
          <w:szCs w:val="28"/>
          <w:highlight w:val="none"/>
        </w:rPr>
        <w:t>：</w:t>
      </w:r>
      <w:r>
        <w:rPr>
          <w:rFonts w:hint="eastAsia"/>
          <w:b/>
          <w:color w:val="auto"/>
          <w:sz w:val="28"/>
          <w:szCs w:val="28"/>
          <w:highlight w:val="none"/>
        </w:rPr>
        <w:t>嘉兴市银建工程咨询评估有限公司</w:t>
      </w:r>
    </w:p>
    <w:p w14:paraId="39B19CEB">
      <w:pPr>
        <w:spacing w:line="360" w:lineRule="auto"/>
        <w:jc w:val="center"/>
        <w:rPr>
          <w:rFonts w:ascii="仿宋" w:hAnsi="仿宋" w:eastAsia="仿宋" w:cs="仿宋_GB2312"/>
          <w:color w:val="auto"/>
          <w:sz w:val="24"/>
          <w:highlight w:val="none"/>
        </w:rPr>
      </w:pPr>
      <w:r>
        <w:rPr>
          <w:rFonts w:hint="eastAsia" w:ascii="宋体" w:hAnsi="宋体"/>
          <w:b/>
          <w:bCs/>
          <w:color w:val="auto"/>
          <w:w w:val="95"/>
          <w:sz w:val="30"/>
          <w:szCs w:val="30"/>
          <w:highlight w:val="none"/>
        </w:rPr>
        <w:t>202</w:t>
      </w:r>
      <w:r>
        <w:rPr>
          <w:rFonts w:hint="eastAsia" w:ascii="宋体" w:hAnsi="宋体"/>
          <w:b/>
          <w:bCs/>
          <w:color w:val="auto"/>
          <w:w w:val="95"/>
          <w:sz w:val="30"/>
          <w:szCs w:val="30"/>
          <w:highlight w:val="none"/>
          <w:lang w:val="en-US" w:eastAsia="zh-CN"/>
        </w:rPr>
        <w:t>5</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3</w:t>
      </w:r>
      <w:r>
        <w:rPr>
          <w:rFonts w:hint="eastAsia" w:ascii="宋体" w:hAnsi="宋体"/>
          <w:b/>
          <w:bCs/>
          <w:color w:val="auto"/>
          <w:w w:val="95"/>
          <w:sz w:val="30"/>
          <w:szCs w:val="30"/>
          <w:highlight w:val="none"/>
        </w:rPr>
        <w:t>月</w:t>
      </w:r>
    </w:p>
    <w:p w14:paraId="171BB907">
      <w:pPr>
        <w:rPr>
          <w:rFonts w:ascii="仿宋" w:hAnsi="仿宋" w:eastAsia="仿宋" w:cs="仿宋_GB2312"/>
          <w:color w:val="auto"/>
          <w:sz w:val="24"/>
          <w:highlight w:val="none"/>
        </w:rPr>
        <w:sectPr>
          <w:headerReference r:id="rId3" w:type="default"/>
          <w:footerReference r:id="rId4" w:type="even"/>
          <w:pgSz w:w="11906"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pPr>
    </w:p>
    <w:p w14:paraId="6453D1CC">
      <w:pPr>
        <w:pStyle w:val="36"/>
        <w:spacing w:before="120" w:after="120" w:line="600" w:lineRule="exact"/>
        <w:rPr>
          <w:rFonts w:ascii="创艺简标宋" w:hAnsi="宋体" w:eastAsia="创艺简标宋"/>
          <w:b/>
          <w:color w:val="auto"/>
          <w:sz w:val="44"/>
          <w:szCs w:val="44"/>
          <w:highlight w:val="none"/>
        </w:rPr>
      </w:pPr>
      <w:bookmarkStart w:id="1" w:name="_Hlt91233176"/>
      <w:bookmarkEnd w:id="1"/>
      <w:bookmarkStart w:id="2" w:name="_Toc91899869"/>
    </w:p>
    <w:p w14:paraId="5D6284F3">
      <w:pPr>
        <w:pStyle w:val="36"/>
        <w:spacing w:before="120" w:after="120" w:line="600" w:lineRule="exact"/>
        <w:jc w:val="center"/>
        <w:rPr>
          <w:rFonts w:hAnsi="宋体" w:cs="宋体"/>
          <w:b/>
          <w:color w:val="auto"/>
          <w:sz w:val="44"/>
          <w:szCs w:val="44"/>
          <w:highlight w:val="none"/>
        </w:rPr>
      </w:pPr>
    </w:p>
    <w:p w14:paraId="592C4BD1">
      <w:pPr>
        <w:pStyle w:val="36"/>
        <w:spacing w:before="120" w:after="120" w:line="600" w:lineRule="exact"/>
        <w:jc w:val="center"/>
        <w:rPr>
          <w:rFonts w:hAnsi="宋体" w:cs="宋体"/>
          <w:b/>
          <w:color w:val="auto"/>
          <w:sz w:val="44"/>
          <w:szCs w:val="44"/>
          <w:highlight w:val="none"/>
        </w:rPr>
      </w:pPr>
      <w:r>
        <w:rPr>
          <w:rFonts w:hint="eastAsia" w:hAnsi="宋体" w:cs="宋体"/>
          <w:b/>
          <w:color w:val="auto"/>
          <w:sz w:val="44"/>
          <w:szCs w:val="44"/>
          <w:highlight w:val="none"/>
        </w:rPr>
        <w:t>目    录</w:t>
      </w:r>
    </w:p>
    <w:p w14:paraId="11004403">
      <w:pPr>
        <w:pStyle w:val="36"/>
        <w:tabs>
          <w:tab w:val="left" w:pos="6645"/>
        </w:tabs>
        <w:spacing w:before="120" w:after="120" w:line="600" w:lineRule="exact"/>
        <w:jc w:val="left"/>
        <w:rPr>
          <w:rFonts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14:paraId="561662D3">
      <w:pPr>
        <w:pStyle w:val="46"/>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78"/>
          <w:rFonts w:hint="eastAsia"/>
          <w:b/>
          <w:color w:val="auto"/>
          <w:sz w:val="32"/>
          <w:szCs w:val="32"/>
          <w:highlight w:val="none"/>
        </w:rPr>
        <w:t>第一章</w:t>
      </w:r>
      <w:r>
        <w:rPr>
          <w:rStyle w:val="78"/>
          <w:b/>
          <w:color w:val="auto"/>
          <w:sz w:val="32"/>
          <w:szCs w:val="32"/>
          <w:highlight w:val="none"/>
        </w:rPr>
        <w:t xml:space="preserve">  </w:t>
      </w:r>
      <w:r>
        <w:rPr>
          <w:rStyle w:val="78"/>
          <w:rFonts w:hint="eastAsia"/>
          <w:b/>
          <w:color w:val="auto"/>
          <w:sz w:val="32"/>
          <w:szCs w:val="32"/>
          <w:highlight w:val="none"/>
        </w:rPr>
        <w:t>公开招标采购公告</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p>
    <w:p w14:paraId="34207206">
      <w:pPr>
        <w:pStyle w:val="46"/>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78"/>
          <w:rFonts w:hint="eastAsia"/>
          <w:b/>
          <w:color w:val="auto"/>
          <w:sz w:val="32"/>
          <w:szCs w:val="32"/>
          <w:highlight w:val="none"/>
        </w:rPr>
        <w:t>第二章</w:t>
      </w:r>
      <w:r>
        <w:rPr>
          <w:rStyle w:val="78"/>
          <w:b/>
          <w:color w:val="auto"/>
          <w:sz w:val="32"/>
          <w:szCs w:val="32"/>
          <w:highlight w:val="none"/>
        </w:rPr>
        <w:t xml:space="preserve">  </w:t>
      </w:r>
      <w:r>
        <w:rPr>
          <w:rStyle w:val="78"/>
          <w:rFonts w:hint="eastAsia"/>
          <w:b/>
          <w:color w:val="auto"/>
          <w:sz w:val="32"/>
          <w:szCs w:val="32"/>
          <w:highlight w:val="none"/>
        </w:rPr>
        <w:t>招标需求</w:t>
      </w:r>
      <w:r>
        <w:rPr>
          <w:b/>
          <w:color w:val="auto"/>
          <w:sz w:val="32"/>
          <w:szCs w:val="32"/>
          <w:highlight w:val="none"/>
        </w:rPr>
        <w:tab/>
      </w:r>
      <w:r>
        <w:rPr>
          <w:rFonts w:hint="eastAsia"/>
          <w:b/>
          <w:color w:val="auto"/>
          <w:sz w:val="32"/>
          <w:szCs w:val="32"/>
          <w:highlight w:val="none"/>
        </w:rPr>
        <w:t>7</w:t>
      </w:r>
      <w:r>
        <w:rPr>
          <w:rFonts w:hint="eastAsia"/>
          <w:b/>
          <w:color w:val="auto"/>
          <w:sz w:val="32"/>
          <w:szCs w:val="32"/>
          <w:highlight w:val="none"/>
        </w:rPr>
        <w:fldChar w:fldCharType="end"/>
      </w:r>
    </w:p>
    <w:p w14:paraId="6985C6AC">
      <w:pPr>
        <w:pStyle w:val="46"/>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78"/>
          <w:rFonts w:hint="eastAsia"/>
          <w:b/>
          <w:color w:val="auto"/>
          <w:sz w:val="32"/>
          <w:szCs w:val="32"/>
          <w:highlight w:val="none"/>
        </w:rPr>
        <w:t>第三章</w:t>
      </w:r>
      <w:r>
        <w:rPr>
          <w:rStyle w:val="78"/>
          <w:b/>
          <w:color w:val="auto"/>
          <w:sz w:val="32"/>
          <w:szCs w:val="32"/>
          <w:highlight w:val="none"/>
        </w:rPr>
        <w:t xml:space="preserve">  </w:t>
      </w:r>
      <w:r>
        <w:rPr>
          <w:rStyle w:val="78"/>
          <w:rFonts w:hint="eastAsia"/>
          <w:b/>
          <w:color w:val="auto"/>
          <w:sz w:val="32"/>
          <w:szCs w:val="32"/>
          <w:highlight w:val="none"/>
        </w:rPr>
        <w:t>投标人须知</w:t>
      </w:r>
      <w:r>
        <w:rPr>
          <w:b/>
          <w:color w:val="auto"/>
          <w:sz w:val="32"/>
          <w:szCs w:val="32"/>
          <w:highlight w:val="none"/>
        </w:rPr>
        <w:tab/>
      </w:r>
      <w:r>
        <w:rPr>
          <w:rFonts w:hint="eastAsia"/>
          <w:b/>
          <w:color w:val="auto"/>
          <w:sz w:val="32"/>
          <w:szCs w:val="32"/>
          <w:highlight w:val="none"/>
          <w:lang w:val="en-US" w:eastAsia="zh-CN"/>
        </w:rPr>
        <w:t>4</w:t>
      </w:r>
      <w:r>
        <w:rPr>
          <w:rFonts w:hint="eastAsia"/>
          <w:b/>
          <w:color w:val="auto"/>
          <w:sz w:val="32"/>
          <w:szCs w:val="32"/>
          <w:highlight w:val="none"/>
        </w:rPr>
        <w:fldChar w:fldCharType="end"/>
      </w:r>
      <w:r>
        <w:rPr>
          <w:rFonts w:hint="eastAsia"/>
          <w:b/>
          <w:color w:val="auto"/>
          <w:sz w:val="32"/>
          <w:szCs w:val="32"/>
          <w:highlight w:val="none"/>
          <w:lang w:val="en-US" w:eastAsia="zh-CN"/>
        </w:rPr>
        <w:t>4</w:t>
      </w:r>
    </w:p>
    <w:p w14:paraId="7046E850">
      <w:pPr>
        <w:pStyle w:val="46"/>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78"/>
          <w:rFonts w:hint="eastAsia"/>
          <w:b/>
          <w:color w:val="auto"/>
          <w:sz w:val="32"/>
          <w:szCs w:val="32"/>
          <w:highlight w:val="none"/>
        </w:rPr>
        <w:t xml:space="preserve">第四章 </w:t>
      </w:r>
      <w:r>
        <w:rPr>
          <w:rStyle w:val="78"/>
          <w:b/>
          <w:color w:val="auto"/>
          <w:sz w:val="32"/>
          <w:szCs w:val="32"/>
          <w:highlight w:val="none"/>
        </w:rPr>
        <w:t xml:space="preserve"> </w:t>
      </w:r>
      <w:r>
        <w:rPr>
          <w:rStyle w:val="78"/>
          <w:rFonts w:hint="eastAsia"/>
          <w:b/>
          <w:color w:val="auto"/>
          <w:sz w:val="32"/>
          <w:szCs w:val="32"/>
          <w:highlight w:val="none"/>
        </w:rPr>
        <w:t>评标办法及评分标准</w:t>
      </w:r>
      <w:r>
        <w:rPr>
          <w:b/>
          <w:color w:val="auto"/>
          <w:sz w:val="32"/>
          <w:szCs w:val="32"/>
          <w:highlight w:val="none"/>
        </w:rPr>
        <w:tab/>
      </w:r>
      <w:r>
        <w:rPr>
          <w:rFonts w:hint="eastAsia"/>
          <w:b/>
          <w:color w:val="auto"/>
          <w:sz w:val="32"/>
          <w:szCs w:val="32"/>
          <w:highlight w:val="none"/>
          <w:lang w:val="en-US" w:eastAsia="zh-CN"/>
        </w:rPr>
        <w:t>6</w:t>
      </w:r>
      <w:r>
        <w:rPr>
          <w:rFonts w:hint="eastAsia"/>
          <w:b/>
          <w:color w:val="auto"/>
          <w:sz w:val="32"/>
          <w:szCs w:val="32"/>
          <w:highlight w:val="none"/>
        </w:rPr>
        <w:fldChar w:fldCharType="end"/>
      </w:r>
      <w:r>
        <w:rPr>
          <w:rFonts w:hint="eastAsia"/>
          <w:b/>
          <w:color w:val="auto"/>
          <w:sz w:val="32"/>
          <w:szCs w:val="32"/>
          <w:highlight w:val="none"/>
          <w:lang w:val="en-US" w:eastAsia="zh-CN"/>
        </w:rPr>
        <w:t>1</w:t>
      </w:r>
    </w:p>
    <w:p w14:paraId="10A7AAC1">
      <w:pPr>
        <w:pStyle w:val="46"/>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78"/>
          <w:rFonts w:hint="eastAsia"/>
          <w:b/>
          <w:color w:val="auto"/>
          <w:sz w:val="32"/>
          <w:szCs w:val="32"/>
          <w:highlight w:val="none"/>
        </w:rPr>
        <w:t>第五章</w:t>
      </w:r>
      <w:r>
        <w:rPr>
          <w:rStyle w:val="78"/>
          <w:b/>
          <w:color w:val="auto"/>
          <w:sz w:val="32"/>
          <w:szCs w:val="32"/>
          <w:highlight w:val="none"/>
        </w:rPr>
        <w:t xml:space="preserve">  </w:t>
      </w:r>
      <w:r>
        <w:rPr>
          <w:rStyle w:val="78"/>
          <w:rFonts w:hint="eastAsia"/>
          <w:b/>
          <w:color w:val="auto"/>
          <w:sz w:val="32"/>
          <w:szCs w:val="32"/>
          <w:highlight w:val="none"/>
        </w:rPr>
        <w:t>嘉善县政府采购合同（</w:t>
      </w:r>
      <w:bookmarkStart w:id="3" w:name="_Hlt497308216"/>
      <w:r>
        <w:rPr>
          <w:rStyle w:val="78"/>
          <w:rFonts w:hint="eastAsia"/>
          <w:b/>
          <w:color w:val="auto"/>
          <w:sz w:val="32"/>
          <w:szCs w:val="32"/>
          <w:highlight w:val="none"/>
        </w:rPr>
        <w:t>指</w:t>
      </w:r>
      <w:bookmarkEnd w:id="3"/>
      <w:bookmarkStart w:id="4" w:name="_Hlt497308220"/>
      <w:r>
        <w:rPr>
          <w:rStyle w:val="78"/>
          <w:rFonts w:hint="eastAsia"/>
          <w:b/>
          <w:color w:val="auto"/>
          <w:sz w:val="32"/>
          <w:szCs w:val="32"/>
          <w:highlight w:val="none"/>
        </w:rPr>
        <w:t>引</w:t>
      </w:r>
      <w:bookmarkEnd w:id="4"/>
      <w:r>
        <w:rPr>
          <w:rStyle w:val="78"/>
          <w:rFonts w:hint="eastAsia"/>
          <w:b/>
          <w:color w:val="auto"/>
          <w:sz w:val="32"/>
          <w:szCs w:val="32"/>
          <w:highlight w:val="none"/>
        </w:rPr>
        <w:t>）</w:t>
      </w:r>
      <w:bookmarkStart w:id="5" w:name="_Hlt497308212"/>
      <w:bookmarkStart w:id="6" w:name="_Hlt497308213"/>
      <w:r>
        <w:rPr>
          <w:b/>
          <w:color w:val="auto"/>
          <w:sz w:val="32"/>
          <w:szCs w:val="32"/>
          <w:highlight w:val="none"/>
        </w:rPr>
        <w:tab/>
      </w:r>
      <w:bookmarkEnd w:id="5"/>
      <w:bookmarkEnd w:id="6"/>
      <w:r>
        <w:rPr>
          <w:rFonts w:hint="eastAsia"/>
          <w:b/>
          <w:color w:val="auto"/>
          <w:sz w:val="32"/>
          <w:szCs w:val="32"/>
          <w:highlight w:val="none"/>
          <w:lang w:val="en-US" w:eastAsia="zh-CN"/>
        </w:rPr>
        <w:t>6</w:t>
      </w:r>
      <w:r>
        <w:rPr>
          <w:rFonts w:hint="eastAsia"/>
          <w:b/>
          <w:color w:val="auto"/>
          <w:sz w:val="32"/>
          <w:szCs w:val="32"/>
          <w:highlight w:val="none"/>
        </w:rPr>
        <w:fldChar w:fldCharType="end"/>
      </w:r>
      <w:r>
        <w:rPr>
          <w:rFonts w:hint="eastAsia"/>
          <w:b/>
          <w:color w:val="auto"/>
          <w:sz w:val="32"/>
          <w:szCs w:val="32"/>
          <w:highlight w:val="none"/>
          <w:lang w:val="en-US" w:eastAsia="zh-CN"/>
        </w:rPr>
        <w:t>3</w:t>
      </w:r>
    </w:p>
    <w:p w14:paraId="351AF089">
      <w:pPr>
        <w:pStyle w:val="46"/>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78"/>
          <w:rFonts w:hint="eastAsia"/>
          <w:b/>
          <w:color w:val="auto"/>
          <w:sz w:val="32"/>
          <w:szCs w:val="32"/>
          <w:highlight w:val="none"/>
        </w:rPr>
        <w:t>第六章　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68</w:t>
      </w:r>
    </w:p>
    <w:p w14:paraId="21DCB60C">
      <w:pPr>
        <w:pStyle w:val="46"/>
        <w:tabs>
          <w:tab w:val="right" w:leader="dot" w:pos="8834"/>
        </w:tabs>
        <w:spacing w:line="480" w:lineRule="auto"/>
        <w:rPr>
          <w:b/>
          <w:color w:val="auto"/>
          <w:sz w:val="32"/>
          <w:szCs w:val="32"/>
          <w:highlight w:val="none"/>
        </w:rPr>
      </w:pPr>
    </w:p>
    <w:p w14:paraId="44EC47B1">
      <w:pPr>
        <w:pStyle w:val="46"/>
        <w:tabs>
          <w:tab w:val="right" w:leader="dot" w:pos="8834"/>
        </w:tabs>
        <w:spacing w:line="480" w:lineRule="auto"/>
        <w:rPr>
          <w:b/>
          <w:color w:val="auto"/>
          <w:sz w:val="32"/>
          <w:szCs w:val="32"/>
          <w:highlight w:val="none"/>
        </w:rPr>
      </w:pPr>
    </w:p>
    <w:p w14:paraId="57FF864E">
      <w:pPr>
        <w:pStyle w:val="46"/>
        <w:tabs>
          <w:tab w:val="right" w:leader="dot" w:pos="8834"/>
        </w:tabs>
        <w:spacing w:line="480" w:lineRule="auto"/>
        <w:rPr>
          <w:b/>
          <w:color w:val="auto"/>
          <w:sz w:val="32"/>
          <w:szCs w:val="32"/>
          <w:highlight w:val="none"/>
        </w:rPr>
      </w:pPr>
    </w:p>
    <w:p w14:paraId="405F87CC">
      <w:pPr>
        <w:pStyle w:val="46"/>
        <w:tabs>
          <w:tab w:val="right" w:leader="dot" w:pos="8834"/>
        </w:tabs>
        <w:spacing w:line="480" w:lineRule="auto"/>
        <w:rPr>
          <w:b/>
          <w:color w:val="auto"/>
          <w:sz w:val="32"/>
          <w:szCs w:val="32"/>
          <w:highlight w:val="none"/>
        </w:rPr>
      </w:pPr>
    </w:p>
    <w:p w14:paraId="2CC58B30">
      <w:pPr>
        <w:spacing w:line="360" w:lineRule="auto"/>
        <w:ind w:firstLine="480" w:firstLineChars="229"/>
        <w:rPr>
          <w:rFonts w:ascii="仿宋" w:hAnsi="仿宋" w:eastAsia="仿宋" w:cs="仿宋_GB2312"/>
          <w:color w:val="auto"/>
          <w:sz w:val="24"/>
          <w:highlight w:val="none"/>
        </w:rPr>
      </w:pPr>
      <w:r>
        <w:rPr>
          <w:color w:val="auto"/>
          <w:szCs w:val="32"/>
          <w:highlight w:val="none"/>
        </w:rPr>
        <w:fldChar w:fldCharType="end"/>
      </w:r>
    </w:p>
    <w:p w14:paraId="0A3A3DB8">
      <w:pPr>
        <w:spacing w:line="360" w:lineRule="auto"/>
        <w:ind w:firstLine="549" w:firstLineChars="229"/>
        <w:rPr>
          <w:rFonts w:ascii="仿宋" w:hAnsi="仿宋" w:eastAsia="仿宋" w:cs="仿宋_GB2312"/>
          <w:color w:val="auto"/>
          <w:sz w:val="24"/>
          <w:highlight w:val="none"/>
        </w:rPr>
      </w:pPr>
    </w:p>
    <w:p w14:paraId="162F0E55">
      <w:pPr>
        <w:spacing w:line="360" w:lineRule="auto"/>
        <w:ind w:firstLine="549" w:firstLineChars="229"/>
        <w:rPr>
          <w:rFonts w:ascii="仿宋" w:hAnsi="仿宋" w:eastAsia="仿宋" w:cs="仿宋_GB2312"/>
          <w:color w:val="auto"/>
          <w:sz w:val="24"/>
          <w:highlight w:val="none"/>
        </w:rPr>
      </w:pPr>
    </w:p>
    <w:p w14:paraId="2D81242B">
      <w:pPr>
        <w:spacing w:line="360" w:lineRule="auto"/>
        <w:ind w:firstLine="549" w:firstLineChars="229"/>
        <w:rPr>
          <w:rFonts w:ascii="仿宋" w:hAnsi="仿宋" w:eastAsia="仿宋" w:cs="仿宋_GB2312"/>
          <w:color w:val="auto"/>
          <w:sz w:val="24"/>
          <w:highlight w:val="none"/>
        </w:rPr>
      </w:pPr>
    </w:p>
    <w:p w14:paraId="2D7B15F5">
      <w:pPr>
        <w:spacing w:line="360" w:lineRule="auto"/>
        <w:ind w:firstLine="549" w:firstLineChars="229"/>
        <w:rPr>
          <w:rFonts w:ascii="仿宋" w:hAnsi="仿宋" w:eastAsia="仿宋" w:cs="仿宋_GB2312"/>
          <w:color w:val="auto"/>
          <w:sz w:val="24"/>
          <w:highlight w:val="none"/>
        </w:rPr>
      </w:pPr>
    </w:p>
    <w:p w14:paraId="42AD8760">
      <w:pPr>
        <w:spacing w:line="360" w:lineRule="auto"/>
        <w:ind w:firstLine="549" w:firstLineChars="229"/>
        <w:rPr>
          <w:rFonts w:ascii="仿宋" w:hAnsi="仿宋" w:eastAsia="仿宋" w:cs="仿宋_GB2312"/>
          <w:color w:val="auto"/>
          <w:sz w:val="24"/>
          <w:highlight w:val="none"/>
        </w:rPr>
      </w:pPr>
    </w:p>
    <w:p w14:paraId="4D419BA0">
      <w:pPr>
        <w:spacing w:line="360" w:lineRule="auto"/>
        <w:rPr>
          <w:rFonts w:ascii="仿宋" w:hAnsi="仿宋" w:eastAsia="仿宋" w:cs="仿宋_GB2312"/>
          <w:color w:val="auto"/>
          <w:sz w:val="24"/>
          <w:highlight w:val="none"/>
        </w:rPr>
      </w:pPr>
    </w:p>
    <w:bookmarkEnd w:id="2"/>
    <w:p w14:paraId="48F81314">
      <w:pPr>
        <w:adjustRightInd/>
        <w:spacing w:line="360" w:lineRule="auto"/>
        <w:jc w:val="center"/>
        <w:outlineLvl w:val="0"/>
        <w:rPr>
          <w:rFonts w:ascii="仿宋_GB2312" w:hAnsi="仿宋" w:eastAsia="仿宋_GB2312" w:cs="仿宋_GB2312"/>
          <w:b/>
          <w:color w:val="auto"/>
          <w:sz w:val="36"/>
          <w:szCs w:val="20"/>
          <w:highlight w:val="none"/>
        </w:rPr>
      </w:pPr>
      <w:bookmarkStart w:id="7" w:name="_Hlt74729822"/>
      <w:bookmarkEnd w:id="7"/>
      <w:bookmarkStart w:id="8" w:name="_Hlt74728647"/>
      <w:bookmarkEnd w:id="8"/>
      <w:bookmarkStart w:id="9" w:name="_Hlt74649545"/>
      <w:bookmarkEnd w:id="9"/>
      <w:bookmarkStart w:id="10" w:name="_Hlt74707423"/>
      <w:bookmarkEnd w:id="10"/>
      <w:bookmarkStart w:id="11" w:name="第二部分"/>
      <w:bookmarkStart w:id="12" w:name="_Toc91899870"/>
      <w:bookmarkStart w:id="13" w:name="_Toc91899871"/>
      <w:r>
        <w:rPr>
          <w:rFonts w:hint="eastAsia" w:ascii="仿宋" w:hAnsi="仿宋" w:eastAsia="仿宋" w:cs="仿宋_GB2312"/>
          <w:b/>
          <w:color w:val="auto"/>
          <w:sz w:val="36"/>
          <w:szCs w:val="20"/>
          <w:highlight w:val="none"/>
        </w:rPr>
        <w:t>第一章</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公开招标采购公告</w:t>
      </w:r>
    </w:p>
    <w:p w14:paraId="5D40FD9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2811244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不动产业务和信息化建设（2025年不动产档案扫描建库项目）</w:t>
      </w:r>
      <w:r>
        <w:rPr>
          <w:rFonts w:hint="eastAsia" w:ascii="仿宋_GB2312" w:hAnsi="仿宋" w:eastAsia="仿宋_GB2312" w:cs="仿宋_GB2312"/>
          <w:color w:val="auto"/>
          <w:sz w:val="24"/>
          <w:highlight w:val="none"/>
          <w:u w:val="single"/>
        </w:rPr>
        <w:t>）</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5"/>
          <w:rFonts w:ascii="仿宋_GB2312" w:hAnsi="仿宋" w:eastAsia="仿宋_GB2312"/>
          <w:color w:val="auto"/>
          <w:sz w:val="24"/>
          <w:highlight w:val="none"/>
        </w:rPr>
        <w:t>https://www.zcygov.cn/）获取（下载）招标文件，并于</w:t>
      </w:r>
      <w:r>
        <w:rPr>
          <w:rFonts w:hint="eastAsia" w:ascii="仿宋_GB2312" w:hAnsi="仿宋" w:eastAsia="仿宋_GB2312"/>
          <w:color w:val="auto"/>
          <w:sz w:val="24"/>
          <w:highlight w:val="none"/>
          <w:u w:val="single"/>
          <w:lang w:eastAsia="zh-CN"/>
        </w:rPr>
        <w:t>2025年3月25日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6143F276">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14:paraId="0039B0E6">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JXYJ2025003</w:t>
      </w:r>
      <w:r>
        <w:rPr>
          <w:rFonts w:hint="eastAsia" w:ascii="仿宋_GB2312" w:hAnsi="仿宋" w:eastAsia="仿宋_GB2312"/>
          <w:b/>
          <w:color w:val="auto"/>
          <w:sz w:val="24"/>
          <w:highlight w:val="none"/>
        </w:rPr>
        <w:t>(G)</w:t>
      </w:r>
    </w:p>
    <w:p w14:paraId="717F7877">
      <w:pPr>
        <w:keepNext w:val="0"/>
        <w:keepLines w:val="0"/>
        <w:pageBreakBefore w:val="0"/>
        <w:kinsoku/>
        <w:wordWrap/>
        <w:overflowPunct/>
        <w:topLinePunct w:val="0"/>
        <w:autoSpaceDE/>
        <w:autoSpaceDN/>
        <w:bidi w:val="0"/>
        <w:adjustRightInd w:val="0"/>
        <w:spacing w:line="440" w:lineRule="exact"/>
        <w:textAlignment w:val="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b/>
          <w:color w:val="auto"/>
          <w:sz w:val="24"/>
          <w:highlight w:val="none"/>
          <w:lang w:eastAsia="zh-CN"/>
        </w:rPr>
        <w:t>不动产业务和信息化建设（2025年不动产档案扫描建库项目）</w:t>
      </w:r>
    </w:p>
    <w:p w14:paraId="00BD03F4">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w:t>
      </w:r>
      <w:r>
        <w:rPr>
          <w:rFonts w:hint="eastAsia" w:ascii="仿宋_GB2312" w:hAnsi="仿宋" w:eastAsia="仿宋_GB2312"/>
          <w:b/>
          <w:color w:val="auto"/>
          <w:sz w:val="24"/>
          <w:highlight w:val="none"/>
          <w:lang w:val="en-US" w:eastAsia="zh-CN"/>
        </w:rPr>
        <w:t>70.0000</w:t>
      </w:r>
      <w:r>
        <w:rPr>
          <w:rFonts w:hint="eastAsia" w:ascii="仿宋_GB2312" w:hAnsi="仿宋" w:eastAsia="仿宋_GB2312"/>
          <w:b/>
          <w:color w:val="auto"/>
          <w:sz w:val="24"/>
          <w:highlight w:val="none"/>
          <w:lang w:eastAsia="zh-CN"/>
        </w:rPr>
        <w:t>万元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14:paraId="23786A4B">
      <w:pPr>
        <w:keepNext w:val="0"/>
        <w:keepLines w:val="0"/>
        <w:pageBreakBefore w:val="0"/>
        <w:kinsoku/>
        <w:wordWrap/>
        <w:overflowPunct/>
        <w:topLinePunct w:val="0"/>
        <w:autoSpaceDE/>
        <w:autoSpaceDN/>
        <w:bidi w:val="0"/>
        <w:adjustRightInd w:val="0"/>
        <w:spacing w:line="440" w:lineRule="exact"/>
        <w:ind w:firstLine="480"/>
        <w:textAlignment w:val="auto"/>
        <w:rPr>
          <w:rFonts w:hint="default" w:ascii="仿宋_GB2312" w:hAnsi="仿宋" w:eastAsia="仿宋_GB2312"/>
          <w:color w:val="auto"/>
          <w:sz w:val="24"/>
          <w:highlight w:val="none"/>
          <w:lang w:val="en-US" w:eastAsia="zh-CN"/>
        </w:rPr>
      </w:pPr>
      <w:r>
        <w:rPr>
          <w:rFonts w:hint="eastAsia" w:ascii="仿宋_GB2312" w:hAnsi="仿宋" w:eastAsia="仿宋_GB2312"/>
          <w:b/>
          <w:color w:val="auto"/>
          <w:sz w:val="24"/>
          <w:highlight w:val="none"/>
        </w:rPr>
        <w:t>最高限价：</w:t>
      </w:r>
      <w:r>
        <w:rPr>
          <w:rFonts w:hint="eastAsia" w:ascii="仿宋_GB2312" w:hAnsi="仿宋" w:eastAsia="仿宋_GB2312"/>
          <w:b/>
          <w:color w:val="auto"/>
          <w:sz w:val="24"/>
          <w:highlight w:val="none"/>
          <w:lang w:eastAsia="zh-CN"/>
        </w:rPr>
        <w:t>69.7200万元</w:t>
      </w:r>
    </w:p>
    <w:p w14:paraId="7A3B9728">
      <w:pPr>
        <w:pStyle w:val="18"/>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 w:val="0"/>
          <w:bCs/>
          <w:color w:val="auto"/>
          <w:sz w:val="24"/>
          <w:highlight w:val="none"/>
        </w:rPr>
        <w:t>工作内容包含按档案专业要求进行不动产登记档案的整理、扫描、挂接、入库等工作，项目成果必须实现与系统的无缝衔接，满足不动产登记档案的日常管理和调用的需求</w:t>
      </w:r>
      <w:r>
        <w:rPr>
          <w:rFonts w:hint="eastAsia" w:ascii="仿宋_GB2312" w:hAnsi="仿宋" w:eastAsia="仿宋_GB2312"/>
          <w:b w:val="0"/>
          <w:bCs/>
          <w:color w:val="auto"/>
          <w:sz w:val="24"/>
          <w:highlight w:val="none"/>
          <w:lang w:val="en-US" w:eastAsia="zh-CN"/>
        </w:rPr>
        <w:t>,</w:t>
      </w:r>
      <w:r>
        <w:rPr>
          <w:rFonts w:hint="eastAsia" w:ascii="仿宋_GB2312" w:hAnsi="仿宋" w:eastAsia="仿宋_GB2312"/>
          <w:b w:val="0"/>
          <w:bCs/>
          <w:snapToGrid/>
          <w:color w:val="auto"/>
          <w:kern w:val="2"/>
          <w:sz w:val="24"/>
          <w:szCs w:val="24"/>
          <w:highlight w:val="none"/>
        </w:rPr>
        <w:t>详见招标文件第二章招标需求。</w:t>
      </w:r>
    </w:p>
    <w:p w14:paraId="5D507526">
      <w:pPr>
        <w:pStyle w:val="18"/>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color w:val="auto"/>
          <w:highlight w:val="none"/>
        </w:rPr>
      </w:pPr>
      <w:r>
        <w:rPr>
          <w:rFonts w:hint="eastAsia" w:ascii="仿宋_GB2312" w:hAnsi="仿宋" w:eastAsia="仿宋_GB2312"/>
          <w:b/>
          <w:color w:val="auto"/>
          <w:sz w:val="24"/>
          <w:szCs w:val="18"/>
          <w:highlight w:val="none"/>
        </w:rPr>
        <w:t>合同履约期限</w:t>
      </w:r>
      <w:r>
        <w:rPr>
          <w:rFonts w:hint="eastAsia" w:ascii="仿宋_GB2312" w:hAnsi="仿宋" w:eastAsia="仿宋_GB2312"/>
          <w:b/>
          <w:color w:val="auto"/>
          <w:highlight w:val="none"/>
        </w:rPr>
        <w:t>：</w:t>
      </w:r>
      <w:r>
        <w:rPr>
          <w:rFonts w:hint="eastAsia" w:ascii="仿宋_GB2312" w:hAnsi="仿宋" w:eastAsia="仿宋_GB2312" w:cs="Times New Roman"/>
          <w:b w:val="0"/>
          <w:bCs/>
          <w:color w:val="auto"/>
          <w:sz w:val="24"/>
          <w:highlight w:val="none"/>
          <w:lang w:eastAsia="zh-CN"/>
        </w:rPr>
        <w:t>自合同签订之日起至2025年12月31日。服务期结束（或提前达到预算总价的）后经采购人考核合格，并经双方同意，可续签下一年度合同，最多可续签一次，续签一年</w:t>
      </w:r>
      <w:r>
        <w:rPr>
          <w:rFonts w:hint="eastAsia" w:ascii="仿宋_GB2312" w:hAnsi="仿宋" w:eastAsia="仿宋_GB2312" w:cs="Times New Roman"/>
          <w:b w:val="0"/>
          <w:bCs/>
          <w:color w:val="auto"/>
          <w:sz w:val="24"/>
          <w:highlight w:val="none"/>
        </w:rPr>
        <w:t>）。</w:t>
      </w:r>
    </w:p>
    <w:p w14:paraId="6C4B4027">
      <w:pPr>
        <w:pStyle w:val="18"/>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本项目接受联合体投标：</w:t>
      </w:r>
      <w:sdt>
        <w:sdtPr>
          <w:rPr>
            <w:rFonts w:hint="eastAsia" w:ascii="仿宋_GB2312" w:hAnsi="仿宋" w:eastAsia="仿宋_GB2312" w:cs="Arial"/>
            <w:bCs/>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bCs/>
            <w:color w:val="auto"/>
            <w:kern w:val="0"/>
            <w:sz w:val="24"/>
            <w:highlight w:val="none"/>
          </w:rPr>
        </w:sdtEndPr>
        <w:sdtContent>
          <w:r>
            <w:rPr>
              <w:rFonts w:ascii="MS Gothic" w:hAnsi="MS Gothic" w:eastAsia="MS Gothic" w:cs="Arial"/>
              <w:bCs/>
              <w:color w:val="auto"/>
              <w:kern w:val="0"/>
              <w:sz w:val="24"/>
              <w:highlight w:val="none"/>
            </w:rPr>
            <w:t>☐</w:t>
          </w:r>
        </w:sdtContent>
      </w:sdt>
      <w:r>
        <w:rPr>
          <w:rFonts w:hint="eastAsia" w:ascii="仿宋_GB2312" w:hAnsi="仿宋" w:eastAsia="仿宋_GB2312"/>
          <w:bCs/>
          <w:color w:val="auto"/>
          <w:sz w:val="24"/>
          <w:highlight w:val="none"/>
        </w:rPr>
        <w:t>是，</w:t>
      </w:r>
      <w:sdt>
        <w:sdtPr>
          <w:rPr>
            <w:rFonts w:hint="eastAsia" w:ascii="仿宋_GB2312" w:hAnsi="仿宋" w:eastAsia="仿宋_GB2312" w:cs="Arial"/>
            <w:bCs/>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bCs/>
            <w:color w:val="auto"/>
            <w:kern w:val="0"/>
            <w:sz w:val="24"/>
            <w:highlight w:val="none"/>
          </w:rPr>
        </w:sdtEndPr>
        <w:sdtContent>
          <w:r>
            <w:rPr>
              <w:rFonts w:ascii="Wingdings" w:hAnsi="Wingdings" w:eastAsia="MS Gothic" w:cs="Arial"/>
              <w:bCs/>
              <w:snapToGrid w:val="0"/>
              <w:color w:val="auto"/>
              <w:kern w:val="0"/>
              <w:sz w:val="24"/>
              <w:szCs w:val="20"/>
              <w:highlight w:val="none"/>
              <w:lang w:val="en-US" w:eastAsia="zh-CN" w:bidi="ar-SA"/>
            </w:rPr>
            <w:t>þ</w:t>
          </w:r>
        </w:sdtContent>
      </w:sdt>
      <w:r>
        <w:rPr>
          <w:rFonts w:hint="eastAsia" w:ascii="仿宋_GB2312" w:hAnsi="仿宋" w:eastAsia="仿宋_GB2312"/>
          <w:bCs/>
          <w:color w:val="auto"/>
          <w:sz w:val="24"/>
          <w:highlight w:val="none"/>
        </w:rPr>
        <w:t>否</w:t>
      </w:r>
      <w:r>
        <w:rPr>
          <w:rFonts w:hint="eastAsia" w:cs="Arial" w:asciiTheme="minorEastAsia" w:hAnsiTheme="minorEastAsia" w:eastAsiaTheme="minorEastAsia"/>
          <w:bCs/>
          <w:color w:val="auto"/>
          <w:kern w:val="0"/>
          <w:sz w:val="24"/>
          <w:highlight w:val="none"/>
        </w:rPr>
        <w:t>。</w:t>
      </w:r>
    </w:p>
    <w:p w14:paraId="4260D918">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2789AB5A">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172F8052">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14:paraId="61EC91A3">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无；</w:t>
      </w:r>
    </w:p>
    <w:p w14:paraId="1524F86F">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þ</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14:paraId="48D6EEFF">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货物全部由符合政策要求的中小企业制造，提供中小企业声明函；</w:t>
      </w:r>
    </w:p>
    <w:p w14:paraId="16DFE59D">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14:paraId="73F55DE2">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þ</w:t>
          </w:r>
        </w:sdtContent>
      </w:sdt>
      <w:r>
        <w:rPr>
          <w:rFonts w:hint="eastAsia" w:ascii="仿宋_GB2312" w:hAnsi="仿宋" w:eastAsia="仿宋_GB2312"/>
          <w:color w:val="auto"/>
          <w:sz w:val="24"/>
          <w:highlight w:val="none"/>
        </w:rPr>
        <w:t>服务全部由符合政策要求的中小企业承接，提供中小企业声明函；</w:t>
      </w:r>
    </w:p>
    <w:p w14:paraId="72C191CA">
      <w:pPr>
        <w:keepNext w:val="0"/>
        <w:keepLines w:val="0"/>
        <w:pageBreakBefore w:val="0"/>
        <w:kinsoku/>
        <w:wordWrap/>
        <w:overflowPunct/>
        <w:topLinePunct w:val="0"/>
        <w:autoSpaceDE/>
        <w:autoSpaceDN/>
        <w:bidi w:val="0"/>
        <w:adjustRightInd w:val="0"/>
        <w:spacing w:line="440" w:lineRule="exact"/>
        <w:ind w:firstLine="897" w:firstLineChars="374"/>
        <w:textAlignment w:val="auto"/>
        <w:rPr>
          <w:color w:val="auto"/>
          <w:highlight w:val="none"/>
        </w:rPr>
      </w:pPr>
      <w:sdt>
        <w:sdtPr>
          <w:rPr>
            <w:rFonts w:hint="eastAsia" w:ascii="仿宋_GB2312" w:hAnsi="仿宋" w:eastAsia="仿宋_GB2312" w:cs="Arial"/>
            <w:color w:val="auto"/>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14:paraId="18088A61">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14:paraId="4381EF0C">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14:paraId="380C65F1">
      <w:pPr>
        <w:keepNext w:val="0"/>
        <w:keepLines w:val="0"/>
        <w:pageBreakBefore w:val="0"/>
        <w:kinsoku/>
        <w:wordWrap/>
        <w:overflowPunct/>
        <w:topLinePunct w:val="0"/>
        <w:autoSpaceDE/>
        <w:autoSpaceDN/>
        <w:bidi w:val="0"/>
        <w:adjustRightInd w:val="0"/>
        <w:snapToGrid w:val="0"/>
        <w:spacing w:line="440" w:lineRule="exact"/>
        <w:ind w:firstLine="512" w:firstLineChars="200"/>
        <w:textAlignment w:val="auto"/>
        <w:rPr>
          <w:rFonts w:hint="eastAsia"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3.本项目的特定资格要求：</w:t>
      </w:r>
      <w:r>
        <w:rPr>
          <w:rFonts w:hint="eastAsia" w:ascii="仿宋" w:hAnsi="仿宋" w:eastAsia="仿宋" w:cs="宋体"/>
          <w:color w:val="auto"/>
          <w:spacing w:val="8"/>
          <w:kern w:val="0"/>
          <w:sz w:val="24"/>
          <w:highlight w:val="none"/>
          <w:lang w:eastAsia="zh-CN"/>
        </w:rPr>
        <w:t>无；</w:t>
      </w:r>
    </w:p>
    <w:p w14:paraId="7A246F46">
      <w:pPr>
        <w:keepNext w:val="0"/>
        <w:keepLines w:val="0"/>
        <w:pageBreakBefore w:val="0"/>
        <w:kinsoku/>
        <w:wordWrap/>
        <w:overflowPunct/>
        <w:topLinePunct w:val="0"/>
        <w:autoSpaceDE/>
        <w:autoSpaceDN/>
        <w:bidi w:val="0"/>
        <w:adjustRightInd w:val="0"/>
        <w:spacing w:line="440" w:lineRule="exact"/>
        <w:ind w:firstLine="512" w:firstLineChars="200"/>
        <w:textAlignment w:val="auto"/>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627694">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636D4AEF">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2025年3月25日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14:paraId="1BD018B9">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7FA69D04">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14:paraId="5BAACC73">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14:paraId="5C0427E5">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3CA0C1E6">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lang w:eastAsia="zh-CN"/>
        </w:rPr>
        <w:t>2025年3月25日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14:paraId="337EA94D">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01F63BC8">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2025年3月25日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14:paraId="71F5E2F1">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2EBF1323">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14:paraId="176D3D25">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00BCDE78">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14:paraId="10A71EF2">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D7458B8">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3331B2E8">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84F3A3">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rPr>
        <w:t>嘉善县阳光东路185号善商大厦1号（东）楼21层嘉兴市银建工程咨询评估有限公司招标代理部</w:t>
      </w:r>
      <w:r>
        <w:rPr>
          <w:rFonts w:hint="eastAsia" w:ascii="仿宋_GB2312" w:hAnsi="仿宋" w:eastAsia="仿宋_GB2312" w:cs="仿宋_GB2312"/>
          <w:color w:val="auto"/>
          <w:sz w:val="24"/>
          <w:highlight w:val="none"/>
        </w:rPr>
        <w:t>；收件人：王佳浩；电话：0573-842110</w:t>
      </w:r>
      <w:r>
        <w:rPr>
          <w:rFonts w:hint="eastAsia" w:ascii="仿宋_GB2312" w:hAnsi="仿宋" w:eastAsia="仿宋_GB2312" w:cs="仿宋_GB2312"/>
          <w:color w:val="auto"/>
          <w:sz w:val="24"/>
          <w:highlight w:val="none"/>
          <w:lang w:val="en-US" w:eastAsia="zh-CN"/>
        </w:rPr>
        <w:t>99</w:t>
      </w:r>
      <w:r>
        <w:rPr>
          <w:rFonts w:hint="eastAsia" w:ascii="仿宋_GB2312" w:hAnsi="仿宋" w:eastAsia="仿宋_GB2312" w:cs="仿宋_GB2312"/>
          <w:color w:val="auto"/>
          <w:sz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14:paraId="67D957D1">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七、对本次招标提出询问，请按以下方式联系</w:t>
      </w:r>
    </w:p>
    <w:p w14:paraId="6E375ABD">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14:paraId="7580C37F">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嘉善县自然资源和规划局</w:t>
      </w:r>
      <w:r>
        <w:rPr>
          <w:rFonts w:ascii="仿宋_GB2312" w:hAnsi="仿宋" w:eastAsia="仿宋_GB2312"/>
          <w:color w:val="auto"/>
          <w:sz w:val="24"/>
          <w:highlight w:val="none"/>
        </w:rPr>
        <w:t xml:space="preserve"> </w:t>
      </w:r>
    </w:p>
    <w:p w14:paraId="34FFEED7">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lang w:eastAsia="zh-CN"/>
        </w:rPr>
        <w:t>嘉善县境内</w:t>
      </w:r>
      <w:r>
        <w:rPr>
          <w:rFonts w:ascii="仿宋_GB2312" w:hAnsi="仿宋" w:eastAsia="仿宋_GB2312"/>
          <w:color w:val="auto"/>
          <w:sz w:val="24"/>
          <w:highlight w:val="none"/>
        </w:rPr>
        <w:t xml:space="preserve">      </w:t>
      </w:r>
    </w:p>
    <w:p w14:paraId="23AAF86D">
      <w:pPr>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项目联系人（询问）：李女士</w:t>
      </w:r>
      <w:r>
        <w:rPr>
          <w:rFonts w:hint="eastAsia" w:ascii="仿宋" w:hAnsi="仿宋" w:eastAsia="仿宋"/>
          <w:color w:val="auto"/>
          <w:sz w:val="24"/>
          <w:highlight w:val="none"/>
        </w:rPr>
        <w:t xml:space="preserve"> </w:t>
      </w:r>
    </w:p>
    <w:p w14:paraId="7333D178">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项目联系方式（询问）：0573-84233386</w:t>
      </w:r>
    </w:p>
    <w:p w14:paraId="6DEC85F6">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质疑联系人：</w:t>
      </w:r>
      <w:r>
        <w:rPr>
          <w:rFonts w:hint="eastAsia" w:ascii="仿宋_GB2312" w:hAnsi="仿宋" w:eastAsia="仿宋_GB2312"/>
          <w:color w:val="auto"/>
          <w:sz w:val="24"/>
          <w:highlight w:val="none"/>
        </w:rPr>
        <w:t>袁女士</w:t>
      </w:r>
      <w:r>
        <w:rPr>
          <w:rFonts w:ascii="仿宋_GB2312" w:hAnsi="仿宋" w:eastAsia="仿宋_GB2312"/>
          <w:color w:val="auto"/>
          <w:sz w:val="24"/>
          <w:highlight w:val="none"/>
        </w:rPr>
        <w:t xml:space="preserve"> </w:t>
      </w:r>
    </w:p>
    <w:p w14:paraId="3CBC7410">
      <w:pPr>
        <w:keepNext w:val="0"/>
        <w:keepLines w:val="0"/>
        <w:pageBreakBefore w:val="0"/>
        <w:kinsoku/>
        <w:wordWrap/>
        <w:overflowPunct/>
        <w:topLinePunct w:val="0"/>
        <w:autoSpaceDE/>
        <w:autoSpaceDN/>
        <w:bidi w:val="0"/>
        <w:adjustRightInd w:val="0"/>
        <w:spacing w:line="440" w:lineRule="exact"/>
        <w:textAlignment w:val="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0573-84233381</w:t>
      </w:r>
    </w:p>
    <w:p w14:paraId="717D027F">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2.采购代理机构信息            </w:t>
      </w:r>
    </w:p>
    <w:p w14:paraId="2201F987">
      <w:pPr>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称：嘉兴市银建工程咨询评估有限公司</w:t>
      </w:r>
    </w:p>
    <w:p w14:paraId="1BD7E6FF">
      <w:pPr>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址：嘉善县阳光东路185号善商大厦1号（东）楼21层</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51ABEAF2">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王佳浩</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70079188">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0573-842110</w:t>
      </w:r>
      <w:r>
        <w:rPr>
          <w:rFonts w:hint="eastAsia" w:ascii="仿宋_GB2312" w:hAnsi="仿宋" w:eastAsia="仿宋_GB2312"/>
          <w:color w:val="auto"/>
          <w:sz w:val="24"/>
          <w:highlight w:val="none"/>
          <w:lang w:val="en-US" w:eastAsia="zh-CN"/>
        </w:rPr>
        <w:t>99</w:t>
      </w:r>
      <w:r>
        <w:rPr>
          <w:rFonts w:hint="eastAsia" w:ascii="仿宋_GB2312" w:hAnsi="仿宋" w:eastAsia="仿宋_GB2312"/>
          <w:color w:val="auto"/>
          <w:sz w:val="24"/>
          <w:highlight w:val="none"/>
        </w:rPr>
        <w:t xml:space="preserve"> </w:t>
      </w:r>
    </w:p>
    <w:p w14:paraId="2466007D">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俞鸿婷</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3AA5FE7B">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0573-842110</w:t>
      </w:r>
      <w:r>
        <w:rPr>
          <w:rFonts w:hint="eastAsia" w:ascii="仿宋_GB2312" w:hAnsi="仿宋" w:eastAsia="仿宋_GB2312"/>
          <w:color w:val="auto"/>
          <w:sz w:val="24"/>
          <w:highlight w:val="none"/>
          <w:lang w:val="en-US" w:eastAsia="zh-CN"/>
        </w:rPr>
        <w:t>66</w:t>
      </w:r>
      <w:r>
        <w:rPr>
          <w:rFonts w:hint="eastAsia" w:ascii="仿宋" w:hAnsi="仿宋" w:eastAsia="仿宋"/>
          <w:color w:val="auto"/>
          <w:sz w:val="24"/>
          <w:highlight w:val="none"/>
        </w:rPr>
        <w:t xml:space="preserve"> </w:t>
      </w:r>
    </w:p>
    <w:p w14:paraId="401C810D">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14:paraId="21B71B37">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嘉善县财政局</w:t>
      </w:r>
    </w:p>
    <w:p w14:paraId="0F20DBD8">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嘉善县解放东路318号 </w:t>
      </w:r>
    </w:p>
    <w:p w14:paraId="471287B2">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刘先生 </w:t>
      </w:r>
      <w:r>
        <w:rPr>
          <w:rFonts w:ascii="仿宋_GB2312" w:hAnsi="仿宋" w:eastAsia="仿宋_GB2312"/>
          <w:color w:val="auto"/>
          <w:sz w:val="24"/>
          <w:highlight w:val="none"/>
        </w:rPr>
        <w:t xml:space="preserve">   </w:t>
      </w:r>
    </w:p>
    <w:p w14:paraId="0AF8B1E0">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0573-84122310 </w:t>
      </w:r>
      <w:r>
        <w:rPr>
          <w:rFonts w:ascii="仿宋_GB2312" w:hAnsi="仿宋" w:eastAsia="仿宋_GB2312"/>
          <w:color w:val="auto"/>
          <w:sz w:val="24"/>
          <w:highlight w:val="none"/>
        </w:rPr>
        <w:t xml:space="preserve">         </w:t>
      </w:r>
    </w:p>
    <w:p w14:paraId="14A3E052">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14:paraId="0AD7F4AE">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sectPr>
          <w:footerReference r:id="rId6" w:type="firs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start="2"/>
          <w:cols w:space="0" w:num="1"/>
          <w:titlePg/>
          <w:rtlGutter w:val="0"/>
          <w:docGrid w:linePitch="312" w:charSpace="0"/>
        </w:sect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14:paraId="7B14F862">
      <w:pPr>
        <w:numPr>
          <w:ilvl w:val="0"/>
          <w:numId w:val="1"/>
        </w:numPr>
        <w:adjustRightInd/>
        <w:spacing w:line="336"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招标需求</w:t>
      </w:r>
    </w:p>
    <w:p w14:paraId="75AA4993">
      <w:pPr>
        <w:pStyle w:val="981"/>
        <w:snapToGrid w:val="0"/>
        <w:spacing w:before="0" w:beforeAutospacing="0" w:after="0" w:afterAutospacing="0" w:line="300" w:lineRule="auto"/>
        <w:ind w:firstLine="482"/>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一、项目背景</w:t>
      </w:r>
    </w:p>
    <w:p w14:paraId="3288F463">
      <w:pPr>
        <w:spacing w:line="300" w:lineRule="auto"/>
        <w:ind w:firstLine="48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嘉善县不动产登记服务中心于2016年6月成立，目前已正式启动不动产登记工作。不动产登记工作的实施，对于更好地保护不动产权利人合法财产权，保障不动产交易安全，维护正常的市场交易秩序起到了非常积极的作用。根据省、市、县有关文件规定和档案工作要求，为保证不动产登记档案材料的齐全完整，更好地提高嘉善县不动产登记档案管理和利用效率，特开展此次不动产业务和信息化建设（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年不动产档案扫描建库项目）。</w:t>
      </w:r>
    </w:p>
    <w:p w14:paraId="3656048D">
      <w:pPr>
        <w:numPr>
          <w:ilvl w:val="0"/>
          <w:numId w:val="2"/>
        </w:numPr>
        <w:spacing w:line="300" w:lineRule="auto"/>
        <w:ind w:firstLine="482"/>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采购内容</w:t>
      </w:r>
    </w:p>
    <w:p w14:paraId="7452C1B2">
      <w:pPr>
        <w:spacing w:line="30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工作内容包含按档案专业要求进行不动产登记档案的整理、扫描、挂接、入库等工作，项目成果必须实现与系统的无缝衔接，满足不动产登记档案的日常管理和调用的需求。</w:t>
      </w:r>
    </w:p>
    <w:tbl>
      <w:tblPr>
        <w:tblStyle w:val="64"/>
        <w:tblW w:w="46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1995"/>
        <w:gridCol w:w="1289"/>
        <w:gridCol w:w="5253"/>
      </w:tblGrid>
      <w:tr w14:paraId="1F7A3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85" w:type="pct"/>
            <w:noWrap w:val="0"/>
            <w:vAlign w:val="center"/>
          </w:tcPr>
          <w:p w14:paraId="676BC5FF">
            <w:pPr>
              <w:snapToGrid w:val="0"/>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078" w:type="pct"/>
            <w:noWrap w:val="0"/>
            <w:vAlign w:val="center"/>
          </w:tcPr>
          <w:p w14:paraId="5557F0A2">
            <w:pPr>
              <w:snapToGrid w:val="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工作内容</w:t>
            </w:r>
          </w:p>
        </w:tc>
        <w:tc>
          <w:tcPr>
            <w:tcW w:w="697" w:type="pct"/>
            <w:noWrap w:val="0"/>
            <w:vAlign w:val="center"/>
          </w:tcPr>
          <w:p w14:paraId="286A7C40">
            <w:pPr>
              <w:snapToGrid w:val="0"/>
              <w:ind w:left="0" w:leftChars="0" w:firstLine="240" w:firstLineChars="1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2839" w:type="pct"/>
            <w:noWrap w:val="0"/>
            <w:vAlign w:val="center"/>
          </w:tcPr>
          <w:p w14:paraId="65D6CC61">
            <w:pPr>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14:paraId="0FB7B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85" w:type="pct"/>
            <w:noWrap w:val="0"/>
            <w:vAlign w:val="center"/>
          </w:tcPr>
          <w:p w14:paraId="5B5EBCE6">
            <w:pPr>
              <w:snapToGrid w:val="0"/>
              <w:ind w:left="0" w:leftChars="0" w:firstLine="240" w:firstLine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078" w:type="pct"/>
            <w:noWrap w:val="0"/>
            <w:vAlign w:val="center"/>
          </w:tcPr>
          <w:p w14:paraId="2584E1D2">
            <w:pPr>
              <w:snapToGrid w:val="0"/>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纸质档案整理</w:t>
            </w:r>
            <w:r>
              <w:rPr>
                <w:rFonts w:hint="eastAsia" w:asciiTheme="minorEastAsia" w:hAnsiTheme="minorEastAsia" w:eastAsiaTheme="minorEastAsia" w:cstheme="minorEastAsia"/>
                <w:color w:val="auto"/>
                <w:sz w:val="24"/>
                <w:szCs w:val="24"/>
                <w:lang w:val="en-US" w:eastAsia="zh-CN"/>
              </w:rPr>
              <w:t>及数字化建库服务</w:t>
            </w:r>
          </w:p>
        </w:tc>
        <w:tc>
          <w:tcPr>
            <w:tcW w:w="697" w:type="pct"/>
            <w:noWrap w:val="0"/>
            <w:vAlign w:val="center"/>
          </w:tcPr>
          <w:p w14:paraId="67C6245F">
            <w:pPr>
              <w:snapToGrid w:val="0"/>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约140万页</w:t>
            </w:r>
          </w:p>
        </w:tc>
        <w:tc>
          <w:tcPr>
            <w:tcW w:w="2839" w:type="pct"/>
            <w:noWrap w:val="0"/>
            <w:vAlign w:val="center"/>
          </w:tcPr>
          <w:p w14:paraId="393F223B">
            <w:pPr>
              <w:snapToGrid w:val="0"/>
              <w:ind w:left="0" w:leftChars="0" w:firstLine="240"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按档案专业要求进行不动产登记等自然资源档案的整理、扫描、挂接、入库等工作，项目成果必须实现与系统的无缝衔接，纸质档案整理、数字化扫描入库、挂接约1</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 xml:space="preserve">0万页。 </w:t>
            </w:r>
          </w:p>
          <w:p w14:paraId="0CC48EFB">
            <w:pPr>
              <w:snapToGrid w:val="0"/>
              <w:ind w:left="0" w:leftChars="0" w:firstLine="240"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需满足的质量、服务、安全、时限等要求： 完成档案成果质量较好、与相关系统的无缝衔接；满足自然资源档案不动产登记档案的日常管理和调用的需求； 完成档案管理的保密性、完整性、真实性、可控性； </w:t>
            </w:r>
          </w:p>
        </w:tc>
      </w:tr>
    </w:tbl>
    <w:p w14:paraId="2451887C">
      <w:pPr>
        <w:snapToGrid w:val="0"/>
        <w:spacing w:line="360" w:lineRule="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注：1、</w:t>
      </w:r>
      <w:r>
        <w:rPr>
          <w:rFonts w:hint="eastAsia" w:asciiTheme="minorEastAsia" w:hAnsiTheme="minorEastAsia" w:eastAsiaTheme="minorEastAsia" w:cstheme="minorEastAsia"/>
          <w:b/>
          <w:bCs/>
          <w:color w:val="auto"/>
          <w:sz w:val="24"/>
          <w:szCs w:val="24"/>
          <w:highlight w:val="none"/>
          <w:lang w:eastAsia="zh-CN"/>
        </w:rPr>
        <w:t>折合</w:t>
      </w:r>
      <w:r>
        <w:rPr>
          <w:rFonts w:hint="eastAsia" w:asciiTheme="minorEastAsia" w:hAnsiTheme="minorEastAsia" w:eastAsiaTheme="minorEastAsia" w:cstheme="minorEastAsia"/>
          <w:b/>
          <w:bCs/>
          <w:color w:val="auto"/>
          <w:sz w:val="24"/>
          <w:szCs w:val="24"/>
          <w:highlight w:val="none"/>
        </w:rPr>
        <w:t>A4幅面单页投标</w:t>
      </w:r>
      <w:r>
        <w:rPr>
          <w:rFonts w:hint="eastAsia" w:asciiTheme="minorEastAsia" w:hAnsiTheme="minorEastAsia" w:eastAsiaTheme="minorEastAsia" w:cstheme="minorEastAsia"/>
          <w:b/>
          <w:bCs/>
          <w:color w:val="auto"/>
          <w:sz w:val="24"/>
          <w:szCs w:val="24"/>
          <w:highlight w:val="none"/>
          <w:lang w:eastAsia="zh-CN"/>
        </w:rPr>
        <w:t>单价</w:t>
      </w:r>
      <w:r>
        <w:rPr>
          <w:rFonts w:hint="eastAsia" w:asciiTheme="minorEastAsia" w:hAnsiTheme="minorEastAsia" w:eastAsiaTheme="minorEastAsia" w:cstheme="minorEastAsia"/>
          <w:b/>
          <w:bCs/>
          <w:color w:val="auto"/>
          <w:sz w:val="24"/>
          <w:szCs w:val="24"/>
          <w:highlight w:val="none"/>
        </w:rPr>
        <w:t>上限价为</w:t>
      </w:r>
      <w:r>
        <w:rPr>
          <w:rFonts w:hint="eastAsia" w:asciiTheme="minorEastAsia" w:hAnsiTheme="minorEastAsia" w:eastAsiaTheme="minorEastAsia" w:cstheme="minorEastAsia"/>
          <w:b/>
          <w:bCs/>
          <w:color w:val="auto"/>
          <w:sz w:val="24"/>
          <w:szCs w:val="24"/>
          <w:lang w:val="en-US" w:eastAsia="zh-CN"/>
        </w:rPr>
        <w:t>0.498</w:t>
      </w:r>
      <w:r>
        <w:rPr>
          <w:rFonts w:hint="eastAsia" w:asciiTheme="minorEastAsia" w:hAnsiTheme="minorEastAsia" w:eastAsiaTheme="minorEastAsia" w:cstheme="minorEastAsia"/>
          <w:b/>
          <w:bCs/>
          <w:color w:val="auto"/>
          <w:sz w:val="24"/>
          <w:szCs w:val="24"/>
        </w:rPr>
        <w:t>元</w:t>
      </w:r>
      <w:r>
        <w:rPr>
          <w:rFonts w:hint="eastAsia" w:asciiTheme="minorEastAsia" w:hAnsiTheme="minorEastAsia" w:eastAsiaTheme="minorEastAsia" w:cstheme="minorEastAsia"/>
          <w:b/>
          <w:bCs/>
          <w:color w:val="auto"/>
          <w:sz w:val="24"/>
          <w:szCs w:val="24"/>
          <w:lang w:val="en-US" w:eastAsia="zh-CN"/>
        </w:rPr>
        <w:t>/页，超</w:t>
      </w:r>
      <w:r>
        <w:rPr>
          <w:rFonts w:hint="eastAsia" w:asciiTheme="minorEastAsia" w:hAnsiTheme="minorEastAsia" w:eastAsiaTheme="minorEastAsia" w:cstheme="minorEastAsia"/>
          <w:b/>
          <w:bCs/>
          <w:color w:val="auto"/>
          <w:sz w:val="24"/>
          <w:szCs w:val="24"/>
          <w:highlight w:val="none"/>
        </w:rPr>
        <w:t>投标</w:t>
      </w:r>
      <w:r>
        <w:rPr>
          <w:rFonts w:hint="eastAsia" w:asciiTheme="minorEastAsia" w:hAnsiTheme="minorEastAsia" w:eastAsiaTheme="minorEastAsia" w:cstheme="minorEastAsia"/>
          <w:b/>
          <w:bCs/>
          <w:color w:val="auto"/>
          <w:sz w:val="24"/>
          <w:szCs w:val="24"/>
          <w:highlight w:val="none"/>
          <w:lang w:eastAsia="zh-CN"/>
        </w:rPr>
        <w:t>单价</w:t>
      </w:r>
      <w:r>
        <w:rPr>
          <w:rFonts w:hint="eastAsia" w:asciiTheme="minorEastAsia" w:hAnsiTheme="minorEastAsia" w:eastAsiaTheme="minorEastAsia" w:cstheme="minorEastAsia"/>
          <w:b/>
          <w:bCs/>
          <w:color w:val="auto"/>
          <w:sz w:val="24"/>
          <w:szCs w:val="24"/>
          <w:highlight w:val="none"/>
        </w:rPr>
        <w:t>上限价</w:t>
      </w:r>
      <w:r>
        <w:rPr>
          <w:rFonts w:hint="eastAsia" w:asciiTheme="minorEastAsia" w:hAnsiTheme="minorEastAsia" w:eastAsiaTheme="minorEastAsia" w:cstheme="minorEastAsia"/>
          <w:b/>
          <w:bCs/>
          <w:color w:val="auto"/>
          <w:sz w:val="24"/>
          <w:szCs w:val="24"/>
          <w:highlight w:val="none"/>
          <w:lang w:eastAsia="zh-CN"/>
        </w:rPr>
        <w:t>的投标文件无效</w:t>
      </w:r>
    </w:p>
    <w:p w14:paraId="53345E5B">
      <w:pPr>
        <w:snapToGrid w:val="0"/>
        <w:spacing w:line="360" w:lineRule="auto"/>
        <w:ind w:firstLine="482"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2、大幅面图纸折算方法：A3＝2A4；A2＝4A4×1.5；A1＝8A4×2；A0＝16A4×2.5。</w:t>
      </w:r>
    </w:p>
    <w:p w14:paraId="0431C866">
      <w:pPr>
        <w:numPr>
          <w:ilvl w:val="0"/>
          <w:numId w:val="0"/>
        </w:numPr>
        <w:snapToGrid w:val="0"/>
        <w:spacing w:line="360" w:lineRule="auto"/>
        <w:ind w:firstLine="482"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3、项目结算金额＝实际数字化扫描加工入库实际完成张数（A4大小）×中标单价。</w:t>
      </w:r>
    </w:p>
    <w:p w14:paraId="36DFAB5A">
      <w:pPr>
        <w:numPr>
          <w:ilvl w:val="0"/>
          <w:numId w:val="0"/>
        </w:numPr>
        <w:snapToGrid w:val="0"/>
        <w:spacing w:line="360" w:lineRule="auto"/>
        <w:ind w:firstLine="482"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4、在整理档案信息过程中，档案目录制作、封皮、封面制作等相关耗材，档案交接的两次搬运上架服务由中标单位承担。</w:t>
      </w:r>
    </w:p>
    <w:p w14:paraId="479CECD4">
      <w:pPr>
        <w:pStyle w:val="982"/>
        <w:spacing w:line="300" w:lineRule="auto"/>
        <w:ind w:firstLine="482"/>
        <w:contextualSpacing/>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三、技术要求</w:t>
      </w:r>
    </w:p>
    <w:p w14:paraId="788F775D">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不动产登记相关档案进行扫描、装订、入库，扫描一般存在A4、A3、A0等幅面，是不动产登记管理的基础性资料，具有极其重要的价值，对这些档案进行整理、扫描、装订、入库、归档，不仅工作量大，投资也比较大。扫描后的成果需与嘉善县自然资源和规划局已建成的档案数字化扫描成果进行无缝对接，同时与嘉善县自然资源和规划局档案管理系统进行无缝对接，与嘉善不动产登记系统进行无缝对接。</w:t>
      </w:r>
    </w:p>
    <w:p w14:paraId="4BA0F187">
      <w:pPr>
        <w:pStyle w:val="982"/>
        <w:spacing w:line="300" w:lineRule="auto"/>
        <w:ind w:firstLine="482"/>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（一）档案扫描规范及要求</w:t>
      </w:r>
    </w:p>
    <w:p w14:paraId="3D00B279">
      <w:pPr>
        <w:pStyle w:val="982"/>
        <w:spacing w:line="300" w:lineRule="auto"/>
        <w:ind w:firstLine="482"/>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1.扫描前处理</w:t>
      </w:r>
    </w:p>
    <w:p w14:paraId="5BECD97B">
      <w:pPr>
        <w:pStyle w:val="982"/>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对不动产纸质档案，按《嘉兴市不动产登记档案归档格式》（嘉土资发〔2016〕72号）进行整理排列、敲页码、打印或填写卷内目录，备考表、打印封面（包含二维码打印）、扫描后三孔一线装订等。</w:t>
      </w:r>
    </w:p>
    <w:p w14:paraId="6778C5F9">
      <w:pPr>
        <w:spacing w:line="300" w:lineRule="auto"/>
        <w:ind w:firstLine="482"/>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2.二维码技术在档案数字化的应用</w:t>
      </w:r>
    </w:p>
    <w:p w14:paraId="2207CE94">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档案进行数字化扫描加工前，要求将档案全宗号-目录号-案卷号信息生成二维码，并在卷皮上打印出来，二维码打印位置需在实施过程中明确，需与嘉善县自然资源和规划局档案系统进行无缝挂接，并在档案系统中能通过二维码直接调取档案数据信息。</w:t>
      </w:r>
    </w:p>
    <w:p w14:paraId="67738938">
      <w:pPr>
        <w:spacing w:line="300" w:lineRule="auto"/>
        <w:ind w:firstLine="482"/>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3.确定扫描范围</w:t>
      </w:r>
    </w:p>
    <w:p w14:paraId="7910E858">
      <w:pPr>
        <w:pStyle w:val="982"/>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根据档案部门颁布的《档案案卷立卷要求》、《归档文件整理规则》等档案行业标准以及与国土部门实用要求结合制定适合本项目的档案扫描、整理方案。</w:t>
      </w:r>
    </w:p>
    <w:p w14:paraId="7241BE57">
      <w:pPr>
        <w:spacing w:line="300" w:lineRule="auto"/>
        <w:ind w:firstLine="482"/>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4.扫描方式</w:t>
      </w:r>
    </w:p>
    <w:p w14:paraId="4E684A54">
      <w:pPr>
        <w:pStyle w:val="982"/>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（1）根据档案幅面的大小(A4、A3、A0等)选择相应规格的扫描仪或专业扫描仪进行扫描、A3及以下页面采用A3快速平板扫描仪。</w:t>
      </w:r>
    </w:p>
    <w:p w14:paraId="6133EDF3">
      <w:pPr>
        <w:pStyle w:val="982"/>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（2）纸张状况较差，以及过薄、过软或超厚的档案，要求采用平板扫描或无边距平板扫描仪方式，选择相应的扫描设备时必须保证档案不受损。</w:t>
      </w:r>
    </w:p>
    <w:p w14:paraId="769FB4B3">
      <w:pPr>
        <w:spacing w:line="300" w:lineRule="auto"/>
        <w:ind w:firstLine="482"/>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5.扫描格式</w:t>
      </w:r>
    </w:p>
    <w:p w14:paraId="36CA773A">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在数字化之后文件存储上，在充分比较其他存储格式的情况下要求积极考虑带索引的PDF存储方式，随技术发展和实际工作需要可根据业主方需求改进。</w:t>
      </w:r>
    </w:p>
    <w:p w14:paraId="40006D78">
      <w:pPr>
        <w:spacing w:line="300" w:lineRule="auto"/>
        <w:ind w:firstLine="482"/>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6.色彩模式</w:t>
      </w:r>
    </w:p>
    <w:p w14:paraId="75B1566D">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（1）扫描后的影像文件以扫描后的图像清晰、完整，档案内容信息与档案原件一致为准。</w:t>
      </w:r>
    </w:p>
    <w:p w14:paraId="2B89965A">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（2）为了满足档案局的登记备份要求，扫描全部采用彩色扫描。</w:t>
      </w:r>
    </w:p>
    <w:p w14:paraId="456AB04D">
      <w:pPr>
        <w:spacing w:line="300" w:lineRule="auto"/>
        <w:ind w:firstLine="482"/>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7.扫描分辨率</w:t>
      </w:r>
    </w:p>
    <w:p w14:paraId="1064A452">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（1）扫描分辨率参数大小的选择，原则上以扫描后的图像清晰、完整、不影响图像的利用效果为准。</w:t>
      </w:r>
    </w:p>
    <w:p w14:paraId="5AB602EB">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（2）彩色扫描分辨率要求采用300DPI或以上，普通文件扫描精度300DPI。针对于照片、图像等信息进行数字化的时候，照片扫描分辨率不低于600DPI，照片底片扫描不低于1200DPI。</w:t>
      </w:r>
    </w:p>
    <w:p w14:paraId="7CFCA0DA">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（3）扫描文档保持原档方向，保证扫描的比例尺为1：1。</w:t>
      </w:r>
    </w:p>
    <w:p w14:paraId="1BDFE9B0">
      <w:pPr>
        <w:spacing w:line="300" w:lineRule="auto"/>
        <w:ind w:firstLine="482"/>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8.图像修正</w:t>
      </w:r>
    </w:p>
    <w:p w14:paraId="7021722A">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（1）图像画幅数要求与扫描交接单上保持一致，准确无误。</w:t>
      </w:r>
    </w:p>
    <w:p w14:paraId="20B42CDA">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（2）每个画幅的前后顺序要求与原纸质档案顺序保持一致，不一致时应及时进行调整。</w:t>
      </w:r>
    </w:p>
    <w:p w14:paraId="2C131C54">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（3）要求保证画幅上的图像、文字完整，清晰可读，由于操作不当引起的扫描后图像文件不完整或无法清晰识别时应重新扫描。</w:t>
      </w:r>
    </w:p>
    <w:p w14:paraId="32A07DE6">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（4）要求对不同纸质档案设置能达到最好效果的参数，尽可能使图像能清晰识别。</w:t>
      </w:r>
    </w:p>
    <w:p w14:paraId="557FC762">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（5）要求对每个画幅进行纠偏处理，使其左右歪斜偏差小于2度。</w:t>
      </w:r>
    </w:p>
    <w:p w14:paraId="10051453">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（6）要求对横向排放的页面进行左右旋转90或270度处理，以符合阅读习惯。对于除文字内容外，纸张边界内有个别较大的黑点、黑线条、黑框、黑边时进行去黑处理。</w:t>
      </w:r>
    </w:p>
    <w:p w14:paraId="33552470">
      <w:pPr>
        <w:spacing w:line="300" w:lineRule="auto"/>
        <w:ind w:firstLine="482"/>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9.数据抽检校对</w:t>
      </w:r>
    </w:p>
    <w:p w14:paraId="0D4E0DEC">
      <w:pPr>
        <w:spacing w:line="30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以抽检的方式检查已经完成数字化转换的所有数据，包括目录数据库、图像文件以及数据挂接的总体质量。一个全宗的档案，数据验收时抽检比率不得低于10％，数字化转换质量抽检的合格率达到99％（≥99％）予以验收通过，合格率＝抽检合格的文件数/抽检文件总数*100％。</w:t>
      </w:r>
    </w:p>
    <w:p w14:paraId="50DD2A1D">
      <w:pPr>
        <w:spacing w:line="300" w:lineRule="auto"/>
        <w:ind w:firstLine="482"/>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（二）档案著录数据录入</w:t>
      </w:r>
    </w:p>
    <w:p w14:paraId="353775AD">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1.档案著录要求按照档案内容进行填写，并结合不动产登记系统和嘉善县自然资源和规划局档案管理系统中的数据库字段要求进行档案著录。</w:t>
      </w:r>
    </w:p>
    <w:p w14:paraId="35E5957A">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2.著录录入要求准确、完整、符合标准。</w:t>
      </w:r>
    </w:p>
    <w:p w14:paraId="30F7FB75">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按照《档案著录规则》(DA/T18)等的要求，规范档案中的著录内容。包括确定档案目录的著录项、字段长度和内容要求。如有错误或不规范的信息如页数顺序等，应进行修正，并对原著录进行同步修改。要严格执行嘉善县自然资源和规划局档案著录和分类管理规范。</w:t>
      </w:r>
    </w:p>
    <w:p w14:paraId="2F365EBB">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4.中标单位在整理档案信息过程中，档案目录制作、封皮、封面制作等相关耗材，</w:t>
      </w:r>
      <w:r>
        <w:rPr>
          <w:rFonts w:hint="eastAsia" w:asciiTheme="minorEastAsia" w:hAnsiTheme="minorEastAsia" w:eastAsiaTheme="minorEastAsia" w:cstheme="minorEastAsia"/>
          <w:b/>
          <w:bCs/>
          <w:color w:val="auto"/>
          <w:sz w:val="24"/>
          <w:szCs w:val="24"/>
          <w:lang w:val="en-US" w:eastAsia="zh-CN"/>
        </w:rPr>
        <w:t>档案交接的两次搬运上架服务</w:t>
      </w:r>
      <w:r>
        <w:rPr>
          <w:rFonts w:hint="eastAsia" w:asciiTheme="minorEastAsia" w:hAnsiTheme="minorEastAsia" w:eastAsiaTheme="minorEastAsia" w:cstheme="minorEastAsia"/>
          <w:b/>
          <w:bCs/>
          <w:color w:val="auto"/>
          <w:sz w:val="24"/>
          <w:szCs w:val="24"/>
        </w:rPr>
        <w:t>由中标单位承担。</w:t>
      </w:r>
    </w:p>
    <w:p w14:paraId="1FACF61C">
      <w:pPr>
        <w:spacing w:line="300" w:lineRule="auto"/>
        <w:ind w:firstLine="482"/>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三</w:t>
      </w:r>
      <w:r>
        <w:rPr>
          <w:rFonts w:hint="eastAsia" w:asciiTheme="minorEastAsia" w:hAnsiTheme="minorEastAsia" w:eastAsiaTheme="minorEastAsia" w:cstheme="minorEastAsia"/>
          <w:b/>
          <w:bCs/>
          <w:color w:val="auto"/>
          <w:sz w:val="24"/>
          <w:szCs w:val="24"/>
        </w:rPr>
        <w:t>）档案对接要求</w:t>
      </w:r>
    </w:p>
    <w:p w14:paraId="19F3EDE6">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档案数字化数据成果经过验收合格后，须按照国家、省、市有关标准及我局实际的档案管理要求，建立我局自然资源档案管理数据库，并能实现与我局已建成的档案数字化扫描成果进行整合实现无缝对接，与我局档案管理系统无缝对接，并保证与不动产登记系统进行无缝对接，档案管理系统能正常读取入库后的数据。</w:t>
      </w:r>
    </w:p>
    <w:p w14:paraId="426A3584">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结合已有不动产登记系统与档案管理系统建立起具有档案数据演变过程的追溯功能，并建立宗地图形、登记属性、档案图文一体化的应用模式，支持在不动产登记系统中的图形、属性中能直接调取档案数据库成果，实现图文通存通取和图文一体化应用，能反映现实登记发证情况和历史数据记录关系的不动产档案管理数据库；利用不动产档案数据成果，建立不动产登记发证属性数据和宗地图形的关联关系。</w:t>
      </w:r>
    </w:p>
    <w:p w14:paraId="27D0D9E4">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单位在整理档案信息过程中，需与我局档案管理系统开发公司、不动产登记系统开发公司做好无缝衔接，如中间因中标单位无法按照系统要求实现无缝衔接或有任何的商业费用或技术交流问题，全部由中标单位承担，确保入库后的档案数据能在我局档案管理系统中正常运行，不动产登记系统能正常读取，档案数据整合及入库需通过我局档案管理系统开发公司进行质检，所有档案数据和档案系统之间的沟通或费用等其他事项都由中标单位负责完成。</w:t>
      </w:r>
    </w:p>
    <w:p w14:paraId="01C01D6D">
      <w:pPr>
        <w:spacing w:line="300" w:lineRule="auto"/>
        <w:ind w:firstLine="482"/>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四</w:t>
      </w:r>
      <w:r>
        <w:rPr>
          <w:rFonts w:hint="eastAsia" w:asciiTheme="minorEastAsia" w:hAnsiTheme="minorEastAsia" w:eastAsiaTheme="minorEastAsia" w:cstheme="minorEastAsia"/>
          <w:b/>
          <w:bCs/>
          <w:color w:val="auto"/>
          <w:sz w:val="24"/>
          <w:szCs w:val="24"/>
        </w:rPr>
        <w:t>）数据存储备份的要求</w:t>
      </w:r>
    </w:p>
    <w:p w14:paraId="36B34630">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档案扫描工程经检查验收合格后，应及时进行备份，可通过数据库备份、异地存储备份和移动硬盘（或刻录光盘）等方式实现。移动硬盘备份或刻录光盘时应注意图像信息的完整，刻录完成后要进行质量检查。质量检查的内容有图像文件能否打开，文件数是否准确，防止拷贝或刻录失败。</w:t>
      </w:r>
    </w:p>
    <w:p w14:paraId="641D0FB4">
      <w:pPr>
        <w:spacing w:line="300" w:lineRule="auto"/>
        <w:ind w:firstLine="482"/>
        <w:contextualSpacing/>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四、服务要求</w:t>
      </w:r>
    </w:p>
    <w:p w14:paraId="424DCA08">
      <w:pPr>
        <w:spacing w:line="300" w:lineRule="auto"/>
        <w:ind w:firstLine="482"/>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sz w:val="24"/>
          <w:szCs w:val="24"/>
        </w:rPr>
        <w:t>（一）</w:t>
      </w:r>
      <w:r>
        <w:rPr>
          <w:rFonts w:hint="eastAsia" w:asciiTheme="minorEastAsia" w:hAnsiTheme="minorEastAsia" w:eastAsiaTheme="minorEastAsia" w:cstheme="minorEastAsia"/>
          <w:b/>
          <w:bCs/>
          <w:color w:val="auto"/>
          <w:sz w:val="24"/>
          <w:szCs w:val="24"/>
        </w:rPr>
        <w:t>人员设备要求</w:t>
      </w:r>
    </w:p>
    <w:p w14:paraId="1E6FDC61">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投标单位按项目需求自行配备专业技术服务人员及配置数据生产电脑、高速扫描仪等设备。</w:t>
      </w:r>
    </w:p>
    <w:p w14:paraId="22D58A6B">
      <w:pPr>
        <w:spacing w:line="300" w:lineRule="auto"/>
        <w:ind w:firstLine="482"/>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（二）成果要求</w:t>
      </w:r>
    </w:p>
    <w:p w14:paraId="32D52898">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1.扫描材料按原纸张大小1:1扫描，要求符合规定技术要求，字迹、图像清晰；</w:t>
      </w:r>
    </w:p>
    <w:p w14:paraId="00230410">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2.扫描材料要按照不动产登记相关信息系统的要求，对应电子材料进行规范命名和挂接；</w:t>
      </w:r>
    </w:p>
    <w:p w14:paraId="2FD7ACD4">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3.档案扫描后，所有电子件都需要做好备份，最终以硬盘或者光盘的形式汇交。</w:t>
      </w:r>
    </w:p>
    <w:p w14:paraId="02A08321">
      <w:pPr>
        <w:spacing w:line="300" w:lineRule="auto"/>
        <w:ind w:firstLine="482"/>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▲（三）服务期及人员要求</w:t>
      </w:r>
    </w:p>
    <w:p w14:paraId="3D2C9EF6">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1.服务期：自合同签订之日起至2025年12月31日。服务期结束（或提前达到预算总价的）后经采购人考核合格，并经双方同意，可续签下一年度合同，</w:t>
      </w:r>
      <w:r>
        <w:rPr>
          <w:rFonts w:hint="eastAsia" w:asciiTheme="minorEastAsia" w:hAnsiTheme="minorEastAsia" w:eastAsiaTheme="minorEastAsia" w:cstheme="minorEastAsia"/>
          <w:color w:val="auto"/>
          <w:sz w:val="24"/>
          <w:szCs w:val="24"/>
          <w:lang w:eastAsia="zh-CN"/>
        </w:rPr>
        <w:t>最多可续签一次</w:t>
      </w:r>
      <w:r>
        <w:rPr>
          <w:rFonts w:hint="eastAsia" w:asciiTheme="minorEastAsia" w:hAnsiTheme="minorEastAsia" w:eastAsiaTheme="minorEastAsia" w:cstheme="minorEastAsia"/>
          <w:color w:val="auto"/>
          <w:sz w:val="24"/>
          <w:szCs w:val="24"/>
        </w:rPr>
        <w:t>，续签一年）。</w:t>
      </w:r>
    </w:p>
    <w:p w14:paraId="1A7E195B">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2.在服务期内投入本项目的实施人员必须驻地为嘉善县不动产登记中心和嘉善县自然资源和规划局提供纸质档案整理及数字化扫描入库服务工作。</w:t>
      </w:r>
    </w:p>
    <w:p w14:paraId="5CD275B6">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3.人员和进场要求：投标单位按项目需求自行配备专业技术服务人员常驻嘉善县自然资源和规划局开展此项工作。合同签订后3个工作日内必须安排专业人员进场开展工作，并拟定项目技术方案。</w:t>
      </w:r>
    </w:p>
    <w:p w14:paraId="3E2E2B0B">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存量档案需在合同签订后1个月内完成档案扫描、装订，并移交给嘉善县自然资源和规划局档案室验收归档。每天的档案材料扫描、装订后要送至嘉善县自然资源和规划局档案室验收归档，每周的不动产统一登记的档案材料要当周处理完毕，不得顺延和拖后到下一周。</w:t>
      </w:r>
    </w:p>
    <w:p w14:paraId="58A7BD6C">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5.在整个项目实施过程中,需要作业单位及时调阅整理或者未整理的纸质档案，作业单位需响应业主方的及时查档需求（调阅时间控制在10分钟内）。</w:t>
      </w:r>
    </w:p>
    <w:p w14:paraId="11F28E7A">
      <w:pPr>
        <w:spacing w:line="300" w:lineRule="auto"/>
        <w:ind w:firstLine="482"/>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（四）售后服务</w:t>
      </w:r>
    </w:p>
    <w:p w14:paraId="38FDE42F">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1.中标人负责免费对项目成果错误进行及时更正。</w:t>
      </w:r>
    </w:p>
    <w:p w14:paraId="6B779666">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2.对于不动产登记出现高峰时，能适时增派人员全力保障工作任务保质按时完成。</w:t>
      </w:r>
    </w:p>
    <w:p w14:paraId="19F3D8A5">
      <w:pPr>
        <w:spacing w:line="300" w:lineRule="auto"/>
        <w:ind w:firstLine="48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3.项目成果提交后两年内发现缺失、遗漏、错误等现象的，由中标人无偿修改完善或补正。</w:t>
      </w:r>
    </w:p>
    <w:p w14:paraId="58D41F76">
      <w:pPr>
        <w:spacing w:line="300" w:lineRule="auto"/>
        <w:ind w:firstLine="482"/>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五、费用结算及合同付款</w:t>
      </w:r>
    </w:p>
    <w:p w14:paraId="7E9EF03E">
      <w:pPr>
        <w:spacing w:line="300" w:lineRule="auto"/>
        <w:ind w:firstLine="480"/>
        <w:contextualSpacing/>
        <w:rPr>
          <w:rFonts w:hint="eastAsia" w:asciiTheme="minorEastAsia" w:hAnsiTheme="minorEastAsia" w:eastAsiaTheme="minorEastAsia" w:cstheme="minorEastAsia"/>
          <w:b/>
          <w:bCs/>
          <w:color w:val="auto"/>
          <w:sz w:val="24"/>
          <w:szCs w:val="24"/>
        </w:rPr>
      </w:pPr>
      <w:r>
        <w:rPr>
          <w:rFonts w:hint="eastAsia" w:ascii="宋体" w:hAnsi="宋体" w:cs="宋体"/>
          <w:color w:val="auto"/>
          <w:sz w:val="24"/>
          <w:highlight w:val="none"/>
        </w:rPr>
        <w:t>合同生效以及具备实施条件后7个工作日内支付项目合同总金额的</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%作为预付款，余款由中标方向采购人申请最终验收，最终验收通过后，根据</w:t>
      </w:r>
      <w:r>
        <w:rPr>
          <w:rFonts w:hint="eastAsia" w:ascii="Calibri" w:hAnsi="宋体"/>
          <w:b w:val="0"/>
          <w:bCs w:val="0"/>
          <w:color w:val="auto"/>
          <w:kern w:val="0"/>
          <w:sz w:val="24"/>
          <w:szCs w:val="24"/>
          <w:highlight w:val="none"/>
          <w:lang w:val="en-US" w:eastAsia="zh-CN"/>
        </w:rPr>
        <w:t>实际数字化扫描加工入库实际完成张数（A4大小）×中标单价，</w:t>
      </w:r>
      <w:r>
        <w:rPr>
          <w:rFonts w:hint="eastAsia" w:ascii="宋体" w:hAnsi="宋体" w:cs="宋体"/>
          <w:color w:val="auto"/>
          <w:sz w:val="24"/>
          <w:highlight w:val="none"/>
        </w:rPr>
        <w:t>扣除相应预付款后据实支付。</w:t>
      </w:r>
      <w:r>
        <w:rPr>
          <w:rFonts w:hint="eastAsia" w:ascii="宋体" w:hAnsi="宋体"/>
          <w:b/>
          <w:bCs/>
          <w:color w:val="auto"/>
          <w:sz w:val="24"/>
          <w:highlight w:val="none"/>
          <w:lang w:eastAsia="zh-CN"/>
        </w:rPr>
        <w:t>（付款前中标单位应按规定向采购人开具正规发票，并承担开票产生的所有税收费）</w:t>
      </w:r>
    </w:p>
    <w:p w14:paraId="0A305876">
      <w:pPr>
        <w:jc w:val="center"/>
        <w:rPr>
          <w:rFonts w:hint="eastAsia" w:ascii="仿宋" w:hAnsi="仿宋" w:eastAsia="仿宋" w:cs="仿宋_GB2312"/>
          <w:b/>
          <w:color w:val="auto"/>
          <w:sz w:val="36"/>
          <w:szCs w:val="20"/>
          <w:highlight w:val="none"/>
        </w:rPr>
      </w:pPr>
    </w:p>
    <w:p w14:paraId="16E5A58E">
      <w:pPr>
        <w:jc w:val="center"/>
        <w:rPr>
          <w:rFonts w:hint="eastAsia" w:ascii="仿宋" w:hAnsi="仿宋" w:eastAsia="仿宋" w:cs="仿宋_GB2312"/>
          <w:b/>
          <w:color w:val="auto"/>
          <w:sz w:val="36"/>
          <w:szCs w:val="20"/>
          <w:highlight w:val="none"/>
        </w:rPr>
      </w:pPr>
    </w:p>
    <w:p w14:paraId="06892928">
      <w:pPr>
        <w:jc w:val="center"/>
        <w:rPr>
          <w:rFonts w:hint="eastAsia" w:ascii="仿宋" w:hAnsi="仿宋" w:eastAsia="仿宋" w:cs="仿宋_GB2312"/>
          <w:b/>
          <w:color w:val="auto"/>
          <w:sz w:val="36"/>
          <w:szCs w:val="20"/>
          <w:highlight w:val="none"/>
        </w:rPr>
      </w:pPr>
    </w:p>
    <w:p w14:paraId="445A2284">
      <w:pPr>
        <w:jc w:val="center"/>
        <w:rPr>
          <w:rFonts w:hint="eastAsia" w:ascii="仿宋" w:hAnsi="仿宋" w:eastAsia="仿宋" w:cs="仿宋_GB2312"/>
          <w:b/>
          <w:color w:val="auto"/>
          <w:sz w:val="36"/>
          <w:szCs w:val="20"/>
          <w:highlight w:val="none"/>
        </w:rPr>
      </w:pPr>
    </w:p>
    <w:p w14:paraId="213C4074">
      <w:pPr>
        <w:jc w:val="center"/>
        <w:rPr>
          <w:rFonts w:hint="eastAsia" w:ascii="仿宋" w:hAnsi="仿宋" w:eastAsia="仿宋" w:cs="仿宋_GB2312"/>
          <w:b/>
          <w:color w:val="auto"/>
          <w:sz w:val="36"/>
          <w:szCs w:val="20"/>
          <w:highlight w:val="none"/>
        </w:rPr>
      </w:pPr>
    </w:p>
    <w:p w14:paraId="1EF23A44">
      <w:pPr>
        <w:jc w:val="center"/>
        <w:rPr>
          <w:rFonts w:hint="eastAsia" w:ascii="仿宋" w:hAnsi="仿宋" w:eastAsia="仿宋" w:cs="仿宋_GB2312"/>
          <w:b/>
          <w:color w:val="auto"/>
          <w:sz w:val="36"/>
          <w:szCs w:val="20"/>
          <w:highlight w:val="none"/>
        </w:rPr>
      </w:pPr>
    </w:p>
    <w:p w14:paraId="7E4E3183">
      <w:pPr>
        <w:jc w:val="center"/>
        <w:rPr>
          <w:rFonts w:hint="eastAsia" w:ascii="仿宋" w:hAnsi="仿宋" w:eastAsia="仿宋" w:cs="仿宋_GB2312"/>
          <w:b/>
          <w:color w:val="auto"/>
          <w:sz w:val="36"/>
          <w:szCs w:val="20"/>
          <w:highlight w:val="none"/>
        </w:rPr>
      </w:pPr>
    </w:p>
    <w:p w14:paraId="3343178D">
      <w:pPr>
        <w:jc w:val="center"/>
        <w:rPr>
          <w:rFonts w:hint="eastAsia" w:ascii="仿宋" w:hAnsi="仿宋" w:eastAsia="仿宋" w:cs="仿宋_GB2312"/>
          <w:b/>
          <w:color w:val="auto"/>
          <w:sz w:val="36"/>
          <w:szCs w:val="20"/>
          <w:highlight w:val="none"/>
        </w:rPr>
      </w:pPr>
    </w:p>
    <w:p w14:paraId="5D7D8E39">
      <w:pPr>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w:t>
      </w:r>
      <w:bookmarkEnd w:id="11"/>
      <w:r>
        <w:rPr>
          <w:rFonts w:hint="eastAsia" w:ascii="仿宋" w:hAnsi="仿宋" w:eastAsia="仿宋" w:cs="仿宋_GB2312"/>
          <w:b/>
          <w:color w:val="auto"/>
          <w:sz w:val="36"/>
          <w:szCs w:val="20"/>
          <w:highlight w:val="none"/>
        </w:rPr>
        <w:t>三章</w:t>
      </w:r>
      <w:r>
        <w:rPr>
          <w:rFonts w:ascii="仿宋" w:hAnsi="仿宋" w:eastAsia="仿宋" w:cs="仿宋_GB2312"/>
          <w:b/>
          <w:color w:val="auto"/>
          <w:sz w:val="36"/>
          <w:szCs w:val="20"/>
          <w:highlight w:val="none"/>
        </w:rPr>
        <w:t xml:space="preserve"> 投标人须知</w:t>
      </w:r>
      <w:bookmarkEnd w:id="12"/>
    </w:p>
    <w:bookmarkEnd w:id="13"/>
    <w:p w14:paraId="1F51442D">
      <w:pPr>
        <w:wordWrap w:val="0"/>
        <w:overflowPunct w:val="0"/>
        <w:autoSpaceDE w:val="0"/>
        <w:autoSpaceDN w:val="0"/>
        <w:adjustRightInd/>
        <w:spacing w:before="240" w:beforeLines="100" w:after="240" w:afterLines="100" w:line="360" w:lineRule="atLeast"/>
        <w:jc w:val="center"/>
        <w:rPr>
          <w:rFonts w:ascii="宋体" w:hAnsi="宋体" w:cs="宋体"/>
          <w:b/>
          <w:bCs/>
          <w:color w:val="auto"/>
          <w:sz w:val="28"/>
          <w:szCs w:val="28"/>
          <w:highlight w:val="none"/>
        </w:rPr>
      </w:pPr>
      <w:bookmarkStart w:id="14" w:name="_Toc91899903"/>
      <w:bookmarkStart w:id="15" w:name="_Toc164416483"/>
      <w:bookmarkStart w:id="16" w:name="第三部分"/>
      <w:r>
        <w:rPr>
          <w:rFonts w:hint="eastAsia" w:ascii="宋体" w:hAnsi="宋体" w:cs="宋体"/>
          <w:b/>
          <w:bCs/>
          <w:color w:val="auto"/>
          <w:sz w:val="28"/>
          <w:szCs w:val="28"/>
          <w:highlight w:val="none"/>
        </w:rPr>
        <w:t>电子交易注意事项</w:t>
      </w:r>
    </w:p>
    <w:p w14:paraId="5AA64922">
      <w:pPr>
        <w:wordWrap w:val="0"/>
        <w:overflowPunct w:val="0"/>
        <w:autoSpaceDE w:val="0"/>
        <w:autoSpaceDN w:val="0"/>
        <w:adjustRightInd/>
        <w:spacing w:line="400" w:lineRule="exact"/>
        <w:ind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政府采购项目电子交易活动适用《浙江省政府采购项目电子交易管理暂行办法》，现将相关注意事项告知如下：</w:t>
      </w:r>
    </w:p>
    <w:p w14:paraId="46A26D5C">
      <w:pPr>
        <w:wordWrap w:val="0"/>
        <w:overflowPunct w:val="0"/>
        <w:autoSpaceDE w:val="0"/>
        <w:autoSpaceDN w:val="0"/>
        <w:adjustRightInd/>
        <w:spacing w:line="40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1.采购代理机构按照招标文件规定的时间通过电子交易平台组织开标、开启投标文件，所有供应商均应当准时在线参加，直至评审结束。</w:t>
      </w:r>
    </w:p>
    <w:p w14:paraId="033E41FB">
      <w:pPr>
        <w:pStyle w:val="60"/>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2.采购过程中出现以下情形，导致电子交易平台无法正常运行，或者无法保证电子交易的公平、公正和安全时，采购代理机构可中止电子交易活动：</w:t>
      </w:r>
    </w:p>
    <w:p w14:paraId="767BBE1D">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14:paraId="799F9975">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14:paraId="1058B437">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14:paraId="2A11250B">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14:paraId="31D923F1">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14:paraId="6EF588E9">
      <w:pPr>
        <w:pStyle w:val="60"/>
        <w:widowControl w:val="0"/>
        <w:wordWrap w:val="0"/>
        <w:overflowPunct w:val="0"/>
        <w:autoSpaceDE w:val="0"/>
        <w:autoSpaceDN w:val="0"/>
        <w:adjustRightInd/>
        <w:spacing w:before="0" w:beforeAutospacing="0" w:after="0" w:afterAutospacing="0" w:line="400" w:lineRule="exact"/>
        <w:ind w:firstLine="480"/>
        <w:rPr>
          <w:rFonts w:cs="宋体"/>
          <w:color w:val="auto"/>
          <w:kern w:val="2"/>
          <w:highlight w:val="none"/>
        </w:rPr>
      </w:pPr>
      <w:r>
        <w:rPr>
          <w:rFonts w:hint="eastAsia"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14:paraId="6AA8EB85">
      <w:pPr>
        <w:pStyle w:val="60"/>
        <w:widowControl w:val="0"/>
        <w:wordWrap w:val="0"/>
        <w:overflowPunct w:val="0"/>
        <w:autoSpaceDE w:val="0"/>
        <w:autoSpaceDN w:val="0"/>
        <w:adjustRightInd/>
        <w:spacing w:before="0" w:beforeAutospacing="0" w:after="0" w:afterAutospacing="0" w:line="400" w:lineRule="exact"/>
        <w:ind w:firstLine="480"/>
        <w:rPr>
          <w:rFonts w:cs="宋体"/>
          <w:color w:val="auto"/>
          <w:highlight w:val="none"/>
          <w:shd w:val="clear" w:color="auto" w:fill="FFFFFF"/>
        </w:rPr>
      </w:pPr>
      <w:r>
        <w:rPr>
          <w:rFonts w:hint="eastAsia" w:cs="宋体"/>
          <w:color w:val="auto"/>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5B306F44">
      <w:pPr>
        <w:pStyle w:val="27"/>
        <w:wordWrap w:val="0"/>
        <w:overflowPunct w:val="0"/>
        <w:adjustRightInd/>
        <w:spacing w:line="400" w:lineRule="exact"/>
        <w:ind w:firstLine="487"/>
        <w:rPr>
          <w:rFonts w:hAnsi="宋体" w:cs="宋体"/>
          <w:color w:val="auto"/>
          <w:kern w:val="0"/>
          <w:szCs w:val="24"/>
          <w:highlight w:val="none"/>
          <w:shd w:val="clear" w:color="auto" w:fill="FFFFFF"/>
        </w:rPr>
      </w:pPr>
      <w:r>
        <w:rPr>
          <w:rFonts w:hint="eastAsia" w:hAnsi="宋体" w:cs="宋体"/>
          <w:color w:val="auto"/>
          <w:kern w:val="0"/>
          <w:szCs w:val="24"/>
          <w:highlight w:val="none"/>
          <w:shd w:val="clear" w:color="auto" w:fill="FFFFFF"/>
          <w:lang w:val="en-US"/>
        </w:rPr>
        <w:t>4</w:t>
      </w:r>
      <w:r>
        <w:rPr>
          <w:rFonts w:hint="eastAsia" w:hAnsi="宋体" w:cs="宋体"/>
          <w:color w:val="auto"/>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color w:val="auto"/>
          <w:kern w:val="0"/>
          <w:szCs w:val="24"/>
          <w:highlight w:val="none"/>
          <w:shd w:val="clear" w:color="auto" w:fill="FFFFFF"/>
          <w:lang w:val="en-US"/>
        </w:rPr>
        <w:t>CA</w:t>
      </w:r>
      <w:r>
        <w:rPr>
          <w:rFonts w:hint="eastAsia" w:hAnsi="宋体" w:cs="宋体"/>
          <w:color w:val="auto"/>
          <w:kern w:val="0"/>
          <w:szCs w:val="24"/>
          <w:highlight w:val="none"/>
          <w:shd w:val="clear" w:color="auto" w:fill="FFFFFF"/>
        </w:rPr>
        <w:t>进行回复。未按要求回复的，视为放弃澄清。</w:t>
      </w:r>
    </w:p>
    <w:p w14:paraId="3E42EEF7">
      <w:pPr>
        <w:rPr>
          <w:color w:val="auto"/>
          <w:highlight w:val="none"/>
        </w:rPr>
      </w:pPr>
    </w:p>
    <w:p w14:paraId="19A33C7F">
      <w:pPr>
        <w:wordWrap w:val="0"/>
        <w:overflowPunct w:val="0"/>
        <w:autoSpaceDE w:val="0"/>
        <w:autoSpaceDN w:val="0"/>
        <w:snapToGrid w:val="0"/>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前附表</w:t>
      </w:r>
    </w:p>
    <w:tbl>
      <w:tblPr>
        <w:tblStyle w:val="64"/>
        <w:tblW w:w="9143" w:type="dxa"/>
        <w:tblInd w:w="142" w:type="dxa"/>
        <w:tblLayout w:type="fixed"/>
        <w:tblCellMar>
          <w:top w:w="0" w:type="dxa"/>
          <w:left w:w="108" w:type="dxa"/>
          <w:bottom w:w="0" w:type="dxa"/>
          <w:right w:w="108" w:type="dxa"/>
        </w:tblCellMar>
      </w:tblPr>
      <w:tblGrid>
        <w:gridCol w:w="744"/>
        <w:gridCol w:w="8399"/>
      </w:tblGrid>
      <w:tr w14:paraId="7D614097">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14:paraId="6DBB3DCC">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14:paraId="0747507A">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内容、要求</w:t>
            </w:r>
          </w:p>
        </w:tc>
      </w:tr>
      <w:tr w14:paraId="1134D2D0">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14:paraId="52B6D8A5">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99" w:type="dxa"/>
            <w:tcBorders>
              <w:top w:val="single" w:color="auto" w:sz="4" w:space="0"/>
              <w:left w:val="nil"/>
              <w:bottom w:val="single" w:color="auto" w:sz="4" w:space="0"/>
              <w:right w:val="single" w:color="auto" w:sz="4" w:space="0"/>
            </w:tcBorders>
            <w:vAlign w:val="center"/>
          </w:tcPr>
          <w:p w14:paraId="58DF2FEF">
            <w:pPr>
              <w:pStyle w:val="36"/>
              <w:wordWrap w:val="0"/>
              <w:overflowPunct w:val="0"/>
              <w:autoSpaceDE w:val="0"/>
              <w:autoSpaceDN w:val="0"/>
              <w:adjustRightInd/>
              <w:snapToGrid w:val="0"/>
              <w:spacing w:before="24" w:beforeLines="10" w:after="24" w:afterLines="10"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项目名称：</w:t>
            </w:r>
            <w:r>
              <w:rPr>
                <w:rFonts w:hint="eastAsia" w:hAnsi="宋体" w:cs="宋体"/>
                <w:color w:val="auto"/>
                <w:sz w:val="24"/>
                <w:szCs w:val="24"/>
                <w:highlight w:val="none"/>
                <w:lang w:eastAsia="zh-CN"/>
              </w:rPr>
              <w:t>不动产业务和信息化建设（2025年不动产档案扫描建库项目）</w:t>
            </w:r>
          </w:p>
        </w:tc>
      </w:tr>
      <w:tr w14:paraId="347E7EA4">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01AF2295">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99" w:type="dxa"/>
            <w:tcBorders>
              <w:top w:val="single" w:color="auto" w:sz="4" w:space="0"/>
              <w:left w:val="nil"/>
              <w:bottom w:val="single" w:color="auto" w:sz="4" w:space="0"/>
              <w:right w:val="single" w:color="auto" w:sz="4" w:space="0"/>
            </w:tcBorders>
            <w:vAlign w:val="center"/>
          </w:tcPr>
          <w:p w14:paraId="21CDB89B">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采购内容：详见第二章。</w:t>
            </w:r>
          </w:p>
        </w:tc>
      </w:tr>
      <w:tr w14:paraId="61B845AA">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14:paraId="3323A3EA">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99" w:type="dxa"/>
            <w:tcBorders>
              <w:top w:val="single" w:color="auto" w:sz="4" w:space="0"/>
              <w:left w:val="nil"/>
              <w:bottom w:val="single" w:color="auto" w:sz="4" w:space="0"/>
              <w:right w:val="single" w:color="auto" w:sz="4" w:space="0"/>
            </w:tcBorders>
            <w:vAlign w:val="center"/>
          </w:tcPr>
          <w:p w14:paraId="6BFC6939">
            <w:pPr>
              <w:pStyle w:val="60"/>
              <w:widowControl w:val="0"/>
              <w:overflowPunct w:val="0"/>
              <w:topLinePunct/>
              <w:autoSpaceDE w:val="0"/>
              <w:autoSpaceDN w:val="0"/>
              <w:spacing w:before="24" w:beforeLines="10" w:beforeAutospacing="0" w:after="24" w:afterLines="10" w:afterAutospacing="0" w:line="400" w:lineRule="exact"/>
              <w:ind w:firstLine="480" w:firstLineChars="200"/>
              <w:rPr>
                <w:rFonts w:cs="宋体"/>
                <w:color w:val="auto"/>
                <w:highlight w:val="none"/>
              </w:rPr>
            </w:pPr>
            <w:r>
              <w:rPr>
                <w:rFonts w:hint="eastAsia" w:cs="宋体"/>
                <w:color w:val="auto"/>
                <w:highlight w:val="none"/>
              </w:rPr>
              <w:t>项目预算：</w:t>
            </w:r>
            <w:r>
              <w:rPr>
                <w:rFonts w:hint="eastAsia" w:cs="宋体"/>
                <w:color w:val="auto"/>
                <w:sz w:val="24"/>
                <w:highlight w:val="none"/>
                <w:u w:val="single"/>
                <w:lang w:val="en-US" w:eastAsia="zh-CN"/>
              </w:rPr>
              <w:t>70.0000</w:t>
            </w:r>
            <w:r>
              <w:rPr>
                <w:rFonts w:hint="eastAsia" w:ascii="宋体" w:hAnsi="宋体" w:cs="宋体"/>
                <w:color w:val="auto"/>
                <w:sz w:val="24"/>
                <w:highlight w:val="none"/>
                <w:u w:val="single"/>
                <w:lang w:val="en-US" w:eastAsia="zh-CN"/>
              </w:rPr>
              <w:t>万元</w:t>
            </w:r>
            <w:r>
              <w:rPr>
                <w:rFonts w:hint="eastAsia" w:cs="宋体"/>
                <w:color w:val="auto"/>
                <w:highlight w:val="none"/>
              </w:rPr>
              <w:t>。</w:t>
            </w:r>
          </w:p>
          <w:p w14:paraId="2038E1F4">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最高限价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69.7200万元</w:t>
            </w:r>
            <w:r>
              <w:rPr>
                <w:rFonts w:hint="eastAsia" w:ascii="宋体" w:hAnsi="宋体" w:cs="宋体"/>
                <w:color w:val="auto"/>
                <w:sz w:val="24"/>
                <w:highlight w:val="none"/>
              </w:rPr>
              <w:t>，超最高限价的投标文件无效。</w:t>
            </w:r>
          </w:p>
        </w:tc>
      </w:tr>
      <w:tr w14:paraId="1DBEAD12">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14:paraId="4A3843DC">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99" w:type="dxa"/>
            <w:tcBorders>
              <w:top w:val="single" w:color="auto" w:sz="4" w:space="0"/>
              <w:left w:val="nil"/>
              <w:bottom w:val="single" w:color="auto" w:sz="4" w:space="0"/>
              <w:right w:val="single" w:color="auto" w:sz="4" w:space="0"/>
            </w:tcBorders>
            <w:vAlign w:val="center"/>
          </w:tcPr>
          <w:p w14:paraId="0576A0CF">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投标报价及费用：</w:t>
            </w:r>
          </w:p>
          <w:p w14:paraId="589E985D">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1.本项目投标应以人民币报价；</w:t>
            </w:r>
          </w:p>
          <w:p w14:paraId="31A6BC40">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2.不论投标结果如何，投标人均应自行承担所有与投标有关的全部费用。</w:t>
            </w:r>
          </w:p>
        </w:tc>
      </w:tr>
      <w:tr w14:paraId="241DFE84">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2982370B">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99" w:type="dxa"/>
            <w:tcBorders>
              <w:top w:val="single" w:color="auto" w:sz="4" w:space="0"/>
              <w:left w:val="nil"/>
              <w:bottom w:val="single" w:color="auto" w:sz="4" w:space="0"/>
              <w:right w:val="single" w:color="auto" w:sz="4" w:space="0"/>
            </w:tcBorders>
            <w:vAlign w:val="center"/>
          </w:tcPr>
          <w:p w14:paraId="7325634B">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投标保证金：无。</w:t>
            </w:r>
          </w:p>
        </w:tc>
      </w:tr>
      <w:tr w14:paraId="5E64772E">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14:paraId="6D4A6E82">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99" w:type="dxa"/>
            <w:tcBorders>
              <w:top w:val="single" w:color="auto" w:sz="4" w:space="0"/>
              <w:left w:val="nil"/>
              <w:bottom w:val="single" w:color="auto" w:sz="4" w:space="0"/>
              <w:right w:val="single" w:color="auto" w:sz="4" w:space="0"/>
            </w:tcBorders>
            <w:vAlign w:val="center"/>
          </w:tcPr>
          <w:p w14:paraId="6D22761E">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答疑与澄清：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14:paraId="69DC4F62">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14:paraId="11241508">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99" w:type="dxa"/>
            <w:tcBorders>
              <w:top w:val="single" w:color="auto" w:sz="4" w:space="0"/>
              <w:left w:val="nil"/>
              <w:bottom w:val="single" w:color="auto" w:sz="4" w:space="0"/>
              <w:right w:val="single" w:color="auto" w:sz="4" w:space="0"/>
            </w:tcBorders>
            <w:vAlign w:val="center"/>
          </w:tcPr>
          <w:p w14:paraId="6C9D4E1E">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14:paraId="1BCC6C20">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路径：用户中心——项目采购——获取采购文件管理。</w:t>
            </w:r>
          </w:p>
          <w:p w14:paraId="5DD000BB">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在“已获取”的状态下，供应商可下载查看招标文件。</w:t>
            </w:r>
          </w:p>
          <w:p w14:paraId="308B9DD6">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Cs/>
                <w:color w:val="auto"/>
                <w:sz w:val="24"/>
                <w:highlight w:val="none"/>
              </w:rPr>
              <w:t xml:space="preserve">    获取采购文件网址：浙江政府采购网（https://zfcg.czt.zj.gov.cn/）</w:t>
            </w:r>
          </w:p>
        </w:tc>
      </w:tr>
      <w:tr w14:paraId="46515A4B">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14:paraId="167C951B">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99" w:type="dxa"/>
            <w:tcBorders>
              <w:top w:val="single" w:color="auto" w:sz="4" w:space="0"/>
              <w:left w:val="nil"/>
              <w:bottom w:val="single" w:color="auto" w:sz="4" w:space="0"/>
              <w:right w:val="single" w:color="auto" w:sz="4" w:space="0"/>
            </w:tcBorders>
            <w:vAlign w:val="center"/>
          </w:tcPr>
          <w:p w14:paraId="1118916E">
            <w:pPr>
              <w:wordWrap w:val="0"/>
              <w:overflowPunct w:val="0"/>
              <w:autoSpaceDE w:val="0"/>
              <w:autoSpaceDN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投标文件形式、制作及组成：</w:t>
            </w:r>
          </w:p>
          <w:p w14:paraId="27AE2E79">
            <w:pPr>
              <w:wordWrap w:val="0"/>
              <w:overflowPunct w:val="0"/>
              <w:autoSpaceDE w:val="0"/>
              <w:autoSpaceDN w:val="0"/>
              <w:snapToGrid w:val="0"/>
              <w:spacing w:before="24" w:beforeLines="10" w:after="24" w:afterLines="10" w:line="4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14:paraId="327F6F42">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投标文件均由资格文件、商务技术文件、报价文件组成。</w:t>
            </w:r>
          </w:p>
        </w:tc>
      </w:tr>
      <w:tr w14:paraId="5E3DD748">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14:paraId="61700CA4">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99" w:type="dxa"/>
            <w:tcBorders>
              <w:top w:val="single" w:color="auto" w:sz="4" w:space="0"/>
              <w:left w:val="nil"/>
              <w:bottom w:val="single" w:color="auto" w:sz="4" w:space="0"/>
              <w:right w:val="single" w:color="auto" w:sz="4" w:space="0"/>
            </w:tcBorders>
            <w:vAlign w:val="center"/>
          </w:tcPr>
          <w:p w14:paraId="5D3F49D2">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投标截止时间：</w:t>
            </w:r>
            <w:r>
              <w:rPr>
                <w:rFonts w:hint="eastAsia" w:ascii="仿宋_GB2312" w:hAnsi="仿宋" w:eastAsia="仿宋_GB2312"/>
                <w:color w:val="auto"/>
                <w:sz w:val="24"/>
                <w:highlight w:val="none"/>
                <w:u w:val="single"/>
                <w:lang w:eastAsia="zh-CN"/>
              </w:rPr>
              <w:t>2025年3月25日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14:paraId="4CCF6CE4">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投标地点：政采云平台（https://www.zcygov.cn/）</w:t>
            </w:r>
          </w:p>
        </w:tc>
      </w:tr>
      <w:tr w14:paraId="14E5EA91">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14:paraId="3C764325">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vAlign w:val="center"/>
          </w:tcPr>
          <w:p w14:paraId="703E54B2">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0FCB3FC2">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14:paraId="27AFEE78">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vAlign w:val="center"/>
          </w:tcPr>
          <w:p w14:paraId="53ABB419">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仿宋_GB2312" w:hAnsi="仿宋" w:eastAsia="仿宋_GB2312"/>
                <w:color w:val="auto"/>
                <w:sz w:val="24"/>
                <w:highlight w:val="none"/>
                <w:u w:val="single"/>
                <w:lang w:eastAsia="zh-CN"/>
              </w:rPr>
              <w:t>2025年3月25日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14:paraId="335C6B90">
            <w:pPr>
              <w:wordWrap w:val="0"/>
              <w:overflowPunct w:val="0"/>
              <w:autoSpaceDE w:val="0"/>
              <w:autoSpaceDN w:val="0"/>
              <w:snapToGrid w:val="0"/>
              <w:spacing w:before="24" w:beforeLines="10" w:after="24" w:afterLines="10"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开标地点：政采云平台（https://www.zcygov.cn/）</w:t>
            </w:r>
          </w:p>
          <w:p w14:paraId="5168639E">
            <w:pPr>
              <w:wordWrap w:val="0"/>
              <w:overflowPunct w:val="0"/>
              <w:autoSpaceDE w:val="0"/>
              <w:autoSpaceDN w:val="0"/>
              <w:snapToGrid w:val="0"/>
              <w:spacing w:before="24" w:beforeLines="10" w:after="24" w:afterLines="10" w:line="400" w:lineRule="exact"/>
              <w:rPr>
                <w:rFonts w:ascii="宋体" w:hAnsi="宋体" w:cs="宋体"/>
                <w:b/>
                <w:color w:val="auto"/>
                <w:sz w:val="24"/>
                <w:highlight w:val="none"/>
              </w:rPr>
            </w:pPr>
            <w:r>
              <w:rPr>
                <w:rFonts w:hint="eastAsia" w:ascii="宋体" w:hAnsi="宋体" w:cs="宋体"/>
                <w:b/>
                <w:bCs/>
                <w:color w:val="auto"/>
                <w:sz w:val="24"/>
                <w:highlight w:val="none"/>
                <w:shd w:val="clear" w:color="auto" w:fill="FFFFFF"/>
              </w:rPr>
              <w:t xml:space="preserve">    供应商无需到开标现场，但须准时在线参加，直至评审结束。</w:t>
            </w:r>
          </w:p>
        </w:tc>
      </w:tr>
      <w:tr w14:paraId="56836A93">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14:paraId="1ABE8B78">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vAlign w:val="center"/>
          </w:tcPr>
          <w:p w14:paraId="33515E4E">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评标办法及评分标准：详见第四章。</w:t>
            </w:r>
          </w:p>
        </w:tc>
      </w:tr>
      <w:tr w14:paraId="65760484">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620ED155">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vAlign w:val="center"/>
          </w:tcPr>
          <w:p w14:paraId="67D7DDFA">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在公告中标结果的同时，向中标人发出中标通知书</w:t>
            </w:r>
          </w:p>
        </w:tc>
      </w:tr>
      <w:tr w14:paraId="5CDFE878">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14:paraId="67F981BF">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vAlign w:val="center"/>
          </w:tcPr>
          <w:p w14:paraId="7A587772">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合同公告：本项目政府采购合同将于签订之日起2个工作日内发布于上述媒体，但政府采购合同中涉及国家秘密、商业秘密的内容除外。</w:t>
            </w:r>
          </w:p>
        </w:tc>
      </w:tr>
      <w:tr w14:paraId="7C8F6A2B">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14:paraId="26A2343B">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vAlign w:val="center"/>
          </w:tcPr>
          <w:p w14:paraId="3C92A21F">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履约保证金:本项目不设置。</w:t>
            </w:r>
          </w:p>
        </w:tc>
      </w:tr>
      <w:tr w14:paraId="56390E08">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53FD76F7">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vAlign w:val="center"/>
          </w:tcPr>
          <w:p w14:paraId="3B0918A3">
            <w:pPr>
              <w:wordWrap w:val="0"/>
              <w:overflowPunct w:val="0"/>
              <w:autoSpaceDE w:val="0"/>
              <w:autoSpaceDN w:val="0"/>
              <w:snapToGrid w:val="0"/>
              <w:spacing w:before="24" w:beforeLines="10" w:after="24" w:afterLines="10" w:line="4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付款方式：合同生效以及具备实施条件后7个工作日内支付项目合同总金额的</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%作为预付款，余款由中标方向采购人申请最终验收，最终验收通过后，根据</w:t>
            </w:r>
            <w:r>
              <w:rPr>
                <w:rFonts w:hint="eastAsia" w:ascii="Calibri" w:hAnsi="宋体"/>
                <w:b w:val="0"/>
                <w:bCs w:val="0"/>
                <w:color w:val="auto"/>
                <w:kern w:val="0"/>
                <w:sz w:val="24"/>
                <w:szCs w:val="24"/>
                <w:highlight w:val="none"/>
                <w:lang w:val="en-US" w:eastAsia="zh-CN"/>
              </w:rPr>
              <w:t>实际数字化扫描加工入库实际完成张数（A4大小）×中标单价，</w:t>
            </w:r>
            <w:r>
              <w:rPr>
                <w:rFonts w:hint="eastAsia" w:ascii="宋体" w:hAnsi="宋体" w:cs="宋体"/>
                <w:color w:val="auto"/>
                <w:sz w:val="24"/>
                <w:highlight w:val="none"/>
              </w:rPr>
              <w:t>扣除相应预付款后据实支付。</w:t>
            </w:r>
            <w:r>
              <w:rPr>
                <w:rFonts w:hint="eastAsia" w:ascii="宋体" w:hAnsi="宋体"/>
                <w:b/>
                <w:bCs/>
                <w:color w:val="auto"/>
                <w:sz w:val="24"/>
                <w:highlight w:val="none"/>
                <w:lang w:eastAsia="zh-CN"/>
              </w:rPr>
              <w:t>（付款前中标单位应按规定向采购人开具正规发票，并承担开票产生的所有税收费）</w:t>
            </w:r>
          </w:p>
        </w:tc>
      </w:tr>
      <w:tr w14:paraId="25DAD778">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61163FFE">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8399" w:type="dxa"/>
            <w:tcBorders>
              <w:top w:val="single" w:color="auto" w:sz="4" w:space="0"/>
              <w:left w:val="nil"/>
              <w:bottom w:val="single" w:color="auto" w:sz="4" w:space="0"/>
              <w:right w:val="single" w:color="auto" w:sz="4" w:space="0"/>
            </w:tcBorders>
            <w:vAlign w:val="center"/>
          </w:tcPr>
          <w:p w14:paraId="5111A9F9">
            <w:pPr>
              <w:wordWrap w:val="0"/>
              <w:overflowPunct w:val="0"/>
              <w:autoSpaceDE w:val="0"/>
              <w:autoSpaceDN w:val="0"/>
              <w:snapToGrid w:val="0"/>
              <w:spacing w:before="24" w:beforeLines="10" w:after="24" w:afterLines="1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现场踏勘：投标人根据自身情况自行踏勘（费用自理）</w:t>
            </w:r>
          </w:p>
        </w:tc>
      </w:tr>
      <w:tr w14:paraId="12231FB7">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380F2F3D">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18</w:t>
            </w:r>
          </w:p>
        </w:tc>
        <w:tc>
          <w:tcPr>
            <w:tcW w:w="8399" w:type="dxa"/>
            <w:tcBorders>
              <w:top w:val="single" w:color="auto" w:sz="4" w:space="0"/>
              <w:left w:val="nil"/>
              <w:bottom w:val="single" w:color="auto" w:sz="4" w:space="0"/>
              <w:right w:val="single" w:color="auto" w:sz="4" w:space="0"/>
            </w:tcBorders>
            <w:vAlign w:val="center"/>
          </w:tcPr>
          <w:p w14:paraId="256BEC2F">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投标文件有效期：</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w:t>
            </w:r>
          </w:p>
        </w:tc>
      </w:tr>
      <w:tr w14:paraId="35DE27CB">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7F7C4312">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8399" w:type="dxa"/>
            <w:tcBorders>
              <w:top w:val="single" w:color="auto" w:sz="4" w:space="0"/>
              <w:left w:val="nil"/>
              <w:bottom w:val="single" w:color="auto" w:sz="4" w:space="0"/>
              <w:right w:val="single" w:color="auto" w:sz="4" w:space="0"/>
            </w:tcBorders>
            <w:vAlign w:val="center"/>
          </w:tcPr>
          <w:p w14:paraId="47820C2F">
            <w:pPr>
              <w:pStyle w:val="36"/>
              <w:wordWrap w:val="0"/>
              <w:overflowPunct w:val="0"/>
              <w:autoSpaceDE w:val="0"/>
              <w:autoSpaceDN w:val="0"/>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14:paraId="11C01801">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14:paraId="27781E65">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20</w:t>
            </w:r>
          </w:p>
        </w:tc>
        <w:tc>
          <w:tcPr>
            <w:tcW w:w="8399" w:type="dxa"/>
            <w:tcBorders>
              <w:top w:val="single" w:color="auto" w:sz="4" w:space="0"/>
              <w:left w:val="nil"/>
              <w:bottom w:val="single" w:color="auto" w:sz="4" w:space="0"/>
              <w:right w:val="single" w:color="auto" w:sz="4" w:space="0"/>
            </w:tcBorders>
            <w:vAlign w:val="center"/>
          </w:tcPr>
          <w:p w14:paraId="447C6FDB">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解释：本招标文件的解释权属于采购单位和嘉兴市银建工程咨询评估有限公司。</w:t>
            </w:r>
          </w:p>
        </w:tc>
      </w:tr>
    </w:tbl>
    <w:p w14:paraId="5E3D19DE">
      <w:pPr>
        <w:pStyle w:val="36"/>
        <w:wordWrap w:val="0"/>
        <w:overflowPunct w:val="0"/>
        <w:autoSpaceDE w:val="0"/>
        <w:autoSpaceDN w:val="0"/>
        <w:snapToGrid w:val="0"/>
        <w:spacing w:line="400" w:lineRule="exact"/>
        <w:outlineLvl w:val="0"/>
        <w:rPr>
          <w:rFonts w:hAnsi="宋体" w:cs="宋体"/>
          <w:b/>
          <w:color w:val="auto"/>
          <w:sz w:val="24"/>
          <w:szCs w:val="24"/>
          <w:highlight w:val="none"/>
        </w:rPr>
      </w:pPr>
    </w:p>
    <w:p w14:paraId="323C2A3C">
      <w:pPr>
        <w:pStyle w:val="36"/>
        <w:numPr>
          <w:ilvl w:val="0"/>
          <w:numId w:val="3"/>
        </w:numPr>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总  则</w:t>
      </w:r>
    </w:p>
    <w:p w14:paraId="1A3C734C">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（一）适用范围</w:t>
      </w:r>
    </w:p>
    <w:p w14:paraId="33F5C7F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14:paraId="3708FB4B">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（二）定义</w:t>
      </w:r>
    </w:p>
    <w:p w14:paraId="28464523">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1.招标采购单位系指组织本次招标的代理机构（“采购人”）和采购单位。</w:t>
      </w:r>
    </w:p>
    <w:p w14:paraId="1A9CB0A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19EDA1FD">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14:paraId="2707D60B">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4.“服务”系指招标文件规定投标人须承担的设计、安装、调试、技术协助、校准、培训、技术指导以及其他类似的义务。</w:t>
      </w:r>
    </w:p>
    <w:p w14:paraId="7C59CFF8">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5556ECB3">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14:paraId="5F3677BE">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7.“▲”系指实质性要求条款。不满足实质性要求条款的投标文件无效</w:t>
      </w:r>
    </w:p>
    <w:p w14:paraId="198A16A5">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8.“★”系指重要技术指标。</w:t>
      </w:r>
    </w:p>
    <w:p w14:paraId="156A49CE">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（三）招标方式</w:t>
      </w:r>
    </w:p>
    <w:p w14:paraId="78A9AEB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3B23AD43">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（四）投标委托</w:t>
      </w:r>
    </w:p>
    <w:p w14:paraId="5880D3D9">
      <w:pPr>
        <w:pStyle w:val="3"/>
        <w:wordWrap w:val="0"/>
        <w:overflowPunct w:val="0"/>
        <w:autoSpaceDE w:val="0"/>
        <w:autoSpaceDN w:val="0"/>
        <w:snapToGrid w:val="0"/>
        <w:spacing w:line="360" w:lineRule="auto"/>
        <w:jc w:val="left"/>
        <w:rPr>
          <w:rFonts w:cs="宋体"/>
          <w:color w:val="auto"/>
          <w:highlight w:val="none"/>
        </w:rPr>
      </w:pPr>
      <w:r>
        <w:rPr>
          <w:rFonts w:hint="eastAsia" w:cs="宋体"/>
          <w:color w:val="auto"/>
          <w:highlight w:val="none"/>
        </w:rPr>
        <w:t>供应商无需到开标现场，但须准时在线参加，直至评审结束。</w:t>
      </w:r>
    </w:p>
    <w:p w14:paraId="0916A645">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（五）投标费用</w:t>
      </w:r>
    </w:p>
    <w:p w14:paraId="73452AB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14:paraId="5342884F">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（六）联合体投标</w:t>
      </w:r>
    </w:p>
    <w:p w14:paraId="6702E7CB">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本项目不接受联合体投标。</w:t>
      </w:r>
    </w:p>
    <w:p w14:paraId="1BCF00DC">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（七）转包与分包</w:t>
      </w:r>
    </w:p>
    <w:p w14:paraId="0DF2F8C9">
      <w:pPr>
        <w:wordWrap w:val="0"/>
        <w:overflowPunct w:val="0"/>
        <w:autoSpaceDE w:val="0"/>
        <w:autoSpaceDN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108A7DB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2.本项目不可以分包。</w:t>
      </w:r>
    </w:p>
    <w:p w14:paraId="73DDA18A">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（八）是否允许采购进口产品</w:t>
      </w:r>
    </w:p>
    <w:p w14:paraId="48C8EB8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本项目不允许采购进口产品。</w:t>
      </w:r>
    </w:p>
    <w:p w14:paraId="7C67D795">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 ▲（九）特别说明：</w:t>
      </w:r>
    </w:p>
    <w:p w14:paraId="11CAF96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DA4F9B3">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E5F8FE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14:paraId="529650BE">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2.投标人投标所使用的资格、信誉、荣誉、业绩与企业认证必须为本投标人所拥有。</w:t>
      </w:r>
    </w:p>
    <w:p w14:paraId="36912DA5">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0E49E1F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D59676D">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（十）质疑和投诉</w:t>
      </w:r>
    </w:p>
    <w:p w14:paraId="61E2E1F7">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613DE87A">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219839">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6FCE021F">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3.供应商须在法定质疑期内一次性提出针对同一采购程序环节的质疑。</w:t>
      </w:r>
    </w:p>
    <w:p w14:paraId="24A8956F">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4.供应商认为采购代理机构在质疑答复程序中启用的调查和复评等程序，在该程序操作过程未明显违反法律禁止性规定时，不得提出疑义。</w:t>
      </w:r>
    </w:p>
    <w:p w14:paraId="28E169E2">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14:paraId="1F4CFA5B">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74C1D49D">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14:paraId="7C146814">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8.在线或者邮寄政府采购投诉材料当日下班时间点后收到的视为下一个工作日收到。</w:t>
      </w:r>
    </w:p>
    <w:p w14:paraId="6B4BFFF1">
      <w:pPr>
        <w:pStyle w:val="36"/>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二、招标文件</w:t>
      </w:r>
    </w:p>
    <w:p w14:paraId="602E6F92">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（一）招标文件的构成。本招标文件由以下部份组成：</w:t>
      </w:r>
    </w:p>
    <w:p w14:paraId="74AF2E9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14:paraId="4B949AAB">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2.招标需求</w:t>
      </w:r>
    </w:p>
    <w:p w14:paraId="7F18C12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w:t>
      </w:r>
    </w:p>
    <w:p w14:paraId="5D57B0B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4.评标办法及标准</w:t>
      </w:r>
    </w:p>
    <w:p w14:paraId="2F94DDD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5.合同主要条款</w:t>
      </w:r>
    </w:p>
    <w:p w14:paraId="2C8988E8">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14:paraId="598B474E">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3860308D">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（二）投标人的风险</w:t>
      </w:r>
    </w:p>
    <w:p w14:paraId="44A0092E">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投标人没有按照招标文件要求提供全部资料，或者投标人没有对招标文件在各方面作出实质性响应是投标人的风险，并可能导致其投标为无效标。</w:t>
      </w:r>
    </w:p>
    <w:p w14:paraId="0D27C79F">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（三）招标文件的澄清与修改 </w:t>
      </w:r>
    </w:p>
    <w:p w14:paraId="05C48F17">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1.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14:paraId="01942ADC">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2.采购代理机构以公告形式答复投标人要求澄清的问题，但不包含问题来源；除上述媒体发布的答复以外的其他澄清方式及澄清内容均无效。</w:t>
      </w:r>
    </w:p>
    <w:p w14:paraId="49B09426">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14:paraId="5B35718B">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4.招标文件的澄清、答复、修改或补充都应该通过本代理机构以法定形式发布，采购人非通过本机构，不得擅自澄清、答复、修改或补充招标文件。</w:t>
      </w:r>
    </w:p>
    <w:p w14:paraId="445B591C">
      <w:pPr>
        <w:pStyle w:val="36"/>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三、投标文件的编制</w:t>
      </w:r>
    </w:p>
    <w:p w14:paraId="672ED3A6">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(一)总体要求</w:t>
      </w:r>
    </w:p>
    <w:p w14:paraId="599FCD88">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14:paraId="6819344C">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2.投标文件及投标人与采购有关的来往通知，函件和文件均应使用中文。</w:t>
      </w:r>
    </w:p>
    <w:p w14:paraId="5D301EE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3.投标文件的形式：投标文件为电子加密投标文件，按“政府采购项目电子交易管理操作指南-供应商”及本招标文件要求制作、加密并递交。</w:t>
      </w:r>
    </w:p>
    <w:p w14:paraId="226A7EFA">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（二）投标文件的组成</w:t>
      </w:r>
    </w:p>
    <w:p w14:paraId="45118402">
      <w:pPr>
        <w:pStyle w:val="36"/>
        <w:wordWrap w:val="0"/>
        <w:overflowPunct w:val="0"/>
        <w:autoSpaceDE w:val="0"/>
        <w:autoSpaceDN w:val="0"/>
        <w:snapToGrid w:val="0"/>
        <w:spacing w:line="360" w:lineRule="auto"/>
        <w:ind w:firstLine="482" w:firstLineChars="200"/>
        <w:outlineLvl w:val="0"/>
        <w:rPr>
          <w:rFonts w:hAnsi="宋体" w:cs="宋体"/>
          <w:b/>
          <w:color w:val="auto"/>
          <w:sz w:val="24"/>
          <w:szCs w:val="24"/>
          <w:highlight w:val="none"/>
        </w:rPr>
      </w:pPr>
      <w:r>
        <w:rPr>
          <w:rFonts w:hint="eastAsia" w:hAnsi="宋体"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14:paraId="336EAE63">
      <w:pPr>
        <w:pStyle w:val="36"/>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投标文件由资格文件、商务技术文件、报价文件三部分组成。</w:t>
      </w:r>
    </w:p>
    <w:p w14:paraId="28D1103B">
      <w:pPr>
        <w:pStyle w:val="36"/>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1.资格文件（资格文件所需的证明材料均需加盖供应商公章）：</w:t>
      </w:r>
    </w:p>
    <w:p w14:paraId="4DAFC520">
      <w:pPr>
        <w:numPr>
          <w:ilvl w:val="0"/>
          <w:numId w:val="4"/>
        </w:numPr>
        <w:tabs>
          <w:tab w:val="left" w:pos="1418"/>
        </w:tabs>
        <w:snapToGrid w:val="0"/>
        <w:spacing w:line="360" w:lineRule="auto"/>
        <w:ind w:left="0" w:firstLine="705" w:firstLineChars="294"/>
        <w:jc w:val="left"/>
        <w:rPr>
          <w:rFonts w:ascii="宋体" w:hAnsi="宋体"/>
          <w:color w:val="auto"/>
          <w:sz w:val="24"/>
          <w:highlight w:val="none"/>
        </w:rPr>
      </w:pPr>
      <w:r>
        <w:rPr>
          <w:rFonts w:hint="eastAsia" w:cs="宋体"/>
          <w:color w:val="auto"/>
          <w:sz w:val="24"/>
          <w:highlight w:val="none"/>
        </w:rPr>
        <w:t>营业执照</w:t>
      </w:r>
    </w:p>
    <w:p w14:paraId="308A1F6B">
      <w:pPr>
        <w:numPr>
          <w:ilvl w:val="0"/>
          <w:numId w:val="4"/>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符合参加政府采购活动应当具备的一般条件的承诺函（格式见第六章）</w:t>
      </w:r>
    </w:p>
    <w:p w14:paraId="332A2B6F">
      <w:pPr>
        <w:numPr>
          <w:ilvl w:val="0"/>
          <w:numId w:val="4"/>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中小企业声明函或监狱和戒毒企业企业证明材料或残疾人福利性单位声明函（格式见第六章）</w:t>
      </w:r>
    </w:p>
    <w:p w14:paraId="76C2DF36">
      <w:pPr>
        <w:pStyle w:val="60"/>
        <w:widowControl w:val="0"/>
        <w:overflowPunct w:val="0"/>
        <w:autoSpaceDE w:val="0"/>
        <w:autoSpaceDN w:val="0"/>
        <w:adjustRightInd/>
        <w:spacing w:before="0" w:beforeAutospacing="0" w:after="0" w:afterAutospacing="0" w:line="360" w:lineRule="auto"/>
        <w:ind w:firstLine="481"/>
        <w:rPr>
          <w:rFonts w:cs="宋体"/>
          <w:b/>
          <w:bCs/>
          <w:color w:val="auto"/>
          <w:highlight w:val="none"/>
        </w:rPr>
      </w:pPr>
      <w:r>
        <w:rPr>
          <w:rFonts w:hint="eastAsia" w:cs="宋体"/>
          <w:b/>
          <w:bCs/>
          <w:color w:val="auto"/>
          <w:highlight w:val="none"/>
        </w:rPr>
        <w:t>2.商务技术文件</w:t>
      </w:r>
    </w:p>
    <w:p w14:paraId="204E42A7">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自评表（格式见第六章）</w:t>
      </w:r>
    </w:p>
    <w:p w14:paraId="75E6C61C">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投标声明书（格式见第六章）</w:t>
      </w:r>
    </w:p>
    <w:p w14:paraId="43C45E1C">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法定代表人授权委托书（格式见第六章）</w:t>
      </w:r>
    </w:p>
    <w:p w14:paraId="70FF26F2">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诚信承诺书（格式见第六章）</w:t>
      </w:r>
    </w:p>
    <w:p w14:paraId="43B7E258">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投标人基本情况表（格式见第六章）</w:t>
      </w:r>
    </w:p>
    <w:p w14:paraId="0B97C168">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项目业绩</w:t>
      </w:r>
      <w:r>
        <w:rPr>
          <w:rFonts w:hint="eastAsia" w:asciiTheme="minorEastAsia" w:hAnsiTheme="minorEastAsia" w:eastAsiaTheme="minorEastAsia" w:cstheme="minorEastAsia"/>
          <w:color w:val="auto"/>
          <w:sz w:val="24"/>
          <w:highlight w:val="none"/>
        </w:rPr>
        <w:t>（格式见第六章同类项目业绩一览表）</w:t>
      </w:r>
    </w:p>
    <w:p w14:paraId="74E8F959">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项目人员情况（格式见第六章项目实施人员表）</w:t>
      </w:r>
    </w:p>
    <w:p w14:paraId="01A6FDDA">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保密服务承诺</w:t>
      </w:r>
    </w:p>
    <w:p w14:paraId="6FECFB77">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总体实施方案</w:t>
      </w:r>
    </w:p>
    <w:p w14:paraId="26136530">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档案交接方案</w:t>
      </w:r>
    </w:p>
    <w:p w14:paraId="782AFAF7">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档案整理方案</w:t>
      </w:r>
    </w:p>
    <w:p w14:paraId="7628D3F2">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档案数字化建库方案</w:t>
      </w:r>
    </w:p>
    <w:p w14:paraId="5BA880DD">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档案原件保护措施</w:t>
      </w:r>
    </w:p>
    <w:p w14:paraId="5D7E359E">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合理化建议</w:t>
      </w:r>
    </w:p>
    <w:p w14:paraId="44A3CE6D">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质量控制及保障措施方案</w:t>
      </w:r>
    </w:p>
    <w:p w14:paraId="41EF067D">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w:t>
      </w:r>
    </w:p>
    <w:p w14:paraId="01D9F555">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数字化建库演示</w:t>
      </w:r>
    </w:p>
    <w:p w14:paraId="1600F0AC">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投标人根据评标办法及采购需求需要提供的其他资料（如有）</w:t>
      </w:r>
    </w:p>
    <w:p w14:paraId="7D6F4A41">
      <w:pPr>
        <w:pStyle w:val="36"/>
        <w:wordWrap w:val="0"/>
        <w:overflowPunct w:val="0"/>
        <w:autoSpaceDE w:val="0"/>
        <w:autoSpaceDN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3.报价文件：</w:t>
      </w:r>
    </w:p>
    <w:p w14:paraId="48503122">
      <w:pPr>
        <w:numPr>
          <w:ilvl w:val="0"/>
          <w:numId w:val="6"/>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投标函（格式见第六章）</w:t>
      </w:r>
    </w:p>
    <w:p w14:paraId="76C4EA6D">
      <w:pPr>
        <w:numPr>
          <w:ilvl w:val="0"/>
          <w:numId w:val="6"/>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开标一览表（格式见第六章）</w:t>
      </w:r>
    </w:p>
    <w:p w14:paraId="67016320">
      <w:pPr>
        <w:numPr>
          <w:ilvl w:val="0"/>
          <w:numId w:val="6"/>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投标报价明细表</w:t>
      </w:r>
      <w:r>
        <w:rPr>
          <w:rFonts w:hint="eastAsia" w:hAnsi="宋体" w:cs="宋体"/>
          <w:color w:val="auto"/>
          <w:sz w:val="24"/>
          <w:highlight w:val="none"/>
        </w:rPr>
        <w:t>（格式见第六章）</w:t>
      </w:r>
    </w:p>
    <w:p w14:paraId="28DE9FAD">
      <w:pPr>
        <w:numPr>
          <w:ilvl w:val="0"/>
          <w:numId w:val="6"/>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投标人针对报价需要说明的其他文件和说明（如有）</w:t>
      </w:r>
    </w:p>
    <w:p w14:paraId="38D585A1">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 xml:space="preserve">  4.投标文件内容填写说明 </w:t>
      </w:r>
    </w:p>
    <w:p w14:paraId="51C04990">
      <w:pPr>
        <w:wordWrap w:val="0"/>
        <w:overflowPunct w:val="0"/>
        <w:autoSpaceDE w:val="0"/>
        <w:autoSpaceDN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14:paraId="6A0E1948">
      <w:pPr>
        <w:wordWrap w:val="0"/>
        <w:overflowPunct w:val="0"/>
        <w:autoSpaceDE w:val="0"/>
        <w:autoSpaceDN w:val="0"/>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（2）招标文件对投标文件格式有要求的应按格式逐项填写内容，不准有空项；无相应内容可填的项应填写“无”、“未测试”、“没有相应指标”等明确的回答文字。</w:t>
      </w:r>
      <w:r>
        <w:rPr>
          <w:rFonts w:hint="eastAsia" w:ascii="宋体" w:hAnsi="宋体" w:cs="宋体"/>
          <w:color w:val="auto"/>
          <w:sz w:val="24"/>
          <w:highlight w:val="none"/>
          <w:lang w:val="en-US" w:eastAsia="zh-CN"/>
        </w:rPr>
        <w:t>否则作投标无效处理。</w:t>
      </w:r>
    </w:p>
    <w:p w14:paraId="464C979D">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（3）投标人必须保证投标文件所提供的全部资料真实可靠，并接受采购人对其中任何资料进一步审查的要求。</w:t>
      </w:r>
    </w:p>
    <w:p w14:paraId="628CD1B3">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（4）《开标一览表》为在开标仪式上唱标的内容，要求按格式填写、统一规范，不得自行增减内容。</w:t>
      </w:r>
    </w:p>
    <w:p w14:paraId="45754EDD">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14:paraId="07CEDE53">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69472C42">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（7）投标响应文件不得涂改和增删，如有错漏必须修改。</w:t>
      </w:r>
    </w:p>
    <w:p w14:paraId="71CC15BF">
      <w:pPr>
        <w:wordWrap w:val="0"/>
        <w:overflowPunct w:val="0"/>
        <w:autoSpaceDE w:val="0"/>
        <w:autoSpaceDN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    （8）由于字迹模糊或表达不清引起的后果由供应商负责。</w:t>
      </w:r>
    </w:p>
    <w:p w14:paraId="681B3552">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（三）投标文件的语言及计量</w:t>
      </w:r>
    </w:p>
    <w:p w14:paraId="18F4D024">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591B7D6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243C5358">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（四）投标报价</w:t>
      </w:r>
    </w:p>
    <w:p w14:paraId="0652C85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34633741">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▲2.投标报价是履行合同的最终价格，</w:t>
      </w:r>
      <w:r>
        <w:rPr>
          <w:rFonts w:hint="eastAsia" w:ascii="宋体" w:hAnsi="宋体" w:cs="宋体"/>
          <w:color w:val="auto"/>
          <w:sz w:val="24"/>
          <w:highlight w:val="none"/>
          <w:lang w:eastAsia="zh-CN"/>
        </w:rPr>
        <w:t>报价按固定单价方式进行报价，</w:t>
      </w:r>
      <w:r>
        <w:rPr>
          <w:rFonts w:hint="eastAsia" w:ascii="Calibri" w:hAnsi="宋体"/>
          <w:b w:val="0"/>
          <w:bCs w:val="0"/>
          <w:color w:val="auto"/>
          <w:kern w:val="0"/>
          <w:sz w:val="24"/>
          <w:szCs w:val="24"/>
          <w:highlight w:val="none"/>
          <w:lang w:val="en-US" w:eastAsia="zh-CN"/>
        </w:rPr>
        <w:t>按实际数字化扫描加工入库实际完成张数（A4大小）×中标单价进行结算。包括人工费（工资、福利、各种补贴、奖金、保险等）、设备设施费和设备设施折旧费、办公费、差旅费、物耗费、管理费、利润、税金和提供的伴随服务、政策性文件规定及包含的所有风险、责任等所有完成本项目需要的一切费用</w:t>
      </w:r>
      <w:r>
        <w:rPr>
          <w:rFonts w:hint="eastAsia" w:ascii="宋体" w:hAnsi="宋体" w:cs="宋体"/>
          <w:color w:val="auto"/>
          <w:sz w:val="24"/>
          <w:highlight w:val="none"/>
        </w:rPr>
        <w:t>。各投标人所填写的投标报价在合同实施期间不因市场因素而变动，投标人发生差错遗漏的费用均不再调整（除采购文件另有说明外）。</w:t>
      </w:r>
    </w:p>
    <w:p w14:paraId="05036EF1">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14:paraId="7090242B">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（五）投标文件的有效期</w:t>
      </w:r>
    </w:p>
    <w:p w14:paraId="13A4C882">
      <w:pPr>
        <w:pStyle w:val="17"/>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 xml:space="preserve"> 90</w:t>
      </w:r>
      <w:r>
        <w:rPr>
          <w:rFonts w:hint="eastAsia" w:ascii="宋体" w:hAnsi="宋体" w:cs="宋体"/>
          <w:color w:val="auto"/>
          <w:szCs w:val="24"/>
          <w:highlight w:val="none"/>
        </w:rPr>
        <w:t>天投标文件应保持有效。有效期不足的投标文件将被拒绝。</w:t>
      </w:r>
    </w:p>
    <w:p w14:paraId="41D8DE79">
      <w:pPr>
        <w:pStyle w:val="17"/>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2.在特殊情况下，采购人可与投标人协商延长投标书的有效期，这种要求和答复均以书面形式进行。</w:t>
      </w:r>
    </w:p>
    <w:p w14:paraId="079BFCC3">
      <w:pPr>
        <w:wordWrap w:val="0"/>
        <w:overflowPunct w:val="0"/>
        <w:autoSpaceDE w:val="0"/>
        <w:autoSpaceDN w:val="0"/>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14:paraId="0769150F">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（六）投标保证金：无</w:t>
      </w:r>
    </w:p>
    <w:p w14:paraId="796E5508">
      <w:pPr>
        <w:pStyle w:val="36"/>
        <w:wordWrap w:val="0"/>
        <w:overflowPunct w:val="0"/>
        <w:autoSpaceDE w:val="0"/>
        <w:autoSpaceDN w:val="0"/>
        <w:snapToGrid w:val="0"/>
        <w:spacing w:line="360" w:lineRule="auto"/>
        <w:outlineLvl w:val="0"/>
        <w:rPr>
          <w:rFonts w:hAnsi="宋体" w:cs="宋体"/>
          <w:b/>
          <w:color w:val="auto"/>
          <w:sz w:val="24"/>
          <w:szCs w:val="24"/>
          <w:highlight w:val="none"/>
        </w:rPr>
      </w:pPr>
      <w:bookmarkStart w:id="17" w:name="_Toc359856802"/>
      <w:r>
        <w:rPr>
          <w:rFonts w:hint="eastAsia" w:hAnsi="宋体" w:cs="宋体"/>
          <w:b/>
          <w:color w:val="auto"/>
          <w:sz w:val="24"/>
          <w:szCs w:val="24"/>
          <w:highlight w:val="none"/>
        </w:rPr>
        <w:t>（七）投标文件的签署及规定</w:t>
      </w:r>
      <w:bookmarkEnd w:id="17"/>
    </w:p>
    <w:p w14:paraId="74941003">
      <w:pPr>
        <w:wordWrap w:val="0"/>
        <w:overflowPunct w:val="0"/>
        <w:autoSpaceDE w:val="0"/>
        <w:autoSpaceDN w:val="0"/>
        <w:snapToGrid w:val="0"/>
        <w:spacing w:line="360" w:lineRule="auto"/>
        <w:ind w:firstLine="480" w:firstLineChars="200"/>
        <w:jc w:val="left"/>
        <w:outlineLvl w:val="1"/>
        <w:rPr>
          <w:rFonts w:ascii="宋体" w:hAnsi="宋体" w:cs="宋体"/>
          <w:bCs/>
          <w:color w:val="auto"/>
          <w:sz w:val="24"/>
          <w:highlight w:val="none"/>
        </w:rPr>
      </w:pPr>
      <w:r>
        <w:rPr>
          <w:rFonts w:hint="eastAsia" w:ascii="宋体" w:hAnsi="宋体" w:cs="宋体"/>
          <w:bCs/>
          <w:color w:val="auto"/>
          <w:sz w:val="24"/>
          <w:highlight w:val="none"/>
        </w:rPr>
        <w:t>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sz w:val="24"/>
          <w:highlight w:val="none"/>
        </w:rPr>
        <w:t>https://service.zcygov.cn/#/knowledges/CW1EtGwBFdiHxlNd6I3m/6IMVAG0BFdiHxlNdQ8Na?keyword</w:t>
      </w:r>
      <w:r>
        <w:rPr>
          <w:rStyle w:val="78"/>
          <w:rFonts w:hint="eastAsia" w:ascii="宋体" w:hAnsi="宋体" w:cs="宋体"/>
          <w:bCs/>
          <w:color w:val="auto"/>
          <w:sz w:val="24"/>
          <w:highlight w:val="none"/>
        </w:rPr>
        <w:t>）及本招标文件规定的格式和顺序编制电子投标文件并进行关联定位。</w:t>
      </w:r>
      <w:r>
        <w:rPr>
          <w:rStyle w:val="78"/>
          <w:rFonts w:hint="eastAsia" w:ascii="宋体" w:hAnsi="宋体" w:cs="宋体"/>
          <w:bCs/>
          <w:color w:val="auto"/>
          <w:sz w:val="24"/>
          <w:highlight w:val="none"/>
        </w:rPr>
        <w:fldChar w:fldCharType="end"/>
      </w:r>
    </w:p>
    <w:p w14:paraId="214AA873">
      <w:pPr>
        <w:pStyle w:val="36"/>
        <w:wordWrap w:val="0"/>
        <w:overflowPunct w:val="0"/>
        <w:autoSpaceDE w:val="0"/>
        <w:autoSpaceDN w:val="0"/>
        <w:snapToGrid w:val="0"/>
        <w:spacing w:line="360" w:lineRule="auto"/>
        <w:outlineLvl w:val="0"/>
        <w:rPr>
          <w:rFonts w:hAnsi="宋体" w:cs="宋体"/>
          <w:b/>
          <w:color w:val="auto"/>
          <w:sz w:val="24"/>
          <w:szCs w:val="24"/>
          <w:highlight w:val="none"/>
        </w:rPr>
      </w:pPr>
      <w:bookmarkStart w:id="18" w:name="_Toc359856803"/>
      <w:bookmarkStart w:id="19" w:name="_Toc356371437"/>
      <w:r>
        <w:rPr>
          <w:rFonts w:hint="eastAsia" w:hAnsi="宋体" w:cs="宋体"/>
          <w:b/>
          <w:color w:val="auto"/>
          <w:sz w:val="24"/>
          <w:szCs w:val="24"/>
          <w:highlight w:val="none"/>
        </w:rPr>
        <w:t>（八）投标文件的递交</w:t>
      </w:r>
      <w:bookmarkEnd w:id="18"/>
      <w:bookmarkEnd w:id="19"/>
    </w:p>
    <w:p w14:paraId="286376DD">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1.递交投标文件截止期</w:t>
      </w:r>
    </w:p>
    <w:p w14:paraId="4EAC29D4">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715F4C53">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2.投标文件的修改和撤销</w:t>
      </w:r>
    </w:p>
    <w:p w14:paraId="63B089FF">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14:paraId="3787B4EA">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（2）投标人修改后的投标文件应按原来的规定编制、密封、标记和递交。</w:t>
      </w:r>
    </w:p>
    <w:p w14:paraId="504442AA">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（3）在递交投标文件截止期之后，投标人不得对其投标文件做任何修改。</w:t>
      </w:r>
    </w:p>
    <w:p w14:paraId="622D3DCE">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（4）递交投标文件截止期后，投标人不得撤回其投标文件。</w:t>
      </w:r>
    </w:p>
    <w:p w14:paraId="1141F1C5">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（5）实质上没有响应本文件要求的投标文件将被拒绝。投标人不得通过修正或撤销不合要求的偏离或保留从而使其投标文件成为实质上响应的文件。</w:t>
      </w:r>
    </w:p>
    <w:p w14:paraId="6252D96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3.备份投标文件</w:t>
      </w:r>
    </w:p>
    <w:p w14:paraId="0F9F9FC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14:paraId="779EF418">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备份投标文件须在“政采云投标客户端”制作生成，并储存在</w:t>
      </w:r>
      <w:r>
        <w:rPr>
          <w:rFonts w:hint="eastAsia" w:ascii="宋体" w:hAnsi="宋体" w:cs="宋体"/>
          <w:b/>
          <w:bCs/>
          <w:color w:val="auto"/>
          <w:sz w:val="24"/>
          <w:highlight w:val="none"/>
        </w:rPr>
        <w:t>（U盘）</w:t>
      </w:r>
      <w:r>
        <w:rPr>
          <w:rFonts w:hint="eastAsia" w:ascii="宋体" w:hAnsi="宋体" w:cs="宋体"/>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455341AF">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14:paraId="5F728276">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以邮政快递方式递交备份投标文件的，投标人应先将备份投标文件按要求密封和标记，再进行邮政快递包装后邮寄。</w:t>
      </w:r>
    </w:p>
    <w:p w14:paraId="1147B18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投标人仅提交备份投标文件，没有在电子交易平台传输递交投标文件的，投标无效。</w:t>
      </w:r>
    </w:p>
    <w:p w14:paraId="11745040">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（九）投标无效的情形</w:t>
      </w:r>
    </w:p>
    <w:p w14:paraId="3A7CB47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根据《政府采购货物和服务招标投标管理办法》有下列情形之一的，视为投标人串通投标，其投标无效：</w:t>
      </w:r>
    </w:p>
    <w:p w14:paraId="38C5E7B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14:paraId="4921834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14:paraId="5078DB7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14:paraId="3467443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14:paraId="5029FE61">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14:paraId="6D79027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(六)不同投标人的投标保证金从同一单位或者个人的账户转出。</w:t>
      </w:r>
    </w:p>
    <w:p w14:paraId="4297BDB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56C3826">
      <w:pPr>
        <w:numPr>
          <w:ilvl w:val="0"/>
          <w:numId w:val="7"/>
        </w:numPr>
        <w:wordWrap w:val="0"/>
        <w:overflowPunct w:val="0"/>
        <w:autoSpaceDE w:val="0"/>
        <w:autoSpaceDN w:val="0"/>
        <w:snapToGrid w:val="0"/>
        <w:spacing w:line="360" w:lineRule="auto"/>
        <w:ind w:firstLine="466" w:firstLineChars="200"/>
        <w:jc w:val="left"/>
        <w:rPr>
          <w:rFonts w:ascii="宋体" w:hAnsi="宋体" w:cs="宋体"/>
          <w:b/>
          <w:bCs/>
          <w:color w:val="auto"/>
          <w:sz w:val="24"/>
          <w:highlight w:val="none"/>
        </w:rPr>
      </w:pPr>
      <w:r>
        <w:rPr>
          <w:rFonts w:hint="eastAsia" w:ascii="宋体" w:hAnsi="宋体" w:cs="宋体"/>
          <w:b/>
          <w:bCs/>
          <w:color w:val="auto"/>
          <w:spacing w:val="-4"/>
          <w:sz w:val="24"/>
          <w:highlight w:val="none"/>
        </w:rPr>
        <w:t>电</w:t>
      </w:r>
      <w:r>
        <w:rPr>
          <w:rFonts w:hint="eastAsia" w:ascii="宋体" w:hAnsi="宋体" w:cs="宋体"/>
          <w:b/>
          <w:bCs/>
          <w:color w:val="auto"/>
          <w:sz w:val="24"/>
          <w:highlight w:val="none"/>
        </w:rPr>
        <w:t xml:space="preserve">子加密投标文件解密失败的；   </w:t>
      </w:r>
    </w:p>
    <w:p w14:paraId="04622DA1">
      <w:pPr>
        <w:wordWrap w:val="0"/>
        <w:overflowPunct w:val="0"/>
        <w:autoSpaceDE w:val="0"/>
        <w:autoSpaceDN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 xml:space="preserve">    2.没有通过资格审查的，投标文件将被视为无效。</w:t>
      </w:r>
    </w:p>
    <w:p w14:paraId="7FE6A75D">
      <w:pPr>
        <w:wordWrap w:val="0"/>
        <w:overflowPunct w:val="0"/>
        <w:autoSpaceDE w:val="0"/>
        <w:autoSpaceDN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3.在符合性审查和资信商务评审时，如发现下列情形之一的，投标文件将被视为无效：</w:t>
      </w:r>
    </w:p>
    <w:p w14:paraId="7D511A5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14:paraId="64A2C99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（2）在资格文件或商务技术文件中出现报价的；</w:t>
      </w:r>
    </w:p>
    <w:p w14:paraId="147BAA7D">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（3）资格证明文件不全的，或者不符合招标文件标明的资格要求的；</w:t>
      </w:r>
    </w:p>
    <w:p w14:paraId="3A7DD40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（4）投标文件无法定代表人签字（或盖章）,或未</w:t>
      </w:r>
      <w:r>
        <w:rPr>
          <w:rFonts w:hint="eastAsia" w:ascii="宋体" w:hAnsi="宋体" w:cs="宋体"/>
          <w:bCs/>
          <w:color w:val="auto"/>
          <w:kern w:val="0"/>
          <w:sz w:val="24"/>
          <w:highlight w:val="none"/>
        </w:rPr>
        <w:t>提供法定代表人授权委托书、投标声明书或者填写项目不齐全的；</w:t>
      </w:r>
    </w:p>
    <w:p w14:paraId="0F55EC5A">
      <w:pPr>
        <w:wordWrap w:val="0"/>
        <w:overflowPunct w:val="0"/>
        <w:autoSpaceDE w:val="0"/>
        <w:autoSpaceDN w:val="0"/>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（5）投标代表人未能出具身份证明或与法定代表人授权委托人身份不符的；</w:t>
      </w:r>
    </w:p>
    <w:p w14:paraId="6E15297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（6）投标文件项目不齐全或者内容虚假的；</w:t>
      </w:r>
    </w:p>
    <w:p w14:paraId="690EEBE8">
      <w:pPr>
        <w:pStyle w:val="3"/>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7）</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14:paraId="062702A6">
      <w:pPr>
        <w:pStyle w:val="3"/>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（8）</w:t>
      </w:r>
      <w:r>
        <w:rPr>
          <w:rFonts w:hint="eastAsia" w:cs="宋体"/>
          <w:snapToGrid w:val="0"/>
          <w:color w:val="auto"/>
          <w:highlight w:val="none"/>
        </w:rPr>
        <w:t>投标有效期、服务期等商务条款不能满足招标文件要求的；</w:t>
      </w:r>
    </w:p>
    <w:p w14:paraId="3BBCD893">
      <w:pPr>
        <w:pStyle w:val="3"/>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9）</w:t>
      </w:r>
      <w:r>
        <w:rPr>
          <w:rFonts w:hint="eastAsia" w:cs="宋体"/>
          <w:color w:val="auto"/>
          <w:highlight w:val="none"/>
        </w:rPr>
        <w:t>不符合本采购文件中的实质性要求条款</w:t>
      </w:r>
      <w:r>
        <w:rPr>
          <w:rFonts w:hint="eastAsia" w:cs="宋体"/>
          <w:snapToGrid w:val="0"/>
          <w:color w:val="auto"/>
          <w:highlight w:val="none"/>
        </w:rPr>
        <w:t>；</w:t>
      </w:r>
    </w:p>
    <w:p w14:paraId="524A3849">
      <w:pPr>
        <w:pStyle w:val="3"/>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4.在技术评审时，如发现下列情形之一的，投标文件将被视为无效：</w:t>
      </w:r>
    </w:p>
    <w:p w14:paraId="7B8613FC">
      <w:pPr>
        <w:pStyle w:val="3"/>
        <w:snapToGrid w:val="0"/>
        <w:spacing w:line="360" w:lineRule="auto"/>
        <w:ind w:firstLine="470" w:firstLineChars="196"/>
        <w:rPr>
          <w:rFonts w:cs="宋体"/>
          <w:color w:val="auto"/>
          <w:highlight w:val="none"/>
        </w:rPr>
      </w:pPr>
      <w:r>
        <w:rPr>
          <w:rFonts w:hint="eastAsia" w:cs="宋体"/>
          <w:color w:val="auto"/>
          <w:highlight w:val="none"/>
        </w:rPr>
        <w:t>（1）投标文件标明的响应或偏离与事实不符或虚假投标的；</w:t>
      </w:r>
    </w:p>
    <w:p w14:paraId="5EF0A8A4">
      <w:pPr>
        <w:pStyle w:val="3"/>
        <w:snapToGrid w:val="0"/>
        <w:spacing w:line="360" w:lineRule="auto"/>
        <w:ind w:firstLine="470" w:firstLineChars="196"/>
        <w:rPr>
          <w:rFonts w:cs="宋体"/>
          <w:color w:val="auto"/>
          <w:highlight w:val="none"/>
        </w:rPr>
      </w:pPr>
      <w:r>
        <w:rPr>
          <w:rFonts w:hint="eastAsia" w:cs="宋体"/>
          <w:color w:val="auto"/>
          <w:highlight w:val="none"/>
        </w:rPr>
        <w:t>（2）明显不符合采购文件要求的服务内容，或者与采购文件中标“▲”的服务需求、主要功能项目发生实质性偏离的；</w:t>
      </w:r>
    </w:p>
    <w:p w14:paraId="0CAE823A">
      <w:pPr>
        <w:pStyle w:val="3"/>
        <w:snapToGrid w:val="0"/>
        <w:spacing w:line="360" w:lineRule="auto"/>
        <w:ind w:firstLine="470" w:firstLineChars="196"/>
        <w:rPr>
          <w:rFonts w:cs="宋体"/>
          <w:color w:val="auto"/>
          <w:highlight w:val="none"/>
        </w:rPr>
      </w:pPr>
      <w:r>
        <w:rPr>
          <w:rFonts w:hint="eastAsia" w:cs="宋体"/>
          <w:color w:val="auto"/>
          <w:highlight w:val="none"/>
        </w:rPr>
        <w:t>（3）投标技术方案不明确，存在一个或一个以上备选（替代）投标方案的；</w:t>
      </w:r>
    </w:p>
    <w:p w14:paraId="0EF89001">
      <w:pPr>
        <w:pStyle w:val="3"/>
        <w:snapToGrid w:val="0"/>
        <w:spacing w:line="360" w:lineRule="auto"/>
        <w:ind w:firstLine="470" w:firstLineChars="196"/>
        <w:rPr>
          <w:color w:val="auto"/>
          <w:highlight w:val="none"/>
        </w:rPr>
      </w:pPr>
      <w:r>
        <w:rPr>
          <w:rFonts w:hint="eastAsia" w:cs="宋体"/>
          <w:color w:val="auto"/>
          <w:highlight w:val="none"/>
        </w:rPr>
        <w:t>（4）与其他参加本次投标供应商的投标文件（技术文件）的文字表述内容相同连续20行以上或者差错相同2处以上的</w:t>
      </w:r>
      <w:r>
        <w:rPr>
          <w:rFonts w:hint="eastAsia"/>
          <w:color w:val="auto"/>
          <w:highlight w:val="none"/>
        </w:rPr>
        <w:t>。</w:t>
      </w:r>
    </w:p>
    <w:p w14:paraId="045164B6">
      <w:pPr>
        <w:pStyle w:val="3"/>
        <w:wordWrap w:val="0"/>
        <w:overflowPunct w:val="0"/>
        <w:autoSpaceDE w:val="0"/>
        <w:autoSpaceDN w:val="0"/>
        <w:snapToGrid w:val="0"/>
        <w:spacing w:line="360" w:lineRule="auto"/>
        <w:rPr>
          <w:rFonts w:cs="宋体"/>
          <w:color w:val="auto"/>
          <w:highlight w:val="none"/>
        </w:rPr>
      </w:pPr>
      <w:r>
        <w:rPr>
          <w:rFonts w:hint="eastAsia"/>
          <w:color w:val="auto"/>
          <w:highlight w:val="none"/>
        </w:rPr>
        <w:t>（5）</w:t>
      </w:r>
      <w:r>
        <w:rPr>
          <w:rFonts w:hint="eastAsia" w:cs="宋体"/>
          <w:color w:val="auto"/>
          <w:highlight w:val="none"/>
        </w:rPr>
        <w:t>不符合本采购文件中的实质性要求条款；</w:t>
      </w:r>
    </w:p>
    <w:p w14:paraId="05979F7F">
      <w:pPr>
        <w:pStyle w:val="3"/>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5.在报价评审时，如发现下列情形之一的，投标文件将被视为无效：</w:t>
      </w:r>
    </w:p>
    <w:p w14:paraId="1E94B979">
      <w:pPr>
        <w:pStyle w:val="3"/>
        <w:snapToGrid w:val="0"/>
        <w:spacing w:line="360" w:lineRule="auto"/>
        <w:rPr>
          <w:color w:val="auto"/>
          <w:highlight w:val="none"/>
        </w:rPr>
      </w:pPr>
      <w:r>
        <w:rPr>
          <w:rFonts w:hint="eastAsia"/>
          <w:color w:val="auto"/>
          <w:highlight w:val="none"/>
        </w:rPr>
        <w:t>（1）未采用人民币报价或者未按照采购文件标明的币种报价的；</w:t>
      </w:r>
    </w:p>
    <w:p w14:paraId="65B8E09C">
      <w:pPr>
        <w:pStyle w:val="3"/>
        <w:snapToGrid w:val="0"/>
        <w:spacing w:line="360" w:lineRule="auto"/>
        <w:rPr>
          <w:color w:val="auto"/>
          <w:highlight w:val="none"/>
        </w:rPr>
      </w:pPr>
      <w:r>
        <w:rPr>
          <w:rFonts w:hint="eastAsia"/>
          <w:color w:val="auto"/>
          <w:highlight w:val="none"/>
        </w:rPr>
        <w:t>（2）投标报价具有选择性，或者开标价格与投标文件承诺的优惠（折扣）价格不一致的；</w:t>
      </w:r>
    </w:p>
    <w:p w14:paraId="20B200D2">
      <w:pPr>
        <w:pStyle w:val="3"/>
        <w:snapToGrid w:val="0"/>
        <w:spacing w:line="360" w:lineRule="auto"/>
        <w:rPr>
          <w:color w:val="auto"/>
          <w:highlight w:val="none"/>
        </w:rPr>
      </w:pPr>
      <w:r>
        <w:rPr>
          <w:rFonts w:hint="eastAsia"/>
          <w:color w:val="auto"/>
          <w:highlight w:val="none"/>
        </w:rPr>
        <w:t>（3）报价文件内容与商务、技术文件内容严重不一致，评标委员会无法评审的；</w:t>
      </w:r>
    </w:p>
    <w:p w14:paraId="79728DB7">
      <w:pPr>
        <w:pStyle w:val="3"/>
        <w:snapToGrid w:val="0"/>
        <w:spacing w:line="360" w:lineRule="auto"/>
        <w:rPr>
          <w:color w:val="auto"/>
          <w:highlight w:val="none"/>
        </w:rPr>
      </w:pPr>
      <w:r>
        <w:rPr>
          <w:rFonts w:hint="eastAsia"/>
          <w:color w:val="auto"/>
          <w:highlight w:val="none"/>
        </w:rPr>
        <w:t>（4）评标委员会认定属投标人自身原因有重大漏项的。</w:t>
      </w:r>
    </w:p>
    <w:p w14:paraId="1116402B">
      <w:pPr>
        <w:pStyle w:val="3"/>
        <w:snapToGrid w:val="0"/>
        <w:spacing w:line="360" w:lineRule="auto"/>
        <w:rPr>
          <w:color w:val="auto"/>
          <w:highlight w:val="none"/>
        </w:rPr>
      </w:pPr>
      <w:r>
        <w:rPr>
          <w:rFonts w:hint="eastAsia"/>
          <w:color w:val="auto"/>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14:paraId="222C9BFE">
      <w:pPr>
        <w:pStyle w:val="3"/>
        <w:snapToGrid w:val="0"/>
        <w:spacing w:line="360" w:lineRule="auto"/>
        <w:rPr>
          <w:color w:val="auto"/>
          <w:highlight w:val="none"/>
        </w:rPr>
      </w:pPr>
      <w:r>
        <w:rPr>
          <w:rFonts w:hint="eastAsia"/>
          <w:color w:val="auto"/>
          <w:highlight w:val="none"/>
        </w:rPr>
        <w:t>（6）报价超过采购文件中规定的预算金额或者最高限价的。</w:t>
      </w:r>
    </w:p>
    <w:p w14:paraId="6CF1BE7D">
      <w:pPr>
        <w:pStyle w:val="3"/>
        <w:snapToGrid w:val="0"/>
        <w:spacing w:line="360" w:lineRule="auto"/>
        <w:rPr>
          <w:color w:val="auto"/>
          <w:highlight w:val="none"/>
        </w:rPr>
      </w:pPr>
      <w:r>
        <w:rPr>
          <w:rFonts w:hint="eastAsia"/>
          <w:color w:val="auto"/>
          <w:highlight w:val="none"/>
        </w:rPr>
        <w:t>（7）报价文件无法定代表人或授权代表签字（或盖章）的；</w:t>
      </w:r>
    </w:p>
    <w:p w14:paraId="206F78A1">
      <w:pPr>
        <w:pStyle w:val="3"/>
        <w:snapToGrid w:val="0"/>
        <w:spacing w:line="360" w:lineRule="auto"/>
        <w:rPr>
          <w:color w:val="auto"/>
          <w:highlight w:val="none"/>
        </w:rPr>
      </w:pPr>
      <w:r>
        <w:rPr>
          <w:rFonts w:hint="eastAsia"/>
          <w:color w:val="auto"/>
          <w:highlight w:val="none"/>
        </w:rPr>
        <w:t>（8）报价文件格式不规范、项目不齐全或者内容虚假的；</w:t>
      </w:r>
    </w:p>
    <w:p w14:paraId="67EE9A96">
      <w:pPr>
        <w:pStyle w:val="3"/>
        <w:snapToGrid w:val="0"/>
        <w:spacing w:line="360" w:lineRule="auto"/>
        <w:rPr>
          <w:color w:val="auto"/>
          <w:highlight w:val="none"/>
        </w:rPr>
      </w:pPr>
      <w:r>
        <w:rPr>
          <w:rFonts w:hint="eastAsia"/>
          <w:color w:val="auto"/>
          <w:highlight w:val="none"/>
        </w:rPr>
        <w:t>（9）报价文件的实质性内容未使用中文表述、意思表述不明确、前后矛盾或者使用计量单位不符合招标文件要求的（经评标委员会认定并允许其当场更正的笔误除外）；</w:t>
      </w:r>
    </w:p>
    <w:p w14:paraId="34918FF7">
      <w:pPr>
        <w:pStyle w:val="3"/>
        <w:snapToGrid w:val="0"/>
        <w:spacing w:line="360" w:lineRule="auto"/>
        <w:rPr>
          <w:rFonts w:hint="eastAsia" w:eastAsia="宋体"/>
          <w:color w:val="auto"/>
          <w:highlight w:val="none"/>
          <w:lang w:val="en-US" w:eastAsia="zh-CN"/>
        </w:rPr>
      </w:pPr>
      <w:r>
        <w:rPr>
          <w:rFonts w:hint="eastAsia"/>
          <w:color w:val="auto"/>
          <w:highlight w:val="none"/>
        </w:rPr>
        <w:t>（10）未实质性响应采购文件要求或者投标文件有采购方不能接受的附加条件的</w:t>
      </w:r>
      <w:r>
        <w:rPr>
          <w:rFonts w:hint="eastAsia"/>
          <w:color w:val="auto"/>
          <w:highlight w:val="none"/>
          <w:lang w:eastAsia="zh-CN"/>
        </w:rPr>
        <w:t>（</w:t>
      </w:r>
      <w:r>
        <w:rPr>
          <w:rFonts w:hint="eastAsia" w:ascii="宋体" w:hAnsi="宋体" w:eastAsia="宋体" w:cs="宋体"/>
          <w:b/>
          <w:bCs/>
          <w:color w:val="auto"/>
          <w:highlight w:val="none"/>
        </w:rPr>
        <w:t>投标人的商务技术分低于商务技术分总分60%的，视为采购人不能接受的附加条件</w:t>
      </w:r>
      <w:r>
        <w:rPr>
          <w:rFonts w:hint="eastAsia"/>
          <w:color w:val="auto"/>
          <w:highlight w:val="none"/>
          <w:lang w:eastAsia="zh-CN"/>
        </w:rPr>
        <w:t>）</w:t>
      </w:r>
      <w:r>
        <w:rPr>
          <w:rFonts w:hint="eastAsia"/>
          <w:color w:val="auto"/>
          <w:highlight w:val="none"/>
        </w:rPr>
        <w:t>；</w:t>
      </w:r>
    </w:p>
    <w:p w14:paraId="724729CF">
      <w:pPr>
        <w:pStyle w:val="3"/>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6.被拒绝的投标文件为无效；</w:t>
      </w:r>
    </w:p>
    <w:p w14:paraId="40E3706A">
      <w:pPr>
        <w:pStyle w:val="3"/>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7.存在带“▲”条款的负偏离的；</w:t>
      </w:r>
    </w:p>
    <w:p w14:paraId="1C21ABEF">
      <w:pPr>
        <w:pStyle w:val="3"/>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8.本招标文件其他部分已规定为无效标的情形；</w:t>
      </w:r>
    </w:p>
    <w:p w14:paraId="7B24391F">
      <w:pPr>
        <w:pStyle w:val="3"/>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9.评标专家认定的其他必须按无效标处理的。</w:t>
      </w:r>
    </w:p>
    <w:p w14:paraId="3BC17220">
      <w:pPr>
        <w:pStyle w:val="3"/>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14:paraId="76353FC8">
      <w:pPr>
        <w:pStyle w:val="3"/>
        <w:wordWrap w:val="0"/>
        <w:overflowPunct w:val="0"/>
        <w:autoSpaceDE w:val="0"/>
        <w:autoSpaceDN w:val="0"/>
        <w:snapToGrid w:val="0"/>
        <w:spacing w:line="360" w:lineRule="auto"/>
        <w:rPr>
          <w:rFonts w:cs="宋体"/>
          <w:color w:val="auto"/>
          <w:highlight w:val="none"/>
        </w:rPr>
      </w:pPr>
      <w:r>
        <w:rPr>
          <w:rFonts w:hint="eastAsia" w:cs="宋体"/>
          <w:color w:val="auto"/>
          <w:highlight w:val="none"/>
        </w:rPr>
        <w:t>1.电子交易平台发生故障而无法登录访问的；</w:t>
      </w:r>
    </w:p>
    <w:p w14:paraId="47EAF0EC">
      <w:pPr>
        <w:pStyle w:val="3"/>
        <w:wordWrap w:val="0"/>
        <w:overflowPunct w:val="0"/>
        <w:autoSpaceDE w:val="0"/>
        <w:autoSpaceDN w:val="0"/>
        <w:snapToGrid w:val="0"/>
        <w:spacing w:line="360" w:lineRule="auto"/>
        <w:rPr>
          <w:rFonts w:cs="宋体"/>
          <w:color w:val="auto"/>
          <w:highlight w:val="none"/>
        </w:rPr>
      </w:pPr>
      <w:r>
        <w:rPr>
          <w:rFonts w:hint="eastAsia" w:cs="宋体"/>
          <w:color w:val="auto"/>
          <w:highlight w:val="none"/>
        </w:rPr>
        <w:t>2.电子交易平台应用或数据库出现错误，不能进行正常操作的；</w:t>
      </w:r>
    </w:p>
    <w:p w14:paraId="596848F8">
      <w:pPr>
        <w:pStyle w:val="3"/>
        <w:wordWrap w:val="0"/>
        <w:overflowPunct w:val="0"/>
        <w:autoSpaceDE w:val="0"/>
        <w:autoSpaceDN w:val="0"/>
        <w:snapToGrid w:val="0"/>
        <w:spacing w:line="360" w:lineRule="auto"/>
        <w:rPr>
          <w:rFonts w:cs="宋体"/>
          <w:color w:val="auto"/>
          <w:highlight w:val="none"/>
        </w:rPr>
      </w:pPr>
      <w:r>
        <w:rPr>
          <w:rFonts w:hint="eastAsia" w:cs="宋体"/>
          <w:color w:val="auto"/>
          <w:highlight w:val="none"/>
        </w:rPr>
        <w:t>3.电子交易平台发现严重安全漏洞，有潜在泄密危险的；</w:t>
      </w:r>
    </w:p>
    <w:p w14:paraId="4A677067">
      <w:pPr>
        <w:pStyle w:val="3"/>
        <w:wordWrap w:val="0"/>
        <w:overflowPunct w:val="0"/>
        <w:autoSpaceDE w:val="0"/>
        <w:autoSpaceDN w:val="0"/>
        <w:snapToGrid w:val="0"/>
        <w:spacing w:line="360" w:lineRule="auto"/>
        <w:rPr>
          <w:rFonts w:cs="宋体"/>
          <w:color w:val="auto"/>
          <w:highlight w:val="none"/>
        </w:rPr>
      </w:pPr>
      <w:r>
        <w:rPr>
          <w:rFonts w:hint="eastAsia" w:cs="宋体"/>
          <w:color w:val="auto"/>
          <w:highlight w:val="none"/>
        </w:rPr>
        <w:t>4.病毒发作导致不能进行正常操作的；</w:t>
      </w:r>
    </w:p>
    <w:p w14:paraId="0A71B603">
      <w:pPr>
        <w:pStyle w:val="3"/>
        <w:wordWrap w:val="0"/>
        <w:overflowPunct w:val="0"/>
        <w:autoSpaceDE w:val="0"/>
        <w:autoSpaceDN w:val="0"/>
        <w:snapToGrid w:val="0"/>
        <w:spacing w:line="360" w:lineRule="auto"/>
        <w:rPr>
          <w:rFonts w:cs="宋体"/>
          <w:color w:val="auto"/>
          <w:highlight w:val="none"/>
        </w:rPr>
      </w:pPr>
      <w:r>
        <w:rPr>
          <w:rFonts w:hint="eastAsia" w:cs="宋体"/>
          <w:color w:val="auto"/>
          <w:highlight w:val="none"/>
        </w:rPr>
        <w:t>5.其他无法保证电子交易的公平、公正和安全的情况。</w:t>
      </w:r>
    </w:p>
    <w:p w14:paraId="1F4FF2F7">
      <w:pPr>
        <w:pStyle w:val="3"/>
        <w:wordWrap w:val="0"/>
        <w:overflowPunct w:val="0"/>
        <w:autoSpaceDE w:val="0"/>
        <w:autoSpaceDN w:val="0"/>
        <w:snapToGrid w:val="0"/>
        <w:spacing w:line="360" w:lineRule="auto"/>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1E8BF9EC">
      <w:pPr>
        <w:pStyle w:val="36"/>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四、开标</w:t>
      </w:r>
    </w:p>
    <w:p w14:paraId="0967EAA0">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（一）开标准备</w:t>
      </w:r>
    </w:p>
    <w:p w14:paraId="754075B3">
      <w:pPr>
        <w:wordWrap w:val="0"/>
        <w:overflowPunct w:val="0"/>
        <w:autoSpaceDE w:val="0"/>
        <w:autoSpaceDN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14:paraId="115ED382">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 (二) 采购人或者采购代理机构职责</w:t>
      </w:r>
    </w:p>
    <w:p w14:paraId="0DBADA2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采购人或者采购代理机构负责组织评标工作，并履行下列职责：</w:t>
      </w:r>
    </w:p>
    <w:p w14:paraId="10CD347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14:paraId="58E19F6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2.宣布评标纪律；</w:t>
      </w:r>
    </w:p>
    <w:p w14:paraId="19776F40">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14:paraId="58347767">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14:paraId="0F11A0F6">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14:paraId="2AAB0389">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14:paraId="4909E08A">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14:paraId="46C5EDF4">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8.核对评标结果，有本办法第六十四条规定情形的，要求评标委员会复核或者书面说明理由，评标委员会拒绝的，应予记录并向本级财政部门报告；</w:t>
      </w:r>
    </w:p>
    <w:p w14:paraId="153EE439">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14:paraId="69FE90ED">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10.处理与评标有关的其他事项。</w:t>
      </w:r>
    </w:p>
    <w:p w14:paraId="417C1A23">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（三）开标程序</w:t>
      </w:r>
    </w:p>
    <w:p w14:paraId="026E478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本项目原则上采用政采云电子招投标开标及评审程序，但有下情形之一的，按以下情况处理：</w:t>
      </w:r>
    </w:p>
    <w:p w14:paraId="3D391A8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1.开标会由采购代理机构主持，主持人宣布开标会议开始；</w:t>
      </w:r>
    </w:p>
    <w:p w14:paraId="64D2B67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2.主持人介绍参加开标会的人员名单； </w:t>
      </w:r>
    </w:p>
    <w:p w14:paraId="0B72A01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3.主持人宣布评标期间的有关事项；告知应当回避的情形,提请有关人员回避；</w:t>
      </w:r>
    </w:p>
    <w:p w14:paraId="14F7F44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4.电子投标文件开标:</w:t>
      </w:r>
    </w:p>
    <w:p w14:paraId="482BA969">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14:paraId="30051C23">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（2）由采购人代表对资格审查文件进行评审，评标委员会对技术商务文件进行评审。</w:t>
      </w:r>
    </w:p>
    <w:p w14:paraId="5BC7FC9A">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（3）在系统上公开资格审查和技术商务评审结果；</w:t>
      </w:r>
    </w:p>
    <w:p w14:paraId="64E1510B">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（4）在系统上公开报价开标情况；</w:t>
      </w:r>
    </w:p>
    <w:p w14:paraId="42CAB7DF">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（5）评标委员会对报价情况进行评审；</w:t>
      </w:r>
    </w:p>
    <w:p w14:paraId="5C178946">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（6）在系统上公布评审结果。</w:t>
      </w:r>
    </w:p>
    <w:p w14:paraId="252BF29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14:paraId="6AD381DB">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五、评标</w:t>
      </w:r>
    </w:p>
    <w:p w14:paraId="5C81253C">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w:t>
      </w:r>
      <w:r>
        <w:rPr>
          <w:rFonts w:hint="eastAsia" w:hAnsi="宋体" w:cs="宋体"/>
          <w:b/>
          <w:bCs/>
          <w:color w:val="auto"/>
          <w:sz w:val="24"/>
          <w:szCs w:val="24"/>
          <w:highlight w:val="none"/>
        </w:rPr>
        <w:t>组建评标委员会</w:t>
      </w:r>
    </w:p>
    <w:p w14:paraId="6D703A7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本项目评标委员会由采购人代表和相关专业专家组成，采购人代表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名，专家评委</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名，评标委员会负责具体评标事务，并独立履行下列职责：</w:t>
      </w:r>
    </w:p>
    <w:p w14:paraId="02E27C76">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14:paraId="61CA4E51">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14:paraId="34D45EF1">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3.对投标文件进行比较和评价；</w:t>
      </w:r>
    </w:p>
    <w:p w14:paraId="7D4765E4">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14:paraId="0C1E492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14:paraId="40434D5C">
      <w:pPr>
        <w:wordWrap w:val="0"/>
        <w:overflowPunct w:val="0"/>
        <w:autoSpaceDE w:val="0"/>
        <w:autoSpaceDN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除采购人代表、评标现场组织人员外，采购人的其他工作人员以及与评标工作无关的人员不得进入评标现场。</w:t>
      </w:r>
    </w:p>
    <w:p w14:paraId="219F1A9D">
      <w:pPr>
        <w:pStyle w:val="36"/>
        <w:wordWrap w:val="0"/>
        <w:overflowPunct w:val="0"/>
        <w:autoSpaceDE w:val="0"/>
        <w:autoSpaceDN w:val="0"/>
        <w:snapToGrid w:val="0"/>
        <w:spacing w:line="360" w:lineRule="auto"/>
        <w:rPr>
          <w:rFonts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评标的方式</w:t>
      </w:r>
    </w:p>
    <w:p w14:paraId="268C716A">
      <w:pPr>
        <w:pStyle w:val="36"/>
        <w:wordWrap w:val="0"/>
        <w:overflowPunct w:val="0"/>
        <w:autoSpaceDE w:val="0"/>
        <w:autoSpaceDN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     本项目采用不公开方式评标，评标的依据为招标文件和投标文件。</w:t>
      </w:r>
    </w:p>
    <w:p w14:paraId="48095D6C">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（三）评标程序</w:t>
      </w:r>
    </w:p>
    <w:p w14:paraId="136B3023">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14:paraId="15BF23CB">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1.形式审查</w:t>
      </w:r>
    </w:p>
    <w:p w14:paraId="4B6B6EA1">
      <w:pPr>
        <w:wordWrap w:val="0"/>
        <w:overflowPunct w:val="0"/>
        <w:autoSpaceDE w:val="0"/>
        <w:autoSpaceDN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14:paraId="2F61DE49">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5815357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32CF11C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14:paraId="684EA1C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投标人代表未到场、未在线或者拒绝澄清或者澄清的内容改变了投标文件的实质性内容的，评标委员会有权对该投标文件作出不利于投标人的评判。</w:t>
      </w:r>
    </w:p>
    <w:p w14:paraId="564F72E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2B12243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（4）嘉兴市银建工程咨询评估有限公司工作人员协助评标委员会根据本项目的评分标准计算各投标人的商务报价得分。</w:t>
      </w:r>
    </w:p>
    <w:p w14:paraId="7C41CC9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14:paraId="2AAAF1F9">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（四）澄清问题的形式</w:t>
      </w:r>
    </w:p>
    <w:p w14:paraId="0560F0BF">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w:t>
      </w:r>
    </w:p>
    <w:p w14:paraId="5E8B7D0C">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63DB4A7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2.如果供应商代表拒绝或未按评标委员会要求在“政采云”平台作出在线回复且无其他有效回复方式的，评标委员会可以对其作出无效标处理。</w:t>
      </w:r>
    </w:p>
    <w:p w14:paraId="1588798A">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（五）</w:t>
      </w:r>
      <w:r>
        <w:rPr>
          <w:rFonts w:hint="eastAsia" w:hAnsi="宋体" w:cs="宋体"/>
          <w:b/>
          <w:bCs/>
          <w:color w:val="auto"/>
          <w:sz w:val="24"/>
          <w:szCs w:val="24"/>
          <w:highlight w:val="none"/>
        </w:rPr>
        <w:t>错误修正</w:t>
      </w:r>
    </w:p>
    <w:p w14:paraId="5297FED6">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14:paraId="309CBD0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14:paraId="2288445D">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503B9D1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6776BA5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3ECCD4A6">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5.电子投标流程中，客户端填写的报价与以pdf格式上传文件中的报价不一致的，应以Pdf格式上传文件中的报价为准。</w:t>
      </w:r>
    </w:p>
    <w:p w14:paraId="55785810">
      <w:pPr>
        <w:pStyle w:val="36"/>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14:paraId="52D33EB8">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（六）</w:t>
      </w:r>
      <w:r>
        <w:rPr>
          <w:rFonts w:hint="eastAsia" w:hAnsi="宋体" w:cs="宋体"/>
          <w:b/>
          <w:bCs/>
          <w:color w:val="auto"/>
          <w:sz w:val="24"/>
          <w:szCs w:val="24"/>
          <w:highlight w:val="none"/>
        </w:rPr>
        <w:t>评标原则和评标办法</w:t>
      </w:r>
    </w:p>
    <w:p w14:paraId="3002888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EFF1A0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2.评标办法。本项目评标办法是</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，具体评标内容及评分标准等详见《第四章：评标办法及评分标准》。</w:t>
      </w:r>
    </w:p>
    <w:p w14:paraId="3F1FF256">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（七）</w:t>
      </w:r>
      <w:r>
        <w:rPr>
          <w:rFonts w:hint="eastAsia" w:hAnsi="宋体" w:cs="宋体"/>
          <w:b/>
          <w:bCs/>
          <w:color w:val="auto"/>
          <w:sz w:val="24"/>
          <w:szCs w:val="24"/>
          <w:highlight w:val="none"/>
        </w:rPr>
        <w:t>评标过程的监控</w:t>
      </w:r>
    </w:p>
    <w:p w14:paraId="3A6FBAE5">
      <w:pPr>
        <w:pStyle w:val="36"/>
        <w:wordWrap w:val="0"/>
        <w:overflowPunct w:val="0"/>
        <w:autoSpaceDE w:val="0"/>
        <w:autoSpaceDN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14:paraId="41A3B05D">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六、定标</w:t>
      </w:r>
    </w:p>
    <w:p w14:paraId="4466FD5D">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1.确定中标人。本项目由采购人确定中标人。</w:t>
      </w:r>
    </w:p>
    <w:p w14:paraId="3CB887FD">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采购代理机构应当自评审结束之日起2个工作日内将评审报告送交采购人。采购人应当自收到评审报告之日起5个工作日内在评标报告确定的中标候选人名单中按顺序确定中标人。</w:t>
      </w:r>
    </w:p>
    <w:p w14:paraId="7F780676">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如有投标人对评标结果提出质疑的，采购人可在质疑处理完毕后确定中标人</w:t>
      </w:r>
    </w:p>
    <w:p w14:paraId="125E92A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2.采购人或者采购代理机构应当自中标供应商确定之日起2个工作日内，发出中标通知书，并在省级以上人民政府财政部门指定的媒体上公告中标结果。</w:t>
      </w:r>
    </w:p>
    <w:p w14:paraId="4B405C37">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七、合同授予</w:t>
      </w:r>
    </w:p>
    <w:p w14:paraId="370F28CF">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（一）签订合同</w:t>
      </w:r>
    </w:p>
    <w:p w14:paraId="78B1587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1.采购人与中标人应当在《中标通知书》发出之日起30日内签订政府采购合同。同时，采购代理机构对合同内容进行审查，如发现与采购结果和投标承诺内容不一致的，将予以纠正。</w:t>
      </w:r>
    </w:p>
    <w:p w14:paraId="7EC3833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2.中标人拖延、拒签合同的,将被列入不良行为记录或黑名单，由此产生的一切不利后果由中标人自行承担。</w:t>
      </w:r>
    </w:p>
    <w:p w14:paraId="17878EF1">
      <w:pPr>
        <w:pStyle w:val="36"/>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八、终止招标</w:t>
      </w:r>
    </w:p>
    <w:p w14:paraId="7C8C9994">
      <w:pPr>
        <w:pStyle w:val="36"/>
        <w:snapToGrid w:val="0"/>
        <w:spacing w:line="360" w:lineRule="auto"/>
        <w:ind w:firstLine="480" w:firstLineChars="200"/>
        <w:rPr>
          <w:rFonts w:hAnsi="宋体" w:cs="宋体"/>
          <w:b/>
          <w:color w:val="auto"/>
          <w:sz w:val="28"/>
          <w:szCs w:val="28"/>
          <w:highlight w:val="none"/>
        </w:rPr>
      </w:pPr>
      <w:r>
        <w:rPr>
          <w:rFonts w:hint="eastAsia" w:hAnsi="宋体"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20" w:name="_Toc2572"/>
    </w:p>
    <w:bookmarkEnd w:id="14"/>
    <w:bookmarkEnd w:id="20"/>
    <w:p w14:paraId="3242203F">
      <w:pPr>
        <w:pStyle w:val="36"/>
        <w:snapToGrid w:val="0"/>
        <w:spacing w:line="360" w:lineRule="auto"/>
        <w:rPr>
          <w:rFonts w:hAnsi="宋体" w:cs="宋体"/>
          <w:b/>
          <w:color w:val="auto"/>
          <w:sz w:val="24"/>
          <w:szCs w:val="24"/>
          <w:highlight w:val="none"/>
        </w:rPr>
      </w:pPr>
      <w:bookmarkStart w:id="21" w:name="_Hlt75236101"/>
      <w:bookmarkEnd w:id="21"/>
      <w:bookmarkStart w:id="22" w:name="_Hlt74729768"/>
      <w:bookmarkEnd w:id="22"/>
      <w:bookmarkStart w:id="23" w:name="_Hlt75236011"/>
      <w:bookmarkEnd w:id="23"/>
      <w:bookmarkStart w:id="24" w:name="_Hlt74730295"/>
      <w:bookmarkEnd w:id="24"/>
      <w:bookmarkStart w:id="25" w:name="_Hlt68073093"/>
      <w:bookmarkEnd w:id="25"/>
      <w:bookmarkStart w:id="26" w:name="_Hlt68403820"/>
      <w:bookmarkEnd w:id="26"/>
      <w:bookmarkStart w:id="27" w:name="_Hlt74714665"/>
      <w:bookmarkEnd w:id="27"/>
      <w:bookmarkStart w:id="28" w:name="_Hlt75236290"/>
      <w:bookmarkEnd w:id="28"/>
      <w:bookmarkStart w:id="29" w:name="_Hlt68072990"/>
      <w:bookmarkEnd w:id="29"/>
      <w:bookmarkStart w:id="30" w:name="_Hlt68072998"/>
      <w:bookmarkEnd w:id="30"/>
      <w:bookmarkStart w:id="31" w:name="_Hlt68057669"/>
      <w:bookmarkEnd w:id="31"/>
      <w:bookmarkStart w:id="32" w:name="_Hlt74707468"/>
      <w:bookmarkEnd w:id="32"/>
      <w:r>
        <w:rPr>
          <w:rFonts w:hint="eastAsia" w:hAnsi="宋体" w:cs="宋体"/>
          <w:b/>
          <w:color w:val="auto"/>
          <w:sz w:val="24"/>
          <w:szCs w:val="24"/>
          <w:highlight w:val="none"/>
        </w:rPr>
        <w:t>九、招标代理费</w:t>
      </w:r>
    </w:p>
    <w:p w14:paraId="18BB4520">
      <w:pPr>
        <w:keepLines w:val="0"/>
        <w:pageBreakBefore w:val="0"/>
        <w:kinsoku/>
        <w:bidi w:val="0"/>
        <w:snapToGrid w:val="0"/>
        <w:spacing w:line="353" w:lineRule="auto"/>
        <w:ind w:firstLine="600" w:firstLineChars="25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中标人须向采购代理机构交纳中标服务费</w:t>
      </w:r>
      <w:r>
        <w:rPr>
          <w:rFonts w:hint="eastAsia" w:ascii="宋体" w:hAnsi="宋体"/>
          <w:color w:val="auto"/>
          <w:sz w:val="24"/>
          <w:highlight w:val="none"/>
          <w:lang w:val="en-US" w:eastAsia="zh-CN"/>
        </w:rPr>
        <w:t>1800</w:t>
      </w:r>
      <w:r>
        <w:rPr>
          <w:rFonts w:hint="eastAsia" w:ascii="宋体" w:hAnsi="宋体"/>
          <w:color w:val="auto"/>
          <w:sz w:val="24"/>
          <w:highlight w:val="none"/>
        </w:rPr>
        <w:t xml:space="preserve"> 元</w:t>
      </w:r>
    </w:p>
    <w:p w14:paraId="435A9F1B">
      <w:pPr>
        <w:keepLines w:val="0"/>
        <w:pageBreakBefore w:val="0"/>
        <w:kinsoku/>
        <w:bidi w:val="0"/>
        <w:snapToGrid w:val="0"/>
        <w:spacing w:line="353" w:lineRule="auto"/>
        <w:ind w:firstLine="600" w:firstLineChars="250"/>
        <w:jc w:val="left"/>
        <w:textAlignment w:val="auto"/>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、服务费的货币为人民币。</w:t>
      </w:r>
    </w:p>
    <w:p w14:paraId="2B8775CB">
      <w:pPr>
        <w:keepLines w:val="0"/>
        <w:pageBreakBefore w:val="0"/>
        <w:kinsoku/>
        <w:bidi w:val="0"/>
        <w:snapToGrid w:val="0"/>
        <w:spacing w:line="353" w:lineRule="auto"/>
        <w:ind w:firstLine="600" w:firstLineChars="250"/>
        <w:jc w:val="left"/>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、服务费支付方式：一次性以银行划账、电汇、汇票或支票的形式支付。</w:t>
      </w:r>
    </w:p>
    <w:p w14:paraId="0E44605B">
      <w:pPr>
        <w:keepLines w:val="0"/>
        <w:pageBreakBefore w:val="0"/>
        <w:kinsoku/>
        <w:bidi w:val="0"/>
        <w:snapToGrid w:val="0"/>
        <w:spacing w:line="353" w:lineRule="auto"/>
        <w:ind w:firstLine="600" w:firstLineChars="250"/>
        <w:jc w:val="left"/>
        <w:textAlignment w:val="auto"/>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、服务费以银行划账方式按下列要求提交：</w:t>
      </w:r>
    </w:p>
    <w:p w14:paraId="51737CCE">
      <w:pPr>
        <w:keepLines w:val="0"/>
        <w:pageBreakBefore w:val="0"/>
        <w:tabs>
          <w:tab w:val="left" w:pos="0"/>
        </w:tabs>
        <w:kinsoku/>
        <w:bidi w:val="0"/>
        <w:spacing w:line="353" w:lineRule="auto"/>
        <w:ind w:firstLine="480" w:firstLineChars="200"/>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户名：嘉兴市银建工程咨询评估有限公司嘉善大云分公司</w:t>
      </w:r>
    </w:p>
    <w:p w14:paraId="364AE049">
      <w:pPr>
        <w:keepLines w:val="0"/>
        <w:pageBreakBefore w:val="0"/>
        <w:tabs>
          <w:tab w:val="left" w:pos="0"/>
        </w:tabs>
        <w:kinsoku/>
        <w:bidi w:val="0"/>
        <w:spacing w:line="353" w:lineRule="auto"/>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开户行：嘉兴银行股份有限公司长三角一体化示范区（浙江嘉善）支行</w:t>
      </w:r>
    </w:p>
    <w:p w14:paraId="6311A181">
      <w:pPr>
        <w:keepLines w:val="0"/>
        <w:pageBreakBefore w:val="0"/>
        <w:tabs>
          <w:tab w:val="left" w:pos="0"/>
        </w:tabs>
        <w:kinsoku/>
        <w:bidi w:val="0"/>
        <w:spacing w:line="353"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账号：8010000013852</w:t>
      </w:r>
    </w:p>
    <w:p w14:paraId="6D64F563">
      <w:pPr>
        <w:pStyle w:val="36"/>
        <w:keepLines w:val="0"/>
        <w:pageBreakBefore w:val="0"/>
        <w:kinsoku/>
        <w:bidi w:val="0"/>
        <w:adjustRightInd w:val="0"/>
        <w:snapToGrid w:val="0"/>
        <w:spacing w:beforeLines="0" w:afterLines="0" w:line="353" w:lineRule="auto"/>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5、服务费支付时间：服务费必须在中标人领取《中标通知书》时一次性付清，如果中标人未能按时交纳服务费，采购代理机构/采购人保留取消其中标资格并追究其法律责任的权利。</w:t>
      </w:r>
    </w:p>
    <w:p w14:paraId="6BC35EDA">
      <w:pPr>
        <w:tabs>
          <w:tab w:val="left" w:pos="0"/>
        </w:tabs>
        <w:spacing w:line="360" w:lineRule="auto"/>
        <w:ind w:firstLine="480" w:firstLineChars="200"/>
        <w:jc w:val="left"/>
        <w:rPr>
          <w:rFonts w:hint="eastAsia" w:ascii="仿宋_GB2312" w:hAnsi="仿宋" w:eastAsia="宋体" w:cs="Helvetica"/>
          <w:color w:val="auto"/>
          <w:kern w:val="0"/>
          <w:sz w:val="28"/>
          <w:szCs w:val="28"/>
          <w:highlight w:val="none"/>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eastAsia="宋体" w:cs="Times New Roman"/>
          <w:color w:val="auto"/>
          <w:kern w:val="2"/>
          <w:sz w:val="24"/>
          <w:szCs w:val="24"/>
          <w:highlight w:val="none"/>
          <w:lang w:val="en-US" w:eastAsia="zh-CN" w:bidi="ar-SA"/>
        </w:rPr>
        <w:t>6、服务费不在投标报价中单列，由各投标人自行考虑在投标报价中</w:t>
      </w:r>
      <w:r>
        <w:rPr>
          <w:rFonts w:hint="eastAsia" w:ascii="宋体" w:hAnsi="宋体"/>
          <w:color w:val="auto"/>
          <w:sz w:val="24"/>
          <w:highlight w:val="none"/>
          <w:lang w:eastAsia="zh-CN"/>
        </w:rPr>
        <w:t>。</w:t>
      </w:r>
    </w:p>
    <w:bookmarkEnd w:id="15"/>
    <w:bookmarkEnd w:id="16"/>
    <w:p w14:paraId="123DE67B">
      <w:pPr>
        <w:snapToGrid w:val="0"/>
        <w:spacing w:line="360" w:lineRule="auto"/>
        <w:jc w:val="center"/>
        <w:rPr>
          <w:rFonts w:ascii="仿宋" w:hAnsi="仿宋" w:eastAsia="仿宋" w:cs="仿宋_GB2312"/>
          <w:b/>
          <w:color w:val="auto"/>
          <w:sz w:val="36"/>
          <w:szCs w:val="36"/>
          <w:highlight w:val="none"/>
        </w:rPr>
      </w:pPr>
      <w:bookmarkStart w:id="33" w:name="第四部分"/>
      <w:r>
        <w:rPr>
          <w:rFonts w:hint="eastAsia" w:ascii="仿宋" w:hAnsi="仿宋" w:eastAsia="仿宋" w:cs="仿宋_GB2312"/>
          <w:b/>
          <w:color w:val="auto"/>
          <w:sz w:val="36"/>
          <w:szCs w:val="36"/>
          <w:highlight w:val="none"/>
        </w:rPr>
        <w:t>第四章 评标办法及评分标准</w:t>
      </w:r>
    </w:p>
    <w:bookmarkEnd w:id="33"/>
    <w:p w14:paraId="33B4293E">
      <w:pPr>
        <w:spacing w:line="480" w:lineRule="exact"/>
        <w:ind w:firstLine="420"/>
        <w:rPr>
          <w:rFonts w:ascii="宋体" w:hAnsi="宋体" w:cs="宋体"/>
          <w:color w:val="auto"/>
          <w:sz w:val="24"/>
          <w:highlight w:val="none"/>
        </w:rPr>
      </w:pPr>
      <w:bookmarkStart w:id="34"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31DE43F7">
      <w:pPr>
        <w:pStyle w:val="56"/>
        <w:spacing w:line="480" w:lineRule="exact"/>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不动产业务和信息化建设（2025年不动产档案扫描建库项目）</w:t>
      </w:r>
      <w:r>
        <w:rPr>
          <w:rFonts w:hint="eastAsia" w:ascii="宋体" w:hAnsi="宋体" w:cs="宋体"/>
          <w:color w:val="auto"/>
          <w:sz w:val="24"/>
          <w:highlight w:val="none"/>
        </w:rPr>
        <w:t>的评标。</w:t>
      </w:r>
    </w:p>
    <w:p w14:paraId="5ECD73A3">
      <w:pPr>
        <w:spacing w:line="480" w:lineRule="exact"/>
        <w:rPr>
          <w:rFonts w:ascii="宋体" w:hAnsi="宋体" w:cs="宋体"/>
          <w:b/>
          <w:color w:val="auto"/>
          <w:sz w:val="24"/>
          <w:highlight w:val="none"/>
        </w:rPr>
      </w:pPr>
      <w:r>
        <w:rPr>
          <w:rFonts w:hint="eastAsia" w:ascii="宋体" w:hAnsi="宋体" w:cs="宋体"/>
          <w:b/>
          <w:color w:val="auto"/>
          <w:sz w:val="24"/>
          <w:highlight w:val="none"/>
        </w:rPr>
        <w:t>一 、总则</w:t>
      </w:r>
    </w:p>
    <w:p w14:paraId="2AE0D5B9">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本次评标采用综合评分法，总分为100分，其中价格分</w:t>
      </w:r>
      <w:r>
        <w:rPr>
          <w:rFonts w:hint="eastAsia" w:ascii="宋体" w:hAnsi="宋体"/>
          <w:color w:val="auto"/>
          <w:sz w:val="24"/>
          <w:highlight w:val="none"/>
          <w:lang w:val="en-US" w:eastAsia="zh-CN"/>
        </w:rPr>
        <w:t>15</w:t>
      </w:r>
      <w:r>
        <w:rPr>
          <w:rFonts w:hint="eastAsia" w:ascii="宋体" w:hAnsi="宋体"/>
          <w:color w:val="auto"/>
          <w:sz w:val="24"/>
          <w:highlight w:val="none"/>
        </w:rPr>
        <w:t>分、商务技术</w:t>
      </w:r>
      <w:r>
        <w:rPr>
          <w:rFonts w:hint="eastAsia" w:ascii="宋体" w:hAnsi="宋体"/>
          <w:color w:val="auto"/>
          <w:sz w:val="24"/>
          <w:highlight w:val="none"/>
          <w:lang w:val="en-US" w:eastAsia="zh-CN"/>
        </w:rPr>
        <w:t>85</w:t>
      </w:r>
      <w:r>
        <w:rPr>
          <w:rFonts w:hint="eastAsia" w:ascii="宋体" w:hAnsi="宋体"/>
          <w:color w:val="auto"/>
          <w:sz w:val="24"/>
          <w:highlight w:val="none"/>
        </w:rPr>
        <w:t>分（其中：商务资信分</w:t>
      </w:r>
      <w:r>
        <w:rPr>
          <w:rFonts w:hint="eastAsia" w:ascii="宋体" w:hAnsi="宋体"/>
          <w:color w:val="auto"/>
          <w:sz w:val="24"/>
          <w:highlight w:val="none"/>
          <w:lang w:val="en-US" w:eastAsia="zh-CN"/>
        </w:rPr>
        <w:t>15</w:t>
      </w:r>
      <w:r>
        <w:rPr>
          <w:rFonts w:hint="eastAsia" w:ascii="宋体" w:hAnsi="宋体"/>
          <w:color w:val="auto"/>
          <w:sz w:val="24"/>
          <w:highlight w:val="none"/>
        </w:rPr>
        <w:t>分，技术分</w:t>
      </w:r>
      <w:r>
        <w:rPr>
          <w:rFonts w:hint="eastAsia" w:ascii="宋体" w:hAnsi="宋体"/>
          <w:color w:val="auto"/>
          <w:sz w:val="24"/>
          <w:highlight w:val="none"/>
          <w:lang w:val="en-US" w:eastAsia="zh-CN"/>
        </w:rPr>
        <w:t>70</w:t>
      </w:r>
      <w:r>
        <w:rPr>
          <w:rFonts w:hint="eastAsia" w:ascii="宋体" w:hAnsi="宋体"/>
          <w:color w:val="auto"/>
          <w:sz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并保留小数2位。中标人拒绝与采购人签订合同的，采购人可以按照评审报告推荐的中标候选人名单顺序，确定下一候选人为中标人，也可以重新开展政府采购活动。</w:t>
      </w:r>
    </w:p>
    <w:p w14:paraId="16C19CA4">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投标人评标综合得分=价格分+商务技术分</w:t>
      </w:r>
    </w:p>
    <w:p w14:paraId="4EC11CF3">
      <w:pPr>
        <w:spacing w:line="480" w:lineRule="exact"/>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 xml:space="preserve"> </w:t>
      </w:r>
      <w:r>
        <w:rPr>
          <w:rFonts w:hint="eastAsia" w:ascii="宋体" w:hAnsi="宋体"/>
          <w:b/>
          <w:color w:val="auto"/>
          <w:sz w:val="24"/>
          <w:highlight w:val="none"/>
        </w:rPr>
        <w:t>、评标内容及标准</w:t>
      </w:r>
    </w:p>
    <w:p w14:paraId="3098C3D2">
      <w:pPr>
        <w:pStyle w:val="3"/>
        <w:ind w:firstLine="482"/>
        <w:rPr>
          <w:b/>
          <w:bCs/>
          <w:color w:val="auto"/>
          <w:highlight w:val="none"/>
        </w:rPr>
      </w:pPr>
      <w:r>
        <w:rPr>
          <w:b/>
          <w:color w:val="auto"/>
          <w:highlight w:val="none"/>
        </w:rPr>
        <w:t>（一）</w:t>
      </w:r>
      <w:r>
        <w:rPr>
          <w:b/>
          <w:bCs/>
          <w:color w:val="auto"/>
          <w:highlight w:val="none"/>
        </w:rPr>
        <w:t>价格分（</w:t>
      </w:r>
      <w:r>
        <w:rPr>
          <w:rFonts w:hint="eastAsia"/>
          <w:b/>
          <w:bCs/>
          <w:color w:val="auto"/>
          <w:highlight w:val="none"/>
          <w:lang w:val="en-US" w:eastAsia="zh-CN"/>
        </w:rPr>
        <w:t>15</w:t>
      </w:r>
      <w:r>
        <w:rPr>
          <w:rFonts w:hint="eastAsia"/>
          <w:b/>
          <w:bCs/>
          <w:color w:val="auto"/>
          <w:highlight w:val="none"/>
        </w:rPr>
        <w:t>分）</w:t>
      </w:r>
    </w:p>
    <w:p w14:paraId="0EC639EF">
      <w:pPr>
        <w:pStyle w:val="3"/>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14:paraId="1F037F4D">
      <w:pPr>
        <w:spacing w:line="480" w:lineRule="exact"/>
        <w:ind w:firstLine="480" w:firstLineChars="200"/>
        <w:rPr>
          <w:rFonts w:hAnsi="宋体"/>
          <w:bCs/>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15</w:t>
      </w:r>
      <w:r>
        <w:rPr>
          <w:rFonts w:hint="eastAsia" w:ascii="宋体" w:hAnsi="宋体"/>
          <w:color w:val="auto"/>
          <w:sz w:val="24"/>
          <w:highlight w:val="none"/>
        </w:rPr>
        <w:t>%×100</w:t>
      </w:r>
    </w:p>
    <w:p w14:paraId="6A762EA4">
      <w:pPr>
        <w:spacing w:line="480" w:lineRule="exact"/>
        <w:ind w:firstLine="480" w:firstLineChars="200"/>
        <w:rPr>
          <w:rFonts w:hAnsi="宋体"/>
          <w:bCs/>
          <w:color w:val="auto"/>
          <w:sz w:val="24"/>
          <w:highlight w:val="none"/>
        </w:rPr>
      </w:pPr>
      <w:r>
        <w:rPr>
          <w:rFonts w:hint="eastAsia" w:hAnsi="宋体"/>
          <w:bCs/>
          <w:color w:val="auto"/>
          <w:sz w:val="24"/>
          <w:highlight w:val="none"/>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B46E60">
      <w:pPr>
        <w:pStyle w:val="3"/>
        <w:spacing w:before="120" w:beforeLines="50" w:after="120" w:afterLines="50" w:line="360" w:lineRule="auto"/>
        <w:ind w:firstLine="482"/>
        <w:rPr>
          <w:rFonts w:hint="default" w:eastAsia="宋体" w:cs="宋体"/>
          <w:b/>
          <w:color w:val="auto"/>
          <w:highlight w:val="none"/>
          <w:lang w:val="en-US" w:eastAsia="zh-CN"/>
        </w:rPr>
      </w:pPr>
      <w:r>
        <w:rPr>
          <w:rFonts w:hint="eastAsia" w:cs="宋体"/>
          <w:b/>
          <w:color w:val="auto"/>
          <w:highlight w:val="none"/>
          <w:lang w:val="en-US" w:eastAsia="zh-CN"/>
        </w:rPr>
        <w:t>3.</w:t>
      </w:r>
      <w:r>
        <w:rPr>
          <w:rFonts w:hint="eastAsia" w:ascii="宋体" w:hAnsi="宋体" w:cs="宋体"/>
          <w:b/>
          <w:color w:val="auto"/>
          <w:sz w:val="24"/>
          <w:szCs w:val="24"/>
          <w:highlight w:val="none"/>
          <w:lang w:val="en-US" w:eastAsia="zh-CN"/>
        </w:rPr>
        <w:t>投标人的商务技术分低于商务技术分总分60%的，视为采购人不能接受的附加条件，投标文件将被视为无效。</w:t>
      </w:r>
    </w:p>
    <w:p w14:paraId="59FE82B1">
      <w:pPr>
        <w:pStyle w:val="3"/>
        <w:spacing w:before="120" w:beforeLines="50" w:after="120" w:afterLines="50" w:line="360" w:lineRule="auto"/>
        <w:ind w:firstLine="482"/>
        <w:rPr>
          <w:color w:val="auto"/>
        </w:rPr>
      </w:pPr>
      <w:r>
        <w:rPr>
          <w:rFonts w:hint="eastAsia" w:cs="宋体"/>
          <w:b/>
          <w:color w:val="auto"/>
          <w:highlight w:val="none"/>
        </w:rPr>
        <w:t>（二）商务资信分（</w:t>
      </w:r>
      <w:r>
        <w:rPr>
          <w:rFonts w:hint="eastAsia" w:cs="宋体"/>
          <w:b/>
          <w:color w:val="auto"/>
          <w:highlight w:val="none"/>
          <w:lang w:val="en-US" w:eastAsia="zh-CN"/>
        </w:rPr>
        <w:t>15</w:t>
      </w:r>
      <w:r>
        <w:rPr>
          <w:rFonts w:hint="eastAsia" w:cs="宋体"/>
          <w:b/>
          <w:color w:val="auto"/>
          <w:highlight w:val="none"/>
        </w:rPr>
        <w:t>分）</w:t>
      </w:r>
    </w:p>
    <w:tbl>
      <w:tblPr>
        <w:tblStyle w:val="64"/>
        <w:tblW w:w="9356" w:type="dxa"/>
        <w:jc w:val="center"/>
        <w:tblLayout w:type="fixed"/>
        <w:tblCellMar>
          <w:top w:w="0" w:type="dxa"/>
          <w:left w:w="108" w:type="dxa"/>
          <w:bottom w:w="0" w:type="dxa"/>
          <w:right w:w="108" w:type="dxa"/>
        </w:tblCellMar>
      </w:tblPr>
      <w:tblGrid>
        <w:gridCol w:w="537"/>
        <w:gridCol w:w="1475"/>
        <w:gridCol w:w="6087"/>
        <w:gridCol w:w="1257"/>
      </w:tblGrid>
      <w:tr w14:paraId="24064BCF">
        <w:tblPrEx>
          <w:tblCellMar>
            <w:top w:w="0" w:type="dxa"/>
            <w:left w:w="108" w:type="dxa"/>
            <w:bottom w:w="0" w:type="dxa"/>
            <w:right w:w="108" w:type="dxa"/>
          </w:tblCellMar>
        </w:tblPrEx>
        <w:trPr>
          <w:trHeight w:val="1276" w:hRule="exact"/>
          <w:jc w:val="center"/>
        </w:trPr>
        <w:tc>
          <w:tcPr>
            <w:tcW w:w="537" w:type="dxa"/>
            <w:vMerge w:val="restart"/>
            <w:tcBorders>
              <w:top w:val="single" w:color="auto" w:sz="4" w:space="0"/>
              <w:left w:val="single" w:color="auto" w:sz="4" w:space="0"/>
              <w:bottom w:val="single" w:color="auto" w:sz="4" w:space="0"/>
              <w:right w:val="single" w:color="auto" w:sz="4" w:space="0"/>
            </w:tcBorders>
            <w:vAlign w:val="center"/>
          </w:tcPr>
          <w:p w14:paraId="101A637C">
            <w:pPr>
              <w:pStyle w:val="82"/>
              <w:widowControl/>
              <w:tabs>
                <w:tab w:val="left" w:pos="0"/>
                <w:tab w:val="clear" w:pos="8268"/>
              </w:tabs>
              <w:spacing w:line="400" w:lineRule="atLeas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商资信分</w:t>
            </w:r>
            <w:r>
              <w:rPr>
                <w:rFonts w:hint="eastAsia" w:asciiTheme="minorEastAsia" w:hAnsiTheme="minorEastAsia" w:eastAsiaTheme="minorEastAsia" w:cstheme="minorEastAsia"/>
                <w:color w:val="auto"/>
                <w:kern w:val="0"/>
                <w:sz w:val="21"/>
                <w:szCs w:val="21"/>
                <w:highlight w:val="none"/>
                <w:lang w:val="en-US" w:eastAsia="zh-CN"/>
              </w:rPr>
              <w:t>15</w:t>
            </w:r>
            <w:r>
              <w:rPr>
                <w:rFonts w:hint="eastAsia" w:asciiTheme="minorEastAsia" w:hAnsiTheme="minorEastAsia" w:eastAsiaTheme="minorEastAsia" w:cstheme="minorEastAsia"/>
                <w:color w:val="auto"/>
                <w:kern w:val="0"/>
                <w:sz w:val="21"/>
                <w:szCs w:val="21"/>
                <w:highlight w:val="none"/>
              </w:rPr>
              <w:t>分</w:t>
            </w:r>
          </w:p>
          <w:p w14:paraId="5D20207D">
            <w:pPr>
              <w:pStyle w:val="82"/>
              <w:tabs>
                <w:tab w:val="left" w:pos="0"/>
                <w:tab w:val="clear" w:pos="8268"/>
              </w:tabs>
              <w:spacing w:line="302" w:lineRule="auto"/>
              <w:ind w:firstLine="420"/>
              <w:jc w:val="center"/>
              <w:rPr>
                <w:rFonts w:hint="eastAsia" w:asciiTheme="minorEastAsia" w:hAnsiTheme="minorEastAsia" w:eastAsiaTheme="minorEastAsia" w:cstheme="minorEastAsia"/>
                <w:color w:val="auto"/>
                <w:kern w:val="0"/>
                <w:sz w:val="21"/>
                <w:szCs w:val="21"/>
                <w:highlight w:val="none"/>
              </w:rPr>
            </w:pPr>
          </w:p>
          <w:p w14:paraId="67CEFC9C">
            <w:pPr>
              <w:pStyle w:val="82"/>
              <w:tabs>
                <w:tab w:val="left" w:pos="0"/>
                <w:tab w:val="clear" w:pos="8268"/>
              </w:tabs>
              <w:spacing w:line="302" w:lineRule="auto"/>
              <w:jc w:val="center"/>
              <w:rPr>
                <w:rFonts w:hint="eastAsia" w:asciiTheme="minorEastAsia" w:hAnsiTheme="minorEastAsia" w:eastAsiaTheme="minorEastAsia" w:cstheme="minorEastAsia"/>
                <w:color w:val="auto"/>
                <w:sz w:val="21"/>
                <w:szCs w:val="21"/>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5CFD1A3E">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eastAsia="zh-CN" w:bidi="ar"/>
              </w:rPr>
              <w:t>项目业绩</w:t>
            </w:r>
          </w:p>
        </w:tc>
        <w:tc>
          <w:tcPr>
            <w:tcW w:w="6087" w:type="dxa"/>
            <w:tcBorders>
              <w:top w:val="single" w:color="auto" w:sz="4" w:space="0"/>
              <w:left w:val="single" w:color="auto" w:sz="4" w:space="0"/>
              <w:bottom w:val="single" w:color="auto" w:sz="4" w:space="0"/>
              <w:right w:val="single" w:color="auto" w:sz="4" w:space="0"/>
            </w:tcBorders>
            <w:vAlign w:val="center"/>
          </w:tcPr>
          <w:p w14:paraId="3A7C2B61">
            <w:pPr>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val="0"/>
                <w:bCs/>
                <w:snapToGrid/>
                <w:color w:val="auto"/>
                <w:kern w:val="0"/>
                <w:sz w:val="21"/>
                <w:szCs w:val="21"/>
                <w:highlight w:val="none"/>
                <w:lang w:val="en-US" w:eastAsia="zh-CN" w:bidi="ar"/>
              </w:rPr>
              <w:t>投标人近三年（自投标截止日起往前追溯3年，以合同签订时间为准）以来具</w:t>
            </w:r>
            <w:r>
              <w:rPr>
                <w:rFonts w:hint="eastAsia" w:asciiTheme="minorEastAsia" w:hAnsiTheme="minorEastAsia" w:eastAsiaTheme="minorEastAsia" w:cstheme="minorEastAsia"/>
                <w:color w:val="auto"/>
                <w:kern w:val="0"/>
                <w:sz w:val="21"/>
                <w:szCs w:val="21"/>
                <w:highlight w:val="none"/>
                <w:lang w:val="en-US" w:eastAsia="zh-CN"/>
              </w:rPr>
              <w:t>有同类项目业绩的，每提供一份得0.5分，最高得1分。（</w:t>
            </w:r>
            <w:r>
              <w:rPr>
                <w:rFonts w:hint="eastAsia" w:asciiTheme="minorEastAsia" w:hAnsiTheme="minorEastAsia" w:eastAsiaTheme="minorEastAsia" w:cstheme="minorEastAsia"/>
                <w:color w:val="auto"/>
                <w:kern w:val="0"/>
                <w:sz w:val="21"/>
                <w:szCs w:val="21"/>
                <w:highlight w:val="none"/>
              </w:rPr>
              <w:t>提供合同原件扫描件</w:t>
            </w:r>
            <w:r>
              <w:rPr>
                <w:rFonts w:hint="eastAsia" w:asciiTheme="minorEastAsia" w:hAnsiTheme="minorEastAsia" w:eastAsiaTheme="minorEastAsia" w:cstheme="minorEastAsia"/>
                <w:color w:val="auto"/>
                <w:kern w:val="0"/>
                <w:sz w:val="21"/>
                <w:szCs w:val="21"/>
                <w:highlight w:val="none"/>
                <w:lang w:eastAsia="zh-CN"/>
              </w:rPr>
              <w:t>并加盖公章、</w:t>
            </w:r>
            <w:r>
              <w:rPr>
                <w:rFonts w:hint="eastAsia" w:asciiTheme="minorEastAsia" w:hAnsiTheme="minorEastAsia" w:eastAsiaTheme="minorEastAsia" w:cstheme="minorEastAsia"/>
                <w:color w:val="auto"/>
                <w:kern w:val="0"/>
                <w:sz w:val="21"/>
                <w:szCs w:val="21"/>
                <w:highlight w:val="none"/>
                <w:lang w:val="en-US" w:eastAsia="zh-CN"/>
              </w:rPr>
              <w:t>验收证明材料</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要求清晰可辨，</w:t>
            </w:r>
            <w:r>
              <w:rPr>
                <w:rFonts w:hint="eastAsia" w:asciiTheme="minorEastAsia" w:hAnsiTheme="minorEastAsia" w:eastAsiaTheme="minorEastAsia" w:cstheme="minorEastAsia"/>
                <w:color w:val="auto"/>
                <w:kern w:val="0"/>
                <w:sz w:val="21"/>
                <w:szCs w:val="21"/>
                <w:highlight w:val="none"/>
              </w:rPr>
              <w:t>否则不得分</w:t>
            </w:r>
            <w:r>
              <w:rPr>
                <w:rFonts w:hint="eastAsia" w:asciiTheme="minorEastAsia" w:hAnsiTheme="minorEastAsia" w:eastAsiaTheme="minorEastAsia" w:cstheme="minorEastAsia"/>
                <w:color w:val="auto"/>
                <w:kern w:val="0"/>
                <w:sz w:val="21"/>
                <w:szCs w:val="21"/>
                <w:highlight w:val="none"/>
                <w:lang w:val="en-US" w:eastAsia="zh-CN"/>
              </w:rPr>
              <w:t>）</w:t>
            </w:r>
          </w:p>
        </w:tc>
        <w:tc>
          <w:tcPr>
            <w:tcW w:w="1257" w:type="dxa"/>
            <w:tcBorders>
              <w:top w:val="single" w:color="auto" w:sz="4" w:space="0"/>
              <w:left w:val="single" w:color="auto" w:sz="4" w:space="0"/>
              <w:bottom w:val="single" w:color="auto" w:sz="4" w:space="0"/>
              <w:right w:val="single" w:color="auto" w:sz="4" w:space="0"/>
            </w:tcBorders>
            <w:vAlign w:val="center"/>
          </w:tcPr>
          <w:p w14:paraId="022B4331">
            <w:pPr>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lang w:val="en-US" w:eastAsia="zh-CN" w:bidi="ar"/>
              </w:rPr>
              <w:t>1分</w:t>
            </w:r>
          </w:p>
        </w:tc>
      </w:tr>
      <w:tr w14:paraId="14D618C7">
        <w:tblPrEx>
          <w:tblCellMar>
            <w:top w:w="0" w:type="dxa"/>
            <w:left w:w="108" w:type="dxa"/>
            <w:bottom w:w="0" w:type="dxa"/>
            <w:right w:w="108" w:type="dxa"/>
          </w:tblCellMar>
        </w:tblPrEx>
        <w:trPr>
          <w:trHeight w:val="5795" w:hRule="exac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14:paraId="2211360B">
            <w:pPr>
              <w:pStyle w:val="82"/>
              <w:tabs>
                <w:tab w:val="left" w:pos="0"/>
                <w:tab w:val="clear" w:pos="8268"/>
              </w:tabs>
              <w:spacing w:line="302" w:lineRule="auto"/>
              <w:jc w:val="center"/>
              <w:rPr>
                <w:rFonts w:hint="eastAsia" w:asciiTheme="minorEastAsia" w:hAnsiTheme="minorEastAsia" w:eastAsiaTheme="minorEastAsia" w:cstheme="minorEastAsia"/>
                <w:color w:val="auto"/>
                <w:sz w:val="21"/>
                <w:szCs w:val="21"/>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6D9C0196">
            <w:pPr>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项目人员情况</w:t>
            </w:r>
          </w:p>
        </w:tc>
        <w:tc>
          <w:tcPr>
            <w:tcW w:w="6087" w:type="dxa"/>
            <w:tcBorders>
              <w:top w:val="single" w:color="auto" w:sz="4" w:space="0"/>
              <w:left w:val="single" w:color="auto" w:sz="4" w:space="0"/>
              <w:bottom w:val="single" w:color="auto" w:sz="4" w:space="0"/>
              <w:right w:val="single" w:color="auto" w:sz="4" w:space="0"/>
            </w:tcBorders>
            <w:vAlign w:val="center"/>
          </w:tcPr>
          <w:p w14:paraId="58C290BA">
            <w:pPr>
              <w:numPr>
                <w:ilvl w:val="0"/>
                <w:numId w:val="8"/>
              </w:numPr>
              <w:spacing w:line="340" w:lineRule="exact"/>
              <w:ind w:firstLine="0" w:firstLineChars="0"/>
              <w:contextualSpacing/>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szCs w:val="21"/>
                <w:highlight w:val="none"/>
              </w:rPr>
              <w:t>拟</w:t>
            </w:r>
            <w:r>
              <w:rPr>
                <w:rFonts w:hint="eastAsia" w:ascii="宋体" w:hAnsi="宋体" w:eastAsia="宋体" w:cs="宋体"/>
                <w:color w:val="auto"/>
                <w:spacing w:val="-4"/>
                <w:kern w:val="0"/>
                <w:szCs w:val="21"/>
                <w:highlight w:val="none"/>
              </w:rPr>
              <w:t>担任本项目负责人</w:t>
            </w:r>
          </w:p>
          <w:p w14:paraId="3BD1E979">
            <w:pPr>
              <w:numPr>
                <w:ilvl w:val="0"/>
                <w:numId w:val="0"/>
              </w:numPr>
              <w:spacing w:line="340" w:lineRule="exact"/>
              <w:contextualSpacing/>
              <w:rPr>
                <w:rFonts w:hint="default" w:ascii="宋体" w:hAnsi="宋体" w:eastAsia="宋体" w:cs="宋体"/>
                <w:color w:val="auto"/>
                <w:spacing w:val="-4"/>
                <w:kern w:val="0"/>
                <w:szCs w:val="21"/>
                <w:highlight w:val="none"/>
                <w:lang w:val="en-US" w:eastAsia="zh-CN"/>
              </w:rPr>
            </w:pPr>
            <w:r>
              <w:rPr>
                <w:rFonts w:hint="eastAsia" w:ascii="宋体" w:hAnsi="宋体" w:eastAsia="宋体" w:cs="宋体"/>
                <w:color w:val="auto"/>
                <w:spacing w:val="-4"/>
                <w:kern w:val="0"/>
                <w:szCs w:val="21"/>
                <w:highlight w:val="none"/>
              </w:rPr>
              <w:t>具有档案干部教育培训中心颁发的</w:t>
            </w:r>
            <w:r>
              <w:rPr>
                <w:rFonts w:hint="eastAsia" w:ascii="宋体" w:hAnsi="宋体"/>
                <w:color w:val="auto"/>
                <w:kern w:val="2"/>
                <w:highlight w:val="none"/>
                <w:lang w:val="en-US" w:eastAsia="zh-CN"/>
              </w:rPr>
              <w:t>档案服务项目经理高级研修班证书的得1分</w:t>
            </w:r>
            <w:r>
              <w:rPr>
                <w:rFonts w:hint="eastAsia" w:ascii="宋体" w:hAnsi="宋体" w:eastAsia="宋体" w:cs="宋体"/>
                <w:color w:val="auto"/>
                <w:spacing w:val="-4"/>
                <w:kern w:val="0"/>
                <w:szCs w:val="21"/>
                <w:highlight w:val="none"/>
                <w:lang w:eastAsia="zh-CN"/>
              </w:rPr>
              <w:t>；</w:t>
            </w:r>
            <w:r>
              <w:rPr>
                <w:rFonts w:hint="eastAsia" w:ascii="宋体" w:hAnsi="宋体" w:eastAsia="宋体" w:cs="宋体"/>
                <w:color w:val="auto"/>
                <w:spacing w:val="-4"/>
                <w:kern w:val="0"/>
                <w:szCs w:val="21"/>
                <w:highlight w:val="none"/>
              </w:rPr>
              <w:t>具有保密教育培训证书的得</w:t>
            </w:r>
            <w:r>
              <w:rPr>
                <w:rFonts w:hint="eastAsia" w:ascii="宋体" w:hAnsi="宋体" w:eastAsia="宋体" w:cs="宋体"/>
                <w:color w:val="auto"/>
                <w:spacing w:val="-4"/>
                <w:kern w:val="0"/>
                <w:szCs w:val="21"/>
                <w:highlight w:val="none"/>
                <w:lang w:val="en-US" w:eastAsia="zh-CN"/>
              </w:rPr>
              <w:t>1</w:t>
            </w:r>
            <w:r>
              <w:rPr>
                <w:rFonts w:hint="eastAsia" w:ascii="宋体" w:hAnsi="宋体" w:eastAsia="宋体" w:cs="宋体"/>
                <w:color w:val="auto"/>
                <w:spacing w:val="-4"/>
                <w:kern w:val="0"/>
                <w:szCs w:val="21"/>
                <w:highlight w:val="none"/>
              </w:rPr>
              <w:t>分</w:t>
            </w:r>
            <w:r>
              <w:rPr>
                <w:rFonts w:hint="eastAsia" w:ascii="宋体" w:hAnsi="宋体" w:eastAsia="宋体" w:cs="宋体"/>
                <w:color w:val="auto"/>
                <w:spacing w:val="-4"/>
                <w:kern w:val="0"/>
                <w:szCs w:val="21"/>
                <w:highlight w:val="none"/>
                <w:lang w:eastAsia="zh-CN"/>
              </w:rPr>
              <w:t>，</w:t>
            </w:r>
            <w:r>
              <w:rPr>
                <w:rFonts w:hint="eastAsia" w:ascii="宋体" w:hAnsi="宋体" w:eastAsia="宋体" w:cs="宋体"/>
                <w:color w:val="auto"/>
                <w:spacing w:val="-4"/>
                <w:kern w:val="0"/>
                <w:szCs w:val="21"/>
                <w:highlight w:val="none"/>
              </w:rPr>
              <w:t>具有</w:t>
            </w:r>
            <w:r>
              <w:rPr>
                <w:rFonts w:hint="eastAsia" w:ascii="宋体" w:hAnsi="宋体" w:eastAsia="宋体" w:cs="宋体"/>
                <w:color w:val="auto"/>
                <w:spacing w:val="-4"/>
                <w:kern w:val="0"/>
                <w:szCs w:val="21"/>
                <w:highlight w:val="none"/>
                <w:lang w:eastAsia="zh-CN"/>
              </w:rPr>
              <w:t>人社部门颁发的档案高级职称证书</w:t>
            </w:r>
            <w:r>
              <w:rPr>
                <w:rFonts w:hint="eastAsia" w:ascii="宋体" w:hAnsi="宋体" w:cs="宋体"/>
                <w:color w:val="auto"/>
                <w:spacing w:val="-4"/>
                <w:kern w:val="0"/>
                <w:szCs w:val="21"/>
                <w:highlight w:val="none"/>
                <w:lang w:eastAsia="zh-CN"/>
              </w:rPr>
              <w:t>的得</w:t>
            </w:r>
            <w:r>
              <w:rPr>
                <w:rFonts w:hint="eastAsia" w:ascii="宋体" w:hAnsi="宋体" w:cs="宋体"/>
                <w:color w:val="auto"/>
                <w:spacing w:val="-4"/>
                <w:kern w:val="0"/>
                <w:szCs w:val="21"/>
                <w:highlight w:val="none"/>
                <w:lang w:val="en-US" w:eastAsia="zh-CN"/>
              </w:rPr>
              <w:t>1分，</w:t>
            </w:r>
            <w:r>
              <w:rPr>
                <w:rFonts w:hint="eastAsia" w:ascii="宋体" w:hAnsi="宋体" w:eastAsia="宋体" w:cs="宋体"/>
                <w:color w:val="auto"/>
                <w:spacing w:val="-4"/>
                <w:kern w:val="0"/>
                <w:szCs w:val="21"/>
                <w:highlight w:val="none"/>
                <w:lang w:eastAsia="zh-CN"/>
              </w:rPr>
              <w:t>最高得</w:t>
            </w:r>
            <w:r>
              <w:rPr>
                <w:rFonts w:hint="eastAsia" w:ascii="宋体" w:hAnsi="宋体" w:cs="宋体"/>
                <w:color w:val="auto"/>
                <w:spacing w:val="-4"/>
                <w:kern w:val="0"/>
                <w:szCs w:val="21"/>
                <w:highlight w:val="none"/>
                <w:lang w:val="en-US" w:eastAsia="zh-CN"/>
              </w:rPr>
              <w:t>3</w:t>
            </w:r>
            <w:r>
              <w:rPr>
                <w:rFonts w:hint="eastAsia" w:ascii="宋体" w:hAnsi="宋体" w:eastAsia="宋体" w:cs="宋体"/>
                <w:color w:val="auto"/>
                <w:spacing w:val="-4"/>
                <w:kern w:val="0"/>
                <w:szCs w:val="21"/>
                <w:highlight w:val="none"/>
                <w:lang w:val="en-US" w:eastAsia="zh-CN"/>
              </w:rPr>
              <w:t>分</w:t>
            </w:r>
            <w:r>
              <w:rPr>
                <w:rFonts w:hint="eastAsia" w:ascii="宋体" w:hAnsi="宋体" w:eastAsia="宋体" w:cs="宋体"/>
                <w:color w:val="auto"/>
                <w:spacing w:val="-4"/>
                <w:kern w:val="0"/>
                <w:szCs w:val="21"/>
                <w:highlight w:val="none"/>
                <w:lang w:val="en-US" w:eastAsia="zh-CN"/>
              </w:rPr>
              <w:t>。</w:t>
            </w:r>
          </w:p>
          <w:p w14:paraId="717514AB">
            <w:pPr>
              <w:pStyle w:val="2"/>
              <w:spacing w:after="0" w:line="360" w:lineRule="exact"/>
              <w:ind w:left="0" w:leftChars="0" w:firstLine="0" w:firstLineChars="0"/>
              <w:rPr>
                <w:rFonts w:ascii="宋体" w:hAnsi="宋体"/>
                <w:b w:val="0"/>
                <w:bCs w:val="0"/>
                <w:color w:val="auto"/>
                <w:kern w:val="2"/>
                <w:highlight w:val="none"/>
                <w:lang w:val="en-US" w:eastAsia="zh-CN"/>
              </w:rPr>
            </w:pPr>
            <w:r>
              <w:rPr>
                <w:rFonts w:hint="eastAsia" w:ascii="宋体" w:hAnsi="宋体"/>
                <w:color w:val="auto"/>
                <w:kern w:val="2"/>
                <w:highlight w:val="none"/>
                <w:lang w:val="en-US" w:eastAsia="zh-CN"/>
              </w:rPr>
              <w:t>2、拟投入本项目技术负责人</w:t>
            </w:r>
          </w:p>
          <w:p w14:paraId="30CCC67C">
            <w:pPr>
              <w:pStyle w:val="2"/>
              <w:spacing w:after="0" w:line="360" w:lineRule="exact"/>
              <w:ind w:left="0" w:leftChars="0" w:firstLine="0" w:firstLineChars="0"/>
              <w:rPr>
                <w:rFonts w:hint="eastAsia"/>
                <w:color w:val="auto"/>
                <w:highlight w:val="none"/>
              </w:rPr>
            </w:pPr>
            <w:r>
              <w:rPr>
                <w:rFonts w:hint="eastAsia" w:ascii="宋体" w:hAnsi="宋体"/>
                <w:color w:val="auto"/>
                <w:kern w:val="2"/>
                <w:highlight w:val="none"/>
                <w:lang w:val="en-US" w:eastAsia="zh-CN"/>
              </w:rPr>
              <w:t>具有</w:t>
            </w:r>
            <w:r>
              <w:rPr>
                <w:rFonts w:hint="eastAsia" w:ascii="宋体" w:hAnsi="宋体" w:eastAsia="宋体" w:cs="宋体"/>
                <w:color w:val="auto"/>
                <w:spacing w:val="-4"/>
                <w:szCs w:val="21"/>
                <w:highlight w:val="none"/>
                <w:lang w:eastAsia="zh-CN"/>
              </w:rPr>
              <w:t>中国</w:t>
            </w:r>
            <w:r>
              <w:rPr>
                <w:rFonts w:hint="eastAsia" w:ascii="宋体" w:hAnsi="宋体" w:eastAsia="宋体" w:cs="宋体"/>
                <w:color w:val="auto"/>
                <w:spacing w:val="-4"/>
                <w:szCs w:val="21"/>
                <w:highlight w:val="none"/>
              </w:rPr>
              <w:t>电子技术标准化研究院颁发</w:t>
            </w:r>
            <w:r>
              <w:rPr>
                <w:rFonts w:hint="eastAsia" w:cs="宋体"/>
                <w:color w:val="auto"/>
                <w:spacing w:val="-4"/>
                <w:szCs w:val="21"/>
                <w:highlight w:val="none"/>
                <w:lang w:eastAsia="zh-CN"/>
              </w:rPr>
              <w:t>的</w:t>
            </w:r>
            <w:r>
              <w:rPr>
                <w:rFonts w:hint="eastAsia" w:ascii="宋体" w:hAnsi="宋体"/>
                <w:color w:val="auto"/>
                <w:kern w:val="2"/>
                <w:highlight w:val="none"/>
                <w:lang w:val="en-US" w:eastAsia="zh-CN"/>
              </w:rPr>
              <w:t>IT服务工程师证书的得1分；具有保密教育培训证书的得1分，</w:t>
            </w:r>
            <w:r>
              <w:rPr>
                <w:rFonts w:hint="eastAsia" w:ascii="宋体" w:hAnsi="宋体" w:eastAsia="宋体" w:cs="宋体"/>
                <w:color w:val="auto"/>
                <w:spacing w:val="-4"/>
                <w:kern w:val="0"/>
                <w:szCs w:val="21"/>
                <w:highlight w:val="none"/>
              </w:rPr>
              <w:t>具有</w:t>
            </w:r>
            <w:r>
              <w:rPr>
                <w:rFonts w:hint="eastAsia" w:ascii="宋体" w:hAnsi="宋体" w:eastAsia="宋体" w:cs="宋体"/>
                <w:color w:val="auto"/>
                <w:spacing w:val="-4"/>
                <w:kern w:val="0"/>
                <w:szCs w:val="21"/>
                <w:highlight w:val="none"/>
                <w:lang w:eastAsia="zh-CN"/>
              </w:rPr>
              <w:t>人社部门颁发的档案高级职称证书</w:t>
            </w:r>
            <w:r>
              <w:rPr>
                <w:rFonts w:hint="eastAsia" w:ascii="宋体" w:hAnsi="宋体" w:cs="宋体"/>
                <w:color w:val="auto"/>
                <w:spacing w:val="-4"/>
                <w:kern w:val="0"/>
                <w:szCs w:val="21"/>
                <w:highlight w:val="none"/>
                <w:lang w:eastAsia="zh-CN"/>
              </w:rPr>
              <w:t>的得</w:t>
            </w:r>
            <w:r>
              <w:rPr>
                <w:rFonts w:hint="eastAsia" w:ascii="宋体" w:hAnsi="宋体" w:cs="宋体"/>
                <w:color w:val="auto"/>
                <w:spacing w:val="-4"/>
                <w:kern w:val="0"/>
                <w:szCs w:val="21"/>
                <w:highlight w:val="none"/>
                <w:lang w:val="en-US" w:eastAsia="zh-CN"/>
              </w:rPr>
              <w:t>1分，</w:t>
            </w:r>
            <w:r>
              <w:rPr>
                <w:rFonts w:hint="eastAsia" w:ascii="宋体" w:hAnsi="宋体" w:eastAsia="宋体" w:cs="宋体"/>
                <w:color w:val="auto"/>
                <w:spacing w:val="-4"/>
                <w:kern w:val="0"/>
                <w:szCs w:val="21"/>
                <w:highlight w:val="none"/>
                <w:lang w:eastAsia="zh-CN"/>
              </w:rPr>
              <w:t>最高得</w:t>
            </w:r>
            <w:r>
              <w:rPr>
                <w:rFonts w:hint="eastAsia" w:ascii="宋体" w:hAnsi="宋体" w:cs="宋体"/>
                <w:color w:val="auto"/>
                <w:spacing w:val="-4"/>
                <w:kern w:val="0"/>
                <w:szCs w:val="21"/>
                <w:highlight w:val="none"/>
                <w:lang w:val="en-US" w:eastAsia="zh-CN"/>
              </w:rPr>
              <w:t>3</w:t>
            </w:r>
            <w:r>
              <w:rPr>
                <w:rFonts w:hint="eastAsia" w:ascii="宋体" w:hAnsi="宋体" w:eastAsia="宋体" w:cs="宋体"/>
                <w:color w:val="auto"/>
                <w:spacing w:val="-4"/>
                <w:kern w:val="0"/>
                <w:szCs w:val="21"/>
                <w:highlight w:val="none"/>
                <w:lang w:val="en-US" w:eastAsia="zh-CN"/>
              </w:rPr>
              <w:t>分。</w:t>
            </w:r>
          </w:p>
          <w:p w14:paraId="2B009E40">
            <w:pPr>
              <w:numPr>
                <w:ilvl w:val="0"/>
                <w:numId w:val="0"/>
              </w:numPr>
              <w:spacing w:line="340" w:lineRule="exact"/>
              <w:ind w:leftChars="0"/>
              <w:contextualSpacing/>
              <w:rPr>
                <w:rFonts w:hint="eastAsia" w:ascii="宋体" w:hAnsi="宋体" w:eastAsia="宋体" w:cs="仿宋_GB2312"/>
                <w:color w:val="auto"/>
                <w:szCs w:val="21"/>
                <w:highlight w:val="none"/>
              </w:rPr>
            </w:pPr>
            <w:r>
              <w:rPr>
                <w:rFonts w:hint="eastAsia" w:ascii="宋体" w:hAnsi="宋体" w:eastAsia="宋体" w:cs="宋体"/>
                <w:color w:val="auto"/>
                <w:spacing w:val="-4"/>
                <w:kern w:val="0"/>
                <w:szCs w:val="21"/>
                <w:highlight w:val="none"/>
                <w:lang w:val="en-US" w:eastAsia="zh-CN"/>
              </w:rPr>
              <w:t>3、</w:t>
            </w:r>
            <w:r>
              <w:rPr>
                <w:rFonts w:hint="eastAsia" w:ascii="宋体" w:hAnsi="宋体" w:eastAsia="宋体" w:cs="宋体"/>
                <w:color w:val="auto"/>
                <w:spacing w:val="-4"/>
                <w:kern w:val="0"/>
                <w:szCs w:val="21"/>
                <w:highlight w:val="none"/>
              </w:rPr>
              <w:t>拟投入本项目现场作业人员（除项目负责人</w:t>
            </w:r>
            <w:r>
              <w:rPr>
                <w:rFonts w:hint="eastAsia" w:ascii="宋体" w:hAnsi="宋体" w:eastAsia="宋体" w:cs="宋体"/>
                <w:color w:val="auto"/>
                <w:spacing w:val="-4"/>
                <w:kern w:val="0"/>
                <w:szCs w:val="21"/>
                <w:highlight w:val="none"/>
                <w:lang w:eastAsia="zh-CN"/>
              </w:rPr>
              <w:t>及</w:t>
            </w:r>
            <w:r>
              <w:rPr>
                <w:rFonts w:hint="eastAsia" w:ascii="宋体" w:hAnsi="宋体"/>
                <w:color w:val="auto"/>
                <w:kern w:val="2"/>
                <w:highlight w:val="none"/>
                <w:lang w:val="en-US" w:eastAsia="zh-CN"/>
              </w:rPr>
              <w:t>项目技术负责人</w:t>
            </w:r>
            <w:r>
              <w:rPr>
                <w:rFonts w:hint="eastAsia" w:ascii="宋体" w:hAnsi="宋体" w:eastAsia="宋体" w:cs="宋体"/>
                <w:color w:val="auto"/>
                <w:spacing w:val="-4"/>
                <w:kern w:val="0"/>
                <w:szCs w:val="21"/>
                <w:highlight w:val="none"/>
              </w:rPr>
              <w:t>外）中具有</w:t>
            </w:r>
            <w:r>
              <w:rPr>
                <w:rFonts w:hint="eastAsia" w:ascii="宋体" w:hAnsi="宋体" w:eastAsia="宋体" w:cs="宋体"/>
                <w:color w:val="auto"/>
                <w:spacing w:val="-4"/>
                <w:szCs w:val="21"/>
                <w:highlight w:val="none"/>
                <w:lang w:eastAsia="zh-CN"/>
              </w:rPr>
              <w:t>中国</w:t>
            </w:r>
            <w:r>
              <w:rPr>
                <w:rFonts w:hint="eastAsia" w:ascii="宋体" w:hAnsi="宋体" w:eastAsia="宋体" w:cs="宋体"/>
                <w:color w:val="auto"/>
                <w:spacing w:val="-4"/>
                <w:szCs w:val="21"/>
                <w:highlight w:val="none"/>
              </w:rPr>
              <w:t>电子技术标准化研究院颁发的IT服务工程师证书、</w:t>
            </w:r>
            <w:r>
              <w:rPr>
                <w:rFonts w:hint="eastAsia" w:ascii="宋体" w:hAnsi="宋体" w:eastAsia="宋体" w:cs="宋体"/>
                <w:color w:val="auto"/>
                <w:spacing w:val="-4"/>
                <w:kern w:val="0"/>
                <w:szCs w:val="21"/>
                <w:highlight w:val="none"/>
              </w:rPr>
              <w:t>保密教育培训证书、档案干部教育培训中心颁发的档案业务培训证书</w:t>
            </w:r>
            <w:r>
              <w:rPr>
                <w:rFonts w:hint="eastAsia" w:ascii="宋体" w:hAnsi="宋体" w:cs="宋体"/>
                <w:color w:val="auto"/>
                <w:spacing w:val="-4"/>
                <w:kern w:val="0"/>
                <w:szCs w:val="21"/>
                <w:highlight w:val="none"/>
                <w:lang w:eastAsia="zh-CN"/>
              </w:rPr>
              <w:t>、</w:t>
            </w:r>
            <w:r>
              <w:rPr>
                <w:rFonts w:hint="eastAsia" w:ascii="宋体" w:hAnsi="宋体" w:eastAsia="宋体" w:cs="宋体"/>
                <w:color w:val="auto"/>
                <w:spacing w:val="-4"/>
                <w:kern w:val="0"/>
                <w:szCs w:val="21"/>
                <w:highlight w:val="none"/>
                <w:lang w:eastAsia="zh-CN"/>
              </w:rPr>
              <w:t>人社部门颁发的档案中级职称证书</w:t>
            </w:r>
            <w:r>
              <w:rPr>
                <w:rFonts w:hint="eastAsia" w:ascii="宋体" w:hAnsi="宋体" w:eastAsia="宋体" w:cs="宋体"/>
                <w:color w:val="auto"/>
                <w:spacing w:val="-4"/>
                <w:kern w:val="0"/>
                <w:szCs w:val="21"/>
                <w:highlight w:val="none"/>
              </w:rPr>
              <w:t>的每一项得1分，最高的</w:t>
            </w:r>
            <w:r>
              <w:rPr>
                <w:rFonts w:hint="eastAsia" w:ascii="宋体" w:hAnsi="宋体" w:cs="宋体"/>
                <w:color w:val="auto"/>
                <w:spacing w:val="-4"/>
                <w:kern w:val="0"/>
                <w:szCs w:val="21"/>
                <w:highlight w:val="none"/>
                <w:lang w:val="en-US" w:eastAsia="zh-CN"/>
              </w:rPr>
              <w:t>4</w:t>
            </w:r>
            <w:r>
              <w:rPr>
                <w:rFonts w:hint="eastAsia" w:ascii="宋体" w:hAnsi="宋体" w:eastAsia="宋体" w:cs="宋体"/>
                <w:color w:val="auto"/>
                <w:spacing w:val="-4"/>
                <w:kern w:val="0"/>
                <w:szCs w:val="21"/>
                <w:highlight w:val="none"/>
              </w:rPr>
              <w:t>分</w:t>
            </w:r>
            <w:r>
              <w:rPr>
                <w:rFonts w:hint="eastAsia" w:ascii="宋体" w:hAnsi="宋体" w:eastAsia="宋体" w:cs="宋体"/>
                <w:color w:val="auto"/>
                <w:spacing w:val="-4"/>
                <w:kern w:val="0"/>
                <w:szCs w:val="21"/>
                <w:highlight w:val="none"/>
              </w:rPr>
              <w:t>。</w:t>
            </w:r>
            <w:r>
              <w:rPr>
                <w:rFonts w:hint="eastAsia" w:ascii="宋体" w:hAnsi="宋体" w:eastAsia="宋体" w:cs="仿宋_GB2312"/>
                <w:color w:val="auto"/>
                <w:szCs w:val="21"/>
                <w:highlight w:val="none"/>
              </w:rPr>
              <w:t>（同一个人员拥有多个证书不重复得分）</w:t>
            </w:r>
          </w:p>
          <w:p w14:paraId="52F089FA">
            <w:pPr>
              <w:pStyle w:val="2"/>
              <w:spacing w:after="0" w:line="360" w:lineRule="exact"/>
              <w:ind w:left="0" w:leftChars="0" w:firstLine="0" w:firstLineChars="0"/>
              <w:rPr>
                <w:rFonts w:hint="eastAsia" w:ascii="宋体" w:hAnsi="宋体"/>
                <w:color w:val="auto"/>
                <w:kern w:val="2"/>
                <w:highlight w:val="none"/>
                <w:lang w:val="en-US" w:eastAsia="zh-CN"/>
              </w:rPr>
            </w:pPr>
            <w:r>
              <w:rPr>
                <w:rFonts w:hint="eastAsia" w:ascii="宋体" w:hAnsi="宋体"/>
                <w:color w:val="auto"/>
                <w:kern w:val="2"/>
                <w:highlight w:val="none"/>
                <w:lang w:val="en-US" w:eastAsia="zh-CN"/>
              </w:rPr>
              <w:t>4、拟投入本项目售后服务人员</w:t>
            </w:r>
          </w:p>
          <w:p w14:paraId="0DC2D50F">
            <w:pPr>
              <w:jc w:val="left"/>
              <w:rPr>
                <w:rFonts w:hint="eastAsia" w:ascii="宋体" w:hAnsi="宋体"/>
                <w:color w:val="auto"/>
                <w:kern w:val="2"/>
                <w:highlight w:val="none"/>
                <w:lang w:val="en-US" w:eastAsia="zh-CN"/>
              </w:rPr>
            </w:pPr>
            <w:r>
              <w:rPr>
                <w:rFonts w:hint="eastAsia" w:ascii="宋体" w:hAnsi="宋体"/>
                <w:color w:val="auto"/>
                <w:kern w:val="2"/>
                <w:highlight w:val="none"/>
                <w:lang w:val="en-US" w:eastAsia="zh-CN"/>
              </w:rPr>
              <w:t>具有保密教育培训证书的得1分。</w:t>
            </w:r>
          </w:p>
          <w:p w14:paraId="4B8E0D31">
            <w:pPr>
              <w:jc w:val="left"/>
              <w:rPr>
                <w:rFonts w:hint="eastAsia" w:ascii="宋体" w:hAnsi="宋体"/>
                <w:color w:val="auto"/>
                <w:kern w:val="2"/>
                <w:highlight w:val="none"/>
                <w:lang w:val="en-US" w:eastAsia="zh-CN"/>
              </w:rPr>
            </w:pPr>
            <w:r>
              <w:rPr>
                <w:rFonts w:hint="eastAsia" w:ascii="宋体" w:hAnsi="宋体"/>
                <w:color w:val="auto"/>
                <w:kern w:val="2"/>
                <w:highlight w:val="none"/>
                <w:lang w:val="en-US" w:eastAsia="zh-CN"/>
              </w:rPr>
              <w:t>注：提供以上人员相应的证书复印件或扫描件并加盖投标人公章，否则不得分）</w:t>
            </w:r>
          </w:p>
        </w:tc>
        <w:tc>
          <w:tcPr>
            <w:tcW w:w="1257" w:type="dxa"/>
            <w:tcBorders>
              <w:top w:val="single" w:color="auto" w:sz="4" w:space="0"/>
              <w:left w:val="single" w:color="auto" w:sz="4" w:space="0"/>
              <w:bottom w:val="single" w:color="auto" w:sz="4" w:space="0"/>
              <w:right w:val="single" w:color="auto" w:sz="4" w:space="0"/>
            </w:tcBorders>
            <w:vAlign w:val="center"/>
          </w:tcPr>
          <w:p w14:paraId="42E0B23E">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11分</w:t>
            </w:r>
          </w:p>
        </w:tc>
      </w:tr>
      <w:tr w14:paraId="7D424A7C">
        <w:tblPrEx>
          <w:tblCellMar>
            <w:top w:w="0" w:type="dxa"/>
            <w:left w:w="108" w:type="dxa"/>
            <w:bottom w:w="0" w:type="dxa"/>
            <w:right w:w="108" w:type="dxa"/>
          </w:tblCellMar>
        </w:tblPrEx>
        <w:trPr>
          <w:trHeight w:val="907" w:hRule="exac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14:paraId="52E9CDA7">
            <w:pPr>
              <w:pStyle w:val="82"/>
              <w:tabs>
                <w:tab w:val="left" w:pos="0"/>
                <w:tab w:val="clear" w:pos="8268"/>
              </w:tabs>
              <w:spacing w:line="302" w:lineRule="auto"/>
              <w:jc w:val="center"/>
              <w:rPr>
                <w:rFonts w:hint="eastAsia" w:asciiTheme="minorEastAsia" w:hAnsiTheme="minorEastAsia" w:eastAsiaTheme="minorEastAsia" w:cstheme="minorEastAsia"/>
                <w:color w:val="auto"/>
                <w:sz w:val="21"/>
                <w:szCs w:val="21"/>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4EE9759F">
            <w:pPr>
              <w:widowControl/>
              <w:spacing w:line="280" w:lineRule="exact"/>
              <w:jc w:val="center"/>
              <w:rPr>
                <w:rFonts w:hint="eastAsia" w:asciiTheme="minorEastAsia" w:hAnsiTheme="minorEastAsia" w:eastAsiaTheme="minorEastAsia" w:cstheme="minorEastAsia"/>
                <w:color w:val="auto"/>
                <w:kern w:val="0"/>
                <w:sz w:val="21"/>
                <w:szCs w:val="21"/>
                <w:highlight w:val="none"/>
                <w:lang w:eastAsia="zh-CN"/>
              </w:rPr>
            </w:pPr>
            <w:r>
              <w:rPr>
                <w:rStyle w:val="971"/>
                <w:rFonts w:hint="eastAsia" w:eastAsia="新宋体" w:asciiTheme="minorEastAsia" w:hAnsiTheme="minorEastAsia" w:cstheme="minorEastAsia"/>
                <w:color w:val="auto"/>
                <w:kern w:val="0"/>
                <w:sz w:val="21"/>
                <w:szCs w:val="21"/>
                <w:highlight w:val="none"/>
                <w:lang w:val="en-US" w:eastAsia="zh-CN"/>
              </w:rPr>
              <w:t>保密服务承诺</w:t>
            </w:r>
          </w:p>
        </w:tc>
        <w:tc>
          <w:tcPr>
            <w:tcW w:w="6087" w:type="dxa"/>
            <w:tcBorders>
              <w:top w:val="single" w:color="auto" w:sz="4" w:space="0"/>
              <w:left w:val="single" w:color="auto" w:sz="4" w:space="0"/>
              <w:bottom w:val="single" w:color="auto" w:sz="4" w:space="0"/>
              <w:right w:val="single" w:color="auto" w:sz="4" w:space="0"/>
            </w:tcBorders>
            <w:vAlign w:val="center"/>
          </w:tcPr>
          <w:p w14:paraId="14CB6990">
            <w:pPr>
              <w:tabs>
                <w:tab w:val="left" w:pos="217"/>
              </w:tabs>
              <w:spacing w:before="53" w:line="261" w:lineRule="auto"/>
              <w:ind w:right="155" w:rightChars="0"/>
              <w:jc w:val="left"/>
              <w:rPr>
                <w:rFonts w:hint="eastAsia" w:ascii="宋体" w:hAnsi="宋体"/>
                <w:color w:val="auto"/>
                <w:kern w:val="2"/>
                <w:highlight w:val="none"/>
                <w:lang w:val="en-US" w:eastAsia="zh-CN"/>
              </w:rPr>
            </w:pPr>
            <w:r>
              <w:rPr>
                <w:rStyle w:val="971"/>
                <w:rFonts w:hint="eastAsia" w:eastAsia="新宋体" w:asciiTheme="minorEastAsia" w:hAnsiTheme="minorEastAsia" w:cstheme="minorEastAsia"/>
                <w:color w:val="auto"/>
                <w:kern w:val="0"/>
                <w:sz w:val="21"/>
                <w:szCs w:val="21"/>
                <w:highlight w:val="none"/>
                <w:lang w:val="en-US" w:eastAsia="zh-CN"/>
              </w:rPr>
              <w:t>根据投标人针对本项目提供保密服务承诺的得3分，未提供或无相关内容的不得分。</w:t>
            </w:r>
          </w:p>
        </w:tc>
        <w:tc>
          <w:tcPr>
            <w:tcW w:w="1257" w:type="dxa"/>
            <w:tcBorders>
              <w:top w:val="single" w:color="auto" w:sz="4" w:space="0"/>
              <w:left w:val="single" w:color="auto" w:sz="4" w:space="0"/>
              <w:bottom w:val="single" w:color="auto" w:sz="4" w:space="0"/>
              <w:right w:val="single" w:color="auto" w:sz="4" w:space="0"/>
            </w:tcBorders>
            <w:vAlign w:val="center"/>
          </w:tcPr>
          <w:p w14:paraId="329C173B">
            <w:pPr>
              <w:widowControl/>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3分</w:t>
            </w:r>
          </w:p>
        </w:tc>
      </w:tr>
    </w:tbl>
    <w:p w14:paraId="15C062E0">
      <w:pPr>
        <w:snapToGrid w:val="0"/>
        <w:spacing w:before="72" w:beforeLines="30" w:line="400" w:lineRule="exact"/>
        <w:jc w:val="left"/>
        <w:outlineLvl w:val="1"/>
        <w:rPr>
          <w:rFonts w:ascii="宋体" w:hAnsi="宋体" w:cs="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三</w:t>
      </w:r>
      <w:r>
        <w:rPr>
          <w:rFonts w:hint="eastAsia" w:ascii="宋体" w:hAnsi="宋体"/>
          <w:b/>
          <w:color w:val="auto"/>
          <w:sz w:val="24"/>
          <w:highlight w:val="none"/>
        </w:rPr>
        <w:t>）技术分</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70</w:t>
      </w:r>
      <w:r>
        <w:rPr>
          <w:rFonts w:hint="eastAsia" w:ascii="宋体" w:hAnsi="宋体" w:cs="宋体"/>
          <w:b/>
          <w:color w:val="auto"/>
          <w:sz w:val="24"/>
          <w:highlight w:val="none"/>
        </w:rPr>
        <w:t>分）</w:t>
      </w:r>
    </w:p>
    <w:tbl>
      <w:tblPr>
        <w:tblStyle w:val="64"/>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493"/>
        <w:gridCol w:w="6065"/>
        <w:gridCol w:w="1245"/>
      </w:tblGrid>
      <w:tr w14:paraId="2AF3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517" w:type="dxa"/>
            <w:vMerge w:val="restart"/>
            <w:tcBorders>
              <w:tl2br w:val="nil"/>
              <w:tr2bl w:val="nil"/>
            </w:tcBorders>
            <w:vAlign w:val="center"/>
          </w:tcPr>
          <w:p w14:paraId="7F2DF73C">
            <w:pPr>
              <w:pStyle w:val="82"/>
              <w:widowControl/>
              <w:tabs>
                <w:tab w:val="left" w:pos="0"/>
                <w:tab w:val="clear" w:pos="8268"/>
              </w:tabs>
              <w:spacing w:line="400" w:lineRule="atLeast"/>
              <w:ind w:firstLine="0" w:firstLineChars="0"/>
              <w:rPr>
                <w:rStyle w:val="971"/>
                <w:rFonts w:hint="eastAsia" w:asciiTheme="minorEastAsia" w:hAnsiTheme="minorEastAsia" w:eastAsiaTheme="minorEastAsia" w:cstheme="minorEastAsia"/>
                <w:color w:val="auto"/>
                <w:sz w:val="21"/>
                <w:szCs w:val="21"/>
                <w:highlight w:val="none"/>
              </w:rPr>
            </w:pPr>
            <w:r>
              <w:rPr>
                <w:rStyle w:val="971"/>
                <w:rFonts w:hint="eastAsia" w:asciiTheme="minorEastAsia" w:hAnsiTheme="minorEastAsia" w:eastAsiaTheme="minorEastAsia" w:cstheme="minorEastAsia"/>
                <w:color w:val="auto"/>
                <w:sz w:val="21"/>
                <w:szCs w:val="21"/>
                <w:highlight w:val="none"/>
              </w:rPr>
              <w:t>技术分</w:t>
            </w:r>
            <w:r>
              <w:rPr>
                <w:rStyle w:val="971"/>
                <w:rFonts w:hint="eastAsia" w:asciiTheme="minorEastAsia" w:hAnsiTheme="minorEastAsia" w:eastAsiaTheme="minorEastAsia" w:cstheme="minorEastAsia"/>
                <w:color w:val="auto"/>
                <w:sz w:val="21"/>
                <w:szCs w:val="21"/>
                <w:highlight w:val="none"/>
                <w:lang w:val="en-US"/>
              </w:rPr>
              <w:t>70</w:t>
            </w:r>
            <w:r>
              <w:rPr>
                <w:rStyle w:val="971"/>
                <w:rFonts w:hint="eastAsia" w:asciiTheme="minorEastAsia" w:hAnsiTheme="minorEastAsia" w:eastAsiaTheme="minorEastAsia" w:cstheme="minorEastAsia"/>
                <w:color w:val="auto"/>
                <w:sz w:val="21"/>
                <w:szCs w:val="21"/>
                <w:highlight w:val="none"/>
              </w:rPr>
              <w:t>分</w:t>
            </w:r>
          </w:p>
          <w:p w14:paraId="7B9B8E2D">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tcBorders>
              <w:tl2br w:val="nil"/>
              <w:tr2bl w:val="nil"/>
            </w:tcBorders>
            <w:vAlign w:val="center"/>
          </w:tcPr>
          <w:p w14:paraId="05F630E6">
            <w:pPr>
              <w:widowControl/>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总体实施方案</w:t>
            </w:r>
          </w:p>
        </w:tc>
        <w:tc>
          <w:tcPr>
            <w:tcW w:w="6065" w:type="dxa"/>
            <w:tcBorders>
              <w:tl2br w:val="nil"/>
              <w:tr2bl w:val="nil"/>
            </w:tcBorders>
            <w:vAlign w:val="top"/>
          </w:tcPr>
          <w:p w14:paraId="038CEDED">
            <w:pPr>
              <w:spacing w:before="147" w:line="283" w:lineRule="auto"/>
              <w:ind w:right="105" w:rightChars="0"/>
              <w:jc w:val="left"/>
              <w:rPr>
                <w:rFonts w:hint="eastAsia" w:asciiTheme="minorEastAsia" w:hAnsiTheme="minorEastAsia" w:eastAsiaTheme="minorEastAsia" w:cstheme="minorEastAsia"/>
                <w:color w:val="auto"/>
                <w:spacing w:val="-2"/>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rPr>
              <w:t>根据投标人</w:t>
            </w:r>
            <w:r>
              <w:rPr>
                <w:rFonts w:hint="eastAsia" w:asciiTheme="minorEastAsia" w:hAnsiTheme="minorEastAsia" w:eastAsiaTheme="minorEastAsia" w:cstheme="minorEastAsia"/>
                <w:color w:val="auto"/>
                <w:spacing w:val="-2"/>
                <w:sz w:val="21"/>
                <w:szCs w:val="21"/>
                <w:highlight w:val="none"/>
                <w:lang w:eastAsia="zh-CN"/>
              </w:rPr>
              <w:t>提出的</w:t>
            </w:r>
            <w:r>
              <w:rPr>
                <w:rFonts w:hint="eastAsia" w:asciiTheme="minorEastAsia" w:hAnsiTheme="minorEastAsia" w:eastAsiaTheme="minorEastAsia" w:cstheme="minorEastAsia"/>
                <w:color w:val="auto"/>
                <w:spacing w:val="-2"/>
                <w:sz w:val="21"/>
                <w:szCs w:val="21"/>
                <w:highlight w:val="none"/>
              </w:rPr>
              <w:t>总体实施方案</w:t>
            </w:r>
            <w:r>
              <w:rPr>
                <w:rFonts w:hint="eastAsia" w:asciiTheme="minorEastAsia" w:hAnsiTheme="minorEastAsia" w:eastAsiaTheme="minorEastAsia" w:cstheme="minorEastAsia"/>
                <w:color w:val="auto"/>
                <w:sz w:val="21"/>
                <w:szCs w:val="21"/>
                <w:highlight w:val="none"/>
                <w:lang w:eastAsia="zh-CN"/>
              </w:rPr>
              <w:t>进行打分</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rPr>
              <w:t>包括项目背景及现状、相关标准及规范、项目需求、建设目标、技术路线、工作流程等</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rPr>
              <w:t>（评分范围：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tc>
        <w:tc>
          <w:tcPr>
            <w:tcW w:w="1245" w:type="dxa"/>
            <w:tcBorders>
              <w:tl2br w:val="nil"/>
              <w:tr2bl w:val="nil"/>
            </w:tcBorders>
            <w:vAlign w:val="center"/>
          </w:tcPr>
          <w:p w14:paraId="5FEE1154">
            <w:pPr>
              <w:widowControl/>
              <w:spacing w:line="28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r>
      <w:tr w14:paraId="2D04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517" w:type="dxa"/>
            <w:vMerge w:val="continue"/>
            <w:tcBorders>
              <w:tl2br w:val="nil"/>
              <w:tr2bl w:val="nil"/>
            </w:tcBorders>
            <w:vAlign w:val="center"/>
          </w:tcPr>
          <w:p w14:paraId="5720E613">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tcBorders>
              <w:tl2br w:val="nil"/>
              <w:tr2bl w:val="nil"/>
            </w:tcBorders>
            <w:vAlign w:val="center"/>
          </w:tcPr>
          <w:p w14:paraId="529BE9E3">
            <w:pPr>
              <w:widowControl/>
              <w:spacing w:line="28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档案交接方案</w:t>
            </w:r>
          </w:p>
        </w:tc>
        <w:tc>
          <w:tcPr>
            <w:tcW w:w="6065" w:type="dxa"/>
            <w:tcBorders>
              <w:tl2br w:val="nil"/>
              <w:tr2bl w:val="nil"/>
            </w:tcBorders>
            <w:vAlign w:val="top"/>
          </w:tcPr>
          <w:p w14:paraId="59506531">
            <w:pPr>
              <w:spacing w:before="147" w:line="283" w:lineRule="auto"/>
              <w:ind w:right="105" w:rightChars="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lang w:eastAsia="zh-CN"/>
              </w:rPr>
              <w:t>投标人除有完善的档案交接台账外，有针对本项目的实际情况建立完善的档案交接方案，</w:t>
            </w:r>
            <w:r>
              <w:rPr>
                <w:rFonts w:hint="eastAsia" w:asciiTheme="minorEastAsia" w:hAnsiTheme="minorEastAsia" w:eastAsiaTheme="minorEastAsia" w:cstheme="minorEastAsia"/>
                <w:color w:val="auto"/>
                <w:sz w:val="21"/>
                <w:szCs w:val="21"/>
                <w:highlight w:val="none"/>
                <w:lang w:eastAsia="zh-CN"/>
              </w:rPr>
              <w:t>根据方案</w:t>
            </w:r>
            <w:r>
              <w:rPr>
                <w:rFonts w:hint="eastAsia" w:asciiTheme="minorEastAsia" w:hAnsiTheme="minorEastAsia" w:eastAsiaTheme="minorEastAsia" w:cstheme="minorEastAsia"/>
                <w:color w:val="auto"/>
                <w:spacing w:val="-2"/>
                <w:sz w:val="21"/>
                <w:szCs w:val="21"/>
                <w:highlight w:val="none"/>
                <w:lang w:eastAsia="zh-CN"/>
              </w:rPr>
              <w:t>进行打分</w:t>
            </w:r>
            <w:r>
              <w:rPr>
                <w:rFonts w:hint="eastAsia" w:asciiTheme="minorEastAsia" w:hAnsiTheme="minorEastAsia" w:eastAsiaTheme="minorEastAsia" w:cstheme="minorEastAsia"/>
                <w:color w:val="auto"/>
                <w:sz w:val="21"/>
                <w:szCs w:val="21"/>
                <w:highlight w:val="none"/>
                <w:lang w:eastAsia="zh-CN"/>
              </w:rPr>
              <w:t>（评分范围：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tc>
        <w:tc>
          <w:tcPr>
            <w:tcW w:w="1245" w:type="dxa"/>
            <w:tcBorders>
              <w:tl2br w:val="nil"/>
              <w:tr2bl w:val="nil"/>
            </w:tcBorders>
            <w:vAlign w:val="center"/>
          </w:tcPr>
          <w:p w14:paraId="7AAA53FC">
            <w:pPr>
              <w:widowControl/>
              <w:spacing w:line="28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r>
      <w:tr w14:paraId="1287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17" w:type="dxa"/>
            <w:vMerge w:val="continue"/>
            <w:tcBorders>
              <w:tl2br w:val="nil"/>
              <w:tr2bl w:val="nil"/>
            </w:tcBorders>
            <w:vAlign w:val="center"/>
          </w:tcPr>
          <w:p w14:paraId="434CE0A4">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tcBorders>
              <w:tl2br w:val="nil"/>
              <w:tr2bl w:val="nil"/>
            </w:tcBorders>
            <w:vAlign w:val="center"/>
          </w:tcPr>
          <w:p w14:paraId="603A98FE">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档案整理方案</w:t>
            </w:r>
          </w:p>
        </w:tc>
        <w:tc>
          <w:tcPr>
            <w:tcW w:w="6065" w:type="dxa"/>
            <w:tcBorders>
              <w:tl2br w:val="nil"/>
              <w:tr2bl w:val="nil"/>
            </w:tcBorders>
            <w:vAlign w:val="top"/>
          </w:tcPr>
          <w:p w14:paraId="1FC84DA7">
            <w:pPr>
              <w:spacing w:before="147" w:line="283" w:lineRule="auto"/>
              <w:ind w:right="105" w:rightChars="0"/>
              <w:rPr>
                <w:rFonts w:hint="eastAsia" w:asciiTheme="minorEastAsia" w:hAnsiTheme="minorEastAsia" w:eastAsiaTheme="minorEastAsia" w:cstheme="minorEastAsia"/>
                <w:color w:val="auto"/>
                <w:spacing w:val="-2"/>
                <w:kern w:val="2"/>
                <w:sz w:val="21"/>
                <w:szCs w:val="21"/>
                <w:highlight w:val="none"/>
                <w:lang w:val="en-US" w:eastAsia="zh-CN" w:bidi="ar-SA"/>
              </w:rPr>
            </w:pPr>
            <w:r>
              <w:rPr>
                <w:rFonts w:hint="eastAsia" w:asciiTheme="minorEastAsia" w:hAnsiTheme="minorEastAsia" w:eastAsiaTheme="minorEastAsia" w:cstheme="minorEastAsia"/>
                <w:color w:val="auto"/>
                <w:spacing w:val="-2"/>
                <w:kern w:val="2"/>
                <w:sz w:val="21"/>
                <w:szCs w:val="21"/>
                <w:highlight w:val="none"/>
                <w:lang w:val="en-US" w:eastAsia="zh-CN" w:bidi="ar-SA"/>
              </w:rPr>
              <w:t>根据投标人提供有针对</w:t>
            </w:r>
            <w:r>
              <w:rPr>
                <w:rFonts w:hint="eastAsia" w:asciiTheme="minorEastAsia" w:hAnsiTheme="minorEastAsia" w:eastAsiaTheme="minorEastAsia" w:cstheme="minorEastAsia"/>
                <w:color w:val="auto"/>
                <w:spacing w:val="-2"/>
                <w:sz w:val="21"/>
                <w:szCs w:val="21"/>
                <w:highlight w:val="none"/>
                <w:lang w:eastAsia="zh-CN"/>
              </w:rPr>
              <w:t>本项目</w:t>
            </w:r>
            <w:r>
              <w:rPr>
                <w:rFonts w:hint="eastAsia" w:asciiTheme="minorEastAsia" w:hAnsiTheme="minorEastAsia" w:eastAsiaTheme="minorEastAsia" w:cstheme="minorEastAsia"/>
                <w:color w:val="auto"/>
                <w:spacing w:val="-2"/>
                <w:kern w:val="2"/>
                <w:sz w:val="21"/>
                <w:szCs w:val="21"/>
                <w:highlight w:val="none"/>
                <w:lang w:val="en-US" w:eastAsia="zh-CN" w:bidi="ar-SA"/>
              </w:rPr>
              <w:t>的特点有独特的划分保管期限、分类鉴定、排序整理、编写页码、分配档号、著录条目、打印表单、装订装盒、建立台账、归档上架等方案进行打分</w:t>
            </w:r>
            <w:r>
              <w:rPr>
                <w:rFonts w:hint="eastAsia" w:asciiTheme="minorEastAsia" w:hAnsiTheme="minorEastAsia" w:eastAsiaTheme="minorEastAsia" w:cstheme="minorEastAsia"/>
                <w:color w:val="auto"/>
                <w:sz w:val="21"/>
                <w:szCs w:val="21"/>
                <w:highlight w:val="none"/>
                <w:lang w:eastAsia="zh-CN"/>
              </w:rPr>
              <w:t>（评分范围：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tc>
        <w:tc>
          <w:tcPr>
            <w:tcW w:w="1245" w:type="dxa"/>
            <w:tcBorders>
              <w:tl2br w:val="nil"/>
              <w:tr2bl w:val="nil"/>
            </w:tcBorders>
            <w:vAlign w:val="center"/>
          </w:tcPr>
          <w:p w14:paraId="071A222E">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r>
      <w:tr w14:paraId="1A06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17" w:type="dxa"/>
            <w:vMerge w:val="continue"/>
            <w:tcBorders>
              <w:tl2br w:val="nil"/>
              <w:tr2bl w:val="nil"/>
            </w:tcBorders>
            <w:vAlign w:val="center"/>
          </w:tcPr>
          <w:p w14:paraId="459DB1D9">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tcBorders>
              <w:tl2br w:val="nil"/>
              <w:tr2bl w:val="nil"/>
            </w:tcBorders>
            <w:vAlign w:val="center"/>
          </w:tcPr>
          <w:p w14:paraId="6396DCD5">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档案数字化建库方案</w:t>
            </w:r>
          </w:p>
        </w:tc>
        <w:tc>
          <w:tcPr>
            <w:tcW w:w="6065" w:type="dxa"/>
            <w:tcBorders>
              <w:tl2br w:val="nil"/>
              <w:tr2bl w:val="nil"/>
            </w:tcBorders>
            <w:vAlign w:val="top"/>
          </w:tcPr>
          <w:p w14:paraId="7FA841C5">
            <w:pPr>
              <w:spacing w:before="147" w:line="283" w:lineRule="auto"/>
              <w:ind w:right="105" w:rightChars="0"/>
              <w:rPr>
                <w:rFonts w:hint="eastAsia" w:asciiTheme="minorEastAsia" w:hAnsiTheme="minorEastAsia" w:eastAsiaTheme="minorEastAsia" w:cstheme="minorEastAsia"/>
                <w:color w:val="auto"/>
                <w:spacing w:val="-2"/>
                <w:kern w:val="2"/>
                <w:sz w:val="21"/>
                <w:szCs w:val="21"/>
                <w:highlight w:val="none"/>
                <w:lang w:val="en-US" w:eastAsia="zh-CN" w:bidi="ar-SA"/>
              </w:rPr>
            </w:pPr>
            <w:r>
              <w:rPr>
                <w:rFonts w:hint="eastAsia" w:asciiTheme="minorEastAsia" w:hAnsiTheme="minorEastAsia" w:eastAsiaTheme="minorEastAsia" w:cstheme="minorEastAsia"/>
                <w:color w:val="auto"/>
                <w:spacing w:val="-2"/>
                <w:kern w:val="2"/>
                <w:sz w:val="21"/>
                <w:szCs w:val="21"/>
                <w:highlight w:val="none"/>
                <w:lang w:val="en-US" w:eastAsia="zh-CN" w:bidi="ar-SA"/>
              </w:rPr>
              <w:t>根据投标人提供有针对</w:t>
            </w:r>
            <w:r>
              <w:rPr>
                <w:rFonts w:hint="eastAsia" w:asciiTheme="minorEastAsia" w:hAnsiTheme="minorEastAsia" w:eastAsiaTheme="minorEastAsia" w:cstheme="minorEastAsia"/>
                <w:color w:val="auto"/>
                <w:spacing w:val="-2"/>
                <w:sz w:val="21"/>
                <w:szCs w:val="21"/>
                <w:highlight w:val="none"/>
                <w:lang w:eastAsia="zh-CN"/>
              </w:rPr>
              <w:t>本项目</w:t>
            </w:r>
            <w:r>
              <w:rPr>
                <w:rFonts w:hint="eastAsia" w:asciiTheme="minorEastAsia" w:hAnsiTheme="minorEastAsia" w:eastAsiaTheme="minorEastAsia" w:cstheme="minorEastAsia"/>
                <w:color w:val="auto"/>
                <w:spacing w:val="-2"/>
                <w:kern w:val="2"/>
                <w:sz w:val="21"/>
                <w:szCs w:val="21"/>
                <w:highlight w:val="none"/>
                <w:lang w:val="en-US" w:eastAsia="zh-CN" w:bidi="ar-SA"/>
              </w:rPr>
              <w:t>的特点提供完善的扫描前处理、档案扫描、图像处理、图像存储、数据挂接、质检、数据备份、成果验收、电子档案规范化处理、作业</w:t>
            </w:r>
            <w:bookmarkStart w:id="36" w:name="_GoBack"/>
            <w:bookmarkEnd w:id="36"/>
            <w:r>
              <w:rPr>
                <w:rFonts w:hint="eastAsia" w:asciiTheme="minorEastAsia" w:hAnsiTheme="minorEastAsia" w:eastAsiaTheme="minorEastAsia" w:cstheme="minorEastAsia"/>
                <w:color w:val="auto"/>
                <w:spacing w:val="-2"/>
                <w:kern w:val="2"/>
                <w:sz w:val="21"/>
                <w:szCs w:val="21"/>
                <w:highlight w:val="none"/>
                <w:lang w:val="en-US" w:eastAsia="zh-CN" w:bidi="ar-SA"/>
              </w:rPr>
              <w:t>过程实时调阅档案、调档日志、数据备份与提交、后续服务等方案进行打分</w:t>
            </w:r>
            <w:r>
              <w:rPr>
                <w:rFonts w:hint="eastAsia" w:asciiTheme="minorEastAsia" w:hAnsiTheme="minorEastAsia" w:eastAsiaTheme="minorEastAsia" w:cstheme="minorEastAsia"/>
                <w:color w:val="auto"/>
                <w:sz w:val="21"/>
                <w:szCs w:val="21"/>
                <w:highlight w:val="none"/>
                <w:lang w:eastAsia="zh-CN"/>
              </w:rPr>
              <w:t>（评分范围：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tc>
        <w:tc>
          <w:tcPr>
            <w:tcW w:w="1245" w:type="dxa"/>
            <w:tcBorders>
              <w:tl2br w:val="nil"/>
              <w:tr2bl w:val="nil"/>
            </w:tcBorders>
            <w:vAlign w:val="center"/>
          </w:tcPr>
          <w:p w14:paraId="67E01EFD">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r>
      <w:tr w14:paraId="7177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17" w:type="dxa"/>
            <w:vMerge w:val="continue"/>
            <w:tcBorders>
              <w:tl2br w:val="nil"/>
              <w:tr2bl w:val="nil"/>
            </w:tcBorders>
            <w:vAlign w:val="center"/>
          </w:tcPr>
          <w:p w14:paraId="161FAB09">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tcBorders>
              <w:tl2br w:val="nil"/>
              <w:tr2bl w:val="nil"/>
            </w:tcBorders>
            <w:vAlign w:val="center"/>
          </w:tcPr>
          <w:p w14:paraId="237A5D52">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档案原件保护措施</w:t>
            </w:r>
          </w:p>
        </w:tc>
        <w:tc>
          <w:tcPr>
            <w:tcW w:w="6065" w:type="dxa"/>
            <w:tcBorders>
              <w:tl2br w:val="nil"/>
              <w:tr2bl w:val="nil"/>
            </w:tcBorders>
            <w:vAlign w:val="top"/>
          </w:tcPr>
          <w:p w14:paraId="328E691D">
            <w:pPr>
              <w:spacing w:before="147" w:line="283" w:lineRule="auto"/>
              <w:ind w:right="105" w:rightChars="0"/>
              <w:rPr>
                <w:rFonts w:hint="eastAsia" w:asciiTheme="minorEastAsia" w:hAnsiTheme="minorEastAsia" w:eastAsiaTheme="minorEastAsia" w:cstheme="minorEastAsia"/>
                <w:color w:val="auto"/>
                <w:spacing w:val="-2"/>
                <w:kern w:val="2"/>
                <w:sz w:val="21"/>
                <w:szCs w:val="21"/>
                <w:highlight w:val="none"/>
                <w:lang w:val="en-US" w:eastAsia="zh-CN" w:bidi="ar-SA"/>
              </w:rPr>
            </w:pPr>
            <w:r>
              <w:rPr>
                <w:rFonts w:hint="eastAsia" w:asciiTheme="minorEastAsia" w:hAnsiTheme="minorEastAsia" w:eastAsiaTheme="minorEastAsia" w:cstheme="minorEastAsia"/>
                <w:color w:val="auto"/>
                <w:spacing w:val="-2"/>
                <w:kern w:val="2"/>
                <w:sz w:val="21"/>
                <w:szCs w:val="21"/>
                <w:highlight w:val="none"/>
                <w:lang w:val="en-US" w:eastAsia="zh-CN" w:bidi="ar-SA"/>
              </w:rPr>
              <w:t>制定保护档案原件具体措施，使档案在整理扫描加工过程中少受损害、降低档案遗失风险等情况的具体措施，根据供应商提供措施进行打分</w:t>
            </w:r>
            <w:r>
              <w:rPr>
                <w:rFonts w:hint="eastAsia" w:asciiTheme="minorEastAsia" w:hAnsiTheme="minorEastAsia" w:eastAsiaTheme="minorEastAsia" w:cstheme="minorEastAsia"/>
                <w:color w:val="auto"/>
                <w:sz w:val="21"/>
                <w:szCs w:val="21"/>
                <w:highlight w:val="none"/>
                <w:lang w:eastAsia="zh-CN"/>
              </w:rPr>
              <w:t>（评分范围：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tc>
        <w:tc>
          <w:tcPr>
            <w:tcW w:w="1245" w:type="dxa"/>
            <w:tcBorders>
              <w:tl2br w:val="nil"/>
              <w:tr2bl w:val="nil"/>
            </w:tcBorders>
            <w:vAlign w:val="center"/>
          </w:tcPr>
          <w:p w14:paraId="02F95B7E">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r>
      <w:tr w14:paraId="6E4A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17" w:type="dxa"/>
            <w:vMerge w:val="continue"/>
            <w:tcBorders>
              <w:tl2br w:val="nil"/>
              <w:tr2bl w:val="nil"/>
            </w:tcBorders>
            <w:vAlign w:val="center"/>
          </w:tcPr>
          <w:p w14:paraId="5CA1FF4F">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tcBorders>
              <w:tl2br w:val="nil"/>
              <w:tr2bl w:val="nil"/>
            </w:tcBorders>
            <w:vAlign w:val="center"/>
          </w:tcPr>
          <w:p w14:paraId="0F63D638">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合理化建议</w:t>
            </w:r>
          </w:p>
        </w:tc>
        <w:tc>
          <w:tcPr>
            <w:tcW w:w="6065" w:type="dxa"/>
            <w:tcBorders>
              <w:tl2br w:val="nil"/>
              <w:tr2bl w:val="nil"/>
            </w:tcBorders>
            <w:vAlign w:val="top"/>
          </w:tcPr>
          <w:p w14:paraId="3DCFA23D">
            <w:pPr>
              <w:spacing w:before="147" w:line="283" w:lineRule="auto"/>
              <w:ind w:right="105" w:rightChars="0"/>
              <w:rPr>
                <w:rFonts w:hint="eastAsia" w:asciiTheme="minorEastAsia" w:hAnsiTheme="minorEastAsia" w:eastAsiaTheme="minorEastAsia" w:cstheme="minorEastAsia"/>
                <w:color w:val="auto"/>
                <w:spacing w:val="-2"/>
                <w:kern w:val="2"/>
                <w:sz w:val="21"/>
                <w:szCs w:val="21"/>
                <w:highlight w:val="none"/>
                <w:lang w:val="en-US" w:eastAsia="zh-CN" w:bidi="ar-SA"/>
              </w:rPr>
            </w:pPr>
            <w:r>
              <w:rPr>
                <w:rFonts w:hint="eastAsia" w:asciiTheme="minorEastAsia" w:hAnsiTheme="minorEastAsia" w:eastAsiaTheme="minorEastAsia" w:cstheme="minorEastAsia"/>
                <w:color w:val="auto"/>
                <w:spacing w:val="-2"/>
                <w:kern w:val="2"/>
                <w:sz w:val="21"/>
                <w:szCs w:val="21"/>
                <w:highlight w:val="none"/>
                <w:lang w:val="en-US" w:eastAsia="zh-CN" w:bidi="ar-SA"/>
              </w:rPr>
              <w:t>从</w:t>
            </w:r>
            <w:r>
              <w:rPr>
                <w:rFonts w:hint="eastAsia" w:asciiTheme="minorEastAsia" w:hAnsiTheme="minorEastAsia" w:eastAsiaTheme="minorEastAsia" w:cstheme="minorEastAsia"/>
                <w:color w:val="auto"/>
                <w:spacing w:val="-2"/>
                <w:sz w:val="21"/>
                <w:szCs w:val="21"/>
                <w:highlight w:val="none"/>
                <w:lang w:eastAsia="zh-CN"/>
              </w:rPr>
              <w:t>本项目</w:t>
            </w:r>
            <w:r>
              <w:rPr>
                <w:rFonts w:hint="eastAsia" w:asciiTheme="minorEastAsia" w:hAnsiTheme="minorEastAsia" w:eastAsiaTheme="minorEastAsia" w:cstheme="minorEastAsia"/>
                <w:color w:val="auto"/>
                <w:spacing w:val="-2"/>
                <w:kern w:val="2"/>
                <w:sz w:val="21"/>
                <w:szCs w:val="21"/>
                <w:highlight w:val="none"/>
                <w:lang w:val="en-US" w:eastAsia="zh-CN" w:bidi="ar-SA"/>
              </w:rPr>
              <w:t>特点结合档案整理建库情况，根据供应商提出的针对本项目的合理化建议或改进措施进行打分</w:t>
            </w:r>
            <w:r>
              <w:rPr>
                <w:rFonts w:hint="eastAsia" w:asciiTheme="minorEastAsia" w:hAnsiTheme="minorEastAsia" w:eastAsiaTheme="minorEastAsia" w:cstheme="minorEastAsia"/>
                <w:color w:val="auto"/>
                <w:sz w:val="21"/>
                <w:szCs w:val="21"/>
                <w:highlight w:val="none"/>
                <w:lang w:eastAsia="zh-CN"/>
              </w:rPr>
              <w:t>（评分范围：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tc>
        <w:tc>
          <w:tcPr>
            <w:tcW w:w="1245" w:type="dxa"/>
            <w:tcBorders>
              <w:tl2br w:val="nil"/>
              <w:tr2bl w:val="nil"/>
            </w:tcBorders>
            <w:vAlign w:val="center"/>
          </w:tcPr>
          <w:p w14:paraId="41086703">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r>
      <w:tr w14:paraId="607D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17" w:type="dxa"/>
            <w:vMerge w:val="continue"/>
            <w:tcBorders>
              <w:tl2br w:val="nil"/>
              <w:tr2bl w:val="nil"/>
            </w:tcBorders>
            <w:vAlign w:val="center"/>
          </w:tcPr>
          <w:p w14:paraId="7462CFDA">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tcBorders>
              <w:tl2br w:val="nil"/>
              <w:tr2bl w:val="nil"/>
            </w:tcBorders>
            <w:vAlign w:val="center"/>
          </w:tcPr>
          <w:p w14:paraId="6F77402A">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质量控制及保障措施方案</w:t>
            </w:r>
          </w:p>
        </w:tc>
        <w:tc>
          <w:tcPr>
            <w:tcW w:w="6065" w:type="dxa"/>
            <w:tcBorders>
              <w:tl2br w:val="nil"/>
              <w:tr2bl w:val="nil"/>
            </w:tcBorders>
            <w:vAlign w:val="top"/>
          </w:tcPr>
          <w:p w14:paraId="510CA667">
            <w:pPr>
              <w:spacing w:before="147" w:line="283" w:lineRule="auto"/>
              <w:ind w:right="105" w:rightChars="0"/>
              <w:rPr>
                <w:rFonts w:hint="eastAsia" w:asciiTheme="minorEastAsia" w:hAnsiTheme="minorEastAsia" w:eastAsiaTheme="minorEastAsia" w:cstheme="minorEastAsia"/>
                <w:color w:val="auto"/>
                <w:spacing w:val="-2"/>
                <w:kern w:val="2"/>
                <w:sz w:val="21"/>
                <w:szCs w:val="21"/>
                <w:highlight w:val="none"/>
                <w:lang w:val="en-US" w:eastAsia="zh-CN" w:bidi="ar-SA"/>
              </w:rPr>
            </w:pPr>
            <w:r>
              <w:rPr>
                <w:rFonts w:hint="eastAsia" w:asciiTheme="minorEastAsia" w:hAnsiTheme="minorEastAsia" w:eastAsiaTheme="minorEastAsia" w:cstheme="minorEastAsia"/>
                <w:color w:val="auto"/>
                <w:spacing w:val="-2"/>
                <w:kern w:val="2"/>
                <w:sz w:val="21"/>
                <w:szCs w:val="21"/>
                <w:highlight w:val="none"/>
                <w:lang w:val="en-US" w:eastAsia="zh-CN" w:bidi="ar-SA"/>
              </w:rPr>
              <w:t>针对本项目的特点提供各环节的质量控制方案、根据供应商提供的拟投入的应急方案（包括恶劣天气、不动产发证高峰期等）、保证措施等方面进行打分</w:t>
            </w:r>
            <w:r>
              <w:rPr>
                <w:rFonts w:hint="eastAsia" w:asciiTheme="minorEastAsia" w:hAnsiTheme="minorEastAsia" w:eastAsiaTheme="minorEastAsia" w:cstheme="minorEastAsia"/>
                <w:color w:val="auto"/>
                <w:sz w:val="21"/>
                <w:szCs w:val="21"/>
                <w:highlight w:val="none"/>
                <w:lang w:eastAsia="zh-CN"/>
              </w:rPr>
              <w:t>（评分范围：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tc>
        <w:tc>
          <w:tcPr>
            <w:tcW w:w="1245" w:type="dxa"/>
            <w:tcBorders>
              <w:tl2br w:val="nil"/>
              <w:tr2bl w:val="nil"/>
            </w:tcBorders>
            <w:vAlign w:val="center"/>
          </w:tcPr>
          <w:p w14:paraId="6FFB5507">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r>
      <w:tr w14:paraId="1190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17" w:type="dxa"/>
            <w:vMerge w:val="continue"/>
            <w:tcBorders>
              <w:tl2br w:val="nil"/>
              <w:tr2bl w:val="nil"/>
            </w:tcBorders>
            <w:vAlign w:val="center"/>
          </w:tcPr>
          <w:p w14:paraId="54200A47">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tcBorders>
              <w:tl2br w:val="nil"/>
              <w:tr2bl w:val="nil"/>
            </w:tcBorders>
            <w:vAlign w:val="center"/>
          </w:tcPr>
          <w:p w14:paraId="1B9FB0D0">
            <w:pPr>
              <w:widowControl/>
              <w:spacing w:line="28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售后服务</w:t>
            </w:r>
          </w:p>
        </w:tc>
        <w:tc>
          <w:tcPr>
            <w:tcW w:w="6065" w:type="dxa"/>
            <w:tcBorders>
              <w:tl2br w:val="nil"/>
              <w:tr2bl w:val="nil"/>
            </w:tcBorders>
            <w:vAlign w:val="center"/>
          </w:tcPr>
          <w:p w14:paraId="0908741A">
            <w:pPr>
              <w:tabs>
                <w:tab w:val="left" w:pos="217"/>
              </w:tabs>
              <w:spacing w:before="53" w:line="261" w:lineRule="auto"/>
              <w:ind w:right="155" w:right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根据投标人是否具有完善的售后服务管理体系，并提出针对本项目详尽的售后服务方案（包括售后服务承诺、售后服务方式及内容、售后服务流程、计划以及售后服务能力保障等内容）打分（评分范围：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tc>
        <w:tc>
          <w:tcPr>
            <w:tcW w:w="1245" w:type="dxa"/>
            <w:tcBorders>
              <w:tl2br w:val="nil"/>
              <w:tr2bl w:val="nil"/>
            </w:tcBorders>
            <w:vAlign w:val="center"/>
          </w:tcPr>
          <w:p w14:paraId="7E727BCA">
            <w:pPr>
              <w:widowControl/>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r>
      <w:tr w14:paraId="6A7F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17" w:type="dxa"/>
            <w:vMerge w:val="continue"/>
            <w:tcBorders>
              <w:tl2br w:val="nil"/>
              <w:tr2bl w:val="nil"/>
            </w:tcBorders>
            <w:vAlign w:val="center"/>
          </w:tcPr>
          <w:p w14:paraId="6859B36D">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tcBorders>
              <w:tl2br w:val="nil"/>
              <w:tr2bl w:val="nil"/>
            </w:tcBorders>
            <w:vAlign w:val="center"/>
          </w:tcPr>
          <w:p w14:paraId="76191907">
            <w:pPr>
              <w:widowControl/>
              <w:spacing w:line="2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数字化建库演示</w:t>
            </w:r>
          </w:p>
        </w:tc>
        <w:tc>
          <w:tcPr>
            <w:tcW w:w="6065" w:type="dxa"/>
            <w:tcBorders>
              <w:tl2br w:val="nil"/>
              <w:tr2bl w:val="nil"/>
            </w:tcBorders>
            <w:vAlign w:val="top"/>
          </w:tcPr>
          <w:p w14:paraId="56234A63">
            <w:pPr>
              <w:tabs>
                <w:tab w:val="left" w:pos="217"/>
              </w:tabs>
              <w:spacing w:before="53" w:line="261" w:lineRule="auto"/>
              <w:ind w:right="155"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档案整理及数字化加工软件实现各作业环节自定义并通过软件实现各作业环节的有效控制，对扫描中漏扫、多扫控制通过数字化的影像扫描流程中上传每卷影像时，同前处理流程中记录的扫描页数进行比对校验，限制数量不一致的扫描影像上传，控制漏扫、多扫问题的发生。（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2）目录建库看图著录时能将图像选定部分文字自动提取相应的著录字段；基于文件级中的页数和文件形成时间2个著录项，自动生成案卷级中的总页数、总件数、起始时间、终止时间4个著录项值；定位到字符的双录对校，高亮显示不匹配的字符。（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p w14:paraId="5F435E4D">
            <w:pPr>
              <w:tabs>
                <w:tab w:val="left" w:pos="217"/>
              </w:tabs>
              <w:spacing w:before="53" w:line="261" w:lineRule="auto"/>
              <w:ind w:right="155"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影像处理质检不合格的产品实行在线退回或直接修改，影像处理人员在线根据质检人员的错误提示信息进行修改，图像处理人员必须等不合格的影像产品修改完毕并通过质检人员验收合格后，再进入到正常加工流程；条目质检不合格的产品实行在线退回，条目著录人员在线根据质检人员的错误提示信息进行修改，条目著录人员只有不合格的条目信息修改完毕并通过质检人员验收合格后，才能进入到正常加工流程；软件可自动统计每位著录人员的质检合格率排名，做到质量管理有的放矢。（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p w14:paraId="0F8FD577">
            <w:pPr>
              <w:tabs>
                <w:tab w:val="left" w:pos="217"/>
              </w:tabs>
              <w:spacing w:before="53" w:line="261" w:lineRule="auto"/>
              <w:ind w:right="155"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（4）为保障档案装订及装盒的美观、规范的要求，软件对档案装订装盒中涉及的卷皮三道折痕、孔距的控制、档案自动分盒、档案脊背信息打印等关键步骤提供演示。（评分范围：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p w14:paraId="30D070CD">
            <w:pPr>
              <w:tabs>
                <w:tab w:val="left" w:pos="217"/>
              </w:tabs>
              <w:spacing w:before="53" w:line="261" w:lineRule="auto"/>
              <w:ind w:right="155"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（5）根据我局对档案整理及数字化建库的要求软件提供能实现对档案作业的生命周期管理</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eastAsia="zh-CN"/>
              </w:rPr>
              <w:t>流程化管理系统软件记录并生成档案交接的流水号与最终入库档案档号的对照表（评分范围：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p w14:paraId="30C66CA6">
            <w:pPr>
              <w:tabs>
                <w:tab w:val="left" w:pos="217"/>
              </w:tabs>
              <w:spacing w:before="53" w:line="261" w:lineRule="auto"/>
              <w:ind w:right="155"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6）项目建设成果需考虑与嘉善县自然资源与规划局已经开展的档案数字化扫描成果及档案管理信息系统、不动产统一登记系统及相关业务系统进行无缝对接，实现档案数字化成果能在系统中调取和应用（以县级为单位，演示范围可以为全国任何县（市、区）的系统都可以）（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tc>
        <w:tc>
          <w:tcPr>
            <w:tcW w:w="1245" w:type="dxa"/>
            <w:tcBorders>
              <w:tl2br w:val="nil"/>
              <w:tr2bl w:val="nil"/>
            </w:tcBorders>
            <w:vAlign w:val="center"/>
          </w:tcPr>
          <w:p w14:paraId="1F625ECE">
            <w:pPr>
              <w:widowControl/>
              <w:spacing w:line="28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30分</w:t>
            </w:r>
          </w:p>
        </w:tc>
      </w:tr>
      <w:tr w14:paraId="206D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320" w:type="dxa"/>
            <w:gridSpan w:val="4"/>
            <w:tcBorders>
              <w:tl2br w:val="nil"/>
              <w:tr2bl w:val="nil"/>
            </w:tcBorders>
            <w:vAlign w:val="center"/>
          </w:tcPr>
          <w:p w14:paraId="3F746E02">
            <w:pPr>
              <w:widowControl/>
              <w:spacing w:line="280"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演示要求</w:t>
            </w:r>
          </w:p>
          <w:p w14:paraId="267D6A5D">
            <w:pPr>
              <w:widowControl/>
              <w:spacing w:line="280"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1、投标人无需派专人参加现场演示，根据数字化建库演示分评分标准要求录制演示视频。</w:t>
            </w:r>
          </w:p>
          <w:p w14:paraId="1A5B0565">
            <w:pPr>
              <w:widowControl/>
              <w:spacing w:line="280"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2、演示形式：采用“不见面”的形式，以投标人制作的不超过15分钟的演示视频为依据；</w:t>
            </w:r>
          </w:p>
          <w:p w14:paraId="38A7EC0D">
            <w:pPr>
              <w:widowControl/>
              <w:spacing w:line="280"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3、时间要求：不超过15分钟。超时扣分标准：超时≤1分钟扣2分；1分钟&lt;超时≤3分钟扣4分；3分钟&lt;超时≤5分钟扣6分，5分钟&lt;超时扣8分</w:t>
            </w:r>
          </w:p>
          <w:p w14:paraId="6453FEBD">
            <w:pPr>
              <w:widowControl/>
              <w:spacing w:line="280"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4、顺序安排：按电子响应文件的解密先后顺序依次进行。</w:t>
            </w:r>
          </w:p>
          <w:p w14:paraId="52F42BCB">
            <w:pPr>
              <w:widowControl/>
              <w:spacing w:line="280"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5、演示视频递交要求：</w:t>
            </w:r>
            <w:r>
              <w:rPr>
                <w:rFonts w:hint="eastAsia" w:asciiTheme="minorEastAsia" w:hAnsiTheme="minorEastAsia" w:eastAsiaTheme="minorEastAsia" w:cstheme="minorEastAsia"/>
                <w:b/>
                <w:bCs/>
                <w:color w:val="auto"/>
                <w:sz w:val="21"/>
                <w:szCs w:val="21"/>
                <w:highlight w:val="none"/>
                <w:lang w:val="en-US" w:eastAsia="zh-CN"/>
              </w:rPr>
              <w:t>使用U盘存储</w:t>
            </w:r>
            <w:r>
              <w:rPr>
                <w:rFonts w:hint="eastAsia" w:asciiTheme="minorEastAsia" w:hAnsiTheme="minorEastAsia" w:eastAsiaTheme="minorEastAsia" w:cstheme="minorEastAsia"/>
                <w:color w:val="auto"/>
                <w:sz w:val="21"/>
                <w:szCs w:val="21"/>
                <w:highlight w:val="none"/>
                <w:lang w:val="en-US" w:eastAsia="zh-CN"/>
              </w:rPr>
              <w:t>，U盘密封和标识（项目名称、供应商名称（加盖公章））后于投标截止时间前邮递或直接送达一份至采购代理机构（送达地址：嘉善县阳光东路185号善商大厦1号（东）楼21层嘉兴市银建工程咨询评估有限公司招标代理部，收件人：王佳浩，联系电话：0573-84211099），投标截止时间前未收到U盘，视为未提交。收到的U盘无法正常使用或U盘中（演示视频）无法打开的，责任由投标人自负。</w:t>
            </w:r>
          </w:p>
        </w:tc>
      </w:tr>
    </w:tbl>
    <w:p w14:paraId="14DB6A7F">
      <w:pPr>
        <w:pStyle w:val="6"/>
        <w:spacing w:line="480" w:lineRule="exact"/>
        <w:ind w:left="0" w:firstLine="0"/>
        <w:rPr>
          <w:rFonts w:hint="eastAsia"/>
          <w:color w:val="auto"/>
          <w:sz w:val="24"/>
          <w:szCs w:val="24"/>
          <w:highlight w:val="none"/>
        </w:rPr>
      </w:pPr>
      <w:r>
        <w:rPr>
          <w:rFonts w:hint="eastAsia"/>
          <w:color w:val="auto"/>
          <w:sz w:val="24"/>
          <w:szCs w:val="24"/>
          <w:highlight w:val="none"/>
        </w:rPr>
        <w:t>注：以上项目若缺项，则该项得0分。</w:t>
      </w:r>
    </w:p>
    <w:p w14:paraId="7A772382">
      <w:pPr>
        <w:rPr>
          <w:color w:val="auto"/>
          <w:highlight w:val="none"/>
        </w:rPr>
      </w:pPr>
    </w:p>
    <w:p w14:paraId="33A9248F">
      <w:pPr>
        <w:spacing w:before="120" w:beforeLines="50" w:line="360" w:lineRule="auto"/>
        <w:jc w:val="both"/>
        <w:rPr>
          <w:rFonts w:hint="eastAsia" w:ascii="仿宋" w:hAnsi="仿宋" w:eastAsia="仿宋" w:cs="仿宋_GB2312"/>
          <w:b/>
          <w:color w:val="auto"/>
          <w:sz w:val="36"/>
          <w:szCs w:val="36"/>
          <w:highlight w:val="none"/>
        </w:rPr>
      </w:pPr>
    </w:p>
    <w:p w14:paraId="480A0753">
      <w:pPr>
        <w:spacing w:before="120" w:beforeLines="50" w:line="360" w:lineRule="auto"/>
        <w:jc w:val="center"/>
        <w:rPr>
          <w:rFonts w:hint="eastAsia" w:ascii="仿宋" w:hAnsi="仿宋" w:eastAsia="仿宋" w:cs="仿宋_GB2312"/>
          <w:b/>
          <w:color w:val="auto"/>
          <w:sz w:val="36"/>
          <w:szCs w:val="36"/>
          <w:highlight w:val="none"/>
        </w:rPr>
      </w:pPr>
    </w:p>
    <w:p w14:paraId="7231A784">
      <w:pPr>
        <w:spacing w:before="120" w:beforeLines="50" w:line="360" w:lineRule="auto"/>
        <w:jc w:val="center"/>
        <w:rPr>
          <w:rFonts w:hint="eastAsia" w:ascii="仿宋" w:hAnsi="仿宋" w:eastAsia="仿宋" w:cs="仿宋_GB2312"/>
          <w:b/>
          <w:color w:val="auto"/>
          <w:sz w:val="36"/>
          <w:szCs w:val="36"/>
          <w:highlight w:val="none"/>
        </w:rPr>
      </w:pPr>
    </w:p>
    <w:p w14:paraId="3E9061C0">
      <w:pPr>
        <w:spacing w:before="120" w:beforeLines="50" w:line="360" w:lineRule="auto"/>
        <w:jc w:val="center"/>
        <w:rPr>
          <w:rFonts w:hint="eastAsia" w:ascii="仿宋" w:hAnsi="仿宋" w:eastAsia="仿宋" w:cs="仿宋_GB2312"/>
          <w:b/>
          <w:color w:val="auto"/>
          <w:sz w:val="36"/>
          <w:szCs w:val="36"/>
          <w:highlight w:val="none"/>
        </w:rPr>
      </w:pPr>
    </w:p>
    <w:p w14:paraId="6B35DDBD">
      <w:pPr>
        <w:spacing w:before="120" w:beforeLines="50" w:line="360" w:lineRule="auto"/>
        <w:jc w:val="center"/>
        <w:rPr>
          <w:rFonts w:hint="eastAsia" w:ascii="仿宋" w:hAnsi="仿宋" w:eastAsia="仿宋" w:cs="仿宋_GB2312"/>
          <w:b/>
          <w:color w:val="auto"/>
          <w:sz w:val="36"/>
          <w:szCs w:val="36"/>
          <w:highlight w:val="none"/>
        </w:rPr>
      </w:pPr>
    </w:p>
    <w:p w14:paraId="0F8D4212">
      <w:pPr>
        <w:spacing w:before="120" w:beforeLines="50" w:line="360" w:lineRule="auto"/>
        <w:jc w:val="center"/>
        <w:rPr>
          <w:rFonts w:hint="eastAsia" w:ascii="仿宋" w:hAnsi="仿宋" w:eastAsia="仿宋" w:cs="仿宋_GB2312"/>
          <w:b/>
          <w:color w:val="auto"/>
          <w:sz w:val="36"/>
          <w:szCs w:val="36"/>
          <w:highlight w:val="none"/>
        </w:rPr>
      </w:pPr>
    </w:p>
    <w:p w14:paraId="33834377">
      <w:pPr>
        <w:spacing w:before="120" w:beforeLines="50" w:line="360" w:lineRule="auto"/>
        <w:jc w:val="center"/>
        <w:rPr>
          <w:rFonts w:hint="eastAsia" w:ascii="仿宋" w:hAnsi="仿宋" w:eastAsia="仿宋" w:cs="仿宋_GB2312"/>
          <w:b/>
          <w:color w:val="auto"/>
          <w:sz w:val="36"/>
          <w:szCs w:val="36"/>
          <w:highlight w:val="none"/>
        </w:rPr>
      </w:pPr>
    </w:p>
    <w:p w14:paraId="0CC90D89">
      <w:pPr>
        <w:spacing w:before="120" w:beforeLines="50" w:line="360" w:lineRule="auto"/>
        <w:jc w:val="center"/>
        <w:rPr>
          <w:rFonts w:hint="eastAsia" w:ascii="仿宋" w:hAnsi="仿宋" w:eastAsia="仿宋" w:cs="仿宋_GB2312"/>
          <w:b/>
          <w:color w:val="auto"/>
          <w:sz w:val="36"/>
          <w:szCs w:val="36"/>
          <w:highlight w:val="none"/>
        </w:rPr>
      </w:pPr>
    </w:p>
    <w:p w14:paraId="4C57A311">
      <w:pPr>
        <w:spacing w:before="120" w:beforeLines="50" w:line="360" w:lineRule="auto"/>
        <w:jc w:val="center"/>
        <w:rPr>
          <w:rFonts w:hint="eastAsia" w:ascii="仿宋" w:hAnsi="仿宋" w:eastAsia="仿宋" w:cs="仿宋_GB2312"/>
          <w:b/>
          <w:color w:val="auto"/>
          <w:sz w:val="36"/>
          <w:szCs w:val="36"/>
          <w:highlight w:val="none"/>
        </w:rPr>
      </w:pPr>
    </w:p>
    <w:p w14:paraId="772F5B0C">
      <w:pPr>
        <w:spacing w:before="120" w:beforeLines="50" w:line="360" w:lineRule="auto"/>
        <w:jc w:val="center"/>
        <w:rPr>
          <w:rFonts w:hint="eastAsia" w:ascii="仿宋" w:hAnsi="仿宋" w:eastAsia="仿宋" w:cs="仿宋_GB2312"/>
          <w:b/>
          <w:color w:val="auto"/>
          <w:sz w:val="36"/>
          <w:szCs w:val="36"/>
          <w:highlight w:val="none"/>
        </w:rPr>
      </w:pPr>
    </w:p>
    <w:p w14:paraId="62266554">
      <w:pPr>
        <w:spacing w:before="120" w:beforeLines="50" w:line="360" w:lineRule="auto"/>
        <w:jc w:val="center"/>
        <w:rPr>
          <w:rFonts w:hint="eastAsia" w:ascii="仿宋" w:hAnsi="仿宋" w:eastAsia="仿宋" w:cs="仿宋_GB2312"/>
          <w:b/>
          <w:color w:val="auto"/>
          <w:sz w:val="36"/>
          <w:szCs w:val="36"/>
          <w:highlight w:val="none"/>
        </w:rPr>
      </w:pPr>
    </w:p>
    <w:p w14:paraId="4622C52D">
      <w:pPr>
        <w:spacing w:before="120" w:beforeLines="50" w:line="360" w:lineRule="auto"/>
        <w:jc w:val="center"/>
        <w:rPr>
          <w:rFonts w:hint="eastAsia" w:ascii="仿宋" w:hAnsi="仿宋" w:eastAsia="仿宋" w:cs="仿宋_GB2312"/>
          <w:b/>
          <w:color w:val="auto"/>
          <w:sz w:val="36"/>
          <w:szCs w:val="36"/>
          <w:highlight w:val="none"/>
        </w:rPr>
      </w:pPr>
    </w:p>
    <w:p w14:paraId="7EDED43D">
      <w:pPr>
        <w:spacing w:before="120" w:beforeLines="50" w:line="360" w:lineRule="auto"/>
        <w:jc w:val="center"/>
        <w:rPr>
          <w:rFonts w:hint="eastAsia" w:ascii="仿宋" w:hAnsi="仿宋" w:eastAsia="仿宋" w:cs="仿宋_GB2312"/>
          <w:b/>
          <w:color w:val="auto"/>
          <w:sz w:val="36"/>
          <w:szCs w:val="36"/>
          <w:highlight w:val="none"/>
        </w:rPr>
      </w:pPr>
    </w:p>
    <w:p w14:paraId="05CCBC82">
      <w:pPr>
        <w:spacing w:before="120" w:beforeLines="50" w:line="360" w:lineRule="auto"/>
        <w:jc w:val="both"/>
        <w:rPr>
          <w:rFonts w:hint="eastAsia" w:ascii="仿宋" w:hAnsi="仿宋" w:eastAsia="仿宋" w:cs="仿宋_GB2312"/>
          <w:b/>
          <w:color w:val="auto"/>
          <w:sz w:val="36"/>
          <w:szCs w:val="36"/>
          <w:highlight w:val="none"/>
        </w:rPr>
      </w:pPr>
    </w:p>
    <w:p w14:paraId="69A8614A">
      <w:pPr>
        <w:spacing w:before="120" w:beforeLines="50" w:line="360" w:lineRule="auto"/>
        <w:jc w:val="center"/>
        <w:rPr>
          <w:color w:val="auto"/>
          <w:highlight w:val="none"/>
        </w:rPr>
      </w:pPr>
      <w:r>
        <w:rPr>
          <w:rFonts w:hint="eastAsia" w:ascii="仿宋" w:hAnsi="仿宋" w:eastAsia="仿宋" w:cs="仿宋_GB2312"/>
          <w:b/>
          <w:color w:val="auto"/>
          <w:sz w:val="36"/>
          <w:szCs w:val="36"/>
          <w:highlight w:val="none"/>
        </w:rPr>
        <w:t>第五章  嘉善县政府采购合同（指引）</w:t>
      </w:r>
    </w:p>
    <w:p w14:paraId="5023B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14:paraId="26F2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p w14:paraId="20A89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政府采购计划（预算）确认书编号：善财采确[2025]245号</w:t>
      </w:r>
    </w:p>
    <w:p w14:paraId="03051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宋体"/>
          <w:color w:val="auto"/>
          <w:kern w:val="0"/>
          <w:sz w:val="24"/>
          <w:highlight w:val="none"/>
          <w:lang w:val="en-US" w:eastAsia="zh-CN"/>
        </w:rPr>
        <w:t>70.0000万元</w:t>
      </w:r>
    </w:p>
    <w:p w14:paraId="7CF89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采购人（以下称甲方）：</w:t>
      </w:r>
      <w:r>
        <w:rPr>
          <w:rFonts w:hint="eastAsia" w:ascii="宋体" w:hAnsi="宋体" w:cs="宋体"/>
          <w:color w:val="auto"/>
          <w:kern w:val="0"/>
          <w:sz w:val="24"/>
          <w:highlight w:val="none"/>
          <w:lang w:eastAsia="zh-CN"/>
        </w:rPr>
        <w:t>嘉善县自然资源和规划局</w:t>
      </w:r>
    </w:p>
    <w:p w14:paraId="33D6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供应商（以下称乙方）：</w:t>
      </w:r>
    </w:p>
    <w:p w14:paraId="7B7A7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采购代理机构：嘉兴市银建工程咨询评估有限公司</w:t>
      </w:r>
    </w:p>
    <w:p w14:paraId="1471D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Arial"/>
          <w:color w:val="auto"/>
          <w:kern w:val="0"/>
          <w:sz w:val="24"/>
          <w:highlight w:val="none"/>
        </w:rPr>
        <w:t>公开招标</w:t>
      </w:r>
    </w:p>
    <w:p w14:paraId="7C98B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lang w:eastAsia="zh-CN"/>
        </w:rPr>
        <w:t>JXYJ2025003</w:t>
      </w:r>
      <w:r>
        <w:rPr>
          <w:rFonts w:hint="eastAsia" w:ascii="宋体" w:hAnsi="宋体" w:cs="宋体"/>
          <w:color w:val="auto"/>
          <w:kern w:val="0"/>
          <w:sz w:val="24"/>
          <w:highlight w:val="none"/>
        </w:rPr>
        <w:t>（G）</w:t>
      </w:r>
    </w:p>
    <w:p w14:paraId="78B3E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不动产业务和信息化建设（2025年不动产档案扫描建库项目）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项目采购结果签订本合同。</w:t>
      </w:r>
    </w:p>
    <w:p w14:paraId="2CA3A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14:paraId="1E2CC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14:paraId="44F49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14:paraId="31CF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14:paraId="67728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14:paraId="66822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14:paraId="1B83B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14:paraId="7491C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u w:val="single"/>
        </w:rPr>
        <w:t xml:space="preserve">  不动产业务和信息化建设（2025年不动产档案扫描建库项目）  </w:t>
      </w:r>
      <w:r>
        <w:rPr>
          <w:rFonts w:hint="eastAsia" w:ascii="宋体" w:hAnsi="宋体" w:cs="宋体"/>
          <w:color w:val="auto"/>
          <w:kern w:val="0"/>
          <w:sz w:val="24"/>
          <w:highlight w:val="none"/>
        </w:rPr>
        <w:t>。</w:t>
      </w:r>
    </w:p>
    <w:p w14:paraId="15C15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是□否</w:t>
      </w:r>
    </w:p>
    <w:p w14:paraId="69CDA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14:paraId="12961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14:paraId="4ED4E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，分项价款见“投标报价明细表”（如有）”。</w:t>
      </w:r>
    </w:p>
    <w:p w14:paraId="471F9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Arial"/>
          <w:color w:val="auto"/>
          <w:kern w:val="0"/>
          <w:sz w:val="24"/>
          <w:highlight w:val="none"/>
          <w:lang w:val="en-US" w:eastAsia="zh-CN"/>
        </w:rPr>
      </w:pPr>
      <w:r>
        <w:rPr>
          <w:rFonts w:hint="eastAsia" w:ascii="宋体" w:hAnsi="宋体" w:cs="宋体"/>
          <w:color w:val="auto"/>
          <w:kern w:val="0"/>
          <w:sz w:val="24"/>
          <w:highlight w:val="none"/>
        </w:rPr>
        <w:t>2、本合同总价款含所有税费(</w:t>
      </w:r>
      <w:r>
        <w:rPr>
          <w:rFonts w:hint="eastAsia" w:ascii="Calibri" w:hAnsi="宋体"/>
          <w:b w:val="0"/>
          <w:bCs w:val="0"/>
          <w:color w:val="auto"/>
          <w:kern w:val="0"/>
          <w:sz w:val="24"/>
          <w:szCs w:val="24"/>
          <w:highlight w:val="none"/>
          <w:lang w:val="en-US" w:eastAsia="zh-CN"/>
        </w:rPr>
        <w:t>包括人工费（工资、福利、各种补贴、奖金、保险等）、设备设施费和设备设施折旧费、办公费、差旅费、物耗费、管理费、利润、税金和提供的伴随服务、政策性文件规定及包含的所有风险、责任等所有完成本项目需要的一切费用</w:t>
      </w:r>
      <w:r>
        <w:rPr>
          <w:rFonts w:hint="eastAsia" w:ascii="宋体" w:hAnsi="宋体" w:cs="宋体"/>
          <w:color w:val="auto"/>
          <w:sz w:val="24"/>
          <w:highlight w:val="none"/>
        </w:rPr>
        <w:t>。各投标人所填写的投标报价在合同实施期间不因市场因素而变动，投标人发生差错遗漏的费用均不再调整（除采购文件另有说明外）</w:t>
      </w:r>
      <w:r>
        <w:rPr>
          <w:rFonts w:hint="eastAsia" w:ascii="宋体" w:hAnsi="宋体" w:cs="Arial"/>
          <w:color w:val="auto"/>
          <w:kern w:val="0"/>
          <w:sz w:val="24"/>
          <w:highlight w:val="none"/>
          <w:lang w:val="en-US" w:eastAsia="zh-CN"/>
        </w:rPr>
        <w:t>)</w:t>
      </w:r>
    </w:p>
    <w:p w14:paraId="207D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537EC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（1）政府预算资金；（2）政府基金；（3）专户核拨的预算外资金；（4）其他财政资金；（5）其他资金。</w:t>
      </w:r>
    </w:p>
    <w:p w14:paraId="2523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3B7E9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Arial"/>
          <w:color w:val="auto"/>
          <w:kern w:val="0"/>
          <w:sz w:val="24"/>
          <w:highlight w:val="none"/>
          <w:u w:val="single"/>
        </w:rPr>
        <w:t xml:space="preserve">             </w:t>
      </w:r>
      <w:r>
        <w:rPr>
          <w:rFonts w:hint="eastAsia" w:ascii="宋体" w:hAnsi="宋体" w:cs="宋体"/>
          <w:color w:val="auto"/>
          <w:kern w:val="0"/>
          <w:sz w:val="24"/>
          <w:highlight w:val="none"/>
        </w:rPr>
        <w:t>；</w:t>
      </w:r>
    </w:p>
    <w:p w14:paraId="3D027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（2）本合同项下的采购资金采用财政授权支付，付款程序为</w:t>
      </w:r>
      <w:r>
        <w:rPr>
          <w:rFonts w:hint="eastAsia" w:ascii="宋体" w:hAnsi="宋体" w:cs="Arial"/>
          <w:color w:val="auto"/>
          <w:kern w:val="0"/>
          <w:sz w:val="24"/>
          <w:highlight w:val="none"/>
          <w:u w:val="single"/>
        </w:rPr>
        <w:t>甲方根据年初预算申请生成用款计划，再在支付管理系统中发起授权支付申请，付款单位凭中标通知书、用款计划书、合同、验收单、发票、采购备案表进行审核支付</w:t>
      </w:r>
      <w:r>
        <w:rPr>
          <w:rFonts w:hint="eastAsia" w:ascii="宋体" w:hAnsi="宋体" w:cs="宋体"/>
          <w:color w:val="auto"/>
          <w:kern w:val="0"/>
          <w:sz w:val="24"/>
          <w:highlight w:val="none"/>
        </w:rPr>
        <w:t>；</w:t>
      </w:r>
    </w:p>
    <w:p w14:paraId="7850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p>
    <w:p w14:paraId="2E295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项支付：</w:t>
      </w:r>
    </w:p>
    <w:p w14:paraId="509A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（条件）时，一次性付款；</w:t>
      </w:r>
    </w:p>
    <w:p w14:paraId="386F9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（2）分期付款：</w:t>
      </w:r>
    </w:p>
    <w:p w14:paraId="140B3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合同生效以及具备实施条件后7个工作日内支付项目合同总金额的</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%作为预付款，余款由中标方向采购人申请最终验收，最终验收通过后，根据</w:t>
      </w:r>
      <w:r>
        <w:rPr>
          <w:rFonts w:hint="eastAsia" w:ascii="Calibri" w:hAnsi="宋体"/>
          <w:b w:val="0"/>
          <w:bCs w:val="0"/>
          <w:color w:val="auto"/>
          <w:kern w:val="0"/>
          <w:sz w:val="24"/>
          <w:szCs w:val="24"/>
          <w:highlight w:val="none"/>
          <w:lang w:val="en-US" w:eastAsia="zh-CN"/>
        </w:rPr>
        <w:t>实际数字化扫描加工入库实际完成张数（A4大小）×中标单价，</w:t>
      </w:r>
      <w:r>
        <w:rPr>
          <w:rFonts w:hint="eastAsia" w:ascii="宋体" w:hAnsi="宋体" w:cs="宋体"/>
          <w:color w:val="auto"/>
          <w:sz w:val="24"/>
          <w:highlight w:val="none"/>
        </w:rPr>
        <w:t>扣除相应预付款后据实支付。</w:t>
      </w:r>
      <w:r>
        <w:rPr>
          <w:rFonts w:hint="eastAsia" w:ascii="宋体" w:hAnsi="宋体"/>
          <w:b/>
          <w:bCs/>
          <w:color w:val="auto"/>
          <w:sz w:val="24"/>
          <w:highlight w:val="none"/>
          <w:lang w:eastAsia="zh-CN"/>
        </w:rPr>
        <w:t>（付款前中标单位应按规定向采购人开具正规发票，并承担开票产生的所有税收费）</w:t>
      </w:r>
      <w:r>
        <w:rPr>
          <w:rFonts w:hint="eastAsia" w:ascii="宋体" w:hAnsi="宋体" w:cs="宋体"/>
          <w:color w:val="auto"/>
          <w:kern w:val="0"/>
          <w:sz w:val="24"/>
          <w:highlight w:val="none"/>
          <w:lang w:eastAsia="zh-CN"/>
        </w:rPr>
        <w:t>。</w:t>
      </w:r>
    </w:p>
    <w:p w14:paraId="0B843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14:paraId="688C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项处理：</w:t>
      </w:r>
    </w:p>
    <w:p w14:paraId="2364A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1、本项目设置履约保证金</w:t>
      </w:r>
      <w:r>
        <w:rPr>
          <w:rFonts w:hint="eastAsia" w:ascii="宋体" w:hAnsi="宋体" w:cs="宋体"/>
          <w:color w:val="auto"/>
          <w:kern w:val="0"/>
          <w:sz w:val="24"/>
          <w:highlight w:val="none"/>
          <w:lang w:eastAsia="zh-CN"/>
        </w:rPr>
        <w:t>。</w:t>
      </w:r>
    </w:p>
    <w:p w14:paraId="5773A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b/>
          <w:color w:val="auto"/>
          <w:kern w:val="0"/>
          <w:sz w:val="24"/>
          <w:highlight w:val="none"/>
          <w:lang w:eastAsia="zh-CN"/>
        </w:rPr>
      </w:pPr>
      <w:r>
        <w:rPr>
          <w:rFonts w:hint="eastAsia" w:ascii="宋体" w:hAnsi="宋体" w:cs="宋体"/>
          <w:color w:val="auto"/>
          <w:kern w:val="0"/>
          <w:sz w:val="24"/>
          <w:highlight w:val="none"/>
        </w:rPr>
        <w:t>2、本项目不设置履约保证金</w:t>
      </w:r>
      <w:r>
        <w:rPr>
          <w:rFonts w:hint="eastAsia" w:ascii="宋体" w:hAnsi="宋体" w:cs="宋体"/>
          <w:color w:val="auto"/>
          <w:kern w:val="0"/>
          <w:sz w:val="24"/>
          <w:highlight w:val="none"/>
          <w:lang w:eastAsia="zh-CN"/>
        </w:rPr>
        <w:t>。</w:t>
      </w:r>
    </w:p>
    <w:p w14:paraId="74E5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eastAsia="zh-CN"/>
        </w:rPr>
        <w:t>第五条</w:t>
      </w:r>
      <w:r>
        <w:rPr>
          <w:rFonts w:hint="eastAsia" w:ascii="宋体" w:hAnsi="宋体" w:cs="宋体"/>
          <w:b/>
          <w:color w:val="auto"/>
          <w:kern w:val="0"/>
          <w:sz w:val="24"/>
          <w:highlight w:val="none"/>
          <w:lang w:val="en-US" w:eastAsia="zh-CN"/>
        </w:rPr>
        <w:t xml:space="preserve"> 服务期限</w:t>
      </w:r>
    </w:p>
    <w:p w14:paraId="08767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自合同签订之日起至2025年12月31日。服务期结束（或提前达到预算总价的）后经采购人考核合格，并经双方同意，可续签下一年度合同，</w:t>
      </w:r>
      <w:r>
        <w:rPr>
          <w:rFonts w:hint="eastAsia" w:ascii="宋体" w:hAnsi="宋体" w:cs="宋体"/>
          <w:b w:val="0"/>
          <w:bCs/>
          <w:color w:val="auto"/>
          <w:kern w:val="0"/>
          <w:sz w:val="24"/>
          <w:highlight w:val="none"/>
          <w:lang w:eastAsia="zh-CN"/>
        </w:rPr>
        <w:t>最多可续签一次</w:t>
      </w:r>
      <w:r>
        <w:rPr>
          <w:rFonts w:hint="eastAsia" w:ascii="宋体" w:hAnsi="宋体" w:cs="宋体"/>
          <w:b w:val="0"/>
          <w:bCs/>
          <w:color w:val="auto"/>
          <w:kern w:val="0"/>
          <w:sz w:val="24"/>
          <w:highlight w:val="none"/>
        </w:rPr>
        <w:t>，续签一年）</w:t>
      </w:r>
    </w:p>
    <w:p w14:paraId="38704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六</w:t>
      </w:r>
      <w:r>
        <w:rPr>
          <w:rFonts w:hint="eastAsia" w:ascii="宋体" w:hAnsi="宋体" w:cs="宋体"/>
          <w:b/>
          <w:color w:val="auto"/>
          <w:kern w:val="0"/>
          <w:sz w:val="24"/>
          <w:highlight w:val="none"/>
        </w:rPr>
        <w:t>条 合同的变更和终止</w:t>
      </w:r>
    </w:p>
    <w:p w14:paraId="09C11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48028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七</w:t>
      </w:r>
      <w:r>
        <w:rPr>
          <w:rFonts w:hint="eastAsia" w:ascii="宋体" w:hAnsi="宋体" w:cs="宋体"/>
          <w:b/>
          <w:color w:val="auto"/>
          <w:kern w:val="0"/>
          <w:sz w:val="24"/>
          <w:highlight w:val="none"/>
        </w:rPr>
        <w:t>条 合同的转让与分包</w:t>
      </w:r>
    </w:p>
    <w:p w14:paraId="27EAD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本项目不允许转包和分包</w:t>
      </w:r>
      <w:r>
        <w:rPr>
          <w:rFonts w:hint="eastAsia" w:ascii="宋体" w:hAnsi="宋体" w:cs="宋体"/>
          <w:color w:val="auto"/>
          <w:kern w:val="0"/>
          <w:sz w:val="24"/>
          <w:highlight w:val="none"/>
        </w:rPr>
        <w:t>。</w:t>
      </w:r>
    </w:p>
    <w:p w14:paraId="294E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八</w:t>
      </w:r>
      <w:r>
        <w:rPr>
          <w:rFonts w:hint="eastAsia" w:ascii="宋体" w:hAnsi="宋体" w:cs="宋体"/>
          <w:b/>
          <w:color w:val="auto"/>
          <w:kern w:val="0"/>
          <w:sz w:val="24"/>
          <w:highlight w:val="none"/>
        </w:rPr>
        <w:t>条 争议的解决</w:t>
      </w:r>
    </w:p>
    <w:p w14:paraId="03EB4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种方式解决争议：</w:t>
      </w:r>
    </w:p>
    <w:p w14:paraId="52DA6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14:paraId="28AAA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lang w:eastAsia="zh-CN"/>
        </w:rPr>
        <w:t>项目所在地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仲裁委员申请仲裁。</w:t>
      </w:r>
    </w:p>
    <w:p w14:paraId="37C3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九</w:t>
      </w:r>
      <w:r>
        <w:rPr>
          <w:rFonts w:hint="eastAsia" w:ascii="宋体" w:hAnsi="宋体" w:cs="宋体"/>
          <w:b/>
          <w:color w:val="auto"/>
          <w:kern w:val="0"/>
          <w:sz w:val="24"/>
          <w:highlight w:val="none"/>
        </w:rPr>
        <w:t>条 合同备案及其他</w:t>
      </w:r>
    </w:p>
    <w:p w14:paraId="24D25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本合同一式</w:t>
      </w:r>
      <w:r>
        <w:rPr>
          <w:rFonts w:hint="eastAsia" w:ascii="宋体" w:hAnsi="宋体" w:cs="Arial"/>
          <w:color w:val="auto"/>
          <w:kern w:val="0"/>
          <w:sz w:val="24"/>
          <w:highlight w:val="none"/>
          <w:lang w:val="en-US" w:eastAsia="zh-CN"/>
        </w:rPr>
        <w:t>4</w:t>
      </w:r>
      <w:r>
        <w:rPr>
          <w:rFonts w:hint="eastAsia" w:ascii="宋体" w:hAnsi="宋体" w:cs="Arial"/>
          <w:color w:val="auto"/>
          <w:kern w:val="0"/>
          <w:sz w:val="24"/>
          <w:highlight w:val="none"/>
        </w:rPr>
        <w:t>份，甲乙双方各2份</w:t>
      </w:r>
      <w:r>
        <w:rPr>
          <w:rFonts w:hint="eastAsia" w:ascii="宋体" w:hAnsi="宋体" w:cs="宋体"/>
          <w:color w:val="auto"/>
          <w:kern w:val="0"/>
          <w:sz w:val="24"/>
          <w:highlight w:val="none"/>
        </w:rPr>
        <w:t xml:space="preserve">。          </w:t>
      </w:r>
    </w:p>
    <w:p w14:paraId="70A616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二、特殊专用条款部分</w:t>
      </w:r>
    </w:p>
    <w:p w14:paraId="4287F1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第一条 违约责任</w:t>
      </w:r>
    </w:p>
    <w:p w14:paraId="3B1F77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除不可抗力外，如果乙方没有按照本合同约定的期限</w:t>
      </w:r>
      <w:r>
        <w:rPr>
          <w:rFonts w:hint="eastAsia" w:ascii="宋体" w:hAnsi="宋体" w:cs="宋体"/>
          <w:color w:val="auto"/>
          <w:kern w:val="0"/>
          <w:sz w:val="24"/>
          <w:highlight w:val="none"/>
          <w:lang w:eastAsia="zh-CN"/>
        </w:rPr>
        <w:t>（</w:t>
      </w:r>
      <w:r>
        <w:rPr>
          <w:rFonts w:hint="eastAsia" w:ascii="宋体" w:hAnsi="宋体" w:eastAsia="宋体" w:cs="宋体"/>
          <w:b w:val="0"/>
          <w:bCs w:val="0"/>
          <w:color w:val="auto"/>
          <w:sz w:val="24"/>
          <w:szCs w:val="24"/>
          <w:highlight w:val="none"/>
          <w:lang w:val="en-US"/>
        </w:rPr>
        <w:t>每批次档案整理及扫描成果要求的工作时间范围</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、地点和方式交付服务成果或者实施服务，那么甲方可要求乙方支付违约金，迟延履行违约金按每迟延履行一日的应提供而未提供服务价格的</w:t>
      </w:r>
      <w:r>
        <w:rPr>
          <w:rFonts w:hint="eastAsia" w:ascii="宋体" w:hAnsi="宋体" w:cs="宋体"/>
          <w:color w:val="auto"/>
          <w:kern w:val="0"/>
          <w:sz w:val="24"/>
          <w:highlight w:val="none"/>
          <w:u w:val="single"/>
        </w:rPr>
        <w:t>0.5%</w:t>
      </w:r>
      <w:r>
        <w:rPr>
          <w:rFonts w:hint="eastAsia" w:ascii="宋体" w:hAnsi="宋体" w:cs="宋体"/>
          <w:color w:val="auto"/>
          <w:kern w:val="0"/>
          <w:sz w:val="24"/>
          <w:highlight w:val="none"/>
        </w:rPr>
        <w:t>计算，最高限额为本合同总价的20%；迟延履行的违约金计算数额达到前述最高限额之日起，甲方有权在要求乙方支付违约金的同时，书面通知乙方解除本合同。</w:t>
      </w:r>
    </w:p>
    <w:p w14:paraId="0B7905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b/>
          <w:bCs/>
          <w:color w:val="auto"/>
          <w:kern w:val="0"/>
          <w:sz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eastAsia="zh-CN"/>
        </w:rPr>
        <w:t>0.5%</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20%</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D14E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.中标人档案整理及扫描成果经采购人第一次抽检不合格，中标人需无条件返工；若连续两次抽检不合格，采购人有权终止合同并赔偿采购人实际损失。</w:t>
      </w:r>
    </w:p>
    <w:p w14:paraId="61D458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中标人如果无法实现将档案整合和入库到已建成的档案数字化扫描成果库中或无法实现与嘉善县自然资源和规划局档案管理系统无缝对接或无法实现与不动产登记系统进行无缝对接的，采购人有权终止合同，不支付任何款项</w:t>
      </w:r>
    </w:p>
    <w:p w14:paraId="3A3428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5.在进场实施之日起一个月内无法按照招标需求▲（三）服务期及人员要求的，甲方有权单方面终止合同，实施单位无条件退回首付款并按照不低于预算金额的10%作为违约金支付甲方。</w:t>
      </w:r>
    </w:p>
    <w:p w14:paraId="7BE1A0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第二条 不可抗力事件处理</w:t>
      </w:r>
    </w:p>
    <w:p w14:paraId="6F6287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1.在合同有效期内，任何一方因不可抗力事件导致不能履行合同的，合同履行期可延长，其延长期与不可抗力影响期相同。</w:t>
      </w:r>
    </w:p>
    <w:p w14:paraId="133398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2.不可抗力事件发生后，应立即通知对方，并寄送有关权威机构出具的证明。</w:t>
      </w:r>
    </w:p>
    <w:p w14:paraId="3F1721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3.不可抗力事件延续120天以上，双方应通过友好协商，确定是否继续履行合同。</w:t>
      </w:r>
    </w:p>
    <w:p w14:paraId="3AC5E0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第三条 合同有效期</w:t>
      </w:r>
    </w:p>
    <w:p w14:paraId="4CC783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自合同签订之日起至本项目合同履行完毕之日止</w:t>
      </w:r>
    </w:p>
    <w:p w14:paraId="74A4FC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p>
    <w:p w14:paraId="583D13E4">
      <w:pPr>
        <w:spacing w:line="480" w:lineRule="exact"/>
        <w:rPr>
          <w:rFonts w:ascii="宋体" w:hAnsi="宋体" w:cs="宋体"/>
          <w:b/>
          <w:color w:val="auto"/>
          <w:sz w:val="24"/>
          <w:highlight w:val="none"/>
        </w:rPr>
      </w:pPr>
      <w:r>
        <w:rPr>
          <w:rFonts w:hint="eastAsia" w:ascii="宋体" w:hAnsi="宋体" w:cs="宋体"/>
          <w:b/>
          <w:color w:val="auto"/>
          <w:sz w:val="24"/>
          <w:highlight w:val="none"/>
        </w:rPr>
        <w:t>采购人（甲方公章）                    供应商（乙方公章）：</w:t>
      </w:r>
    </w:p>
    <w:p w14:paraId="60C42116">
      <w:pPr>
        <w:spacing w:line="480" w:lineRule="exact"/>
        <w:rPr>
          <w:rFonts w:ascii="宋体" w:hAnsi="宋体" w:cs="宋体"/>
          <w:b/>
          <w:color w:val="auto"/>
          <w:sz w:val="24"/>
          <w:highlight w:val="none"/>
        </w:rPr>
      </w:pPr>
      <w:r>
        <w:rPr>
          <w:rFonts w:hint="eastAsia" w:ascii="宋体" w:hAnsi="宋体" w:cs="宋体"/>
          <w:b/>
          <w:color w:val="auto"/>
          <w:sz w:val="24"/>
          <w:highlight w:val="none"/>
        </w:rPr>
        <w:t>法定代表人                            法定代表人</w:t>
      </w:r>
    </w:p>
    <w:p w14:paraId="5B134071">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14:paraId="2AFE201B">
      <w:pPr>
        <w:spacing w:line="480" w:lineRule="exact"/>
        <w:rPr>
          <w:rFonts w:ascii="宋体" w:hAnsi="宋体" w:cs="宋体"/>
          <w:color w:val="auto"/>
          <w:sz w:val="24"/>
          <w:highlight w:val="none"/>
        </w:rPr>
      </w:pPr>
      <w:r>
        <w:rPr>
          <w:rFonts w:hint="eastAsia" w:ascii="宋体" w:hAnsi="宋体" w:cs="宋体"/>
          <w:b/>
          <w:color w:val="auto"/>
          <w:sz w:val="24"/>
          <w:highlight w:val="none"/>
        </w:rPr>
        <w:t xml:space="preserve">电话：                                电话：  </w:t>
      </w:r>
      <w:r>
        <w:rPr>
          <w:rFonts w:hint="eastAsia" w:ascii="宋体" w:hAnsi="宋体" w:cs="宋体"/>
          <w:color w:val="auto"/>
          <w:sz w:val="24"/>
          <w:highlight w:val="none"/>
        </w:rPr>
        <w:t xml:space="preserve">                 </w:t>
      </w:r>
    </w:p>
    <w:p w14:paraId="431AD288">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合同签订日期：     年    月   日</w:t>
      </w:r>
    </w:p>
    <w:p w14:paraId="4BA677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680" w:firstLineChars="1950"/>
        <w:rPr>
          <w:rFonts w:ascii="宋体" w:hAnsi="宋体" w:cs="宋体"/>
          <w:color w:val="auto"/>
          <w:sz w:val="24"/>
          <w:highlight w:val="none"/>
        </w:rPr>
        <w:sectPr>
          <w:footerReference r:id="rId7" w:type="default"/>
          <w:pgSz w:w="11906" w:h="16838"/>
          <w:pgMar w:top="1134" w:right="1134" w:bottom="1134" w:left="1134" w:header="851" w:footer="851"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s="宋体"/>
          <w:color w:val="auto"/>
          <w:sz w:val="24"/>
          <w:highlight w:val="none"/>
        </w:rPr>
        <w:t>签约地点：</w:t>
      </w:r>
    </w:p>
    <w:p w14:paraId="0D620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kern w:val="0"/>
          <w:sz w:val="24"/>
          <w:highlight w:val="none"/>
        </w:rPr>
      </w:pPr>
      <w:r>
        <w:rPr>
          <w:rFonts w:hint="eastAsia" w:ascii="宋体" w:hAnsi="宋体" w:cs="宋体"/>
          <w:color w:val="auto"/>
          <w:sz w:val="24"/>
          <w:highlight w:val="none"/>
        </w:rPr>
        <w:t xml:space="preserve">               </w:t>
      </w:r>
    </w:p>
    <w:tbl>
      <w:tblPr>
        <w:tblStyle w:val="64"/>
        <w:tblW w:w="14436" w:type="dxa"/>
        <w:tblInd w:w="93" w:type="dxa"/>
        <w:tblLayout w:type="fixed"/>
        <w:tblCellMar>
          <w:top w:w="0" w:type="dxa"/>
          <w:left w:w="108" w:type="dxa"/>
          <w:bottom w:w="0" w:type="dxa"/>
          <w:right w:w="108" w:type="dxa"/>
        </w:tblCellMar>
      </w:tblPr>
      <w:tblGrid>
        <w:gridCol w:w="3654"/>
        <w:gridCol w:w="3021"/>
        <w:gridCol w:w="1855"/>
        <w:gridCol w:w="1745"/>
        <w:gridCol w:w="2080"/>
        <w:gridCol w:w="2081"/>
      </w:tblGrid>
      <w:tr w14:paraId="11097A89">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14:paraId="3BC7A3F8">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嘉 善 县 政 府 采 购 商 品 验 收 单</w:t>
            </w:r>
          </w:p>
        </w:tc>
      </w:tr>
      <w:tr w14:paraId="568E3986">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14:paraId="11EE3E76">
            <w:pPr>
              <w:widowControl/>
              <w:jc w:val="left"/>
              <w:rPr>
                <w:rFonts w:ascii="宋体" w:hAnsi="宋体" w:cs="宋体"/>
                <w:color w:val="auto"/>
                <w:kern w:val="0"/>
                <w:sz w:val="24"/>
                <w:highlight w:val="none"/>
              </w:rPr>
            </w:pPr>
          </w:p>
        </w:tc>
        <w:tc>
          <w:tcPr>
            <w:tcW w:w="3021" w:type="dxa"/>
            <w:tcBorders>
              <w:top w:val="nil"/>
              <w:left w:val="nil"/>
              <w:bottom w:val="nil"/>
              <w:right w:val="nil"/>
            </w:tcBorders>
            <w:vAlign w:val="bottom"/>
          </w:tcPr>
          <w:p w14:paraId="6AA868CE">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5CFB5E76">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68867FDE">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3F0BC915">
            <w:pPr>
              <w:widowControl/>
              <w:jc w:val="left"/>
              <w:rPr>
                <w:rFonts w:ascii="宋体" w:hAnsi="宋体" w:cs="宋体"/>
                <w:color w:val="auto"/>
                <w:kern w:val="0"/>
                <w:sz w:val="24"/>
                <w:highlight w:val="none"/>
              </w:rPr>
            </w:pPr>
          </w:p>
        </w:tc>
        <w:tc>
          <w:tcPr>
            <w:tcW w:w="2081" w:type="dxa"/>
            <w:tcBorders>
              <w:top w:val="nil"/>
              <w:left w:val="nil"/>
              <w:bottom w:val="nil"/>
              <w:right w:val="nil"/>
            </w:tcBorders>
            <w:vAlign w:val="bottom"/>
          </w:tcPr>
          <w:p w14:paraId="09572A93">
            <w:pPr>
              <w:widowControl/>
              <w:jc w:val="left"/>
              <w:rPr>
                <w:rFonts w:ascii="宋体" w:hAnsi="宋体" w:cs="宋体"/>
                <w:color w:val="auto"/>
                <w:kern w:val="0"/>
                <w:sz w:val="24"/>
                <w:highlight w:val="none"/>
              </w:rPr>
            </w:pPr>
          </w:p>
        </w:tc>
      </w:tr>
      <w:tr w14:paraId="60F60CED">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14:paraId="497FD03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采购申请编号:</w:t>
            </w:r>
          </w:p>
        </w:tc>
        <w:tc>
          <w:tcPr>
            <w:tcW w:w="3021" w:type="dxa"/>
            <w:tcBorders>
              <w:top w:val="nil"/>
              <w:left w:val="nil"/>
              <w:bottom w:val="nil"/>
              <w:right w:val="nil"/>
            </w:tcBorders>
            <w:vAlign w:val="bottom"/>
          </w:tcPr>
          <w:p w14:paraId="53095955">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0BE37DF3">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0D0ED8EF">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60AA827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tc>
        <w:tc>
          <w:tcPr>
            <w:tcW w:w="2081" w:type="dxa"/>
            <w:tcBorders>
              <w:top w:val="nil"/>
              <w:left w:val="nil"/>
              <w:bottom w:val="nil"/>
              <w:right w:val="nil"/>
            </w:tcBorders>
            <w:vAlign w:val="bottom"/>
          </w:tcPr>
          <w:p w14:paraId="45903510">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号</w:t>
            </w:r>
          </w:p>
        </w:tc>
      </w:tr>
      <w:tr w14:paraId="74D3524D">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14:paraId="138FECC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14:paraId="638680F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14:paraId="68E6CF9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14:paraId="465BF81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14:paraId="2C32114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14:paraId="2D26394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C1C661A">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14:paraId="5F5089E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供应商（供方）</w:t>
            </w:r>
          </w:p>
        </w:tc>
        <w:tc>
          <w:tcPr>
            <w:tcW w:w="3021" w:type="dxa"/>
            <w:tcBorders>
              <w:top w:val="nil"/>
              <w:left w:val="nil"/>
              <w:bottom w:val="single" w:color="auto" w:sz="4" w:space="0"/>
              <w:right w:val="single" w:color="auto" w:sz="4" w:space="0"/>
            </w:tcBorders>
            <w:vAlign w:val="center"/>
          </w:tcPr>
          <w:p w14:paraId="0BDE653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4D81CE2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nil"/>
              <w:left w:val="nil"/>
              <w:bottom w:val="single" w:color="auto" w:sz="4" w:space="0"/>
              <w:right w:val="single" w:color="auto" w:sz="4" w:space="0"/>
            </w:tcBorders>
            <w:vAlign w:val="center"/>
          </w:tcPr>
          <w:p w14:paraId="5976BF1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4AE320D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nil"/>
              <w:left w:val="nil"/>
              <w:bottom w:val="single" w:color="auto" w:sz="4" w:space="0"/>
              <w:right w:val="single" w:color="auto" w:sz="4" w:space="0"/>
            </w:tcBorders>
            <w:vAlign w:val="center"/>
          </w:tcPr>
          <w:p w14:paraId="1296B15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68342EB">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667C78A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商品名称</w:t>
            </w:r>
          </w:p>
        </w:tc>
        <w:tc>
          <w:tcPr>
            <w:tcW w:w="3021" w:type="dxa"/>
            <w:tcBorders>
              <w:top w:val="nil"/>
              <w:left w:val="nil"/>
              <w:bottom w:val="single" w:color="auto" w:sz="4" w:space="0"/>
              <w:right w:val="single" w:color="auto" w:sz="4" w:space="0"/>
            </w:tcBorders>
            <w:vAlign w:val="center"/>
          </w:tcPr>
          <w:p w14:paraId="3C69501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规格型号及要求</w:t>
            </w:r>
          </w:p>
        </w:tc>
        <w:tc>
          <w:tcPr>
            <w:tcW w:w="1855" w:type="dxa"/>
            <w:tcBorders>
              <w:top w:val="nil"/>
              <w:left w:val="nil"/>
              <w:bottom w:val="single" w:color="auto" w:sz="4" w:space="0"/>
              <w:right w:val="single" w:color="auto" w:sz="4" w:space="0"/>
            </w:tcBorders>
            <w:vAlign w:val="center"/>
          </w:tcPr>
          <w:p w14:paraId="6EA68BF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计量单位</w:t>
            </w:r>
          </w:p>
        </w:tc>
        <w:tc>
          <w:tcPr>
            <w:tcW w:w="1745" w:type="dxa"/>
            <w:tcBorders>
              <w:top w:val="nil"/>
              <w:left w:val="nil"/>
              <w:bottom w:val="single" w:color="auto" w:sz="4" w:space="0"/>
              <w:right w:val="single" w:color="auto" w:sz="4" w:space="0"/>
            </w:tcBorders>
            <w:vAlign w:val="center"/>
          </w:tcPr>
          <w:p w14:paraId="6228651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     量</w:t>
            </w:r>
          </w:p>
        </w:tc>
        <w:tc>
          <w:tcPr>
            <w:tcW w:w="2080" w:type="dxa"/>
            <w:tcBorders>
              <w:top w:val="nil"/>
              <w:left w:val="nil"/>
              <w:bottom w:val="single" w:color="auto" w:sz="4" w:space="0"/>
              <w:right w:val="single" w:color="auto" w:sz="4" w:space="0"/>
            </w:tcBorders>
            <w:vAlign w:val="center"/>
          </w:tcPr>
          <w:p w14:paraId="25D0F8D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2081" w:type="dxa"/>
            <w:tcBorders>
              <w:top w:val="nil"/>
              <w:left w:val="nil"/>
              <w:bottom w:val="single" w:color="auto" w:sz="4" w:space="0"/>
              <w:right w:val="single" w:color="auto" w:sz="4" w:space="0"/>
            </w:tcBorders>
            <w:vAlign w:val="center"/>
          </w:tcPr>
          <w:p w14:paraId="3969FBC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 (元)</w:t>
            </w:r>
          </w:p>
        </w:tc>
      </w:tr>
      <w:tr w14:paraId="215BA057">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35DF780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16C1395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10E3FC2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18BDF4A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7D4DD1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3AEDBA0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F1660EE">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05B334C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2196EF5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04459AB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427F32C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6752D2E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0D21BFA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6044914">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7444B49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3021" w:type="dxa"/>
            <w:tcBorders>
              <w:top w:val="nil"/>
              <w:left w:val="nil"/>
              <w:bottom w:val="single" w:color="auto" w:sz="4" w:space="0"/>
              <w:right w:val="single" w:color="auto" w:sz="4" w:space="0"/>
            </w:tcBorders>
            <w:vAlign w:val="center"/>
          </w:tcPr>
          <w:p w14:paraId="3955B67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6447E41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496F4D1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2CD282B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0BFF13D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D488C27">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14:paraId="4012345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合计人民币(大写):</w:t>
            </w:r>
          </w:p>
        </w:tc>
      </w:tr>
      <w:tr w14:paraId="6764D6C5">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14:paraId="224CFAB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详细设备清单见装箱单</w:t>
            </w:r>
          </w:p>
        </w:tc>
      </w:tr>
      <w:tr w14:paraId="4410B7AD">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14:paraId="7829E74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14:paraId="4408C39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采购单位付款意见:</w:t>
            </w:r>
          </w:p>
        </w:tc>
      </w:tr>
      <w:tr w14:paraId="49B78810">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14:paraId="67704D3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nil"/>
            </w:tcBorders>
            <w:vAlign w:val="bottom"/>
          </w:tcPr>
          <w:p w14:paraId="7BED2056">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验收人（签字）:</w:t>
            </w:r>
          </w:p>
        </w:tc>
        <w:tc>
          <w:tcPr>
            <w:tcW w:w="1855" w:type="dxa"/>
            <w:tcBorders>
              <w:top w:val="nil"/>
              <w:left w:val="nil"/>
              <w:bottom w:val="single" w:color="auto" w:sz="4" w:space="0"/>
              <w:right w:val="nil"/>
            </w:tcBorders>
            <w:vAlign w:val="bottom"/>
          </w:tcPr>
          <w:p w14:paraId="46CBEF9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14:paraId="38F127F3">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70AF238B">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14:paraId="0934179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14:paraId="426F08D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县公共资源交易中心意见:</w:t>
            </w:r>
          </w:p>
        </w:tc>
      </w:tr>
      <w:tr w14:paraId="53B1D997">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14:paraId="2FE5C4F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经办人（签字）:</w:t>
            </w:r>
          </w:p>
        </w:tc>
        <w:tc>
          <w:tcPr>
            <w:tcW w:w="1745" w:type="dxa"/>
            <w:tcBorders>
              <w:top w:val="nil"/>
              <w:left w:val="nil"/>
              <w:bottom w:val="nil"/>
              <w:right w:val="nil"/>
            </w:tcBorders>
            <w:vAlign w:val="bottom"/>
          </w:tcPr>
          <w:p w14:paraId="05D08C9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nil"/>
              <w:right w:val="nil"/>
            </w:tcBorders>
            <w:vAlign w:val="bottom"/>
          </w:tcPr>
          <w:p w14:paraId="7CFC3787">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2081" w:type="dxa"/>
            <w:tcBorders>
              <w:top w:val="nil"/>
              <w:left w:val="nil"/>
              <w:bottom w:val="nil"/>
              <w:right w:val="single" w:color="auto" w:sz="4" w:space="0"/>
            </w:tcBorders>
            <w:vAlign w:val="bottom"/>
          </w:tcPr>
          <w:p w14:paraId="5268EF5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AB303AE">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14:paraId="4D552589">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14:paraId="344E1A79">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7B8D1AD0">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14:paraId="1C32B0D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注：1、表内各项必须填写完整，根据实际需求可增加或删除行，不得改动格式；</w:t>
            </w:r>
          </w:p>
        </w:tc>
      </w:tr>
      <w:tr w14:paraId="14BFD979">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14:paraId="4CE2E8C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2、本表一式五份，经供需双方签字盖章后由采购单位、供应商、财政支付（核算）中心、财政局、公共资源交易中心各自留存。</w:t>
            </w:r>
          </w:p>
        </w:tc>
      </w:tr>
    </w:tbl>
    <w:p w14:paraId="18F289A0">
      <w:pPr>
        <w:pStyle w:val="36"/>
        <w:spacing w:before="120" w:after="120" w:line="420" w:lineRule="exact"/>
        <w:rPr>
          <w:rFonts w:hAnsi="宋体"/>
          <w:bCs/>
          <w:color w:val="auto"/>
          <w:highlight w:val="none"/>
        </w:rPr>
        <w:sectPr>
          <w:pgSz w:w="16838" w:h="11906" w:orient="landscape"/>
          <w:pgMar w:top="1134" w:right="1134" w:bottom="1134" w:left="1134" w:header="851" w:footer="851" w:gutter="0"/>
          <w:pgBorders>
            <w:top w:val="none" w:sz="0" w:space="0"/>
            <w:left w:val="none" w:sz="0" w:space="0"/>
            <w:bottom w:val="none" w:sz="0" w:space="0"/>
            <w:right w:val="none" w:sz="0" w:space="0"/>
          </w:pgBorders>
          <w:cols w:space="0" w:num="1"/>
          <w:rtlGutter w:val="0"/>
          <w:docGrid w:linePitch="312" w:charSpace="0"/>
        </w:sectPr>
      </w:pPr>
    </w:p>
    <w:p w14:paraId="6DCB0E3B">
      <w:pPr>
        <w:jc w:val="center"/>
        <w:rPr>
          <w:rFonts w:hint="eastAsia" w:ascii="宋体" w:hAnsi="宋体" w:cs="宋体"/>
          <w:color w:val="auto"/>
          <w:sz w:val="28"/>
          <w:szCs w:val="28"/>
          <w:highlight w:val="none"/>
          <w:lang w:eastAsia="zh-CN"/>
        </w:rPr>
      </w:pPr>
    </w:p>
    <w:p w14:paraId="66367675">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不动产业务和信息化建设（2025年不动产档案扫描建库项目）</w:t>
      </w:r>
      <w:r>
        <w:rPr>
          <w:rFonts w:hint="eastAsia" w:ascii="宋体" w:hAnsi="宋体" w:cs="宋体"/>
          <w:color w:val="auto"/>
          <w:sz w:val="28"/>
          <w:szCs w:val="28"/>
          <w:highlight w:val="none"/>
        </w:rPr>
        <w:t xml:space="preserve"> </w:t>
      </w:r>
    </w:p>
    <w:p w14:paraId="38EC385D">
      <w:pPr>
        <w:jc w:val="center"/>
        <w:rPr>
          <w:rFonts w:hint="eastAsia" w:ascii="宋体" w:hAnsi="宋体" w:cs="宋体"/>
          <w:color w:val="auto"/>
          <w:sz w:val="28"/>
          <w:szCs w:val="28"/>
          <w:highlight w:val="none"/>
        </w:rPr>
      </w:pPr>
    </w:p>
    <w:p w14:paraId="11291F4D">
      <w:pPr>
        <w:jc w:val="center"/>
        <w:rPr>
          <w:rFonts w:ascii="宋体" w:hAnsi="宋体" w:cs="宋体"/>
          <w:color w:val="auto"/>
          <w:sz w:val="28"/>
          <w:szCs w:val="28"/>
          <w:highlight w:val="none"/>
        </w:rPr>
      </w:pPr>
      <w:r>
        <w:rPr>
          <w:rFonts w:hint="eastAsia" w:ascii="宋体" w:hAnsi="宋体" w:cs="宋体"/>
          <w:color w:val="auto"/>
          <w:sz w:val="28"/>
          <w:szCs w:val="28"/>
          <w:highlight w:val="none"/>
        </w:rPr>
        <w:t>验收报告</w:t>
      </w:r>
    </w:p>
    <w:p w14:paraId="00F9336B">
      <w:pPr>
        <w:jc w:val="center"/>
        <w:rPr>
          <w:rFonts w:ascii="宋体" w:hAnsi="宋体" w:cs="宋体"/>
          <w:color w:val="auto"/>
          <w:sz w:val="28"/>
          <w:szCs w:val="28"/>
          <w:highlight w:val="none"/>
        </w:rPr>
      </w:pPr>
    </w:p>
    <w:p w14:paraId="52036EF7">
      <w:pPr>
        <w:jc w:val="left"/>
        <w:rPr>
          <w:rFonts w:ascii="宋体" w:hAnsi="宋体" w:cs="宋体"/>
          <w:color w:val="auto"/>
          <w:sz w:val="28"/>
          <w:szCs w:val="28"/>
          <w:highlight w:val="none"/>
        </w:rPr>
      </w:pPr>
    </w:p>
    <w:p w14:paraId="43F99728">
      <w:pPr>
        <w:jc w:val="left"/>
        <w:rPr>
          <w:rFonts w:ascii="宋体" w:hAnsi="宋体" w:cs="宋体"/>
          <w:color w:val="auto"/>
          <w:sz w:val="28"/>
          <w:szCs w:val="28"/>
          <w:highlight w:val="none"/>
        </w:rPr>
      </w:pPr>
    </w:p>
    <w:p w14:paraId="1015242F">
      <w:pPr>
        <w:jc w:val="left"/>
        <w:rPr>
          <w:rFonts w:ascii="宋体" w:hAnsi="宋体" w:cs="宋体"/>
          <w:color w:val="auto"/>
          <w:sz w:val="28"/>
          <w:szCs w:val="28"/>
          <w:highlight w:val="none"/>
        </w:rPr>
      </w:pPr>
    </w:p>
    <w:p w14:paraId="4CFC6DB4">
      <w:pPr>
        <w:jc w:val="left"/>
        <w:rPr>
          <w:rFonts w:ascii="宋体" w:hAnsi="宋体" w:cs="宋体"/>
          <w:color w:val="auto"/>
          <w:sz w:val="28"/>
          <w:szCs w:val="28"/>
          <w:highlight w:val="none"/>
        </w:rPr>
      </w:pPr>
    </w:p>
    <w:p w14:paraId="54B85B4D">
      <w:pPr>
        <w:jc w:val="left"/>
        <w:rPr>
          <w:rFonts w:ascii="宋体" w:hAnsi="宋体" w:cs="宋体"/>
          <w:color w:val="auto"/>
          <w:sz w:val="28"/>
          <w:szCs w:val="28"/>
          <w:highlight w:val="none"/>
        </w:rPr>
      </w:pPr>
      <w:r>
        <w:rPr>
          <w:rFonts w:hint="eastAsia" w:ascii="宋体" w:hAnsi="宋体" w:cs="宋体"/>
          <w:color w:val="auto"/>
          <w:sz w:val="28"/>
          <w:szCs w:val="28"/>
          <w:highlight w:val="none"/>
        </w:rPr>
        <w:t>项目验收情况说明（由双方按验收情况填写）：</w:t>
      </w:r>
    </w:p>
    <w:p w14:paraId="0CB872EA">
      <w:pPr>
        <w:jc w:val="left"/>
        <w:rPr>
          <w:rFonts w:ascii="宋体" w:hAnsi="宋体" w:cs="宋体"/>
          <w:color w:val="auto"/>
          <w:sz w:val="28"/>
          <w:szCs w:val="28"/>
          <w:highlight w:val="none"/>
        </w:rPr>
      </w:pPr>
    </w:p>
    <w:p w14:paraId="6F03A2D0">
      <w:pPr>
        <w:jc w:val="left"/>
        <w:rPr>
          <w:rFonts w:ascii="宋体" w:hAnsi="宋体" w:cs="宋体"/>
          <w:color w:val="auto"/>
          <w:sz w:val="28"/>
          <w:szCs w:val="28"/>
          <w:highlight w:val="none"/>
        </w:rPr>
      </w:pPr>
    </w:p>
    <w:p w14:paraId="49B7BC36">
      <w:pPr>
        <w:jc w:val="left"/>
        <w:rPr>
          <w:rFonts w:ascii="宋体" w:hAnsi="宋体" w:cs="宋体"/>
          <w:color w:val="auto"/>
          <w:sz w:val="28"/>
          <w:szCs w:val="28"/>
          <w:highlight w:val="none"/>
        </w:rPr>
      </w:pPr>
    </w:p>
    <w:p w14:paraId="001C8A5E">
      <w:pPr>
        <w:jc w:val="left"/>
        <w:rPr>
          <w:rFonts w:ascii="宋体" w:hAnsi="宋体" w:cs="宋体"/>
          <w:color w:val="auto"/>
          <w:sz w:val="28"/>
          <w:szCs w:val="28"/>
          <w:highlight w:val="none"/>
        </w:rPr>
      </w:pPr>
    </w:p>
    <w:p w14:paraId="3534F9C9">
      <w:pPr>
        <w:jc w:val="left"/>
        <w:rPr>
          <w:rFonts w:ascii="宋体" w:hAnsi="宋体" w:cs="宋体"/>
          <w:color w:val="auto"/>
          <w:sz w:val="28"/>
          <w:szCs w:val="28"/>
          <w:highlight w:val="none"/>
        </w:rPr>
      </w:pPr>
    </w:p>
    <w:p w14:paraId="60275E82">
      <w:pPr>
        <w:jc w:val="left"/>
        <w:rPr>
          <w:rFonts w:ascii="宋体" w:hAnsi="宋体" w:cs="宋体"/>
          <w:color w:val="auto"/>
          <w:sz w:val="28"/>
          <w:szCs w:val="28"/>
          <w:highlight w:val="none"/>
        </w:rPr>
      </w:pPr>
    </w:p>
    <w:p w14:paraId="7E62E0EA">
      <w:pPr>
        <w:jc w:val="left"/>
        <w:rPr>
          <w:rFonts w:ascii="宋体" w:hAnsi="宋体" w:cs="宋体"/>
          <w:color w:val="auto"/>
          <w:sz w:val="28"/>
          <w:szCs w:val="28"/>
          <w:highlight w:val="none"/>
        </w:rPr>
      </w:pPr>
    </w:p>
    <w:p w14:paraId="16F10C9A">
      <w:pPr>
        <w:rPr>
          <w:color w:val="auto"/>
          <w:highlight w:val="none"/>
        </w:rPr>
        <w:sectPr>
          <w:pgSz w:w="11906" w:h="16838"/>
          <w:pgMar w:top="1134" w:right="1134" w:bottom="1134" w:left="1134" w:header="851" w:footer="851"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s="宋体"/>
          <w:color w:val="auto"/>
          <w:sz w:val="28"/>
          <w:szCs w:val="28"/>
          <w:highlight w:val="none"/>
        </w:rPr>
        <w:t>验收小组签字：（</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人以上）</w:t>
      </w:r>
    </w:p>
    <w:p w14:paraId="24659A7F">
      <w:pPr>
        <w:pStyle w:val="5"/>
        <w:numPr>
          <w:ilvl w:val="0"/>
          <w:numId w:val="9"/>
        </w:numPr>
        <w:spacing w:before="0" w:after="0" w:line="240" w:lineRule="auto"/>
        <w:ind w:left="0" w:firstLine="0"/>
        <w:jc w:val="center"/>
        <w:rPr>
          <w:rFonts w:ascii="仿宋" w:hAnsi="仿宋" w:eastAsia="仿宋" w:cs="仿宋_GB2312"/>
          <w:bCs w:val="0"/>
          <w:color w:val="auto"/>
          <w:kern w:val="2"/>
          <w:sz w:val="36"/>
          <w:szCs w:val="36"/>
          <w:highlight w:val="none"/>
        </w:rPr>
      </w:pPr>
      <w:r>
        <w:rPr>
          <w:rFonts w:hint="eastAsia" w:ascii="仿宋" w:hAnsi="仿宋" w:eastAsia="仿宋" w:cs="仿宋_GB2312"/>
          <w:bCs w:val="0"/>
          <w:color w:val="auto"/>
          <w:kern w:val="2"/>
          <w:sz w:val="36"/>
          <w:szCs w:val="36"/>
          <w:highlight w:val="none"/>
        </w:rPr>
        <w:t>投标文件格式</w:t>
      </w:r>
      <w:bookmarkEnd w:id="34"/>
    </w:p>
    <w:p w14:paraId="3828B13D">
      <w:pPr>
        <w:spacing w:line="300" w:lineRule="auto"/>
        <w:ind w:firstLine="205" w:firstLineChars="98"/>
        <w:jc w:val="center"/>
        <w:rPr>
          <w:rFonts w:hAnsi="宋体" w:cs="宋体"/>
          <w:color w:val="auto"/>
          <w:highlight w:val="none"/>
        </w:rPr>
      </w:pPr>
      <w:r>
        <w:rPr>
          <w:rFonts w:hint="eastAsia" w:hAnsi="宋体" w:cs="宋体"/>
          <w:color w:val="auto"/>
          <w:highlight w:val="none"/>
        </w:rPr>
        <w:t xml:space="preserve"> </w:t>
      </w:r>
    </w:p>
    <w:p w14:paraId="40EB5D52">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符合参加政府采购活动应当具备的一般条件的承诺函</w:t>
      </w:r>
    </w:p>
    <w:p w14:paraId="44DC3EC6">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采购人</w:t>
      </w: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采购代理机构</w:t>
      </w:r>
      <w:r>
        <w:rPr>
          <w:rFonts w:hint="eastAsia" w:ascii="仿宋_GB2312" w:hAnsi="仿宋" w:eastAsia="仿宋_GB2312" w:cs="仿宋_GB2312"/>
          <w:color w:val="auto"/>
          <w:sz w:val="24"/>
          <w:highlight w:val="none"/>
        </w:rPr>
        <w:t>）：</w:t>
      </w:r>
    </w:p>
    <w:p w14:paraId="38C87A3D">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b/>
          <w:bCs/>
          <w:color w:val="auto"/>
          <w:sz w:val="24"/>
          <w:highlight w:val="none"/>
        </w:rPr>
        <w:t>项目名称</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w:t>
      </w:r>
      <w:r>
        <w:rPr>
          <w:rFonts w:hint="eastAsia" w:ascii="仿宋_GB2312" w:hAnsi="仿宋" w:eastAsia="仿宋_GB2312"/>
          <w:b/>
          <w:bCs/>
          <w:color w:val="auto"/>
          <w:sz w:val="24"/>
          <w:highlight w:val="none"/>
        </w:rPr>
        <w:t>采购编号</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】政府采购活动，郑重承诺：</w:t>
      </w:r>
    </w:p>
    <w:p w14:paraId="74543436">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72E86C7B">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697E67A8">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5DDC599C">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6F0F6100">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50A9128E">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695A73B1">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37BCDD64">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14:paraId="54A5A389">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16E4EF9D">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723FCB2A">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70C9D0E7">
      <w:pPr>
        <w:snapToGrid w:val="0"/>
        <w:spacing w:line="360" w:lineRule="auto"/>
        <w:rPr>
          <w:rFonts w:ascii="仿宋_GB2312" w:hAnsi="仿宋" w:eastAsia="仿宋_GB2312" w:cs="仿宋_GB2312"/>
          <w:color w:val="auto"/>
          <w:kern w:val="0"/>
          <w:sz w:val="24"/>
          <w:highlight w:val="none"/>
          <w:lang w:val="zh-CN"/>
        </w:rPr>
      </w:pPr>
    </w:p>
    <w:p w14:paraId="38B19E08">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投标人名称（盖章）</w:t>
      </w:r>
      <w:r>
        <w:rPr>
          <w:rFonts w:ascii="仿宋_GB2312" w:hAnsi="仿宋" w:eastAsia="仿宋_GB2312" w:cs="仿宋_GB2312"/>
          <w:color w:val="auto"/>
          <w:kern w:val="0"/>
          <w:sz w:val="24"/>
          <w:highlight w:val="none"/>
          <w:lang w:val="zh-CN"/>
        </w:rPr>
        <w:t>：</w:t>
      </w:r>
    </w:p>
    <w:p w14:paraId="25FFFB64">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1B42544">
      <w:pPr>
        <w:snapToGrid w:val="0"/>
        <w:jc w:val="center"/>
        <w:rPr>
          <w:rFonts w:ascii="宋体" w:hAnsi="宋体"/>
          <w:b/>
          <w:color w:val="auto"/>
          <w:sz w:val="32"/>
          <w:szCs w:val="32"/>
          <w:highlight w:val="none"/>
        </w:rPr>
      </w:pPr>
    </w:p>
    <w:p w14:paraId="69A056A5">
      <w:pPr>
        <w:spacing w:line="360" w:lineRule="auto"/>
        <w:ind w:firstLine="275" w:firstLineChars="98"/>
        <w:jc w:val="center"/>
        <w:rPr>
          <w:rFonts w:ascii="宋体" w:hAnsi="宋体" w:cs="宋体"/>
          <w:b/>
          <w:bCs/>
          <w:color w:val="auto"/>
          <w:sz w:val="28"/>
          <w:szCs w:val="28"/>
          <w:highlight w:val="none"/>
        </w:rPr>
      </w:pPr>
    </w:p>
    <w:p w14:paraId="419EE26B">
      <w:pPr>
        <w:spacing w:line="360" w:lineRule="auto"/>
        <w:ind w:firstLine="275" w:firstLineChars="98"/>
        <w:jc w:val="center"/>
        <w:rPr>
          <w:rFonts w:ascii="宋体" w:hAnsi="宋体" w:cs="宋体"/>
          <w:b/>
          <w:bCs/>
          <w:color w:val="auto"/>
          <w:sz w:val="28"/>
          <w:szCs w:val="28"/>
          <w:highlight w:val="none"/>
        </w:rPr>
      </w:pPr>
    </w:p>
    <w:p w14:paraId="345F9A1D">
      <w:pPr>
        <w:spacing w:line="360" w:lineRule="auto"/>
        <w:ind w:firstLine="275" w:firstLineChars="98"/>
        <w:jc w:val="center"/>
        <w:rPr>
          <w:rFonts w:ascii="宋体" w:hAnsi="宋体" w:cs="宋体"/>
          <w:b/>
          <w:bCs/>
          <w:color w:val="auto"/>
          <w:sz w:val="28"/>
          <w:szCs w:val="28"/>
          <w:highlight w:val="none"/>
        </w:rPr>
      </w:pPr>
    </w:p>
    <w:p w14:paraId="69DD1AA0">
      <w:pPr>
        <w:spacing w:line="360" w:lineRule="auto"/>
        <w:ind w:firstLine="275" w:firstLineChars="98"/>
        <w:jc w:val="center"/>
        <w:rPr>
          <w:rFonts w:ascii="宋体" w:hAnsi="宋体" w:cs="宋体"/>
          <w:b/>
          <w:bCs/>
          <w:color w:val="auto"/>
          <w:sz w:val="28"/>
          <w:szCs w:val="28"/>
          <w:highlight w:val="none"/>
        </w:rPr>
      </w:pPr>
    </w:p>
    <w:p w14:paraId="724DDF9C">
      <w:pPr>
        <w:spacing w:line="360" w:lineRule="auto"/>
        <w:ind w:firstLine="275" w:firstLineChars="98"/>
        <w:jc w:val="center"/>
        <w:rPr>
          <w:rFonts w:ascii="宋体" w:hAnsi="宋体" w:cs="宋体"/>
          <w:b/>
          <w:bCs/>
          <w:color w:val="auto"/>
          <w:sz w:val="28"/>
          <w:szCs w:val="28"/>
          <w:highlight w:val="none"/>
        </w:rPr>
      </w:pPr>
    </w:p>
    <w:p w14:paraId="0C585FF2">
      <w:pPr>
        <w:snapToGrid w:val="0"/>
        <w:spacing w:before="120" w:beforeLines="50" w:after="50"/>
        <w:rPr>
          <w:b/>
          <w:color w:val="auto"/>
          <w:sz w:val="24"/>
          <w:highlight w:val="none"/>
        </w:rPr>
      </w:pPr>
    </w:p>
    <w:p w14:paraId="22DD270B">
      <w:pPr>
        <w:spacing w:line="360" w:lineRule="auto"/>
        <w:ind w:firstLine="275" w:firstLineChars="98"/>
        <w:jc w:val="center"/>
        <w:rPr>
          <w:rFonts w:hint="eastAsia" w:ascii="宋体" w:hAnsi="宋体" w:cs="宋体"/>
          <w:b/>
          <w:bCs/>
          <w:color w:val="auto"/>
          <w:sz w:val="28"/>
          <w:szCs w:val="28"/>
          <w:highlight w:val="none"/>
        </w:rPr>
      </w:pPr>
    </w:p>
    <w:p w14:paraId="4F4D117D">
      <w:pPr>
        <w:spacing w:line="360" w:lineRule="auto"/>
        <w:ind w:firstLine="275" w:firstLineChars="98"/>
        <w:jc w:val="center"/>
        <w:rPr>
          <w:rFonts w:hint="eastAsia" w:ascii="宋体" w:hAnsi="宋体" w:cs="宋体"/>
          <w:b/>
          <w:bCs/>
          <w:color w:val="auto"/>
          <w:sz w:val="28"/>
          <w:szCs w:val="28"/>
          <w:highlight w:val="none"/>
        </w:rPr>
      </w:pPr>
    </w:p>
    <w:p w14:paraId="310ABEAF">
      <w:pPr>
        <w:spacing w:line="360" w:lineRule="auto"/>
        <w:ind w:firstLine="275" w:firstLineChars="98"/>
        <w:jc w:val="center"/>
        <w:rPr>
          <w:rFonts w:ascii="宋体" w:hAnsi="宋体" w:cs="宋体"/>
          <w:color w:val="auto"/>
          <w:sz w:val="22"/>
          <w:szCs w:val="22"/>
          <w:highlight w:val="none"/>
        </w:rPr>
      </w:pPr>
      <w:r>
        <w:rPr>
          <w:rFonts w:hint="eastAsia" w:ascii="宋体" w:hAnsi="宋体" w:cs="宋体"/>
          <w:b/>
          <w:bCs/>
          <w:color w:val="auto"/>
          <w:sz w:val="28"/>
          <w:szCs w:val="28"/>
          <w:highlight w:val="none"/>
        </w:rPr>
        <w:t>中小企业声明函（服务）</w:t>
      </w:r>
    </w:p>
    <w:p w14:paraId="2728DF3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本公司（联合体）郑重声明，根据《政府采购促进中小企业发展管理办法》（财库﹝2020﹞46号）的规定，本公司（联合体）参加</w:t>
      </w:r>
      <w:r>
        <w:rPr>
          <w:rFonts w:ascii="宋体" w:hAnsi="宋体" w:cs="宋体"/>
          <w:color w:val="auto"/>
          <w:sz w:val="24"/>
          <w:highlight w:val="none"/>
          <w:u w:val="single"/>
        </w:rPr>
        <w:t>（</w:t>
      </w:r>
      <w:r>
        <w:rPr>
          <w:rFonts w:hint="eastAsia" w:ascii="宋体" w:hAnsi="宋体" w:cs="宋体"/>
          <w:b/>
          <w:bCs/>
          <w:color w:val="auto"/>
          <w:sz w:val="24"/>
          <w:highlight w:val="none"/>
          <w:u w:val="single"/>
          <w:lang w:eastAsia="zh-CN"/>
        </w:rPr>
        <w:t>采购</w:t>
      </w:r>
      <w:r>
        <w:rPr>
          <w:rFonts w:ascii="宋体" w:hAnsi="宋体" w:cs="宋体"/>
          <w:b/>
          <w:bCs/>
          <w:color w:val="auto"/>
          <w:sz w:val="24"/>
          <w:highlight w:val="none"/>
          <w:u w:val="single"/>
        </w:rPr>
        <w:t>单位名称</w:t>
      </w:r>
      <w:r>
        <w:rPr>
          <w:rFonts w:ascii="宋体" w:hAnsi="宋体" w:cs="宋体"/>
          <w:color w:val="auto"/>
          <w:sz w:val="24"/>
          <w:highlight w:val="none"/>
          <w:u w:val="single"/>
        </w:rPr>
        <w:t>）</w:t>
      </w:r>
      <w:r>
        <w:rPr>
          <w:rFonts w:ascii="宋体" w:hAnsi="宋体" w:cs="宋体"/>
          <w:color w:val="auto"/>
          <w:sz w:val="24"/>
          <w:highlight w:val="none"/>
        </w:rPr>
        <w:t>的</w:t>
      </w:r>
      <w:r>
        <w:rPr>
          <w:rFonts w:hint="eastAsia" w:ascii="宋体" w:hAnsi="宋体" w:cs="宋体"/>
          <w:color w:val="auto"/>
          <w:sz w:val="24"/>
          <w:highlight w:val="none"/>
          <w:u w:val="single"/>
          <w:lang w:eastAsia="zh-CN"/>
        </w:rPr>
        <w:t>不动产业务和信息化建设（2025年不动产档案扫描建库项目）</w:t>
      </w:r>
      <w:r>
        <w:rPr>
          <w:rFonts w:ascii="宋体" w:hAnsi="宋体" w:cs="宋体"/>
          <w:color w:val="auto"/>
          <w:sz w:val="24"/>
          <w:highlight w:val="none"/>
        </w:rPr>
        <w:t>采购活动，</w:t>
      </w:r>
      <w:r>
        <w:rPr>
          <w:rFonts w:hint="eastAsia" w:ascii="宋体" w:hAnsi="宋体" w:cs="宋体"/>
          <w:color w:val="auto"/>
          <w:sz w:val="24"/>
          <w:highlight w:val="none"/>
        </w:rPr>
        <w:t>服务全部由符合政策要求的中小企业承接</w:t>
      </w:r>
      <w:r>
        <w:rPr>
          <w:rFonts w:ascii="宋体" w:hAnsi="宋体" w:cs="宋体"/>
          <w:color w:val="auto"/>
          <w:sz w:val="24"/>
          <w:highlight w:val="none"/>
        </w:rPr>
        <w:t xml:space="preserve">。相关企业（含联合体中的中小企业、签订分包意向协议的中小企业）的具体情况如下： </w:t>
      </w:r>
    </w:p>
    <w:p w14:paraId="2A9DE733">
      <w:pPr>
        <w:numPr>
          <w:ilvl w:val="0"/>
          <w:numId w:val="1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不动产业务和信息化建设（2025年不动产档案扫描建库项目）</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rPr>
        <w:t>软件和信息技术服务业</w:t>
      </w:r>
      <w:r>
        <w:rPr>
          <w:rFonts w:hint="eastAsia" w:ascii="宋体" w:hAnsi="宋体" w:cs="宋体"/>
          <w:color w:val="auto"/>
          <w:sz w:val="24"/>
          <w:highlight w:val="none"/>
          <w:u w:val="single"/>
        </w:rPr>
        <w:t>）</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 ，属于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75D6CD13">
      <w:pPr>
        <w:pStyle w:val="968"/>
        <w:snapToGrid w:val="0"/>
        <w:spacing w:line="360" w:lineRule="auto"/>
        <w:ind w:firstLine="494"/>
        <w:rPr>
          <w:rFonts w:ascii="宋体" w:eastAsia="宋体"/>
          <w:bCs/>
          <w:color w:val="auto"/>
          <w:sz w:val="24"/>
          <w:szCs w:val="24"/>
          <w:highlight w:val="none"/>
        </w:rPr>
      </w:pPr>
    </w:p>
    <w:p w14:paraId="2B3C7A53">
      <w:pPr>
        <w:pStyle w:val="968"/>
        <w:snapToGrid w:val="0"/>
        <w:spacing w:line="360" w:lineRule="auto"/>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14:paraId="182501E0">
      <w:pPr>
        <w:pStyle w:val="968"/>
        <w:snapToGrid w:val="0"/>
        <w:spacing w:line="360" w:lineRule="auto"/>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14:paraId="2A4169A1">
      <w:pPr>
        <w:pStyle w:val="968"/>
        <w:snapToGrid w:val="0"/>
        <w:ind w:firstLine="4809" w:firstLineChars="2004"/>
        <w:rPr>
          <w:rFonts w:ascii="宋体" w:eastAsia="宋体"/>
          <w:bCs/>
          <w:color w:val="auto"/>
          <w:sz w:val="24"/>
          <w:szCs w:val="24"/>
          <w:highlight w:val="none"/>
        </w:rPr>
      </w:pPr>
    </w:p>
    <w:p w14:paraId="2773605A">
      <w:pPr>
        <w:pStyle w:val="968"/>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14:paraId="39DE823C">
      <w:pPr>
        <w:pStyle w:val="968"/>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14:paraId="21F7D357">
      <w:pPr>
        <w:pStyle w:val="968"/>
        <w:snapToGrid w:val="0"/>
        <w:spacing w:line="240" w:lineRule="auto"/>
        <w:ind w:firstLine="0" w:firstLineChars="0"/>
        <w:rPr>
          <w:rFonts w:ascii="宋体" w:eastAsia="宋体"/>
          <w:bCs/>
          <w:color w:val="auto"/>
          <w:sz w:val="24"/>
          <w:szCs w:val="24"/>
          <w:highlight w:val="none"/>
        </w:rPr>
      </w:pPr>
    </w:p>
    <w:p w14:paraId="5FFE1A29">
      <w:pPr>
        <w:pStyle w:val="968"/>
        <w:snapToGrid w:val="0"/>
        <w:spacing w:line="240" w:lineRule="auto"/>
        <w:ind w:firstLine="0" w:firstLineChars="0"/>
        <w:rPr>
          <w:rFonts w:ascii="宋体" w:eastAsia="宋体"/>
          <w:bCs/>
          <w:color w:val="auto"/>
          <w:sz w:val="24"/>
          <w:szCs w:val="24"/>
          <w:highlight w:val="none"/>
        </w:rPr>
      </w:pPr>
    </w:p>
    <w:p w14:paraId="50E710BC">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14:paraId="72461160">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14:paraId="4DD7121C">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bCs w:val="0"/>
          <w:color w:val="auto"/>
          <w:sz w:val="24"/>
          <w:szCs w:val="24"/>
          <w:highlight w:val="none"/>
        </w:rPr>
        <w:t>软件和信息技术服务业</w:t>
      </w:r>
      <w:r>
        <w:rPr>
          <w:rFonts w:hint="eastAsia" w:ascii="宋体" w:eastAsia="宋体"/>
          <w:bCs/>
          <w:color w:val="auto"/>
          <w:sz w:val="24"/>
          <w:szCs w:val="24"/>
          <w:highlight w:val="none"/>
        </w:rPr>
        <w:t>；</w:t>
      </w:r>
    </w:p>
    <w:p w14:paraId="6A472229">
      <w:pPr>
        <w:pStyle w:val="968"/>
        <w:snapToGrid w:val="0"/>
        <w:spacing w:line="240" w:lineRule="auto"/>
        <w:ind w:firstLine="482" w:firstLineChars="200"/>
        <w:rPr>
          <w:rFonts w:hint="eastAsia" w:ascii="宋体" w:eastAsia="宋体"/>
          <w:bCs/>
          <w:color w:val="auto"/>
          <w:sz w:val="24"/>
          <w:szCs w:val="24"/>
          <w:highlight w:val="none"/>
        </w:rPr>
      </w:pPr>
      <w:r>
        <w:rPr>
          <w:rFonts w:hint="eastAsia" w:ascii="宋体" w:eastAsia="宋体"/>
          <w:b/>
          <w:bCs w:val="0"/>
          <w:color w:val="auto"/>
          <w:sz w:val="24"/>
          <w:szCs w:val="24"/>
          <w:highlight w:val="none"/>
        </w:rPr>
        <w:t>软件和信息技术服务业</w:t>
      </w:r>
      <w:r>
        <w:rPr>
          <w:rFonts w:hint="eastAsia" w:ascii="宋体" w:eastAsia="宋体"/>
          <w:bCs/>
          <w:color w:val="auto"/>
          <w:sz w:val="24"/>
          <w:szCs w:val="24"/>
          <w:highlight w:val="none"/>
          <w:lang w:eastAsia="zh-CN"/>
        </w:rPr>
        <w:t>：</w:t>
      </w:r>
      <w:r>
        <w:rPr>
          <w:rFonts w:hint="eastAsia" w:ascii="宋体" w:eastAsia="宋体"/>
          <w:bCs/>
          <w:color w:val="auto"/>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92AEA44">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3.符合《关于促进残疾人就业政府采购政策的通知》（财库〔2017〕141号）规定的条件并提供《残疾人福利性单位声明函》的残疾人福利性单位视同小型、微型企业；</w:t>
      </w:r>
    </w:p>
    <w:p w14:paraId="1788DEDB">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14:paraId="1B0BBD16">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lang w:val="en-US" w:eastAsia="zh-CN"/>
        </w:rPr>
        <w:t>5</w:t>
      </w:r>
      <w:r>
        <w:rPr>
          <w:rFonts w:hint="eastAsia" w:ascii="宋体" w:eastAsia="宋体"/>
          <w:bCs/>
          <w:color w:val="auto"/>
          <w:sz w:val="24"/>
          <w:szCs w:val="24"/>
          <w:highlight w:val="none"/>
        </w:rPr>
        <w:t>.中型企业、小型企业、微型企业等3种企业类型，结合以上数据，依据《中小企业划型标准规定》（工信部联企业〔2011〕300号）确定；</w:t>
      </w:r>
    </w:p>
    <w:p w14:paraId="404C40D0">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lang w:val="en-US" w:eastAsia="zh-CN"/>
        </w:rPr>
        <w:t>6</w:t>
      </w:r>
      <w:r>
        <w:rPr>
          <w:rFonts w:hint="eastAsia" w:ascii="宋体" w:eastAsia="宋体"/>
          <w:bCs/>
          <w:color w:val="auto"/>
          <w:sz w:val="24"/>
          <w:szCs w:val="24"/>
          <w:highlight w:val="none"/>
        </w:rPr>
        <w:t>.投标人提供的《中小企业声明函》与实际情况不符的或者未按以上要求填写的，声明函无效。声明内容不实的，属于提供虚假材料谋取中标、成交的，依法承担法律责任。</w:t>
      </w:r>
    </w:p>
    <w:p w14:paraId="4841F169">
      <w:pPr>
        <w:snapToGrid w:val="0"/>
        <w:jc w:val="center"/>
        <w:rPr>
          <w:rFonts w:ascii="宋体" w:hAnsi="宋体"/>
          <w:b/>
          <w:bCs/>
          <w:color w:val="auto"/>
          <w:sz w:val="24"/>
          <w:highlight w:val="none"/>
        </w:rPr>
      </w:pPr>
    </w:p>
    <w:p w14:paraId="25B428A8">
      <w:pPr>
        <w:snapToGrid w:val="0"/>
        <w:jc w:val="center"/>
        <w:rPr>
          <w:rFonts w:ascii="宋体" w:hAnsi="宋体"/>
          <w:b/>
          <w:bCs/>
          <w:color w:val="auto"/>
          <w:sz w:val="24"/>
          <w:highlight w:val="none"/>
        </w:rPr>
      </w:pPr>
    </w:p>
    <w:p w14:paraId="26E9464A">
      <w:pPr>
        <w:snapToGrid w:val="0"/>
        <w:jc w:val="center"/>
        <w:rPr>
          <w:rFonts w:ascii="宋体" w:hAnsi="宋体"/>
          <w:b/>
          <w:bCs/>
          <w:color w:val="auto"/>
          <w:sz w:val="24"/>
          <w:highlight w:val="none"/>
        </w:rPr>
      </w:pPr>
    </w:p>
    <w:p w14:paraId="318EEE3B">
      <w:pPr>
        <w:snapToGrid w:val="0"/>
        <w:jc w:val="center"/>
        <w:rPr>
          <w:rFonts w:ascii="宋体" w:hAnsi="宋体"/>
          <w:b/>
          <w:bCs/>
          <w:color w:val="auto"/>
          <w:sz w:val="24"/>
          <w:highlight w:val="none"/>
        </w:rPr>
      </w:pPr>
    </w:p>
    <w:p w14:paraId="5BD8FAC3">
      <w:pPr>
        <w:snapToGrid w:val="0"/>
        <w:rPr>
          <w:rFonts w:ascii="宋体" w:hAnsi="宋体"/>
          <w:b/>
          <w:bCs/>
          <w:color w:val="auto"/>
          <w:sz w:val="24"/>
          <w:highlight w:val="none"/>
        </w:rPr>
      </w:pPr>
    </w:p>
    <w:p w14:paraId="593C7238">
      <w:pPr>
        <w:snapToGrid w:val="0"/>
        <w:jc w:val="center"/>
        <w:rPr>
          <w:rFonts w:hint="eastAsia" w:ascii="宋体" w:hAnsi="宋体"/>
          <w:b/>
          <w:bCs/>
          <w:color w:val="auto"/>
          <w:sz w:val="24"/>
          <w:highlight w:val="none"/>
        </w:rPr>
      </w:pPr>
    </w:p>
    <w:p w14:paraId="31B0FA68">
      <w:pPr>
        <w:snapToGrid w:val="0"/>
        <w:jc w:val="center"/>
        <w:rPr>
          <w:rFonts w:hint="eastAsia" w:ascii="宋体" w:hAnsi="宋体"/>
          <w:b/>
          <w:bCs/>
          <w:color w:val="auto"/>
          <w:sz w:val="24"/>
          <w:highlight w:val="none"/>
        </w:rPr>
      </w:pPr>
    </w:p>
    <w:p w14:paraId="5E05AC26">
      <w:pPr>
        <w:snapToGrid w:val="0"/>
        <w:jc w:val="center"/>
        <w:rPr>
          <w:rFonts w:ascii="宋体" w:hAnsi="宋体"/>
          <w:b/>
          <w:bCs/>
          <w:color w:val="auto"/>
          <w:sz w:val="24"/>
          <w:highlight w:val="none"/>
        </w:rPr>
      </w:pPr>
      <w:r>
        <w:rPr>
          <w:rFonts w:hint="eastAsia" w:ascii="宋体" w:hAnsi="宋体"/>
          <w:b/>
          <w:bCs/>
          <w:color w:val="auto"/>
          <w:sz w:val="24"/>
          <w:highlight w:val="none"/>
        </w:rPr>
        <w:t>监狱和戒毒企业证明材料</w:t>
      </w:r>
    </w:p>
    <w:p w14:paraId="56237F2A">
      <w:pPr>
        <w:pStyle w:val="969"/>
        <w:snapToGrid w:val="0"/>
        <w:jc w:val="center"/>
        <w:rPr>
          <w:rFonts w:ascii="宋体" w:hAnsi="宋体"/>
          <w:b/>
          <w:color w:val="auto"/>
          <w:sz w:val="24"/>
          <w:highlight w:val="none"/>
          <w:lang w:val="en-GB"/>
        </w:rPr>
      </w:pPr>
    </w:p>
    <w:p w14:paraId="0520C96E">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14:paraId="018ABC98">
      <w:pPr>
        <w:snapToGrid w:val="0"/>
        <w:spacing w:line="480" w:lineRule="exact"/>
        <w:ind w:firstLine="480" w:firstLineChars="200"/>
        <w:rPr>
          <w:rFonts w:ascii="宋体" w:hAnsi="宋体"/>
          <w:color w:val="auto"/>
          <w:sz w:val="24"/>
          <w:highlight w:val="none"/>
        </w:rPr>
      </w:pPr>
    </w:p>
    <w:p w14:paraId="0E6DCD5B">
      <w:pPr>
        <w:snapToGrid w:val="0"/>
        <w:ind w:firstLine="480" w:firstLineChars="200"/>
        <w:rPr>
          <w:rFonts w:ascii="宋体" w:hAnsi="宋体"/>
          <w:color w:val="auto"/>
          <w:sz w:val="24"/>
          <w:highlight w:val="none"/>
        </w:rPr>
      </w:pPr>
    </w:p>
    <w:p w14:paraId="27869A7C">
      <w:pPr>
        <w:snapToGrid w:val="0"/>
        <w:ind w:firstLine="480" w:firstLineChars="200"/>
        <w:rPr>
          <w:rFonts w:ascii="宋体" w:hAnsi="宋体"/>
          <w:color w:val="auto"/>
          <w:sz w:val="24"/>
          <w:highlight w:val="none"/>
        </w:rPr>
      </w:pPr>
    </w:p>
    <w:p w14:paraId="65173F1B">
      <w:pPr>
        <w:snapToGrid w:val="0"/>
        <w:ind w:firstLine="480" w:firstLineChars="200"/>
        <w:rPr>
          <w:rFonts w:ascii="宋体" w:hAnsi="宋体"/>
          <w:color w:val="auto"/>
          <w:sz w:val="24"/>
          <w:highlight w:val="none"/>
        </w:rPr>
      </w:pPr>
    </w:p>
    <w:p w14:paraId="7CFC6813">
      <w:pPr>
        <w:snapToGrid w:val="0"/>
        <w:ind w:firstLine="480" w:firstLineChars="200"/>
        <w:rPr>
          <w:rFonts w:ascii="宋体" w:hAnsi="宋体"/>
          <w:color w:val="auto"/>
          <w:sz w:val="24"/>
          <w:highlight w:val="none"/>
        </w:rPr>
      </w:pPr>
    </w:p>
    <w:p w14:paraId="0C170668">
      <w:pPr>
        <w:snapToGrid w:val="0"/>
        <w:ind w:firstLine="480" w:firstLineChars="200"/>
        <w:rPr>
          <w:rFonts w:ascii="宋体" w:hAnsi="宋体"/>
          <w:color w:val="auto"/>
          <w:sz w:val="24"/>
          <w:highlight w:val="none"/>
        </w:rPr>
      </w:pPr>
    </w:p>
    <w:p w14:paraId="444EEBF5">
      <w:pPr>
        <w:snapToGrid w:val="0"/>
        <w:ind w:firstLine="480" w:firstLineChars="200"/>
        <w:rPr>
          <w:rFonts w:ascii="宋体" w:hAnsi="宋体"/>
          <w:color w:val="auto"/>
          <w:sz w:val="24"/>
          <w:highlight w:val="none"/>
        </w:rPr>
      </w:pPr>
    </w:p>
    <w:p w14:paraId="529D69FE">
      <w:pPr>
        <w:snapToGrid w:val="0"/>
        <w:ind w:firstLine="480" w:firstLineChars="200"/>
        <w:rPr>
          <w:rFonts w:ascii="宋体" w:hAnsi="宋体"/>
          <w:color w:val="auto"/>
          <w:sz w:val="24"/>
          <w:highlight w:val="none"/>
        </w:rPr>
      </w:pPr>
    </w:p>
    <w:p w14:paraId="61B529B1">
      <w:pPr>
        <w:snapToGrid w:val="0"/>
        <w:jc w:val="center"/>
        <w:rPr>
          <w:rFonts w:ascii="宋体" w:hAnsi="宋体"/>
          <w:b/>
          <w:color w:val="auto"/>
          <w:spacing w:val="6"/>
          <w:sz w:val="24"/>
          <w:highlight w:val="none"/>
        </w:rPr>
      </w:pPr>
    </w:p>
    <w:p w14:paraId="66D7E01C">
      <w:pPr>
        <w:snapToGrid w:val="0"/>
        <w:jc w:val="center"/>
        <w:rPr>
          <w:rFonts w:ascii="宋体" w:hAnsi="宋体"/>
          <w:b/>
          <w:bCs/>
          <w:color w:val="auto"/>
          <w:sz w:val="24"/>
          <w:highlight w:val="none"/>
        </w:rPr>
      </w:pPr>
      <w:r>
        <w:rPr>
          <w:rFonts w:hint="eastAsia" w:ascii="宋体" w:hAnsi="宋体"/>
          <w:b/>
          <w:bCs/>
          <w:color w:val="auto"/>
          <w:sz w:val="24"/>
          <w:highlight w:val="none"/>
        </w:rPr>
        <w:t>残疾人福利性单位声明函</w:t>
      </w:r>
    </w:p>
    <w:p w14:paraId="6CBB1BDB">
      <w:pPr>
        <w:snapToGrid w:val="0"/>
        <w:rPr>
          <w:rFonts w:ascii="宋体" w:hAnsi="宋体"/>
          <w:b/>
          <w:color w:val="auto"/>
          <w:spacing w:val="6"/>
          <w:sz w:val="24"/>
          <w:highlight w:val="none"/>
        </w:rPr>
      </w:pPr>
    </w:p>
    <w:p w14:paraId="210FC790">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911C62">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41555CB0">
      <w:pPr>
        <w:snapToGrid w:val="0"/>
        <w:spacing w:line="480" w:lineRule="exact"/>
        <w:rPr>
          <w:rFonts w:ascii="宋体" w:hAnsi="宋体"/>
          <w:color w:val="auto"/>
          <w:sz w:val="24"/>
          <w:highlight w:val="none"/>
        </w:rPr>
      </w:pPr>
    </w:p>
    <w:p w14:paraId="1FCA169E">
      <w:pPr>
        <w:snapToGrid w:val="0"/>
        <w:rPr>
          <w:rFonts w:ascii="宋体" w:hAnsi="宋体"/>
          <w:color w:val="auto"/>
          <w:sz w:val="24"/>
          <w:highlight w:val="none"/>
        </w:rPr>
      </w:pPr>
    </w:p>
    <w:p w14:paraId="35DB03F3">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14:paraId="15DF4520">
      <w:pPr>
        <w:snapToGrid w:val="0"/>
        <w:rPr>
          <w:rFonts w:ascii="宋体" w:hAnsi="宋体"/>
          <w:color w:val="auto"/>
          <w:sz w:val="24"/>
          <w:highlight w:val="none"/>
        </w:rPr>
      </w:pPr>
      <w:r>
        <w:rPr>
          <w:rFonts w:hint="eastAsia" w:ascii="宋体" w:hAnsi="宋体"/>
          <w:color w:val="auto"/>
          <w:sz w:val="24"/>
          <w:highlight w:val="none"/>
        </w:rPr>
        <w:t xml:space="preserve">   </w:t>
      </w:r>
    </w:p>
    <w:p w14:paraId="7C76E1E9">
      <w:pPr>
        <w:snapToGrid w:val="0"/>
        <w:rPr>
          <w:rFonts w:ascii="宋体" w:hAnsi="宋体"/>
          <w:color w:val="auto"/>
          <w:sz w:val="24"/>
          <w:highlight w:val="none"/>
        </w:rPr>
      </w:pPr>
    </w:p>
    <w:p w14:paraId="1187AA7A">
      <w:pPr>
        <w:snapToGrid w:val="0"/>
        <w:spacing w:before="120" w:beforeLines="50" w:after="50"/>
        <w:rPr>
          <w:b/>
          <w:color w:val="auto"/>
          <w:sz w:val="24"/>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68D40B4">
      <w:pPr>
        <w:snapToGrid w:val="0"/>
        <w:spacing w:before="120" w:beforeLines="50" w:after="50"/>
        <w:rPr>
          <w:b/>
          <w:color w:val="auto"/>
          <w:sz w:val="24"/>
          <w:highlight w:val="none"/>
        </w:rPr>
      </w:pPr>
    </w:p>
    <w:p w14:paraId="2B401BCD">
      <w:pPr>
        <w:snapToGrid w:val="0"/>
        <w:spacing w:before="120" w:beforeLines="50" w:after="50"/>
        <w:rPr>
          <w:b/>
          <w:color w:val="auto"/>
          <w:sz w:val="24"/>
          <w:highlight w:val="none"/>
        </w:rPr>
      </w:pPr>
    </w:p>
    <w:p w14:paraId="34C89E10">
      <w:pPr>
        <w:snapToGrid w:val="0"/>
        <w:spacing w:before="120" w:beforeLines="50" w:after="50"/>
        <w:rPr>
          <w:b/>
          <w:color w:val="auto"/>
          <w:sz w:val="24"/>
          <w:highlight w:val="none"/>
        </w:rPr>
      </w:pPr>
    </w:p>
    <w:p w14:paraId="05BC6C11">
      <w:pPr>
        <w:snapToGrid w:val="0"/>
        <w:spacing w:before="120" w:beforeLines="50" w:after="50"/>
        <w:rPr>
          <w:b/>
          <w:color w:val="auto"/>
          <w:sz w:val="24"/>
          <w:highlight w:val="none"/>
        </w:rPr>
      </w:pPr>
    </w:p>
    <w:p w14:paraId="50B604C0">
      <w:pPr>
        <w:snapToGrid w:val="0"/>
        <w:spacing w:before="120" w:beforeLines="50" w:after="50"/>
        <w:rPr>
          <w:b/>
          <w:color w:val="auto"/>
          <w:sz w:val="24"/>
          <w:highlight w:val="none"/>
        </w:rPr>
      </w:pPr>
    </w:p>
    <w:p w14:paraId="09ED9E40">
      <w:pPr>
        <w:snapToGrid w:val="0"/>
        <w:spacing w:before="120" w:beforeLines="50" w:after="50"/>
        <w:rPr>
          <w:rFonts w:hint="eastAsia"/>
          <w:b/>
          <w:color w:val="auto"/>
          <w:sz w:val="24"/>
          <w:highlight w:val="none"/>
        </w:rPr>
      </w:pPr>
    </w:p>
    <w:p w14:paraId="362B9A19">
      <w:pPr>
        <w:snapToGrid w:val="0"/>
        <w:spacing w:before="120" w:beforeLines="50" w:after="50"/>
        <w:rPr>
          <w:rFonts w:hint="eastAsia"/>
          <w:b/>
          <w:color w:val="auto"/>
          <w:sz w:val="24"/>
          <w:highlight w:val="none"/>
        </w:rPr>
      </w:pPr>
    </w:p>
    <w:p w14:paraId="3EB86EB2">
      <w:pPr>
        <w:snapToGrid w:val="0"/>
        <w:spacing w:before="120" w:beforeLines="50" w:after="50"/>
        <w:rPr>
          <w:b/>
          <w:bCs/>
          <w:color w:val="auto"/>
          <w:sz w:val="32"/>
          <w:szCs w:val="20"/>
          <w:highlight w:val="none"/>
        </w:rPr>
      </w:pPr>
      <w:r>
        <w:rPr>
          <w:rFonts w:hint="eastAsia"/>
          <w:b/>
          <w:color w:val="auto"/>
          <w:sz w:val="24"/>
          <w:highlight w:val="none"/>
        </w:rPr>
        <w:t>商务技术响应文件封面格式：</w:t>
      </w:r>
      <w:r>
        <w:rPr>
          <w:color w:val="auto"/>
          <w:sz w:val="24"/>
          <w:highlight w:val="none"/>
        </w:rPr>
        <w:t xml:space="preserve">                                               </w:t>
      </w:r>
    </w:p>
    <w:p w14:paraId="74B6F75E">
      <w:pPr>
        <w:snapToGrid w:val="0"/>
        <w:spacing w:before="120" w:beforeLines="50" w:after="50"/>
        <w:jc w:val="center"/>
        <w:rPr>
          <w:b/>
          <w:bCs/>
          <w:color w:val="auto"/>
          <w:sz w:val="32"/>
          <w:szCs w:val="32"/>
          <w:highlight w:val="none"/>
        </w:rPr>
      </w:pPr>
    </w:p>
    <w:p w14:paraId="024BCA20">
      <w:pPr>
        <w:snapToGrid w:val="0"/>
        <w:spacing w:before="120" w:beforeLines="50" w:after="50"/>
        <w:jc w:val="center"/>
        <w:rPr>
          <w:b/>
          <w:bCs/>
          <w:color w:val="auto"/>
          <w:sz w:val="32"/>
          <w:szCs w:val="32"/>
          <w:highlight w:val="none"/>
        </w:rPr>
      </w:pPr>
    </w:p>
    <w:p w14:paraId="20427EF3">
      <w:pPr>
        <w:snapToGrid w:val="0"/>
        <w:spacing w:before="120" w:beforeLines="50" w:after="50"/>
        <w:jc w:val="center"/>
        <w:rPr>
          <w:b/>
          <w:bCs/>
          <w:color w:val="auto"/>
          <w:sz w:val="32"/>
          <w:szCs w:val="32"/>
          <w:highlight w:val="none"/>
        </w:rPr>
      </w:pPr>
    </w:p>
    <w:p w14:paraId="0E501B96">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14:paraId="1310E6B7">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37AC005A">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5E77D299">
      <w:pPr>
        <w:pStyle w:val="18"/>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5B7784C1">
      <w:pPr>
        <w:pStyle w:val="18"/>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39B7A82F">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13F6504C">
      <w:pPr>
        <w:snapToGrid w:val="0"/>
        <w:spacing w:before="120" w:beforeLines="50" w:after="50"/>
        <w:jc w:val="center"/>
        <w:rPr>
          <w:rFonts w:ascii="宋体" w:hAnsi="宋体" w:cs="宋体"/>
          <w:b/>
          <w:color w:val="auto"/>
          <w:sz w:val="32"/>
          <w:szCs w:val="32"/>
          <w:highlight w:val="none"/>
        </w:rPr>
      </w:pPr>
    </w:p>
    <w:p w14:paraId="0306502C">
      <w:pPr>
        <w:rPr>
          <w:color w:val="auto"/>
          <w:highlight w:val="none"/>
        </w:rPr>
      </w:pPr>
    </w:p>
    <w:p w14:paraId="01061694">
      <w:pPr>
        <w:rPr>
          <w:color w:val="auto"/>
          <w:highlight w:val="none"/>
        </w:rPr>
      </w:pPr>
    </w:p>
    <w:p w14:paraId="6BFC51E9">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14:paraId="3CEF1268">
      <w:pPr>
        <w:snapToGrid w:val="0"/>
        <w:spacing w:before="120" w:beforeLines="50" w:after="50"/>
        <w:rPr>
          <w:b/>
          <w:bCs/>
          <w:color w:val="auto"/>
          <w:sz w:val="32"/>
          <w:szCs w:val="20"/>
          <w:highlight w:val="none"/>
        </w:rPr>
      </w:pPr>
      <w:r>
        <w:rPr>
          <w:color w:val="auto"/>
          <w:sz w:val="24"/>
          <w:highlight w:val="none"/>
        </w:rPr>
        <w:t xml:space="preserve">                                                    </w:t>
      </w:r>
    </w:p>
    <w:p w14:paraId="138ACDB0">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14:paraId="03628D05">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3F89ABC3">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0366B9C5">
      <w:pPr>
        <w:pStyle w:val="18"/>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0F2F8D5E">
      <w:pPr>
        <w:pStyle w:val="18"/>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55B5B8FD">
      <w:pPr>
        <w:spacing w:line="360" w:lineRule="auto"/>
        <w:ind w:right="420"/>
        <w:rPr>
          <w:color w:val="auto"/>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599CDF47">
      <w:pPr>
        <w:spacing w:line="360" w:lineRule="auto"/>
        <w:rPr>
          <w:rFonts w:ascii="仿宋" w:hAnsi="仿宋" w:eastAsia="仿宋"/>
          <w:bCs/>
          <w:color w:val="auto"/>
          <w:sz w:val="24"/>
          <w:highlight w:val="none"/>
        </w:rPr>
      </w:pPr>
    </w:p>
    <w:p w14:paraId="00F559E8">
      <w:pPr>
        <w:spacing w:line="360" w:lineRule="auto"/>
        <w:jc w:val="center"/>
        <w:rPr>
          <w:rFonts w:ascii="宋体" w:hAnsi="宋体" w:cs="宋体"/>
          <w:b/>
          <w:color w:val="auto"/>
          <w:sz w:val="24"/>
          <w:highlight w:val="none"/>
        </w:rPr>
      </w:pPr>
      <w:bookmarkStart w:id="35" w:name="_Toc219619166"/>
    </w:p>
    <w:p w14:paraId="3191FBFB">
      <w:pPr>
        <w:spacing w:line="360" w:lineRule="auto"/>
        <w:jc w:val="center"/>
        <w:rPr>
          <w:rFonts w:ascii="宋体" w:hAnsi="宋体" w:cs="宋体"/>
          <w:b/>
          <w:color w:val="auto"/>
          <w:sz w:val="24"/>
          <w:highlight w:val="none"/>
        </w:rPr>
      </w:pPr>
    </w:p>
    <w:p w14:paraId="664F6717">
      <w:pPr>
        <w:spacing w:line="360" w:lineRule="auto"/>
        <w:jc w:val="center"/>
        <w:rPr>
          <w:rFonts w:ascii="宋体" w:hAnsi="宋体" w:cs="宋体"/>
          <w:b/>
          <w:color w:val="auto"/>
          <w:sz w:val="24"/>
          <w:highlight w:val="none"/>
        </w:rPr>
      </w:pPr>
    </w:p>
    <w:p w14:paraId="23E53E4A">
      <w:pPr>
        <w:spacing w:line="360" w:lineRule="auto"/>
        <w:jc w:val="center"/>
        <w:rPr>
          <w:rFonts w:ascii="宋体" w:hAnsi="宋体" w:cs="宋体"/>
          <w:b/>
          <w:color w:val="auto"/>
          <w:sz w:val="24"/>
          <w:highlight w:val="none"/>
        </w:rPr>
      </w:pPr>
    </w:p>
    <w:p w14:paraId="0F7D6B00">
      <w:pPr>
        <w:spacing w:line="360" w:lineRule="auto"/>
        <w:rPr>
          <w:rFonts w:ascii="宋体" w:hAnsi="宋体" w:cs="宋体"/>
          <w:b/>
          <w:color w:val="auto"/>
          <w:sz w:val="24"/>
          <w:highlight w:val="none"/>
        </w:rPr>
      </w:pPr>
    </w:p>
    <w:p w14:paraId="220A6B6F">
      <w:pPr>
        <w:spacing w:line="360" w:lineRule="auto"/>
        <w:jc w:val="center"/>
        <w:rPr>
          <w:rFonts w:ascii="宋体" w:hAnsi="宋体" w:cs="宋体"/>
          <w:b/>
          <w:color w:val="auto"/>
          <w:sz w:val="24"/>
          <w:highlight w:val="none"/>
        </w:rPr>
      </w:pPr>
    </w:p>
    <w:p w14:paraId="7CA96877">
      <w:pPr>
        <w:spacing w:line="360" w:lineRule="auto"/>
        <w:jc w:val="center"/>
        <w:rPr>
          <w:rFonts w:hint="eastAsia" w:ascii="宋体" w:hAnsi="宋体" w:cs="宋体"/>
          <w:b/>
          <w:color w:val="auto"/>
          <w:sz w:val="24"/>
          <w:highlight w:val="none"/>
        </w:rPr>
      </w:pPr>
    </w:p>
    <w:p w14:paraId="7E2C48D4">
      <w:pPr>
        <w:spacing w:line="360" w:lineRule="auto"/>
        <w:jc w:val="center"/>
        <w:rPr>
          <w:rFonts w:hint="eastAsia" w:ascii="宋体" w:hAnsi="宋体" w:cs="宋体"/>
          <w:b/>
          <w:color w:val="auto"/>
          <w:sz w:val="24"/>
          <w:highlight w:val="none"/>
        </w:rPr>
      </w:pPr>
    </w:p>
    <w:p w14:paraId="2A3C7024">
      <w:pPr>
        <w:spacing w:line="360" w:lineRule="auto"/>
        <w:jc w:val="center"/>
        <w:rPr>
          <w:rFonts w:hint="eastAsia" w:ascii="宋体" w:hAnsi="宋体" w:cs="宋体"/>
          <w:b/>
          <w:color w:val="auto"/>
          <w:sz w:val="24"/>
          <w:highlight w:val="none"/>
        </w:rPr>
      </w:pPr>
    </w:p>
    <w:p w14:paraId="7675CAC2">
      <w:pPr>
        <w:spacing w:line="360" w:lineRule="auto"/>
        <w:jc w:val="center"/>
        <w:rPr>
          <w:rFonts w:ascii="宋体" w:hAnsi="宋体" w:cs="宋体"/>
          <w:b/>
          <w:bCs/>
          <w:color w:val="auto"/>
          <w:sz w:val="24"/>
          <w:highlight w:val="none"/>
        </w:rPr>
      </w:pPr>
      <w:r>
        <w:rPr>
          <w:rFonts w:hint="eastAsia" w:ascii="宋体" w:hAnsi="宋体" w:cs="宋体"/>
          <w:b/>
          <w:color w:val="auto"/>
          <w:sz w:val="24"/>
          <w:highlight w:val="none"/>
        </w:rPr>
        <w:t>自评表</w:t>
      </w:r>
    </w:p>
    <w:tbl>
      <w:tblPr>
        <w:tblStyle w:val="64"/>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14:paraId="5F7B6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14:paraId="44666057">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vAlign w:val="center"/>
          </w:tcPr>
          <w:p w14:paraId="69976C63">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供应商自评栏</w:t>
            </w:r>
          </w:p>
        </w:tc>
      </w:tr>
      <w:tr w14:paraId="61A2A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14:paraId="56E289F4">
            <w:pPr>
              <w:spacing w:line="360" w:lineRule="auto"/>
              <w:jc w:val="center"/>
              <w:rPr>
                <w:rFonts w:ascii="宋体" w:hAnsi="宋体" w:cs="宋体"/>
                <w:b/>
                <w:bCs/>
                <w:color w:val="auto"/>
                <w:sz w:val="24"/>
                <w:highlight w:val="none"/>
              </w:rPr>
            </w:pPr>
          </w:p>
        </w:tc>
        <w:tc>
          <w:tcPr>
            <w:tcW w:w="2145" w:type="dxa"/>
            <w:vAlign w:val="center"/>
          </w:tcPr>
          <w:p w14:paraId="2CCF3565">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vAlign w:val="center"/>
          </w:tcPr>
          <w:p w14:paraId="4ED0A93C">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自评依据及标书页码</w:t>
            </w:r>
          </w:p>
        </w:tc>
      </w:tr>
      <w:tr w14:paraId="16A31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14:paraId="495E3477">
            <w:pPr>
              <w:spacing w:line="360" w:lineRule="auto"/>
              <w:jc w:val="center"/>
              <w:rPr>
                <w:rFonts w:ascii="宋体" w:hAnsi="宋体" w:cs="宋体"/>
                <w:b/>
                <w:bCs/>
                <w:color w:val="auto"/>
                <w:sz w:val="24"/>
                <w:highlight w:val="none"/>
              </w:rPr>
            </w:pPr>
            <w:r>
              <w:rPr>
                <w:rFonts w:hint="eastAsia" w:ascii="宋体" w:hAnsi="宋体" w:cs="宋体"/>
                <w:b/>
                <w:bCs/>
                <w:color w:val="auto"/>
                <w:sz w:val="28"/>
                <w:szCs w:val="28"/>
                <w:highlight w:val="none"/>
              </w:rPr>
              <w:t>商务资信分（X分）</w:t>
            </w:r>
          </w:p>
        </w:tc>
        <w:tc>
          <w:tcPr>
            <w:tcW w:w="3300" w:type="dxa"/>
            <w:tcBorders>
              <w:bottom w:val="single" w:color="auto" w:sz="4" w:space="0"/>
            </w:tcBorders>
            <w:vAlign w:val="center"/>
          </w:tcPr>
          <w:p w14:paraId="78B14ED3">
            <w:pPr>
              <w:widowControl/>
              <w:spacing w:line="360" w:lineRule="auto"/>
              <w:jc w:val="center"/>
              <w:rPr>
                <w:rFonts w:ascii="宋体" w:hAnsi="宋体" w:cs="宋体"/>
                <w:color w:val="auto"/>
                <w:kern w:val="0"/>
                <w:szCs w:val="21"/>
                <w:highlight w:val="none"/>
              </w:rPr>
            </w:pPr>
          </w:p>
        </w:tc>
        <w:tc>
          <w:tcPr>
            <w:tcW w:w="2145" w:type="dxa"/>
            <w:tcBorders>
              <w:bottom w:val="single" w:color="auto" w:sz="4" w:space="0"/>
            </w:tcBorders>
            <w:vAlign w:val="center"/>
          </w:tcPr>
          <w:p w14:paraId="006F3F74">
            <w:pPr>
              <w:spacing w:line="360" w:lineRule="auto"/>
              <w:jc w:val="left"/>
              <w:rPr>
                <w:rFonts w:ascii="宋体" w:hAnsi="宋体" w:cs="宋体"/>
                <w:color w:val="auto"/>
                <w:szCs w:val="21"/>
                <w:highlight w:val="none"/>
              </w:rPr>
            </w:pPr>
          </w:p>
        </w:tc>
        <w:tc>
          <w:tcPr>
            <w:tcW w:w="2109" w:type="dxa"/>
            <w:tcBorders>
              <w:bottom w:val="single" w:color="auto" w:sz="4" w:space="0"/>
            </w:tcBorders>
            <w:vAlign w:val="center"/>
          </w:tcPr>
          <w:p w14:paraId="6D62CB0D">
            <w:pPr>
              <w:spacing w:line="360" w:lineRule="auto"/>
              <w:jc w:val="center"/>
              <w:rPr>
                <w:rFonts w:ascii="宋体" w:hAnsi="宋体" w:cs="宋体"/>
                <w:b/>
                <w:bCs/>
                <w:color w:val="auto"/>
                <w:szCs w:val="21"/>
                <w:highlight w:val="none"/>
              </w:rPr>
            </w:pPr>
          </w:p>
        </w:tc>
      </w:tr>
      <w:tr w14:paraId="35D8D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1A699EF1">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1505FB53">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5545B01C">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5EF320B1">
            <w:pPr>
              <w:spacing w:line="360" w:lineRule="auto"/>
              <w:jc w:val="center"/>
              <w:rPr>
                <w:rFonts w:ascii="宋体" w:hAnsi="宋体" w:cs="宋体"/>
                <w:b/>
                <w:bCs/>
                <w:color w:val="auto"/>
                <w:szCs w:val="21"/>
                <w:highlight w:val="none"/>
              </w:rPr>
            </w:pPr>
          </w:p>
        </w:tc>
      </w:tr>
      <w:tr w14:paraId="7098A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5CD9B309">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53EC7CFC">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38F2D3FD">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450061E7">
            <w:pPr>
              <w:spacing w:line="360" w:lineRule="auto"/>
              <w:jc w:val="center"/>
              <w:rPr>
                <w:rFonts w:ascii="宋体" w:hAnsi="宋体" w:cs="宋体"/>
                <w:b/>
                <w:bCs/>
                <w:color w:val="auto"/>
                <w:szCs w:val="21"/>
                <w:highlight w:val="none"/>
              </w:rPr>
            </w:pPr>
          </w:p>
        </w:tc>
      </w:tr>
      <w:tr w14:paraId="70DBC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2B38ECD2">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275EF35E">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0F5825CD">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2C091806">
            <w:pPr>
              <w:spacing w:line="360" w:lineRule="auto"/>
              <w:jc w:val="center"/>
              <w:rPr>
                <w:rFonts w:ascii="宋体" w:hAnsi="宋体" w:cs="宋体"/>
                <w:b/>
                <w:bCs/>
                <w:color w:val="auto"/>
                <w:szCs w:val="21"/>
                <w:highlight w:val="none"/>
              </w:rPr>
            </w:pPr>
          </w:p>
        </w:tc>
      </w:tr>
      <w:tr w14:paraId="73010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5687E0A2">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72693EEA">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630C5014">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6F3FFB76">
            <w:pPr>
              <w:spacing w:line="360" w:lineRule="auto"/>
              <w:jc w:val="center"/>
              <w:rPr>
                <w:rFonts w:ascii="宋体" w:hAnsi="宋体" w:cs="宋体"/>
                <w:b/>
                <w:bCs/>
                <w:color w:val="auto"/>
                <w:szCs w:val="21"/>
                <w:highlight w:val="none"/>
              </w:rPr>
            </w:pPr>
          </w:p>
        </w:tc>
      </w:tr>
      <w:tr w14:paraId="3575F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2BD015B9">
            <w:pPr>
              <w:spacing w:line="360" w:lineRule="exact"/>
              <w:jc w:val="center"/>
              <w:rPr>
                <w:rFonts w:ascii="宋体" w:hAnsi="宋体" w:cs="宋体"/>
                <w:b/>
                <w:bCs/>
                <w:color w:val="auto"/>
                <w:sz w:val="28"/>
                <w:szCs w:val="28"/>
                <w:highlight w:val="none"/>
              </w:rPr>
            </w:pPr>
          </w:p>
        </w:tc>
        <w:tc>
          <w:tcPr>
            <w:tcW w:w="3300" w:type="dxa"/>
            <w:tcBorders>
              <w:top w:val="single" w:color="auto" w:sz="4" w:space="0"/>
            </w:tcBorders>
            <w:vAlign w:val="center"/>
          </w:tcPr>
          <w:p w14:paraId="755E926D">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240B9B07">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36F043B0">
            <w:pPr>
              <w:spacing w:line="360" w:lineRule="auto"/>
              <w:jc w:val="center"/>
              <w:rPr>
                <w:rFonts w:ascii="宋体" w:hAnsi="宋体" w:cs="宋体"/>
                <w:b/>
                <w:bCs/>
                <w:color w:val="auto"/>
                <w:szCs w:val="21"/>
                <w:highlight w:val="none"/>
              </w:rPr>
            </w:pPr>
          </w:p>
        </w:tc>
      </w:tr>
      <w:tr w14:paraId="0D4B0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14:paraId="79AE1B60">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技术分（X分）</w:t>
            </w:r>
          </w:p>
        </w:tc>
        <w:tc>
          <w:tcPr>
            <w:tcW w:w="3300" w:type="dxa"/>
            <w:vAlign w:val="center"/>
          </w:tcPr>
          <w:p w14:paraId="4183DF35">
            <w:pPr>
              <w:widowControl/>
              <w:spacing w:line="360" w:lineRule="auto"/>
              <w:jc w:val="center"/>
              <w:rPr>
                <w:rFonts w:ascii="宋体" w:hAnsi="宋体" w:cs="宋体"/>
                <w:color w:val="auto"/>
                <w:kern w:val="0"/>
                <w:szCs w:val="21"/>
                <w:highlight w:val="none"/>
              </w:rPr>
            </w:pPr>
          </w:p>
        </w:tc>
        <w:tc>
          <w:tcPr>
            <w:tcW w:w="2145" w:type="dxa"/>
            <w:vAlign w:val="center"/>
          </w:tcPr>
          <w:p w14:paraId="6399A9C1">
            <w:pPr>
              <w:spacing w:line="360" w:lineRule="auto"/>
              <w:jc w:val="left"/>
              <w:rPr>
                <w:rFonts w:ascii="宋体" w:hAnsi="宋体" w:cs="宋体"/>
                <w:color w:val="auto"/>
                <w:szCs w:val="21"/>
                <w:highlight w:val="none"/>
              </w:rPr>
            </w:pPr>
          </w:p>
        </w:tc>
        <w:tc>
          <w:tcPr>
            <w:tcW w:w="2109" w:type="dxa"/>
            <w:vAlign w:val="center"/>
          </w:tcPr>
          <w:p w14:paraId="1B506D05">
            <w:pPr>
              <w:spacing w:line="360" w:lineRule="auto"/>
              <w:jc w:val="center"/>
              <w:rPr>
                <w:rFonts w:ascii="宋体" w:hAnsi="宋体" w:cs="宋体"/>
                <w:b/>
                <w:bCs/>
                <w:color w:val="auto"/>
                <w:szCs w:val="21"/>
                <w:highlight w:val="none"/>
              </w:rPr>
            </w:pPr>
          </w:p>
        </w:tc>
      </w:tr>
      <w:tr w14:paraId="419D3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07C08506">
            <w:pPr>
              <w:spacing w:line="360" w:lineRule="auto"/>
              <w:rPr>
                <w:rFonts w:ascii="宋体" w:hAnsi="宋体" w:cs="宋体"/>
                <w:color w:val="auto"/>
                <w:szCs w:val="21"/>
                <w:highlight w:val="none"/>
              </w:rPr>
            </w:pPr>
          </w:p>
        </w:tc>
        <w:tc>
          <w:tcPr>
            <w:tcW w:w="3300" w:type="dxa"/>
            <w:vAlign w:val="center"/>
          </w:tcPr>
          <w:p w14:paraId="1176661C">
            <w:pPr>
              <w:widowControl/>
              <w:spacing w:line="360" w:lineRule="auto"/>
              <w:jc w:val="center"/>
              <w:rPr>
                <w:rFonts w:ascii="宋体" w:hAnsi="宋体" w:cs="宋体"/>
                <w:color w:val="auto"/>
                <w:kern w:val="0"/>
                <w:szCs w:val="21"/>
                <w:highlight w:val="none"/>
              </w:rPr>
            </w:pPr>
          </w:p>
        </w:tc>
        <w:tc>
          <w:tcPr>
            <w:tcW w:w="2145" w:type="dxa"/>
            <w:vAlign w:val="center"/>
          </w:tcPr>
          <w:p w14:paraId="71330156">
            <w:pPr>
              <w:spacing w:line="360" w:lineRule="auto"/>
              <w:jc w:val="left"/>
              <w:rPr>
                <w:rFonts w:ascii="宋体" w:hAnsi="宋体" w:cs="宋体"/>
                <w:color w:val="auto"/>
                <w:szCs w:val="21"/>
                <w:highlight w:val="none"/>
              </w:rPr>
            </w:pPr>
          </w:p>
        </w:tc>
        <w:tc>
          <w:tcPr>
            <w:tcW w:w="2109" w:type="dxa"/>
            <w:vAlign w:val="center"/>
          </w:tcPr>
          <w:p w14:paraId="5D95680F">
            <w:pPr>
              <w:spacing w:line="360" w:lineRule="auto"/>
              <w:jc w:val="center"/>
              <w:rPr>
                <w:rFonts w:ascii="宋体" w:hAnsi="宋体" w:cs="宋体"/>
                <w:b/>
                <w:bCs/>
                <w:color w:val="auto"/>
                <w:szCs w:val="21"/>
                <w:highlight w:val="none"/>
              </w:rPr>
            </w:pPr>
          </w:p>
        </w:tc>
      </w:tr>
      <w:tr w14:paraId="7451C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4ED39E6C">
            <w:pPr>
              <w:spacing w:line="360" w:lineRule="auto"/>
              <w:rPr>
                <w:rFonts w:ascii="宋体" w:hAnsi="宋体" w:cs="宋体"/>
                <w:color w:val="auto"/>
                <w:szCs w:val="21"/>
                <w:highlight w:val="none"/>
              </w:rPr>
            </w:pPr>
          </w:p>
        </w:tc>
        <w:tc>
          <w:tcPr>
            <w:tcW w:w="3300" w:type="dxa"/>
            <w:vAlign w:val="center"/>
          </w:tcPr>
          <w:p w14:paraId="330C6CAF">
            <w:pPr>
              <w:widowControl/>
              <w:spacing w:line="360" w:lineRule="auto"/>
              <w:jc w:val="center"/>
              <w:rPr>
                <w:rFonts w:ascii="宋体" w:hAnsi="宋体" w:cs="宋体"/>
                <w:color w:val="auto"/>
                <w:kern w:val="0"/>
                <w:szCs w:val="21"/>
                <w:highlight w:val="none"/>
              </w:rPr>
            </w:pPr>
          </w:p>
        </w:tc>
        <w:tc>
          <w:tcPr>
            <w:tcW w:w="2145" w:type="dxa"/>
            <w:vAlign w:val="center"/>
          </w:tcPr>
          <w:p w14:paraId="5B0A87C1">
            <w:pPr>
              <w:spacing w:line="360" w:lineRule="auto"/>
              <w:jc w:val="left"/>
              <w:rPr>
                <w:rFonts w:ascii="宋体" w:hAnsi="宋体" w:cs="宋体"/>
                <w:color w:val="auto"/>
                <w:szCs w:val="21"/>
                <w:highlight w:val="none"/>
              </w:rPr>
            </w:pPr>
          </w:p>
        </w:tc>
        <w:tc>
          <w:tcPr>
            <w:tcW w:w="2109" w:type="dxa"/>
            <w:vAlign w:val="center"/>
          </w:tcPr>
          <w:p w14:paraId="323134EB">
            <w:pPr>
              <w:spacing w:line="360" w:lineRule="auto"/>
              <w:jc w:val="center"/>
              <w:rPr>
                <w:rFonts w:ascii="宋体" w:hAnsi="宋体" w:cs="宋体"/>
                <w:b/>
                <w:bCs/>
                <w:color w:val="auto"/>
                <w:szCs w:val="21"/>
                <w:highlight w:val="none"/>
              </w:rPr>
            </w:pPr>
          </w:p>
        </w:tc>
      </w:tr>
      <w:tr w14:paraId="58B08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7AB3C8F8">
            <w:pPr>
              <w:spacing w:line="360" w:lineRule="auto"/>
              <w:rPr>
                <w:rFonts w:ascii="宋体" w:hAnsi="宋体" w:cs="宋体"/>
                <w:color w:val="auto"/>
                <w:szCs w:val="21"/>
                <w:highlight w:val="none"/>
              </w:rPr>
            </w:pPr>
          </w:p>
        </w:tc>
        <w:tc>
          <w:tcPr>
            <w:tcW w:w="3300" w:type="dxa"/>
            <w:vAlign w:val="center"/>
          </w:tcPr>
          <w:p w14:paraId="79E6FE53">
            <w:pPr>
              <w:widowControl/>
              <w:spacing w:line="360" w:lineRule="auto"/>
              <w:jc w:val="center"/>
              <w:rPr>
                <w:rFonts w:ascii="宋体" w:hAnsi="宋体" w:cs="宋体"/>
                <w:color w:val="auto"/>
                <w:kern w:val="0"/>
                <w:szCs w:val="21"/>
                <w:highlight w:val="none"/>
              </w:rPr>
            </w:pPr>
          </w:p>
        </w:tc>
        <w:tc>
          <w:tcPr>
            <w:tcW w:w="2145" w:type="dxa"/>
            <w:vAlign w:val="center"/>
          </w:tcPr>
          <w:p w14:paraId="6FB93335">
            <w:pPr>
              <w:spacing w:line="360" w:lineRule="auto"/>
              <w:jc w:val="left"/>
              <w:rPr>
                <w:rFonts w:ascii="宋体" w:hAnsi="宋体" w:cs="宋体"/>
                <w:color w:val="auto"/>
                <w:szCs w:val="21"/>
                <w:highlight w:val="none"/>
              </w:rPr>
            </w:pPr>
          </w:p>
        </w:tc>
        <w:tc>
          <w:tcPr>
            <w:tcW w:w="2109" w:type="dxa"/>
            <w:vAlign w:val="center"/>
          </w:tcPr>
          <w:p w14:paraId="04D345D0">
            <w:pPr>
              <w:spacing w:line="360" w:lineRule="auto"/>
              <w:jc w:val="center"/>
              <w:rPr>
                <w:rFonts w:ascii="宋体" w:hAnsi="宋体" w:cs="宋体"/>
                <w:b/>
                <w:bCs/>
                <w:color w:val="auto"/>
                <w:szCs w:val="21"/>
                <w:highlight w:val="none"/>
              </w:rPr>
            </w:pPr>
          </w:p>
        </w:tc>
      </w:tr>
      <w:tr w14:paraId="61AB7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718DA5ED">
            <w:pPr>
              <w:spacing w:line="360" w:lineRule="auto"/>
              <w:rPr>
                <w:rFonts w:ascii="宋体" w:hAnsi="宋体" w:cs="宋体"/>
                <w:color w:val="auto"/>
                <w:szCs w:val="21"/>
                <w:highlight w:val="none"/>
              </w:rPr>
            </w:pPr>
          </w:p>
        </w:tc>
        <w:tc>
          <w:tcPr>
            <w:tcW w:w="3300" w:type="dxa"/>
            <w:vAlign w:val="center"/>
          </w:tcPr>
          <w:p w14:paraId="7E4EF1B8">
            <w:pPr>
              <w:widowControl/>
              <w:spacing w:line="360" w:lineRule="auto"/>
              <w:jc w:val="center"/>
              <w:rPr>
                <w:rFonts w:ascii="宋体" w:hAnsi="宋体" w:cs="宋体"/>
                <w:color w:val="auto"/>
                <w:kern w:val="0"/>
                <w:szCs w:val="21"/>
                <w:highlight w:val="none"/>
              </w:rPr>
            </w:pPr>
          </w:p>
        </w:tc>
        <w:tc>
          <w:tcPr>
            <w:tcW w:w="2145" w:type="dxa"/>
            <w:vAlign w:val="center"/>
          </w:tcPr>
          <w:p w14:paraId="502134AD">
            <w:pPr>
              <w:spacing w:line="360" w:lineRule="auto"/>
              <w:jc w:val="left"/>
              <w:rPr>
                <w:rFonts w:ascii="宋体" w:hAnsi="宋体" w:cs="宋体"/>
                <w:color w:val="auto"/>
                <w:szCs w:val="21"/>
                <w:highlight w:val="none"/>
              </w:rPr>
            </w:pPr>
          </w:p>
        </w:tc>
        <w:tc>
          <w:tcPr>
            <w:tcW w:w="2109" w:type="dxa"/>
            <w:vAlign w:val="center"/>
          </w:tcPr>
          <w:p w14:paraId="544AE549">
            <w:pPr>
              <w:spacing w:line="360" w:lineRule="auto"/>
              <w:jc w:val="center"/>
              <w:rPr>
                <w:rFonts w:ascii="宋体" w:hAnsi="宋体" w:cs="宋体"/>
                <w:b/>
                <w:bCs/>
                <w:color w:val="auto"/>
                <w:szCs w:val="21"/>
                <w:highlight w:val="none"/>
              </w:rPr>
            </w:pPr>
          </w:p>
        </w:tc>
      </w:tr>
      <w:tr w14:paraId="1AE7A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13CA0285">
            <w:pPr>
              <w:spacing w:line="360" w:lineRule="auto"/>
              <w:rPr>
                <w:rFonts w:ascii="宋体" w:hAnsi="宋体" w:cs="宋体"/>
                <w:color w:val="auto"/>
                <w:szCs w:val="21"/>
                <w:highlight w:val="none"/>
              </w:rPr>
            </w:pPr>
          </w:p>
        </w:tc>
        <w:tc>
          <w:tcPr>
            <w:tcW w:w="3300" w:type="dxa"/>
            <w:vAlign w:val="center"/>
          </w:tcPr>
          <w:p w14:paraId="12D7EA95">
            <w:pPr>
              <w:widowControl/>
              <w:spacing w:line="360" w:lineRule="auto"/>
              <w:jc w:val="center"/>
              <w:rPr>
                <w:rFonts w:ascii="宋体" w:hAnsi="宋体" w:cs="宋体"/>
                <w:color w:val="auto"/>
                <w:kern w:val="0"/>
                <w:szCs w:val="21"/>
                <w:highlight w:val="none"/>
              </w:rPr>
            </w:pPr>
          </w:p>
        </w:tc>
        <w:tc>
          <w:tcPr>
            <w:tcW w:w="2145" w:type="dxa"/>
            <w:vAlign w:val="center"/>
          </w:tcPr>
          <w:p w14:paraId="611D4BBC">
            <w:pPr>
              <w:spacing w:line="360" w:lineRule="auto"/>
              <w:jc w:val="left"/>
              <w:rPr>
                <w:rFonts w:ascii="宋体" w:hAnsi="宋体" w:cs="宋体"/>
                <w:color w:val="auto"/>
                <w:szCs w:val="21"/>
                <w:highlight w:val="none"/>
              </w:rPr>
            </w:pPr>
          </w:p>
        </w:tc>
        <w:tc>
          <w:tcPr>
            <w:tcW w:w="2109" w:type="dxa"/>
            <w:vAlign w:val="center"/>
          </w:tcPr>
          <w:p w14:paraId="0B599D49">
            <w:pPr>
              <w:spacing w:line="360" w:lineRule="auto"/>
              <w:jc w:val="center"/>
              <w:rPr>
                <w:rFonts w:ascii="宋体" w:hAnsi="宋体" w:cs="宋体"/>
                <w:b/>
                <w:bCs/>
                <w:color w:val="auto"/>
                <w:szCs w:val="21"/>
                <w:highlight w:val="none"/>
              </w:rPr>
            </w:pPr>
          </w:p>
        </w:tc>
      </w:tr>
      <w:tr w14:paraId="589EB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14:paraId="39FE2983">
            <w:pPr>
              <w:spacing w:line="380" w:lineRule="exact"/>
              <w:jc w:val="center"/>
              <w:rPr>
                <w:rFonts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vAlign w:val="center"/>
          </w:tcPr>
          <w:p w14:paraId="5FE770C6">
            <w:pPr>
              <w:spacing w:line="360" w:lineRule="auto"/>
              <w:jc w:val="center"/>
              <w:rPr>
                <w:rFonts w:ascii="宋体" w:hAnsi="宋体" w:cs="宋体"/>
                <w:b/>
                <w:bCs/>
                <w:color w:val="auto"/>
                <w:sz w:val="24"/>
                <w:highlight w:val="none"/>
              </w:rPr>
            </w:pPr>
          </w:p>
        </w:tc>
      </w:tr>
    </w:tbl>
    <w:p w14:paraId="04DCC3F1">
      <w:pPr>
        <w:snapToGrid w:val="0"/>
        <w:spacing w:before="120" w:beforeLines="50" w:after="50"/>
        <w:rPr>
          <w:rFonts w:ascii="宋体" w:hAnsi="宋体" w:cs="宋体"/>
          <w:b/>
          <w:color w:val="auto"/>
          <w:sz w:val="32"/>
          <w:szCs w:val="32"/>
          <w:highlight w:val="none"/>
        </w:rPr>
      </w:pPr>
    </w:p>
    <w:p w14:paraId="722D711A">
      <w:pPr>
        <w:snapToGrid w:val="0"/>
        <w:spacing w:before="120" w:beforeLines="50" w:after="50"/>
        <w:jc w:val="center"/>
        <w:rPr>
          <w:rFonts w:ascii="宋体" w:hAnsi="宋体" w:cs="宋体"/>
          <w:b/>
          <w:color w:val="auto"/>
          <w:sz w:val="32"/>
          <w:szCs w:val="32"/>
          <w:highlight w:val="none"/>
        </w:rPr>
      </w:pPr>
    </w:p>
    <w:p w14:paraId="4382F362">
      <w:pPr>
        <w:snapToGrid w:val="0"/>
        <w:spacing w:before="120" w:beforeLines="50" w:after="50"/>
        <w:jc w:val="center"/>
        <w:rPr>
          <w:rFonts w:ascii="宋体" w:hAnsi="宋体" w:cs="宋体"/>
          <w:b/>
          <w:color w:val="auto"/>
          <w:sz w:val="32"/>
          <w:szCs w:val="32"/>
          <w:highlight w:val="none"/>
        </w:rPr>
      </w:pPr>
    </w:p>
    <w:p w14:paraId="7821F304">
      <w:pPr>
        <w:snapToGrid w:val="0"/>
        <w:spacing w:before="120" w:beforeLines="50" w:after="50"/>
        <w:jc w:val="center"/>
        <w:rPr>
          <w:rFonts w:ascii="宋体" w:hAnsi="宋体" w:cs="宋体"/>
          <w:b/>
          <w:color w:val="auto"/>
          <w:sz w:val="32"/>
          <w:szCs w:val="32"/>
          <w:highlight w:val="none"/>
        </w:rPr>
      </w:pPr>
    </w:p>
    <w:p w14:paraId="2A6F6F77">
      <w:pPr>
        <w:snapToGrid w:val="0"/>
        <w:spacing w:before="120" w:beforeLines="50" w:after="50"/>
        <w:jc w:val="center"/>
        <w:rPr>
          <w:rFonts w:ascii="宋体" w:hAnsi="宋体" w:cs="宋体"/>
          <w:b/>
          <w:color w:val="auto"/>
          <w:sz w:val="32"/>
          <w:szCs w:val="32"/>
          <w:highlight w:val="none"/>
        </w:rPr>
      </w:pPr>
    </w:p>
    <w:p w14:paraId="082F08AC">
      <w:pPr>
        <w:snapToGrid w:val="0"/>
        <w:spacing w:before="120" w:beforeLines="50" w:after="50"/>
        <w:jc w:val="center"/>
        <w:rPr>
          <w:rFonts w:ascii="宋体" w:hAnsi="宋体" w:cs="宋体"/>
          <w:b/>
          <w:color w:val="auto"/>
          <w:sz w:val="32"/>
          <w:szCs w:val="32"/>
          <w:highlight w:val="none"/>
        </w:rPr>
      </w:pPr>
    </w:p>
    <w:p w14:paraId="63614B2F">
      <w:pPr>
        <w:snapToGrid w:val="0"/>
        <w:spacing w:before="120" w:beforeLines="50" w:after="50"/>
        <w:jc w:val="center"/>
        <w:rPr>
          <w:rFonts w:ascii="宋体" w:hAnsi="宋体" w:cs="宋体"/>
          <w:b/>
          <w:color w:val="auto"/>
          <w:sz w:val="32"/>
          <w:szCs w:val="32"/>
          <w:highlight w:val="none"/>
        </w:rPr>
      </w:pPr>
    </w:p>
    <w:p w14:paraId="02B72AC3">
      <w:pPr>
        <w:snapToGrid w:val="0"/>
        <w:spacing w:before="120" w:beforeLines="50" w:after="50"/>
        <w:jc w:val="center"/>
        <w:rPr>
          <w:rFonts w:ascii="宋体" w:hAnsi="宋体" w:cs="宋体"/>
          <w:b/>
          <w:color w:val="auto"/>
          <w:sz w:val="32"/>
          <w:szCs w:val="32"/>
          <w:highlight w:val="none"/>
        </w:rPr>
      </w:pPr>
    </w:p>
    <w:p w14:paraId="4298F83E">
      <w:pPr>
        <w:snapToGrid w:val="0"/>
        <w:spacing w:before="120" w:beforeLines="50" w:after="50"/>
        <w:jc w:val="center"/>
        <w:rPr>
          <w:rFonts w:ascii="宋体" w:hAnsi="宋体" w:cs="宋体"/>
          <w:b/>
          <w:color w:val="auto"/>
          <w:sz w:val="32"/>
          <w:szCs w:val="32"/>
          <w:highlight w:val="none"/>
        </w:rPr>
      </w:pPr>
    </w:p>
    <w:p w14:paraId="64A4E563">
      <w:pPr>
        <w:snapToGrid w:val="0"/>
        <w:spacing w:before="120" w:beforeLines="50" w:after="50"/>
        <w:rPr>
          <w:rFonts w:ascii="宋体" w:hAnsi="宋体" w:cs="宋体"/>
          <w:b/>
          <w:color w:val="auto"/>
          <w:sz w:val="32"/>
          <w:szCs w:val="32"/>
          <w:highlight w:val="none"/>
        </w:rPr>
      </w:pPr>
    </w:p>
    <w:p w14:paraId="27952BF6">
      <w:pPr>
        <w:snapToGrid w:val="0"/>
        <w:spacing w:before="120" w:beforeLines="50" w:after="50"/>
        <w:jc w:val="center"/>
        <w:rPr>
          <w:rFonts w:ascii="宋体" w:hAnsi="宋体" w:cs="宋体"/>
          <w:b/>
          <w:color w:val="auto"/>
          <w:sz w:val="32"/>
          <w:szCs w:val="32"/>
          <w:highlight w:val="none"/>
        </w:rPr>
      </w:pPr>
    </w:p>
    <w:p w14:paraId="15171AA5">
      <w:pPr>
        <w:snapToGrid w:val="0"/>
        <w:spacing w:before="120" w:beforeLines="50" w:after="50"/>
        <w:jc w:val="center"/>
        <w:rPr>
          <w:rFonts w:ascii="宋体" w:hAnsi="宋体" w:cs="宋体"/>
          <w:b/>
          <w:color w:val="auto"/>
          <w:sz w:val="32"/>
          <w:szCs w:val="32"/>
          <w:highlight w:val="none"/>
        </w:rPr>
      </w:pPr>
    </w:p>
    <w:p w14:paraId="124848DE">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投标声明书</w:t>
      </w:r>
    </w:p>
    <w:p w14:paraId="47DB21B3">
      <w:pPr>
        <w:snapToGrid w:val="0"/>
        <w:spacing w:before="120" w:beforeLines="50" w:after="50" w:line="360" w:lineRule="auto"/>
        <w:rPr>
          <w:rFonts w:ascii="宋体" w:hAnsi="宋体" w:cs="宋体"/>
          <w:color w:val="auto"/>
          <w:sz w:val="24"/>
          <w:highlight w:val="none"/>
        </w:rPr>
      </w:pPr>
    </w:p>
    <w:p w14:paraId="2A780962">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23BE5C24">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11284BC">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采购项目的投标，为便于贵方公正、择优地确定中标人及其投标产品和服务，我方就本次投标有关事项郑重声明如下：</w:t>
      </w:r>
    </w:p>
    <w:p w14:paraId="41257D46">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14:paraId="5C7ADBA3">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63B629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14A273">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4.我方诚意提请贵方关注：有关该项目的重大决策和事项有：</w:t>
      </w:r>
    </w:p>
    <w:p w14:paraId="3B93EABD">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6B7348BF">
      <w:pPr>
        <w:pStyle w:val="3"/>
        <w:snapToGrid w:val="0"/>
        <w:spacing w:line="360" w:lineRule="auto"/>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14:paraId="1C046387">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7DB99E20">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14:paraId="17D364F3">
      <w:pPr>
        <w:pStyle w:val="30"/>
        <w:tabs>
          <w:tab w:val="left" w:pos="939"/>
        </w:tabs>
        <w:snapToGrid w:val="0"/>
        <w:spacing w:line="400" w:lineRule="exact"/>
        <w:ind w:left="773" w:leftChars="150" w:hanging="458" w:hangingChars="191"/>
        <w:rPr>
          <w:rFonts w:ascii="宋体" w:hAnsi="宋体" w:cs="宋体"/>
          <w:color w:val="auto"/>
          <w:sz w:val="24"/>
          <w:highlight w:val="none"/>
        </w:rPr>
      </w:pPr>
    </w:p>
    <w:p w14:paraId="6F31D4F4">
      <w:pPr>
        <w:snapToGrid w:val="0"/>
        <w:spacing w:before="120" w:beforeLines="50" w:line="400" w:lineRule="exact"/>
        <w:ind w:firstLine="200"/>
        <w:rPr>
          <w:rFonts w:ascii="宋体" w:hAnsi="宋体" w:cs="宋体"/>
          <w:color w:val="auto"/>
          <w:sz w:val="24"/>
          <w:szCs w:val="20"/>
          <w:highlight w:val="none"/>
          <w:u w:val="single"/>
        </w:rPr>
      </w:pPr>
      <w:r>
        <w:rPr>
          <w:rFonts w:hint="eastAsia" w:ascii="宋体" w:hAnsi="宋体"/>
          <w:color w:val="auto"/>
          <w:sz w:val="24"/>
          <w:highlight w:val="none"/>
        </w:rPr>
        <w:t>法定代表人签字（或盖章）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182841B">
      <w:pPr>
        <w:snapToGrid w:val="0"/>
        <w:spacing w:before="120"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C48AC6C">
      <w:pPr>
        <w:snapToGrid w:val="0"/>
        <w:spacing w:before="120" w:beforeLines="50" w:after="50" w:line="4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b/>
          <w:color w:val="auto"/>
          <w:sz w:val="24"/>
          <w:highlight w:val="none"/>
        </w:rPr>
        <w:br w:type="page"/>
      </w:r>
    </w:p>
    <w:p w14:paraId="6BE068BA">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1FC3607C">
      <w:pPr>
        <w:snapToGrid w:val="0"/>
        <w:spacing w:before="120" w:beforeLines="50" w:after="50" w:line="360" w:lineRule="auto"/>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345DBFB5">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的投标活动，并代表我方全权办理针对上述项目的投标、开标、评标、签约等具体事务和签署相关文件。</w:t>
      </w:r>
    </w:p>
    <w:p w14:paraId="387212EA">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14:paraId="0B8F330C">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142F0E07">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14:paraId="737F9402">
      <w:pPr>
        <w:snapToGrid w:val="0"/>
        <w:spacing w:before="120" w:beforeLines="50" w:after="50" w:line="360" w:lineRule="auto"/>
        <w:rPr>
          <w:rFonts w:ascii="宋体" w:hAnsi="宋体" w:cs="宋体"/>
          <w:color w:val="auto"/>
          <w:sz w:val="24"/>
          <w:szCs w:val="20"/>
          <w:highlight w:val="none"/>
        </w:rPr>
      </w:pPr>
    </w:p>
    <w:p w14:paraId="2155C7AA">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14:paraId="1BC46186">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20323F42">
      <w:pPr>
        <w:snapToGrid w:val="0"/>
        <w:spacing w:before="120" w:beforeLines="50" w:after="50" w:line="360" w:lineRule="auto"/>
        <w:rPr>
          <w:rFonts w:ascii="宋体" w:hAnsi="宋体" w:cs="宋体"/>
          <w:color w:val="auto"/>
          <w:sz w:val="24"/>
          <w:szCs w:val="20"/>
          <w:highlight w:val="none"/>
        </w:rPr>
      </w:pPr>
    </w:p>
    <w:p w14:paraId="5EDCEF4B">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14:paraId="18E57278">
      <w:pPr>
        <w:snapToGrid w:val="0"/>
        <w:spacing w:before="120" w:beforeLines="50" w:after="50" w:line="360" w:lineRule="auto"/>
        <w:rPr>
          <w:rFonts w:ascii="宋体" w:hAnsi="宋体" w:cs="宋体"/>
          <w:color w:val="auto"/>
          <w:sz w:val="24"/>
          <w:highlight w:val="none"/>
        </w:rPr>
      </w:pPr>
    </w:p>
    <w:p w14:paraId="3C4693CB">
      <w:pPr>
        <w:snapToGrid w:val="0"/>
        <w:spacing w:before="120" w:beforeLines="50" w:after="50" w:line="360" w:lineRule="auto"/>
        <w:rPr>
          <w:rFonts w:ascii="宋体" w:hAnsi="宋体" w:cs="宋体"/>
          <w:color w:val="auto"/>
          <w:sz w:val="24"/>
          <w:highlight w:val="none"/>
        </w:rPr>
      </w:pPr>
    </w:p>
    <w:p w14:paraId="03CE4591">
      <w:pPr>
        <w:snapToGrid w:val="0"/>
        <w:spacing w:before="120" w:beforeLines="50" w:after="50" w:line="360" w:lineRule="auto"/>
        <w:rPr>
          <w:rFonts w:ascii="宋体" w:hAnsi="宋体" w:cs="宋体"/>
          <w:color w:val="auto"/>
          <w:sz w:val="24"/>
          <w:highlight w:val="none"/>
        </w:rPr>
      </w:pPr>
    </w:p>
    <w:p w14:paraId="18B45249">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14:paraId="419EF1B5">
      <w:pPr>
        <w:snapToGrid w:val="0"/>
        <w:spacing w:before="120" w:beforeLines="50" w:after="50" w:line="360" w:lineRule="auto"/>
        <w:rPr>
          <w:rFonts w:ascii="宋体" w:hAnsi="宋体" w:cs="宋体"/>
          <w:color w:val="auto"/>
          <w:sz w:val="24"/>
          <w:szCs w:val="20"/>
          <w:highlight w:val="none"/>
        </w:rPr>
      </w:pPr>
    </w:p>
    <w:p w14:paraId="4E7636AE">
      <w:pPr>
        <w:snapToGrid w:val="0"/>
        <w:spacing w:before="120" w:beforeLines="50" w:after="50" w:line="360" w:lineRule="auto"/>
        <w:rPr>
          <w:rFonts w:ascii="宋体" w:hAnsi="宋体" w:cs="宋体"/>
          <w:color w:val="auto"/>
          <w:sz w:val="24"/>
          <w:szCs w:val="20"/>
          <w:highlight w:val="none"/>
        </w:rPr>
      </w:pPr>
    </w:p>
    <w:p w14:paraId="6CA5090B">
      <w:pPr>
        <w:snapToGrid w:val="0"/>
        <w:spacing w:before="120" w:beforeLines="50" w:after="5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2ED587C4">
      <w:pPr>
        <w:pStyle w:val="967"/>
        <w:spacing w:line="360" w:lineRule="auto"/>
        <w:rPr>
          <w:rFonts w:hAnsi="宋体" w:eastAsia="宋体" w:cs="宋体"/>
          <w:color w:val="auto"/>
          <w:sz w:val="24"/>
          <w:highlight w:val="none"/>
        </w:rPr>
      </w:pPr>
    </w:p>
    <w:p w14:paraId="55D9D85C">
      <w:pPr>
        <w:snapToGrid w:val="0"/>
        <w:spacing w:before="120" w:beforeLines="50" w:after="50" w:line="360" w:lineRule="auto"/>
        <w:rPr>
          <w:rFonts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14:paraId="02E0DDB1">
      <w:pPr>
        <w:spacing w:line="360" w:lineRule="auto"/>
        <w:jc w:val="left"/>
        <w:rPr>
          <w:rFonts w:ascii="宋体" w:hAnsi="宋体" w:cs="宋体"/>
          <w:b/>
          <w:color w:val="auto"/>
          <w:sz w:val="24"/>
          <w:highlight w:val="none"/>
        </w:rPr>
      </w:pPr>
    </w:p>
    <w:p w14:paraId="58A23FEB">
      <w:pPr>
        <w:spacing w:line="360" w:lineRule="auto"/>
        <w:jc w:val="center"/>
        <w:rPr>
          <w:rFonts w:hint="eastAsia" w:ascii="宋体" w:hAnsi="宋体" w:cs="宋体"/>
          <w:b/>
          <w:color w:val="auto"/>
          <w:sz w:val="24"/>
          <w:highlight w:val="none"/>
        </w:rPr>
      </w:pPr>
    </w:p>
    <w:p w14:paraId="515F9BB2">
      <w:pPr>
        <w:spacing w:line="360" w:lineRule="auto"/>
        <w:jc w:val="center"/>
        <w:rPr>
          <w:rFonts w:hint="eastAsia" w:ascii="宋体" w:hAnsi="宋体" w:cs="宋体"/>
          <w:b/>
          <w:color w:val="auto"/>
          <w:sz w:val="24"/>
          <w:highlight w:val="none"/>
        </w:rPr>
      </w:pPr>
    </w:p>
    <w:p w14:paraId="02060076">
      <w:pPr>
        <w:spacing w:line="360" w:lineRule="auto"/>
        <w:jc w:val="center"/>
        <w:rPr>
          <w:rFonts w:hint="eastAsia" w:ascii="宋体" w:hAnsi="宋体" w:cs="宋体"/>
          <w:b/>
          <w:color w:val="auto"/>
          <w:sz w:val="24"/>
          <w:highlight w:val="none"/>
        </w:rPr>
      </w:pPr>
    </w:p>
    <w:p w14:paraId="1D7703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诚信承诺书</w:t>
      </w:r>
    </w:p>
    <w:p w14:paraId="6491642C">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14:paraId="68AB56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政府采购项目的招投标活动中，郑重承诺如下：</w:t>
      </w:r>
    </w:p>
    <w:p w14:paraId="2C87F7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14:paraId="73A937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14:paraId="2DC8D8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14:paraId="58AD7C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14:paraId="3463F8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14:paraId="5D4B17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14:paraId="588732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2E862C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71320881">
      <w:pPr>
        <w:spacing w:line="360" w:lineRule="auto"/>
        <w:ind w:firstLine="480" w:firstLineChars="200"/>
        <w:rPr>
          <w:rFonts w:ascii="宋体" w:hAnsi="宋体" w:cs="宋体"/>
          <w:color w:val="auto"/>
          <w:sz w:val="24"/>
          <w:highlight w:val="none"/>
        </w:rPr>
      </w:pPr>
    </w:p>
    <w:p w14:paraId="4E5A70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p>
    <w:p w14:paraId="72439CB2">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4886B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48640A4">
      <w:pPr>
        <w:pStyle w:val="967"/>
        <w:spacing w:line="360" w:lineRule="auto"/>
        <w:rPr>
          <w:rFonts w:hAnsi="宋体" w:eastAsia="宋体" w:cs="宋体"/>
          <w:color w:val="auto"/>
          <w:sz w:val="24"/>
          <w:highlight w:val="none"/>
        </w:rPr>
      </w:pPr>
    </w:p>
    <w:p w14:paraId="7CADE2CA">
      <w:pPr>
        <w:pStyle w:val="967"/>
        <w:spacing w:line="360" w:lineRule="auto"/>
        <w:rPr>
          <w:rFonts w:hAnsi="宋体" w:eastAsia="宋体" w:cs="宋体"/>
          <w:color w:val="auto"/>
          <w:sz w:val="24"/>
          <w:highlight w:val="none"/>
        </w:rPr>
      </w:pPr>
    </w:p>
    <w:p w14:paraId="76E3853B">
      <w:pPr>
        <w:pStyle w:val="967"/>
        <w:spacing w:line="360" w:lineRule="auto"/>
        <w:rPr>
          <w:rFonts w:hAnsi="宋体" w:eastAsia="宋体" w:cs="宋体"/>
          <w:color w:val="auto"/>
          <w:sz w:val="24"/>
          <w:highlight w:val="none"/>
        </w:rPr>
      </w:pPr>
    </w:p>
    <w:p w14:paraId="4CE83420">
      <w:pPr>
        <w:pStyle w:val="967"/>
        <w:spacing w:line="360" w:lineRule="auto"/>
        <w:rPr>
          <w:rFonts w:hAnsi="宋体" w:eastAsia="宋体" w:cs="宋体"/>
          <w:color w:val="auto"/>
          <w:sz w:val="24"/>
          <w:highlight w:val="none"/>
        </w:rPr>
      </w:pPr>
    </w:p>
    <w:p w14:paraId="263664BE">
      <w:pPr>
        <w:pStyle w:val="967"/>
        <w:spacing w:line="360" w:lineRule="auto"/>
        <w:rPr>
          <w:rFonts w:hAnsi="宋体" w:eastAsia="宋体" w:cs="宋体"/>
          <w:color w:val="auto"/>
          <w:sz w:val="24"/>
          <w:highlight w:val="none"/>
        </w:rPr>
      </w:pPr>
    </w:p>
    <w:p w14:paraId="77BFD34F">
      <w:pPr>
        <w:pStyle w:val="967"/>
        <w:spacing w:line="360" w:lineRule="auto"/>
        <w:rPr>
          <w:rFonts w:hAnsi="宋体" w:eastAsia="宋体" w:cs="宋体"/>
          <w:color w:val="auto"/>
          <w:sz w:val="24"/>
          <w:highlight w:val="none"/>
        </w:rPr>
      </w:pPr>
    </w:p>
    <w:p w14:paraId="72BCE9CF">
      <w:pPr>
        <w:pStyle w:val="967"/>
        <w:spacing w:line="360" w:lineRule="auto"/>
        <w:rPr>
          <w:rFonts w:hAnsi="宋体" w:eastAsia="宋体" w:cs="宋体"/>
          <w:color w:val="auto"/>
          <w:sz w:val="24"/>
          <w:highlight w:val="none"/>
        </w:rPr>
      </w:pPr>
    </w:p>
    <w:p w14:paraId="4DDA2259">
      <w:pPr>
        <w:pStyle w:val="967"/>
        <w:spacing w:line="360" w:lineRule="auto"/>
        <w:rPr>
          <w:rFonts w:hAnsi="宋体" w:eastAsia="宋体" w:cs="宋体"/>
          <w:color w:val="auto"/>
          <w:sz w:val="24"/>
          <w:highlight w:val="none"/>
        </w:rPr>
      </w:pPr>
    </w:p>
    <w:p w14:paraId="0E55C513">
      <w:pPr>
        <w:pStyle w:val="967"/>
        <w:spacing w:line="360" w:lineRule="auto"/>
        <w:rPr>
          <w:rFonts w:hAnsi="宋体" w:eastAsia="宋体" w:cs="宋体"/>
          <w:color w:val="auto"/>
          <w:sz w:val="24"/>
          <w:highlight w:val="none"/>
        </w:rPr>
      </w:pPr>
    </w:p>
    <w:p w14:paraId="124A62C2">
      <w:pPr>
        <w:pStyle w:val="967"/>
        <w:spacing w:line="360" w:lineRule="auto"/>
        <w:rPr>
          <w:rFonts w:hAnsi="宋体" w:eastAsia="宋体" w:cs="宋体"/>
          <w:b/>
          <w:color w:val="auto"/>
          <w:sz w:val="24"/>
          <w:szCs w:val="24"/>
          <w:highlight w:val="none"/>
        </w:rPr>
      </w:pPr>
    </w:p>
    <w:p w14:paraId="22CF5140">
      <w:pPr>
        <w:wordWrap w:val="0"/>
        <w:spacing w:before="120" w:beforeLines="50" w:line="360" w:lineRule="auto"/>
        <w:ind w:firstLine="562"/>
        <w:jc w:val="center"/>
        <w:rPr>
          <w:rFonts w:ascii="宋体" w:hAnsi="宋体" w:cs="宋体"/>
          <w:b/>
          <w:color w:val="auto"/>
          <w:sz w:val="28"/>
          <w:szCs w:val="30"/>
          <w:highlight w:val="none"/>
        </w:rPr>
      </w:pPr>
      <w:r>
        <w:rPr>
          <w:rFonts w:hint="eastAsia" w:ascii="宋体" w:hAnsi="宋体" w:cs="宋体"/>
          <w:b/>
          <w:color w:val="auto"/>
          <w:sz w:val="28"/>
          <w:szCs w:val="30"/>
          <w:highlight w:val="none"/>
        </w:rPr>
        <w:t>投标人基本情况表</w:t>
      </w:r>
    </w:p>
    <w:tbl>
      <w:tblPr>
        <w:tblStyle w:val="64"/>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14:paraId="7173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C8CD219">
            <w:pPr>
              <w:rPr>
                <w:rFonts w:ascii="宋体" w:hAnsi="宋体" w:cs="宋体"/>
                <w:color w:val="auto"/>
                <w:sz w:val="22"/>
                <w:szCs w:val="28"/>
                <w:highlight w:val="none"/>
              </w:rPr>
            </w:pPr>
            <w:r>
              <w:rPr>
                <w:rFonts w:hint="eastAsia" w:ascii="宋体" w:hAnsi="宋体" w:cs="宋体"/>
                <w:color w:val="auto"/>
                <w:sz w:val="22"/>
                <w:szCs w:val="28"/>
                <w:highlight w:val="none"/>
              </w:rPr>
              <w:t>投标人名称</w:t>
            </w:r>
          </w:p>
        </w:tc>
        <w:tc>
          <w:tcPr>
            <w:tcW w:w="6339" w:type="dxa"/>
            <w:gridSpan w:val="3"/>
            <w:vAlign w:val="center"/>
          </w:tcPr>
          <w:p w14:paraId="5A131D21">
            <w:pPr>
              <w:ind w:firstLine="480"/>
              <w:rPr>
                <w:rFonts w:ascii="宋体" w:hAnsi="宋体" w:cs="宋体"/>
                <w:color w:val="auto"/>
                <w:sz w:val="22"/>
                <w:szCs w:val="28"/>
                <w:highlight w:val="none"/>
              </w:rPr>
            </w:pPr>
          </w:p>
        </w:tc>
      </w:tr>
      <w:tr w14:paraId="5092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742E76F">
            <w:pPr>
              <w:rPr>
                <w:rFonts w:ascii="宋体" w:hAnsi="宋体" w:cs="宋体"/>
                <w:color w:val="auto"/>
                <w:sz w:val="22"/>
                <w:szCs w:val="28"/>
                <w:highlight w:val="none"/>
              </w:rPr>
            </w:pPr>
            <w:r>
              <w:rPr>
                <w:rFonts w:hint="eastAsia" w:ascii="宋体" w:hAnsi="宋体" w:cs="宋体"/>
                <w:color w:val="auto"/>
                <w:sz w:val="22"/>
                <w:szCs w:val="28"/>
                <w:highlight w:val="none"/>
              </w:rPr>
              <w:t>地址</w:t>
            </w:r>
          </w:p>
        </w:tc>
        <w:tc>
          <w:tcPr>
            <w:tcW w:w="6339" w:type="dxa"/>
            <w:gridSpan w:val="3"/>
            <w:vAlign w:val="center"/>
          </w:tcPr>
          <w:p w14:paraId="0881BDB6">
            <w:pPr>
              <w:ind w:firstLine="480"/>
              <w:rPr>
                <w:rFonts w:ascii="宋体" w:hAnsi="宋体" w:cs="宋体"/>
                <w:color w:val="auto"/>
                <w:sz w:val="22"/>
                <w:szCs w:val="28"/>
                <w:highlight w:val="none"/>
              </w:rPr>
            </w:pPr>
          </w:p>
        </w:tc>
      </w:tr>
      <w:tr w14:paraId="503E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14:paraId="12D6D5BF">
            <w:pPr>
              <w:rPr>
                <w:rFonts w:ascii="宋体" w:hAnsi="宋体" w:cs="宋体"/>
                <w:color w:val="auto"/>
                <w:sz w:val="22"/>
                <w:szCs w:val="28"/>
                <w:highlight w:val="none"/>
              </w:rPr>
            </w:pPr>
            <w:r>
              <w:rPr>
                <w:rFonts w:hint="eastAsia" w:ascii="宋体" w:hAnsi="宋体" w:cs="宋体"/>
                <w:color w:val="auto"/>
                <w:sz w:val="22"/>
                <w:szCs w:val="28"/>
                <w:highlight w:val="none"/>
              </w:rPr>
              <w:t>业务（经营）范围</w:t>
            </w:r>
          </w:p>
        </w:tc>
        <w:tc>
          <w:tcPr>
            <w:tcW w:w="2118" w:type="dxa"/>
            <w:vAlign w:val="center"/>
          </w:tcPr>
          <w:p w14:paraId="34A551D3">
            <w:pPr>
              <w:rPr>
                <w:rFonts w:ascii="宋体" w:hAnsi="宋体" w:cs="宋体"/>
                <w:color w:val="auto"/>
                <w:sz w:val="22"/>
                <w:szCs w:val="28"/>
                <w:highlight w:val="none"/>
              </w:rPr>
            </w:pPr>
          </w:p>
        </w:tc>
        <w:tc>
          <w:tcPr>
            <w:tcW w:w="1980" w:type="dxa"/>
            <w:vAlign w:val="center"/>
          </w:tcPr>
          <w:p w14:paraId="7BBDD0F4">
            <w:pPr>
              <w:rPr>
                <w:rFonts w:ascii="宋体" w:hAnsi="宋体" w:cs="宋体"/>
                <w:color w:val="auto"/>
                <w:sz w:val="22"/>
                <w:szCs w:val="28"/>
                <w:highlight w:val="none"/>
              </w:rPr>
            </w:pPr>
            <w:r>
              <w:rPr>
                <w:rFonts w:hint="eastAsia" w:ascii="宋体" w:hAnsi="宋体" w:cs="宋体"/>
                <w:color w:val="auto"/>
                <w:sz w:val="22"/>
                <w:szCs w:val="28"/>
                <w:highlight w:val="none"/>
              </w:rPr>
              <w:t>机构类型</w:t>
            </w:r>
          </w:p>
        </w:tc>
        <w:tc>
          <w:tcPr>
            <w:tcW w:w="2241" w:type="dxa"/>
            <w:vAlign w:val="center"/>
          </w:tcPr>
          <w:p w14:paraId="20C19CF6">
            <w:pPr>
              <w:rPr>
                <w:rFonts w:ascii="宋体" w:hAnsi="宋体" w:cs="宋体"/>
                <w:color w:val="auto"/>
                <w:sz w:val="22"/>
                <w:szCs w:val="28"/>
                <w:highlight w:val="none"/>
              </w:rPr>
            </w:pPr>
          </w:p>
        </w:tc>
      </w:tr>
      <w:tr w14:paraId="149A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C50B73A">
            <w:pPr>
              <w:rPr>
                <w:rFonts w:ascii="宋体" w:hAnsi="宋体" w:cs="宋体"/>
                <w:color w:val="auto"/>
                <w:sz w:val="22"/>
                <w:szCs w:val="28"/>
                <w:highlight w:val="none"/>
              </w:rPr>
            </w:pPr>
            <w:r>
              <w:rPr>
                <w:rFonts w:hint="eastAsia" w:ascii="宋体" w:hAnsi="宋体" w:cs="宋体"/>
                <w:color w:val="auto"/>
                <w:sz w:val="22"/>
                <w:szCs w:val="28"/>
                <w:highlight w:val="none"/>
              </w:rPr>
              <w:t>成立时间</w:t>
            </w:r>
          </w:p>
        </w:tc>
        <w:tc>
          <w:tcPr>
            <w:tcW w:w="2118" w:type="dxa"/>
            <w:vAlign w:val="center"/>
          </w:tcPr>
          <w:p w14:paraId="72A9C0EC">
            <w:pPr>
              <w:rPr>
                <w:rFonts w:ascii="宋体" w:hAnsi="宋体" w:cs="宋体"/>
                <w:color w:val="auto"/>
                <w:sz w:val="22"/>
                <w:szCs w:val="28"/>
                <w:highlight w:val="none"/>
              </w:rPr>
            </w:pPr>
          </w:p>
        </w:tc>
        <w:tc>
          <w:tcPr>
            <w:tcW w:w="1980" w:type="dxa"/>
            <w:vAlign w:val="center"/>
          </w:tcPr>
          <w:p w14:paraId="0C376428">
            <w:pPr>
              <w:rPr>
                <w:rFonts w:ascii="宋体" w:hAnsi="宋体" w:cs="宋体"/>
                <w:color w:val="auto"/>
                <w:sz w:val="22"/>
                <w:szCs w:val="28"/>
                <w:highlight w:val="none"/>
              </w:rPr>
            </w:pPr>
          </w:p>
        </w:tc>
        <w:tc>
          <w:tcPr>
            <w:tcW w:w="2241" w:type="dxa"/>
            <w:vAlign w:val="center"/>
          </w:tcPr>
          <w:p w14:paraId="48E13DD0">
            <w:pPr>
              <w:rPr>
                <w:rFonts w:ascii="宋体" w:hAnsi="宋体" w:cs="宋体"/>
                <w:color w:val="auto"/>
                <w:sz w:val="22"/>
                <w:szCs w:val="28"/>
                <w:highlight w:val="none"/>
              </w:rPr>
            </w:pPr>
          </w:p>
        </w:tc>
      </w:tr>
      <w:tr w14:paraId="78B4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6A0B876">
            <w:pPr>
              <w:rPr>
                <w:rFonts w:ascii="宋体" w:hAnsi="宋体" w:cs="宋体"/>
                <w:color w:val="auto"/>
                <w:sz w:val="22"/>
                <w:szCs w:val="28"/>
                <w:highlight w:val="none"/>
              </w:rPr>
            </w:pPr>
            <w:r>
              <w:rPr>
                <w:rFonts w:hint="eastAsia" w:ascii="宋体" w:hAnsi="宋体" w:cs="宋体"/>
                <w:color w:val="auto"/>
                <w:sz w:val="22"/>
                <w:szCs w:val="28"/>
                <w:highlight w:val="none"/>
              </w:rPr>
              <w:t>法定代表人</w:t>
            </w:r>
          </w:p>
        </w:tc>
        <w:tc>
          <w:tcPr>
            <w:tcW w:w="2118" w:type="dxa"/>
            <w:vAlign w:val="center"/>
          </w:tcPr>
          <w:p w14:paraId="55C4427E">
            <w:pPr>
              <w:rPr>
                <w:rFonts w:ascii="宋体" w:hAnsi="宋体" w:cs="宋体"/>
                <w:color w:val="auto"/>
                <w:sz w:val="22"/>
                <w:szCs w:val="28"/>
                <w:highlight w:val="none"/>
              </w:rPr>
            </w:pPr>
          </w:p>
        </w:tc>
        <w:tc>
          <w:tcPr>
            <w:tcW w:w="1980" w:type="dxa"/>
            <w:vAlign w:val="center"/>
          </w:tcPr>
          <w:p w14:paraId="1CC15443">
            <w:pPr>
              <w:rPr>
                <w:rFonts w:ascii="宋体" w:hAnsi="宋体" w:cs="宋体"/>
                <w:color w:val="auto"/>
                <w:sz w:val="22"/>
                <w:szCs w:val="28"/>
                <w:highlight w:val="none"/>
              </w:rPr>
            </w:pPr>
            <w:r>
              <w:rPr>
                <w:rFonts w:hint="eastAsia" w:ascii="宋体" w:hAnsi="宋体" w:cs="宋体"/>
                <w:color w:val="auto"/>
                <w:sz w:val="22"/>
                <w:szCs w:val="28"/>
                <w:highlight w:val="none"/>
              </w:rPr>
              <w:t>联系电话</w:t>
            </w:r>
          </w:p>
        </w:tc>
        <w:tc>
          <w:tcPr>
            <w:tcW w:w="2241" w:type="dxa"/>
            <w:vAlign w:val="center"/>
          </w:tcPr>
          <w:p w14:paraId="6E12C966">
            <w:pPr>
              <w:rPr>
                <w:rFonts w:ascii="宋体" w:hAnsi="宋体" w:cs="宋体"/>
                <w:color w:val="auto"/>
                <w:sz w:val="22"/>
                <w:szCs w:val="28"/>
                <w:highlight w:val="none"/>
              </w:rPr>
            </w:pPr>
          </w:p>
        </w:tc>
      </w:tr>
      <w:tr w14:paraId="19BE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14:paraId="3234F948">
            <w:pPr>
              <w:rPr>
                <w:rFonts w:ascii="宋体" w:hAnsi="宋体" w:cs="宋体"/>
                <w:color w:val="auto"/>
                <w:sz w:val="22"/>
                <w:szCs w:val="28"/>
                <w:highlight w:val="none"/>
              </w:rPr>
            </w:pPr>
            <w:r>
              <w:rPr>
                <w:rFonts w:hint="eastAsia" w:ascii="宋体" w:hAnsi="宋体" w:cs="宋体"/>
                <w:color w:val="auto"/>
                <w:sz w:val="22"/>
                <w:szCs w:val="28"/>
                <w:highlight w:val="none"/>
              </w:rPr>
              <w:t>注册资本</w:t>
            </w:r>
          </w:p>
        </w:tc>
        <w:tc>
          <w:tcPr>
            <w:tcW w:w="2118" w:type="dxa"/>
            <w:vAlign w:val="center"/>
          </w:tcPr>
          <w:p w14:paraId="39AB70B9">
            <w:pPr>
              <w:rPr>
                <w:rFonts w:ascii="宋体" w:hAnsi="宋体" w:cs="宋体"/>
                <w:color w:val="auto"/>
                <w:sz w:val="22"/>
                <w:szCs w:val="28"/>
                <w:highlight w:val="none"/>
              </w:rPr>
            </w:pPr>
          </w:p>
        </w:tc>
        <w:tc>
          <w:tcPr>
            <w:tcW w:w="1980" w:type="dxa"/>
            <w:vAlign w:val="center"/>
          </w:tcPr>
          <w:p w14:paraId="1D64996D">
            <w:pPr>
              <w:rPr>
                <w:rFonts w:ascii="宋体" w:hAnsi="宋体" w:cs="宋体"/>
                <w:color w:val="auto"/>
                <w:sz w:val="22"/>
                <w:szCs w:val="28"/>
                <w:highlight w:val="none"/>
              </w:rPr>
            </w:pPr>
            <w:r>
              <w:rPr>
                <w:rFonts w:hint="eastAsia" w:ascii="宋体" w:hAnsi="宋体" w:cs="宋体"/>
                <w:color w:val="auto"/>
                <w:sz w:val="22"/>
                <w:szCs w:val="28"/>
                <w:highlight w:val="none"/>
              </w:rPr>
              <w:t>技术人员数</w:t>
            </w:r>
          </w:p>
        </w:tc>
        <w:tc>
          <w:tcPr>
            <w:tcW w:w="2241" w:type="dxa"/>
            <w:vAlign w:val="center"/>
          </w:tcPr>
          <w:p w14:paraId="0A98E133">
            <w:pPr>
              <w:rPr>
                <w:rFonts w:ascii="宋体" w:hAnsi="宋体" w:cs="宋体"/>
                <w:color w:val="auto"/>
                <w:sz w:val="22"/>
                <w:szCs w:val="28"/>
                <w:highlight w:val="none"/>
              </w:rPr>
            </w:pPr>
          </w:p>
        </w:tc>
      </w:tr>
      <w:tr w14:paraId="4F13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83A1CF1">
            <w:pPr>
              <w:rPr>
                <w:rFonts w:ascii="宋体" w:hAnsi="宋体" w:cs="宋体"/>
                <w:color w:val="auto"/>
                <w:sz w:val="22"/>
                <w:szCs w:val="28"/>
                <w:highlight w:val="none"/>
              </w:rPr>
            </w:pPr>
            <w:r>
              <w:rPr>
                <w:rFonts w:hint="eastAsia" w:ascii="宋体" w:hAnsi="宋体" w:cs="宋体"/>
                <w:color w:val="auto"/>
                <w:sz w:val="22"/>
                <w:szCs w:val="28"/>
                <w:highlight w:val="none"/>
              </w:rPr>
              <w:t>是否依法纳税</w:t>
            </w:r>
          </w:p>
        </w:tc>
        <w:tc>
          <w:tcPr>
            <w:tcW w:w="2118" w:type="dxa"/>
            <w:vAlign w:val="center"/>
          </w:tcPr>
          <w:p w14:paraId="152E3275">
            <w:pPr>
              <w:rPr>
                <w:rFonts w:ascii="宋体" w:hAnsi="宋体" w:cs="宋体"/>
                <w:color w:val="auto"/>
                <w:sz w:val="22"/>
                <w:szCs w:val="28"/>
                <w:highlight w:val="none"/>
              </w:rPr>
            </w:pPr>
          </w:p>
        </w:tc>
        <w:tc>
          <w:tcPr>
            <w:tcW w:w="1980" w:type="dxa"/>
            <w:vAlign w:val="center"/>
          </w:tcPr>
          <w:p w14:paraId="380A8823">
            <w:pPr>
              <w:jc w:val="center"/>
              <w:rPr>
                <w:rFonts w:ascii="宋体" w:hAnsi="宋体" w:cs="宋体"/>
                <w:color w:val="auto"/>
                <w:sz w:val="22"/>
                <w:szCs w:val="28"/>
                <w:highlight w:val="none"/>
              </w:rPr>
            </w:pPr>
            <w:r>
              <w:rPr>
                <w:rFonts w:hint="eastAsia" w:ascii="宋体" w:hAnsi="宋体" w:cs="宋体"/>
                <w:color w:val="auto"/>
                <w:sz w:val="22"/>
                <w:szCs w:val="28"/>
                <w:highlight w:val="none"/>
              </w:rPr>
              <w:t>是否参加社保</w:t>
            </w:r>
          </w:p>
        </w:tc>
        <w:tc>
          <w:tcPr>
            <w:tcW w:w="2241" w:type="dxa"/>
            <w:vAlign w:val="center"/>
          </w:tcPr>
          <w:p w14:paraId="4C6EC228">
            <w:pPr>
              <w:rPr>
                <w:rFonts w:ascii="宋体" w:hAnsi="宋体" w:cs="宋体"/>
                <w:color w:val="auto"/>
                <w:sz w:val="22"/>
                <w:szCs w:val="28"/>
                <w:highlight w:val="none"/>
              </w:rPr>
            </w:pPr>
          </w:p>
        </w:tc>
      </w:tr>
      <w:tr w14:paraId="4524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153238EE">
            <w:pPr>
              <w:rPr>
                <w:rFonts w:ascii="宋体" w:hAnsi="宋体" w:cs="宋体"/>
                <w:color w:val="auto"/>
                <w:sz w:val="22"/>
                <w:szCs w:val="28"/>
                <w:highlight w:val="none"/>
              </w:rPr>
            </w:pPr>
            <w:r>
              <w:rPr>
                <w:rFonts w:hint="eastAsia" w:ascii="宋体" w:hAnsi="宋体" w:cs="宋体"/>
                <w:color w:val="auto"/>
                <w:sz w:val="22"/>
                <w:szCs w:val="28"/>
                <w:highlight w:val="none"/>
              </w:rPr>
              <w:t>服务机构情况</w:t>
            </w:r>
          </w:p>
        </w:tc>
        <w:tc>
          <w:tcPr>
            <w:tcW w:w="6339" w:type="dxa"/>
            <w:gridSpan w:val="3"/>
            <w:vAlign w:val="center"/>
          </w:tcPr>
          <w:p w14:paraId="1F67D51A">
            <w:pPr>
              <w:jc w:val="left"/>
              <w:rPr>
                <w:rFonts w:ascii="宋体" w:hAnsi="宋体" w:cs="宋体"/>
                <w:color w:val="auto"/>
                <w:sz w:val="22"/>
                <w:szCs w:val="28"/>
                <w:highlight w:val="none"/>
              </w:rPr>
            </w:pPr>
            <w:r>
              <w:rPr>
                <w:rFonts w:hint="eastAsia" w:ascii="宋体" w:hAnsi="宋体" w:cs="宋体"/>
                <w:color w:val="auto"/>
                <w:sz w:val="22"/>
                <w:szCs w:val="28"/>
                <w:highlight w:val="none"/>
              </w:rPr>
              <w:t>服务机构名称：</w:t>
            </w:r>
          </w:p>
          <w:p w14:paraId="2305CF7E">
            <w:pPr>
              <w:jc w:val="left"/>
              <w:rPr>
                <w:rFonts w:ascii="宋体" w:hAnsi="宋体" w:cs="宋体"/>
                <w:color w:val="auto"/>
                <w:sz w:val="22"/>
                <w:szCs w:val="28"/>
                <w:highlight w:val="none"/>
              </w:rPr>
            </w:pPr>
            <w:r>
              <w:rPr>
                <w:rFonts w:hint="eastAsia" w:ascii="宋体" w:hAnsi="宋体" w:cs="宋体"/>
                <w:color w:val="auto"/>
                <w:sz w:val="22"/>
                <w:szCs w:val="28"/>
                <w:highlight w:val="none"/>
              </w:rPr>
              <w:t>地址：</w:t>
            </w:r>
          </w:p>
          <w:p w14:paraId="4DD01533">
            <w:pPr>
              <w:jc w:val="left"/>
              <w:rPr>
                <w:rFonts w:ascii="宋体" w:hAnsi="宋体" w:cs="宋体"/>
                <w:color w:val="auto"/>
                <w:sz w:val="22"/>
                <w:szCs w:val="28"/>
                <w:highlight w:val="none"/>
              </w:rPr>
            </w:pPr>
            <w:r>
              <w:rPr>
                <w:rFonts w:hint="eastAsia" w:ascii="宋体" w:hAnsi="宋体" w:cs="宋体"/>
                <w:color w:val="auto"/>
                <w:sz w:val="22"/>
                <w:szCs w:val="28"/>
                <w:highlight w:val="none"/>
              </w:rPr>
              <w:t>人员状况：</w:t>
            </w:r>
          </w:p>
          <w:p w14:paraId="09D7C16E">
            <w:pPr>
              <w:jc w:val="left"/>
              <w:rPr>
                <w:rFonts w:ascii="宋体" w:hAnsi="宋体" w:cs="宋体"/>
                <w:color w:val="auto"/>
                <w:sz w:val="22"/>
                <w:szCs w:val="28"/>
                <w:highlight w:val="none"/>
              </w:rPr>
            </w:pPr>
            <w:r>
              <w:rPr>
                <w:rFonts w:hint="eastAsia" w:ascii="宋体" w:hAnsi="宋体" w:cs="宋体"/>
                <w:color w:val="auto"/>
                <w:sz w:val="22"/>
                <w:szCs w:val="28"/>
                <w:highlight w:val="none"/>
              </w:rPr>
              <w:t>联系方式：</w:t>
            </w:r>
          </w:p>
          <w:p w14:paraId="616BBCC9">
            <w:pPr>
              <w:jc w:val="left"/>
              <w:rPr>
                <w:rFonts w:ascii="宋体" w:hAnsi="宋体" w:cs="宋体"/>
                <w:color w:val="auto"/>
                <w:sz w:val="22"/>
                <w:szCs w:val="28"/>
                <w:highlight w:val="none"/>
              </w:rPr>
            </w:pPr>
            <w:r>
              <w:rPr>
                <w:rFonts w:hint="eastAsia" w:ascii="宋体" w:hAnsi="宋体" w:cs="宋体"/>
                <w:color w:val="auto"/>
                <w:sz w:val="22"/>
                <w:szCs w:val="28"/>
                <w:highlight w:val="none"/>
              </w:rPr>
              <w:t>（可另附纸说明）</w:t>
            </w:r>
          </w:p>
        </w:tc>
      </w:tr>
    </w:tbl>
    <w:p w14:paraId="64276A2B">
      <w:pPr>
        <w:wordWrap w:val="0"/>
        <w:spacing w:before="120" w:beforeLines="50"/>
        <w:rPr>
          <w:rFonts w:ascii="宋体" w:hAnsi="宋体" w:cs="宋体"/>
          <w:b/>
          <w:bCs/>
          <w:color w:val="auto"/>
          <w:sz w:val="24"/>
          <w:highlight w:val="none"/>
          <w:lang w:bidi="ar"/>
        </w:rPr>
      </w:pPr>
    </w:p>
    <w:p w14:paraId="40847663">
      <w:pPr>
        <w:wordWrap w:val="0"/>
        <w:spacing w:line="360" w:lineRule="auto"/>
        <w:ind w:firstLine="480"/>
        <w:jc w:val="right"/>
        <w:rPr>
          <w:rFonts w:ascii="宋体" w:hAnsi="宋体" w:cs="宋体"/>
          <w:color w:val="auto"/>
          <w:sz w:val="24"/>
          <w:highlight w:val="none"/>
          <w:lang w:bidi="ar"/>
        </w:rPr>
      </w:pPr>
    </w:p>
    <w:p w14:paraId="0CEAF2FD">
      <w:pPr>
        <w:spacing w:line="360" w:lineRule="auto"/>
        <w:jc w:val="left"/>
        <w:rPr>
          <w:rFonts w:ascii="宋体" w:hAnsi="宋体" w:cs="宋体"/>
          <w:color w:val="auto"/>
          <w:sz w:val="24"/>
          <w:highlight w:val="none"/>
          <w:u w:val="single"/>
          <w:lang w:bidi="ar"/>
        </w:rPr>
      </w:pPr>
      <w:r>
        <w:rPr>
          <w:rFonts w:hint="eastAsia" w:ascii="宋体" w:hAnsi="宋体" w:cs="宋体"/>
          <w:color w:val="auto"/>
          <w:sz w:val="24"/>
          <w:highlight w:val="none"/>
          <w:lang w:bidi="ar"/>
        </w:rPr>
        <w:t>投标人名称（加盖公章）：</w:t>
      </w:r>
      <w:r>
        <w:rPr>
          <w:rFonts w:hint="eastAsia" w:ascii="宋体" w:hAnsi="宋体" w:cs="宋体"/>
          <w:color w:val="auto"/>
          <w:sz w:val="24"/>
          <w:highlight w:val="none"/>
          <w:u w:val="single"/>
          <w:lang w:bidi="ar"/>
        </w:rPr>
        <w:t xml:space="preserve">                  </w:t>
      </w:r>
    </w:p>
    <w:p w14:paraId="43EE40F7">
      <w:pPr>
        <w:spacing w:line="360" w:lineRule="auto"/>
        <w:jc w:val="left"/>
        <w:rPr>
          <w:rFonts w:ascii="宋体" w:hAnsi="宋体" w:cs="宋体"/>
          <w:color w:val="auto"/>
          <w:sz w:val="24"/>
          <w:highlight w:val="none"/>
          <w:u w:val="single"/>
          <w:lang w:bidi="ar"/>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C8B5D16">
      <w:pPr>
        <w:pStyle w:val="967"/>
        <w:spacing w:line="360" w:lineRule="auto"/>
        <w:jc w:val="left"/>
        <w:rPr>
          <w:rFonts w:hAnsi="宋体" w:eastAsia="宋体" w:cs="宋体"/>
          <w:color w:val="auto"/>
          <w:sz w:val="24"/>
          <w:szCs w:val="24"/>
          <w:highlight w:val="none"/>
          <w:lang w:bidi="ar"/>
        </w:rPr>
      </w:pPr>
      <w:r>
        <w:rPr>
          <w:rFonts w:hint="eastAsia" w:hAnsi="宋体" w:eastAsia="宋体" w:cs="宋体"/>
          <w:color w:val="auto"/>
          <w:sz w:val="24"/>
          <w:szCs w:val="24"/>
          <w:highlight w:val="none"/>
          <w:lang w:bidi="ar"/>
        </w:rPr>
        <w:t>日期：_____年____月____日</w:t>
      </w:r>
    </w:p>
    <w:p w14:paraId="0694ECBF">
      <w:pPr>
        <w:pStyle w:val="967"/>
        <w:spacing w:line="360" w:lineRule="auto"/>
        <w:jc w:val="center"/>
        <w:rPr>
          <w:rFonts w:hAnsi="宋体" w:eastAsia="宋体" w:cs="宋体"/>
          <w:b/>
          <w:color w:val="auto"/>
          <w:sz w:val="24"/>
          <w:szCs w:val="24"/>
          <w:highlight w:val="none"/>
        </w:rPr>
      </w:pPr>
    </w:p>
    <w:p w14:paraId="0DDFDD9A">
      <w:pPr>
        <w:pStyle w:val="967"/>
        <w:spacing w:line="360" w:lineRule="auto"/>
        <w:jc w:val="center"/>
        <w:rPr>
          <w:rFonts w:hAnsi="宋体" w:eastAsia="宋体" w:cs="宋体"/>
          <w:b/>
          <w:color w:val="auto"/>
          <w:sz w:val="24"/>
          <w:szCs w:val="24"/>
          <w:highlight w:val="none"/>
        </w:rPr>
      </w:pPr>
    </w:p>
    <w:p w14:paraId="1DD4241E">
      <w:pPr>
        <w:pStyle w:val="967"/>
        <w:spacing w:line="360" w:lineRule="auto"/>
        <w:jc w:val="center"/>
        <w:rPr>
          <w:rFonts w:hAnsi="宋体" w:eastAsia="宋体" w:cs="宋体"/>
          <w:b/>
          <w:color w:val="auto"/>
          <w:sz w:val="24"/>
          <w:szCs w:val="24"/>
          <w:highlight w:val="none"/>
        </w:rPr>
      </w:pPr>
    </w:p>
    <w:p w14:paraId="63D51CFD">
      <w:pPr>
        <w:pStyle w:val="967"/>
        <w:spacing w:line="360" w:lineRule="auto"/>
        <w:jc w:val="center"/>
        <w:rPr>
          <w:rFonts w:hAnsi="宋体" w:eastAsia="宋体" w:cs="宋体"/>
          <w:b/>
          <w:color w:val="auto"/>
          <w:sz w:val="24"/>
          <w:szCs w:val="24"/>
          <w:highlight w:val="none"/>
        </w:rPr>
      </w:pPr>
    </w:p>
    <w:p w14:paraId="3EAE7E23">
      <w:pPr>
        <w:pStyle w:val="967"/>
        <w:spacing w:line="360" w:lineRule="auto"/>
        <w:jc w:val="center"/>
        <w:rPr>
          <w:rFonts w:hAnsi="宋体" w:eastAsia="宋体" w:cs="宋体"/>
          <w:b/>
          <w:color w:val="auto"/>
          <w:sz w:val="24"/>
          <w:szCs w:val="24"/>
          <w:highlight w:val="none"/>
        </w:rPr>
      </w:pPr>
    </w:p>
    <w:p w14:paraId="3446D5C0">
      <w:pPr>
        <w:pStyle w:val="967"/>
        <w:spacing w:line="360" w:lineRule="auto"/>
        <w:jc w:val="center"/>
        <w:rPr>
          <w:rFonts w:hAnsi="宋体" w:eastAsia="宋体" w:cs="宋体"/>
          <w:b/>
          <w:color w:val="auto"/>
          <w:sz w:val="24"/>
          <w:szCs w:val="24"/>
          <w:highlight w:val="none"/>
        </w:rPr>
      </w:pPr>
    </w:p>
    <w:p w14:paraId="3F28606D">
      <w:pPr>
        <w:pStyle w:val="967"/>
        <w:spacing w:line="360" w:lineRule="auto"/>
        <w:rPr>
          <w:rFonts w:hAnsi="宋体" w:eastAsia="宋体" w:cs="宋体"/>
          <w:b/>
          <w:color w:val="auto"/>
          <w:sz w:val="24"/>
          <w:szCs w:val="24"/>
          <w:highlight w:val="none"/>
        </w:rPr>
      </w:pPr>
    </w:p>
    <w:p w14:paraId="420DF141">
      <w:pPr>
        <w:pStyle w:val="967"/>
        <w:spacing w:line="360" w:lineRule="auto"/>
        <w:jc w:val="center"/>
        <w:rPr>
          <w:rFonts w:hint="eastAsia" w:hAnsi="宋体" w:eastAsia="宋体" w:cs="宋体"/>
          <w:b/>
          <w:color w:val="auto"/>
          <w:sz w:val="24"/>
          <w:szCs w:val="24"/>
          <w:highlight w:val="none"/>
        </w:rPr>
      </w:pPr>
    </w:p>
    <w:p w14:paraId="5A0823F2">
      <w:pPr>
        <w:pStyle w:val="967"/>
        <w:spacing w:line="360" w:lineRule="auto"/>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同类业绩一览表</w:t>
      </w:r>
    </w:p>
    <w:tbl>
      <w:tblPr>
        <w:tblStyle w:val="64"/>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14:paraId="44F1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3C8ABC7F">
            <w:pPr>
              <w:jc w:val="center"/>
              <w:rPr>
                <w:rFonts w:ascii="宋体" w:hAnsi="宋体"/>
                <w:bCs/>
                <w:color w:val="auto"/>
                <w:szCs w:val="21"/>
                <w:highlight w:val="none"/>
              </w:rPr>
            </w:pPr>
            <w:r>
              <w:rPr>
                <w:rFonts w:hint="eastAsia" w:ascii="宋体" w:hAnsi="宋体"/>
                <w:bCs/>
                <w:color w:val="auto"/>
                <w:szCs w:val="21"/>
                <w:highlight w:val="none"/>
              </w:rPr>
              <w:t>序号</w:t>
            </w:r>
          </w:p>
        </w:tc>
        <w:tc>
          <w:tcPr>
            <w:tcW w:w="2943" w:type="dxa"/>
            <w:vAlign w:val="center"/>
          </w:tcPr>
          <w:p w14:paraId="1F1D63A9">
            <w:pPr>
              <w:jc w:val="center"/>
              <w:rPr>
                <w:rFonts w:ascii="宋体" w:hAnsi="宋体"/>
                <w:bCs/>
                <w:color w:val="auto"/>
                <w:szCs w:val="21"/>
                <w:highlight w:val="none"/>
              </w:rPr>
            </w:pPr>
            <w:r>
              <w:rPr>
                <w:rFonts w:hint="eastAsia" w:ascii="宋体" w:hAnsi="宋体"/>
                <w:bCs/>
                <w:color w:val="auto"/>
                <w:szCs w:val="21"/>
                <w:highlight w:val="none"/>
              </w:rPr>
              <w:t>采购人名称</w:t>
            </w:r>
          </w:p>
        </w:tc>
        <w:tc>
          <w:tcPr>
            <w:tcW w:w="2565" w:type="dxa"/>
            <w:vAlign w:val="center"/>
          </w:tcPr>
          <w:p w14:paraId="4C2F7019">
            <w:pPr>
              <w:tabs>
                <w:tab w:val="left" w:pos="6252"/>
              </w:tabs>
              <w:jc w:val="center"/>
              <w:rPr>
                <w:rFonts w:ascii="宋体" w:hAnsi="宋体"/>
                <w:bCs/>
                <w:color w:val="auto"/>
                <w:szCs w:val="21"/>
                <w:highlight w:val="none"/>
              </w:rPr>
            </w:pPr>
            <w:r>
              <w:rPr>
                <w:rFonts w:hint="eastAsia" w:ascii="宋体" w:hAnsi="宋体"/>
                <w:bCs/>
                <w:color w:val="auto"/>
                <w:szCs w:val="21"/>
                <w:highlight w:val="none"/>
              </w:rPr>
              <w:t>项目名称</w:t>
            </w:r>
          </w:p>
        </w:tc>
        <w:tc>
          <w:tcPr>
            <w:tcW w:w="1311" w:type="dxa"/>
            <w:vAlign w:val="center"/>
          </w:tcPr>
          <w:p w14:paraId="635AE1FE">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服务内容</w:t>
            </w:r>
          </w:p>
        </w:tc>
        <w:tc>
          <w:tcPr>
            <w:tcW w:w="1311" w:type="dxa"/>
            <w:vAlign w:val="center"/>
          </w:tcPr>
          <w:p w14:paraId="186A4F6B">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服务期限</w:t>
            </w:r>
          </w:p>
        </w:tc>
        <w:tc>
          <w:tcPr>
            <w:tcW w:w="1298" w:type="dxa"/>
            <w:vAlign w:val="center"/>
          </w:tcPr>
          <w:p w14:paraId="045D71BA">
            <w:pPr>
              <w:tabs>
                <w:tab w:val="left" w:pos="6252"/>
              </w:tabs>
              <w:jc w:val="center"/>
              <w:rPr>
                <w:rFonts w:ascii="宋体" w:hAnsi="宋体"/>
                <w:bCs/>
                <w:color w:val="auto"/>
                <w:szCs w:val="21"/>
                <w:highlight w:val="none"/>
              </w:rPr>
            </w:pPr>
            <w:r>
              <w:rPr>
                <w:rFonts w:hint="eastAsia"/>
                <w:bCs/>
                <w:color w:val="auto"/>
                <w:highlight w:val="none"/>
              </w:rPr>
              <w:t>合同签订时间</w:t>
            </w:r>
          </w:p>
        </w:tc>
      </w:tr>
      <w:tr w14:paraId="1092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14:paraId="79CA0F78">
            <w:pPr>
              <w:jc w:val="center"/>
              <w:rPr>
                <w:rFonts w:ascii="宋体" w:hAnsi="宋体"/>
                <w:bCs/>
                <w:color w:val="auto"/>
                <w:szCs w:val="21"/>
                <w:highlight w:val="none"/>
              </w:rPr>
            </w:pPr>
            <w:r>
              <w:rPr>
                <w:rFonts w:hint="eastAsia" w:ascii="宋体" w:hAnsi="宋体"/>
                <w:bCs/>
                <w:color w:val="auto"/>
                <w:szCs w:val="21"/>
                <w:highlight w:val="none"/>
              </w:rPr>
              <w:t>1</w:t>
            </w:r>
          </w:p>
        </w:tc>
        <w:tc>
          <w:tcPr>
            <w:tcW w:w="2943" w:type="dxa"/>
            <w:vAlign w:val="center"/>
          </w:tcPr>
          <w:p w14:paraId="4FB3F004">
            <w:pPr>
              <w:jc w:val="center"/>
              <w:rPr>
                <w:rFonts w:ascii="宋体" w:hAnsi="宋体"/>
                <w:bCs/>
                <w:color w:val="auto"/>
                <w:szCs w:val="21"/>
                <w:highlight w:val="none"/>
              </w:rPr>
            </w:pPr>
          </w:p>
        </w:tc>
        <w:tc>
          <w:tcPr>
            <w:tcW w:w="2565" w:type="dxa"/>
          </w:tcPr>
          <w:p w14:paraId="63FE99A2">
            <w:pPr>
              <w:jc w:val="center"/>
              <w:rPr>
                <w:rFonts w:ascii="宋体" w:hAnsi="宋体"/>
                <w:bCs/>
                <w:color w:val="auto"/>
                <w:szCs w:val="21"/>
                <w:highlight w:val="none"/>
              </w:rPr>
            </w:pPr>
          </w:p>
        </w:tc>
        <w:tc>
          <w:tcPr>
            <w:tcW w:w="1311" w:type="dxa"/>
          </w:tcPr>
          <w:p w14:paraId="01CB9C1C">
            <w:pPr>
              <w:jc w:val="center"/>
              <w:rPr>
                <w:rFonts w:ascii="宋体" w:hAnsi="宋体"/>
                <w:bCs/>
                <w:color w:val="auto"/>
                <w:szCs w:val="21"/>
                <w:highlight w:val="none"/>
              </w:rPr>
            </w:pPr>
          </w:p>
        </w:tc>
        <w:tc>
          <w:tcPr>
            <w:tcW w:w="1311" w:type="dxa"/>
            <w:vAlign w:val="center"/>
          </w:tcPr>
          <w:p w14:paraId="6BA2A2BF">
            <w:pPr>
              <w:jc w:val="center"/>
              <w:rPr>
                <w:rFonts w:ascii="宋体" w:hAnsi="宋体"/>
                <w:bCs/>
                <w:color w:val="auto"/>
                <w:szCs w:val="21"/>
                <w:highlight w:val="none"/>
              </w:rPr>
            </w:pPr>
          </w:p>
        </w:tc>
        <w:tc>
          <w:tcPr>
            <w:tcW w:w="1298" w:type="dxa"/>
            <w:vAlign w:val="center"/>
          </w:tcPr>
          <w:p w14:paraId="794AA61F">
            <w:pPr>
              <w:jc w:val="center"/>
              <w:rPr>
                <w:rFonts w:ascii="宋体" w:hAnsi="宋体"/>
                <w:bCs/>
                <w:color w:val="auto"/>
                <w:szCs w:val="21"/>
                <w:highlight w:val="none"/>
              </w:rPr>
            </w:pPr>
          </w:p>
        </w:tc>
      </w:tr>
      <w:tr w14:paraId="62B4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6C17D793">
            <w:pPr>
              <w:jc w:val="center"/>
              <w:rPr>
                <w:rFonts w:ascii="宋体" w:hAnsi="宋体"/>
                <w:bCs/>
                <w:color w:val="auto"/>
                <w:szCs w:val="21"/>
                <w:highlight w:val="none"/>
              </w:rPr>
            </w:pPr>
            <w:r>
              <w:rPr>
                <w:rFonts w:hint="eastAsia" w:ascii="宋体" w:hAnsi="宋体"/>
                <w:bCs/>
                <w:color w:val="auto"/>
                <w:szCs w:val="21"/>
                <w:highlight w:val="none"/>
              </w:rPr>
              <w:t>2</w:t>
            </w:r>
          </w:p>
        </w:tc>
        <w:tc>
          <w:tcPr>
            <w:tcW w:w="2943" w:type="dxa"/>
            <w:vAlign w:val="center"/>
          </w:tcPr>
          <w:p w14:paraId="7069D250">
            <w:pPr>
              <w:jc w:val="center"/>
              <w:rPr>
                <w:rFonts w:ascii="宋体" w:hAnsi="宋体"/>
                <w:bCs/>
                <w:color w:val="auto"/>
                <w:szCs w:val="21"/>
                <w:highlight w:val="none"/>
              </w:rPr>
            </w:pPr>
          </w:p>
        </w:tc>
        <w:tc>
          <w:tcPr>
            <w:tcW w:w="2565" w:type="dxa"/>
          </w:tcPr>
          <w:p w14:paraId="03CE1C6F">
            <w:pPr>
              <w:jc w:val="center"/>
              <w:rPr>
                <w:rFonts w:ascii="宋体" w:hAnsi="宋体"/>
                <w:bCs/>
                <w:color w:val="auto"/>
                <w:szCs w:val="21"/>
                <w:highlight w:val="none"/>
              </w:rPr>
            </w:pPr>
          </w:p>
        </w:tc>
        <w:tc>
          <w:tcPr>
            <w:tcW w:w="1311" w:type="dxa"/>
          </w:tcPr>
          <w:p w14:paraId="341F5994">
            <w:pPr>
              <w:jc w:val="center"/>
              <w:rPr>
                <w:rFonts w:ascii="宋体" w:hAnsi="宋体"/>
                <w:bCs/>
                <w:color w:val="auto"/>
                <w:szCs w:val="21"/>
                <w:highlight w:val="none"/>
              </w:rPr>
            </w:pPr>
          </w:p>
        </w:tc>
        <w:tc>
          <w:tcPr>
            <w:tcW w:w="1311" w:type="dxa"/>
            <w:vAlign w:val="center"/>
          </w:tcPr>
          <w:p w14:paraId="1335A62F">
            <w:pPr>
              <w:jc w:val="center"/>
              <w:rPr>
                <w:rFonts w:ascii="宋体" w:hAnsi="宋体"/>
                <w:bCs/>
                <w:color w:val="auto"/>
                <w:szCs w:val="21"/>
                <w:highlight w:val="none"/>
              </w:rPr>
            </w:pPr>
          </w:p>
        </w:tc>
        <w:tc>
          <w:tcPr>
            <w:tcW w:w="1298" w:type="dxa"/>
            <w:vAlign w:val="center"/>
          </w:tcPr>
          <w:p w14:paraId="6DA7541B">
            <w:pPr>
              <w:jc w:val="center"/>
              <w:rPr>
                <w:rFonts w:ascii="宋体" w:hAnsi="宋体"/>
                <w:bCs/>
                <w:color w:val="auto"/>
                <w:szCs w:val="21"/>
                <w:highlight w:val="none"/>
              </w:rPr>
            </w:pPr>
          </w:p>
        </w:tc>
      </w:tr>
      <w:tr w14:paraId="598C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0BBD0DD0">
            <w:pPr>
              <w:jc w:val="center"/>
              <w:rPr>
                <w:rFonts w:ascii="宋体" w:hAnsi="宋体"/>
                <w:bCs/>
                <w:color w:val="auto"/>
                <w:szCs w:val="21"/>
                <w:highlight w:val="none"/>
              </w:rPr>
            </w:pPr>
            <w:r>
              <w:rPr>
                <w:rFonts w:hint="eastAsia" w:ascii="宋体" w:hAnsi="宋体"/>
                <w:bCs/>
                <w:color w:val="auto"/>
                <w:szCs w:val="21"/>
                <w:highlight w:val="none"/>
              </w:rPr>
              <w:t>3</w:t>
            </w:r>
          </w:p>
        </w:tc>
        <w:tc>
          <w:tcPr>
            <w:tcW w:w="2943" w:type="dxa"/>
            <w:vAlign w:val="center"/>
          </w:tcPr>
          <w:p w14:paraId="652C45B7">
            <w:pPr>
              <w:jc w:val="center"/>
              <w:rPr>
                <w:rFonts w:ascii="宋体" w:hAnsi="宋体"/>
                <w:bCs/>
                <w:color w:val="auto"/>
                <w:szCs w:val="21"/>
                <w:highlight w:val="none"/>
              </w:rPr>
            </w:pPr>
          </w:p>
        </w:tc>
        <w:tc>
          <w:tcPr>
            <w:tcW w:w="2565" w:type="dxa"/>
          </w:tcPr>
          <w:p w14:paraId="0034D354">
            <w:pPr>
              <w:jc w:val="center"/>
              <w:rPr>
                <w:rFonts w:ascii="宋体" w:hAnsi="宋体"/>
                <w:bCs/>
                <w:color w:val="auto"/>
                <w:szCs w:val="21"/>
                <w:highlight w:val="none"/>
              </w:rPr>
            </w:pPr>
          </w:p>
        </w:tc>
        <w:tc>
          <w:tcPr>
            <w:tcW w:w="1311" w:type="dxa"/>
          </w:tcPr>
          <w:p w14:paraId="4AF7284D">
            <w:pPr>
              <w:jc w:val="center"/>
              <w:rPr>
                <w:rFonts w:ascii="宋体" w:hAnsi="宋体"/>
                <w:bCs/>
                <w:color w:val="auto"/>
                <w:szCs w:val="21"/>
                <w:highlight w:val="none"/>
              </w:rPr>
            </w:pPr>
          </w:p>
        </w:tc>
        <w:tc>
          <w:tcPr>
            <w:tcW w:w="1311" w:type="dxa"/>
            <w:vAlign w:val="center"/>
          </w:tcPr>
          <w:p w14:paraId="048F7874">
            <w:pPr>
              <w:jc w:val="center"/>
              <w:rPr>
                <w:rFonts w:ascii="宋体" w:hAnsi="宋体"/>
                <w:bCs/>
                <w:color w:val="auto"/>
                <w:szCs w:val="21"/>
                <w:highlight w:val="none"/>
              </w:rPr>
            </w:pPr>
          </w:p>
        </w:tc>
        <w:tc>
          <w:tcPr>
            <w:tcW w:w="1298" w:type="dxa"/>
            <w:vAlign w:val="center"/>
          </w:tcPr>
          <w:p w14:paraId="7F4A9CCB">
            <w:pPr>
              <w:jc w:val="center"/>
              <w:rPr>
                <w:rFonts w:ascii="宋体" w:hAnsi="宋体"/>
                <w:bCs/>
                <w:color w:val="auto"/>
                <w:szCs w:val="21"/>
                <w:highlight w:val="none"/>
              </w:rPr>
            </w:pPr>
          </w:p>
        </w:tc>
      </w:tr>
      <w:tr w14:paraId="109E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2A2DE5D3">
            <w:pPr>
              <w:jc w:val="center"/>
              <w:rPr>
                <w:rFonts w:ascii="宋体" w:hAnsi="宋体"/>
                <w:bCs/>
                <w:color w:val="auto"/>
                <w:szCs w:val="21"/>
                <w:highlight w:val="none"/>
              </w:rPr>
            </w:pPr>
            <w:r>
              <w:rPr>
                <w:rFonts w:hint="eastAsia" w:ascii="宋体" w:hAnsi="宋体"/>
                <w:bCs/>
                <w:color w:val="auto"/>
                <w:szCs w:val="21"/>
                <w:highlight w:val="none"/>
              </w:rPr>
              <w:t>4</w:t>
            </w:r>
          </w:p>
        </w:tc>
        <w:tc>
          <w:tcPr>
            <w:tcW w:w="2943" w:type="dxa"/>
            <w:vAlign w:val="center"/>
          </w:tcPr>
          <w:p w14:paraId="60E56D67">
            <w:pPr>
              <w:jc w:val="center"/>
              <w:rPr>
                <w:rFonts w:ascii="宋体" w:hAnsi="宋体"/>
                <w:bCs/>
                <w:color w:val="auto"/>
                <w:szCs w:val="21"/>
                <w:highlight w:val="none"/>
              </w:rPr>
            </w:pPr>
          </w:p>
        </w:tc>
        <w:tc>
          <w:tcPr>
            <w:tcW w:w="2565" w:type="dxa"/>
          </w:tcPr>
          <w:p w14:paraId="50408E22">
            <w:pPr>
              <w:jc w:val="center"/>
              <w:rPr>
                <w:rFonts w:ascii="宋体" w:hAnsi="宋体"/>
                <w:bCs/>
                <w:color w:val="auto"/>
                <w:szCs w:val="21"/>
                <w:highlight w:val="none"/>
              </w:rPr>
            </w:pPr>
          </w:p>
        </w:tc>
        <w:tc>
          <w:tcPr>
            <w:tcW w:w="1311" w:type="dxa"/>
          </w:tcPr>
          <w:p w14:paraId="2124429B">
            <w:pPr>
              <w:jc w:val="center"/>
              <w:rPr>
                <w:rFonts w:ascii="宋体" w:hAnsi="宋体"/>
                <w:bCs/>
                <w:color w:val="auto"/>
                <w:szCs w:val="21"/>
                <w:highlight w:val="none"/>
              </w:rPr>
            </w:pPr>
          </w:p>
        </w:tc>
        <w:tc>
          <w:tcPr>
            <w:tcW w:w="1311" w:type="dxa"/>
            <w:vAlign w:val="center"/>
          </w:tcPr>
          <w:p w14:paraId="629CE166">
            <w:pPr>
              <w:jc w:val="center"/>
              <w:rPr>
                <w:rFonts w:ascii="宋体" w:hAnsi="宋体"/>
                <w:bCs/>
                <w:color w:val="auto"/>
                <w:szCs w:val="21"/>
                <w:highlight w:val="none"/>
              </w:rPr>
            </w:pPr>
          </w:p>
        </w:tc>
        <w:tc>
          <w:tcPr>
            <w:tcW w:w="1298" w:type="dxa"/>
            <w:vAlign w:val="center"/>
          </w:tcPr>
          <w:p w14:paraId="53B4C088">
            <w:pPr>
              <w:jc w:val="center"/>
              <w:rPr>
                <w:rFonts w:ascii="宋体" w:hAnsi="宋体"/>
                <w:bCs/>
                <w:color w:val="auto"/>
                <w:szCs w:val="21"/>
                <w:highlight w:val="none"/>
              </w:rPr>
            </w:pPr>
          </w:p>
        </w:tc>
      </w:tr>
      <w:tr w14:paraId="1B36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1C9CAC83">
            <w:pPr>
              <w:jc w:val="center"/>
              <w:rPr>
                <w:rFonts w:ascii="宋体" w:hAnsi="宋体"/>
                <w:bCs/>
                <w:color w:val="auto"/>
                <w:szCs w:val="21"/>
                <w:highlight w:val="none"/>
              </w:rPr>
            </w:pPr>
            <w:r>
              <w:rPr>
                <w:rFonts w:hint="eastAsia" w:ascii="宋体" w:hAnsi="宋体"/>
                <w:bCs/>
                <w:color w:val="auto"/>
                <w:szCs w:val="21"/>
                <w:highlight w:val="none"/>
              </w:rPr>
              <w:t>5</w:t>
            </w:r>
          </w:p>
        </w:tc>
        <w:tc>
          <w:tcPr>
            <w:tcW w:w="2943" w:type="dxa"/>
            <w:vAlign w:val="center"/>
          </w:tcPr>
          <w:p w14:paraId="58984C1A">
            <w:pPr>
              <w:jc w:val="center"/>
              <w:rPr>
                <w:rFonts w:ascii="宋体" w:hAnsi="宋体"/>
                <w:bCs/>
                <w:color w:val="auto"/>
                <w:szCs w:val="21"/>
                <w:highlight w:val="none"/>
              </w:rPr>
            </w:pPr>
          </w:p>
        </w:tc>
        <w:tc>
          <w:tcPr>
            <w:tcW w:w="2565" w:type="dxa"/>
          </w:tcPr>
          <w:p w14:paraId="25CA9847">
            <w:pPr>
              <w:jc w:val="center"/>
              <w:rPr>
                <w:rFonts w:ascii="宋体" w:hAnsi="宋体"/>
                <w:bCs/>
                <w:color w:val="auto"/>
                <w:szCs w:val="21"/>
                <w:highlight w:val="none"/>
              </w:rPr>
            </w:pPr>
          </w:p>
        </w:tc>
        <w:tc>
          <w:tcPr>
            <w:tcW w:w="1311" w:type="dxa"/>
          </w:tcPr>
          <w:p w14:paraId="70A4F00A">
            <w:pPr>
              <w:jc w:val="center"/>
              <w:rPr>
                <w:rFonts w:ascii="宋体" w:hAnsi="宋体"/>
                <w:bCs/>
                <w:color w:val="auto"/>
                <w:szCs w:val="21"/>
                <w:highlight w:val="none"/>
              </w:rPr>
            </w:pPr>
          </w:p>
        </w:tc>
        <w:tc>
          <w:tcPr>
            <w:tcW w:w="1311" w:type="dxa"/>
            <w:vAlign w:val="center"/>
          </w:tcPr>
          <w:p w14:paraId="0471DBDD">
            <w:pPr>
              <w:jc w:val="center"/>
              <w:rPr>
                <w:rFonts w:ascii="宋体" w:hAnsi="宋体"/>
                <w:bCs/>
                <w:color w:val="auto"/>
                <w:szCs w:val="21"/>
                <w:highlight w:val="none"/>
              </w:rPr>
            </w:pPr>
          </w:p>
        </w:tc>
        <w:tc>
          <w:tcPr>
            <w:tcW w:w="1298" w:type="dxa"/>
            <w:vAlign w:val="center"/>
          </w:tcPr>
          <w:p w14:paraId="39111B31">
            <w:pPr>
              <w:jc w:val="center"/>
              <w:rPr>
                <w:rFonts w:ascii="宋体" w:hAnsi="宋体"/>
                <w:bCs/>
                <w:color w:val="auto"/>
                <w:szCs w:val="21"/>
                <w:highlight w:val="none"/>
              </w:rPr>
            </w:pPr>
          </w:p>
        </w:tc>
      </w:tr>
      <w:tr w14:paraId="197D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2F672F4A">
            <w:pPr>
              <w:jc w:val="center"/>
              <w:rPr>
                <w:rFonts w:ascii="宋体" w:hAnsi="宋体"/>
                <w:color w:val="auto"/>
                <w:szCs w:val="21"/>
                <w:highlight w:val="none"/>
              </w:rPr>
            </w:pPr>
            <w:r>
              <w:rPr>
                <w:rFonts w:hint="eastAsia" w:ascii="宋体" w:hAnsi="宋体"/>
                <w:color w:val="auto"/>
                <w:szCs w:val="21"/>
                <w:highlight w:val="none"/>
              </w:rPr>
              <w:t>6</w:t>
            </w:r>
          </w:p>
        </w:tc>
        <w:tc>
          <w:tcPr>
            <w:tcW w:w="2943" w:type="dxa"/>
            <w:vAlign w:val="center"/>
          </w:tcPr>
          <w:p w14:paraId="0FCAC823">
            <w:pPr>
              <w:jc w:val="center"/>
              <w:rPr>
                <w:rFonts w:ascii="宋体" w:hAnsi="宋体"/>
                <w:color w:val="auto"/>
                <w:szCs w:val="21"/>
                <w:highlight w:val="none"/>
              </w:rPr>
            </w:pPr>
          </w:p>
        </w:tc>
        <w:tc>
          <w:tcPr>
            <w:tcW w:w="2565" w:type="dxa"/>
          </w:tcPr>
          <w:p w14:paraId="2FB2B067">
            <w:pPr>
              <w:jc w:val="center"/>
              <w:rPr>
                <w:rFonts w:ascii="宋体" w:hAnsi="宋体"/>
                <w:color w:val="auto"/>
                <w:szCs w:val="21"/>
                <w:highlight w:val="none"/>
              </w:rPr>
            </w:pPr>
          </w:p>
        </w:tc>
        <w:tc>
          <w:tcPr>
            <w:tcW w:w="1311" w:type="dxa"/>
          </w:tcPr>
          <w:p w14:paraId="0D5FF3DB">
            <w:pPr>
              <w:jc w:val="center"/>
              <w:rPr>
                <w:rFonts w:ascii="宋体" w:hAnsi="宋体"/>
                <w:color w:val="auto"/>
                <w:szCs w:val="21"/>
                <w:highlight w:val="none"/>
              </w:rPr>
            </w:pPr>
          </w:p>
        </w:tc>
        <w:tc>
          <w:tcPr>
            <w:tcW w:w="1311" w:type="dxa"/>
            <w:vAlign w:val="center"/>
          </w:tcPr>
          <w:p w14:paraId="78AFCCB0">
            <w:pPr>
              <w:jc w:val="center"/>
              <w:rPr>
                <w:rFonts w:ascii="宋体" w:hAnsi="宋体"/>
                <w:color w:val="auto"/>
                <w:szCs w:val="21"/>
                <w:highlight w:val="none"/>
              </w:rPr>
            </w:pPr>
          </w:p>
        </w:tc>
        <w:tc>
          <w:tcPr>
            <w:tcW w:w="1298" w:type="dxa"/>
            <w:vAlign w:val="center"/>
          </w:tcPr>
          <w:p w14:paraId="2D42FA96">
            <w:pPr>
              <w:jc w:val="center"/>
              <w:rPr>
                <w:rFonts w:ascii="宋体" w:hAnsi="宋体"/>
                <w:color w:val="auto"/>
                <w:szCs w:val="21"/>
                <w:highlight w:val="none"/>
              </w:rPr>
            </w:pPr>
          </w:p>
        </w:tc>
      </w:tr>
      <w:tr w14:paraId="6B7F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14:paraId="238BDF98">
            <w:pPr>
              <w:jc w:val="center"/>
              <w:rPr>
                <w:rFonts w:ascii="宋体" w:hAnsi="宋体"/>
                <w:color w:val="auto"/>
                <w:szCs w:val="21"/>
                <w:highlight w:val="none"/>
              </w:rPr>
            </w:pPr>
            <w:r>
              <w:rPr>
                <w:rFonts w:hint="eastAsia" w:ascii="宋体" w:hAnsi="宋体"/>
                <w:color w:val="auto"/>
                <w:szCs w:val="21"/>
                <w:highlight w:val="none"/>
              </w:rPr>
              <w:t>…</w:t>
            </w:r>
          </w:p>
        </w:tc>
        <w:tc>
          <w:tcPr>
            <w:tcW w:w="2943" w:type="dxa"/>
            <w:vAlign w:val="center"/>
          </w:tcPr>
          <w:p w14:paraId="68C30B63">
            <w:pPr>
              <w:jc w:val="center"/>
              <w:rPr>
                <w:rFonts w:ascii="宋体" w:hAnsi="宋体"/>
                <w:color w:val="auto"/>
                <w:szCs w:val="21"/>
                <w:highlight w:val="none"/>
              </w:rPr>
            </w:pPr>
          </w:p>
        </w:tc>
        <w:tc>
          <w:tcPr>
            <w:tcW w:w="2565" w:type="dxa"/>
          </w:tcPr>
          <w:p w14:paraId="7EC3506C">
            <w:pPr>
              <w:jc w:val="center"/>
              <w:rPr>
                <w:rFonts w:ascii="宋体" w:hAnsi="宋体"/>
                <w:color w:val="auto"/>
                <w:szCs w:val="21"/>
                <w:highlight w:val="none"/>
              </w:rPr>
            </w:pPr>
          </w:p>
        </w:tc>
        <w:tc>
          <w:tcPr>
            <w:tcW w:w="1311" w:type="dxa"/>
          </w:tcPr>
          <w:p w14:paraId="43D4F86C">
            <w:pPr>
              <w:jc w:val="center"/>
              <w:rPr>
                <w:rFonts w:ascii="宋体" w:hAnsi="宋体"/>
                <w:color w:val="auto"/>
                <w:szCs w:val="21"/>
                <w:highlight w:val="none"/>
              </w:rPr>
            </w:pPr>
          </w:p>
        </w:tc>
        <w:tc>
          <w:tcPr>
            <w:tcW w:w="1311" w:type="dxa"/>
            <w:vAlign w:val="center"/>
          </w:tcPr>
          <w:p w14:paraId="50920DEB">
            <w:pPr>
              <w:jc w:val="center"/>
              <w:rPr>
                <w:rFonts w:ascii="宋体" w:hAnsi="宋体"/>
                <w:color w:val="auto"/>
                <w:szCs w:val="21"/>
                <w:highlight w:val="none"/>
              </w:rPr>
            </w:pPr>
          </w:p>
        </w:tc>
        <w:tc>
          <w:tcPr>
            <w:tcW w:w="1298" w:type="dxa"/>
            <w:vAlign w:val="center"/>
          </w:tcPr>
          <w:p w14:paraId="6F7FFD9F">
            <w:pPr>
              <w:jc w:val="center"/>
              <w:rPr>
                <w:rFonts w:ascii="宋体" w:hAnsi="宋体"/>
                <w:color w:val="auto"/>
                <w:szCs w:val="21"/>
                <w:highlight w:val="none"/>
              </w:rPr>
            </w:pPr>
          </w:p>
        </w:tc>
      </w:tr>
    </w:tbl>
    <w:p w14:paraId="4B464F1B">
      <w:pPr>
        <w:pStyle w:val="967"/>
        <w:spacing w:line="360" w:lineRule="auto"/>
        <w:rPr>
          <w:rFonts w:hAnsi="宋体" w:eastAsia="宋体"/>
          <w:b/>
          <w:color w:val="auto"/>
          <w:sz w:val="24"/>
          <w:szCs w:val="24"/>
          <w:highlight w:val="none"/>
        </w:rPr>
      </w:pPr>
      <w:r>
        <w:rPr>
          <w:rFonts w:hint="eastAsia" w:hAnsi="宋体" w:eastAsia="宋体"/>
          <w:b/>
          <w:color w:val="auto"/>
          <w:sz w:val="21"/>
          <w:szCs w:val="21"/>
          <w:highlight w:val="none"/>
        </w:rPr>
        <w:t>注：投标人项目</w:t>
      </w:r>
      <w:r>
        <w:rPr>
          <w:rFonts w:hint="eastAsia" w:hAnsi="宋体" w:eastAsia="宋体"/>
          <w:b/>
          <w:color w:val="auto"/>
          <w:sz w:val="21"/>
          <w:szCs w:val="21"/>
          <w:highlight w:val="none"/>
          <w:lang w:eastAsia="zh-CN"/>
        </w:rPr>
        <w:t>业绩</w:t>
      </w:r>
      <w:r>
        <w:rPr>
          <w:rFonts w:hint="eastAsia" w:hAnsi="宋体" w:eastAsia="宋体"/>
          <w:b/>
          <w:color w:val="auto"/>
          <w:sz w:val="21"/>
          <w:szCs w:val="21"/>
          <w:highlight w:val="none"/>
        </w:rPr>
        <w:t>得分以本表为准，后附相关证明材料，所需的证明材料要求详见评标办法</w:t>
      </w:r>
    </w:p>
    <w:p w14:paraId="2C62039C">
      <w:pPr>
        <w:pStyle w:val="967"/>
        <w:spacing w:line="360" w:lineRule="auto"/>
        <w:rPr>
          <w:rFonts w:hAnsi="宋体" w:eastAsia="宋体"/>
          <w:b/>
          <w:color w:val="auto"/>
          <w:sz w:val="24"/>
          <w:szCs w:val="24"/>
          <w:highlight w:val="none"/>
        </w:rPr>
      </w:pPr>
    </w:p>
    <w:p w14:paraId="46869B34">
      <w:pPr>
        <w:snapToGrid w:val="0"/>
        <w:spacing w:before="120" w:beforeLines="50" w:line="400" w:lineRule="exact"/>
        <w:rPr>
          <w:rFonts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14:paraId="6E92F86D">
      <w:pPr>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A2B0D24">
      <w:pPr>
        <w:spacing w:line="480" w:lineRule="exact"/>
        <w:rPr>
          <w:rFonts w:ascii="宋体" w:hAnsi="宋体"/>
          <w:b/>
          <w:color w:val="auto"/>
          <w:sz w:val="22"/>
          <w:szCs w:val="2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CC41FAC">
      <w:pPr>
        <w:spacing w:line="360" w:lineRule="auto"/>
        <w:rPr>
          <w:rFonts w:ascii="宋体" w:hAnsi="宋体" w:cs="宋体"/>
          <w:color w:val="auto"/>
          <w:sz w:val="24"/>
          <w:highlight w:val="none"/>
        </w:rPr>
      </w:pPr>
    </w:p>
    <w:p w14:paraId="35A94A2E">
      <w:pPr>
        <w:pStyle w:val="6"/>
        <w:rPr>
          <w:rFonts w:ascii="宋体" w:hAnsi="宋体" w:cs="宋体"/>
          <w:color w:val="auto"/>
          <w:sz w:val="24"/>
          <w:highlight w:val="none"/>
        </w:rPr>
      </w:pPr>
    </w:p>
    <w:p w14:paraId="3F75E688">
      <w:pPr>
        <w:rPr>
          <w:color w:val="auto"/>
          <w:highlight w:val="none"/>
        </w:rPr>
      </w:pPr>
    </w:p>
    <w:p w14:paraId="1474B621">
      <w:pPr>
        <w:pStyle w:val="85"/>
        <w:ind w:left="420" w:firstLine="480"/>
        <w:rPr>
          <w:color w:val="auto"/>
          <w:highlight w:val="none"/>
        </w:rPr>
      </w:pPr>
    </w:p>
    <w:p w14:paraId="2AF46212">
      <w:pPr>
        <w:pStyle w:val="967"/>
        <w:spacing w:line="360" w:lineRule="auto"/>
        <w:jc w:val="center"/>
        <w:rPr>
          <w:rFonts w:hAnsi="宋体" w:eastAsia="宋体"/>
          <w:b/>
          <w:color w:val="auto"/>
          <w:sz w:val="28"/>
          <w:szCs w:val="28"/>
          <w:highlight w:val="none"/>
        </w:rPr>
      </w:pPr>
    </w:p>
    <w:p w14:paraId="3FFFAF01">
      <w:pPr>
        <w:pStyle w:val="967"/>
        <w:spacing w:line="360" w:lineRule="auto"/>
        <w:jc w:val="center"/>
        <w:rPr>
          <w:rFonts w:hAnsi="宋体" w:eastAsia="宋体"/>
          <w:b/>
          <w:color w:val="auto"/>
          <w:sz w:val="28"/>
          <w:szCs w:val="28"/>
          <w:highlight w:val="none"/>
        </w:rPr>
      </w:pPr>
    </w:p>
    <w:p w14:paraId="1807BE34">
      <w:pPr>
        <w:pStyle w:val="36"/>
        <w:spacing w:before="120" w:after="120" w:line="360" w:lineRule="auto"/>
        <w:jc w:val="center"/>
        <w:textAlignment w:val="baseline"/>
        <w:rPr>
          <w:rFonts w:hAnsi="宋体"/>
          <w:b/>
          <w:color w:val="auto"/>
          <w:sz w:val="28"/>
          <w:szCs w:val="28"/>
          <w:highlight w:val="none"/>
        </w:rPr>
      </w:pPr>
    </w:p>
    <w:p w14:paraId="47638513">
      <w:pPr>
        <w:pStyle w:val="36"/>
        <w:spacing w:before="120" w:after="120" w:line="360" w:lineRule="auto"/>
        <w:jc w:val="center"/>
        <w:textAlignment w:val="baseline"/>
        <w:rPr>
          <w:rFonts w:hAnsi="宋体"/>
          <w:color w:val="auto"/>
          <w:sz w:val="28"/>
          <w:szCs w:val="28"/>
          <w:highlight w:val="none"/>
        </w:rPr>
      </w:pPr>
      <w:r>
        <w:rPr>
          <w:rFonts w:hint="eastAsia" w:hAnsi="宋体"/>
          <w:b/>
          <w:color w:val="auto"/>
          <w:sz w:val="28"/>
          <w:szCs w:val="28"/>
          <w:highlight w:val="none"/>
        </w:rPr>
        <w:t>项目实施人员表</w:t>
      </w:r>
    </w:p>
    <w:tbl>
      <w:tblPr>
        <w:tblStyle w:val="64"/>
        <w:tblW w:w="93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999"/>
        <w:gridCol w:w="2113"/>
      </w:tblGrid>
      <w:tr w14:paraId="7E7C1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14:paraId="489C7AAF">
            <w:pPr>
              <w:pStyle w:val="42"/>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14:paraId="6EA52D35">
            <w:pPr>
              <w:pStyle w:val="42"/>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14:paraId="25532060">
            <w:pPr>
              <w:pStyle w:val="42"/>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14:paraId="6BB8C326">
            <w:pPr>
              <w:pStyle w:val="42"/>
              <w:jc w:val="center"/>
              <w:rPr>
                <w:rFonts w:ascii="宋体" w:hAnsi="宋体"/>
                <w:color w:val="auto"/>
                <w:sz w:val="21"/>
                <w:szCs w:val="21"/>
                <w:highlight w:val="none"/>
              </w:rPr>
            </w:pPr>
            <w:r>
              <w:rPr>
                <w:rFonts w:hint="eastAsia" w:ascii="宋体" w:hAnsi="宋体"/>
                <w:color w:val="auto"/>
                <w:sz w:val="21"/>
                <w:szCs w:val="21"/>
                <w:highlight w:val="none"/>
              </w:rPr>
              <w:t>学历及专业</w:t>
            </w:r>
          </w:p>
        </w:tc>
        <w:tc>
          <w:tcPr>
            <w:tcW w:w="1999" w:type="dxa"/>
            <w:tcBorders>
              <w:top w:val="single" w:color="auto" w:sz="4" w:space="0"/>
              <w:left w:val="single" w:color="auto" w:sz="4" w:space="0"/>
              <w:bottom w:val="single" w:color="auto" w:sz="4" w:space="0"/>
              <w:right w:val="single" w:color="auto" w:sz="4" w:space="0"/>
            </w:tcBorders>
            <w:vAlign w:val="center"/>
          </w:tcPr>
          <w:p w14:paraId="234C9FE2">
            <w:pPr>
              <w:pStyle w:val="42"/>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证书</w:t>
            </w:r>
          </w:p>
        </w:tc>
        <w:tc>
          <w:tcPr>
            <w:tcW w:w="2113" w:type="dxa"/>
            <w:tcBorders>
              <w:top w:val="single" w:color="auto" w:sz="4" w:space="0"/>
              <w:left w:val="single" w:color="auto" w:sz="4" w:space="0"/>
              <w:bottom w:val="single" w:color="auto" w:sz="4" w:space="0"/>
              <w:right w:val="single" w:color="auto" w:sz="4" w:space="0"/>
            </w:tcBorders>
            <w:vAlign w:val="center"/>
          </w:tcPr>
          <w:p w14:paraId="735A8123">
            <w:pPr>
              <w:pStyle w:val="42"/>
              <w:jc w:val="center"/>
              <w:rPr>
                <w:rFonts w:ascii="宋体" w:hAnsi="宋体"/>
                <w:color w:val="auto"/>
                <w:sz w:val="21"/>
                <w:szCs w:val="21"/>
                <w:highlight w:val="none"/>
              </w:rPr>
            </w:pPr>
            <w:r>
              <w:rPr>
                <w:rFonts w:hint="eastAsia" w:ascii="宋体" w:hAnsi="宋体"/>
                <w:color w:val="auto"/>
                <w:sz w:val="21"/>
                <w:szCs w:val="21"/>
                <w:highlight w:val="none"/>
              </w:rPr>
              <w:t>项目组所任职务</w:t>
            </w:r>
          </w:p>
        </w:tc>
      </w:tr>
      <w:tr w14:paraId="5F08B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642AA529">
            <w:pPr>
              <w:pStyle w:val="42"/>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14:paraId="2D4C01AA">
            <w:pPr>
              <w:pStyle w:val="42"/>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251B5291">
            <w:pPr>
              <w:pStyle w:val="42"/>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8F4C651">
            <w:pPr>
              <w:pStyle w:val="42"/>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4C443E56">
            <w:pPr>
              <w:pStyle w:val="42"/>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53D019A1">
            <w:pPr>
              <w:pStyle w:val="42"/>
              <w:jc w:val="center"/>
              <w:rPr>
                <w:rFonts w:ascii="宋体" w:hAnsi="宋体"/>
                <w:color w:val="auto"/>
                <w:sz w:val="21"/>
                <w:szCs w:val="21"/>
                <w:highlight w:val="none"/>
              </w:rPr>
            </w:pPr>
          </w:p>
        </w:tc>
      </w:tr>
      <w:tr w14:paraId="72026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268156F3">
            <w:pPr>
              <w:pStyle w:val="42"/>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14:paraId="44915845">
            <w:pPr>
              <w:pStyle w:val="42"/>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276BE67F">
            <w:pPr>
              <w:pStyle w:val="42"/>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19C6320">
            <w:pPr>
              <w:pStyle w:val="42"/>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52D5041A">
            <w:pPr>
              <w:pStyle w:val="42"/>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1092DEAC">
            <w:pPr>
              <w:pStyle w:val="42"/>
              <w:jc w:val="center"/>
              <w:rPr>
                <w:rFonts w:ascii="宋体" w:hAnsi="宋体"/>
                <w:color w:val="auto"/>
                <w:sz w:val="21"/>
                <w:szCs w:val="21"/>
                <w:highlight w:val="none"/>
              </w:rPr>
            </w:pPr>
          </w:p>
        </w:tc>
      </w:tr>
      <w:tr w14:paraId="0983F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3BB1D316">
            <w:pPr>
              <w:pStyle w:val="42"/>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14:paraId="09B30DFC">
            <w:pPr>
              <w:pStyle w:val="42"/>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3804D668">
            <w:pPr>
              <w:pStyle w:val="42"/>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0C27DCA4">
            <w:pPr>
              <w:pStyle w:val="42"/>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28FE10BC">
            <w:pPr>
              <w:pStyle w:val="42"/>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305A7D4A">
            <w:pPr>
              <w:pStyle w:val="42"/>
              <w:jc w:val="center"/>
              <w:rPr>
                <w:rFonts w:ascii="宋体" w:hAnsi="宋体"/>
                <w:color w:val="auto"/>
                <w:sz w:val="21"/>
                <w:szCs w:val="21"/>
                <w:highlight w:val="none"/>
              </w:rPr>
            </w:pPr>
          </w:p>
        </w:tc>
      </w:tr>
      <w:tr w14:paraId="16BEA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5087D1FB">
            <w:pPr>
              <w:pStyle w:val="42"/>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14:paraId="143413C5">
            <w:pPr>
              <w:pStyle w:val="42"/>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5A6627AB">
            <w:pPr>
              <w:pStyle w:val="42"/>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5068A2D">
            <w:pPr>
              <w:pStyle w:val="42"/>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6C6C4AF7">
            <w:pPr>
              <w:pStyle w:val="42"/>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5061A2DC">
            <w:pPr>
              <w:pStyle w:val="42"/>
              <w:jc w:val="center"/>
              <w:rPr>
                <w:rFonts w:ascii="宋体" w:hAnsi="宋体"/>
                <w:color w:val="auto"/>
                <w:sz w:val="21"/>
                <w:szCs w:val="21"/>
                <w:highlight w:val="none"/>
              </w:rPr>
            </w:pPr>
          </w:p>
        </w:tc>
      </w:tr>
      <w:tr w14:paraId="570FA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6ED19FBC">
            <w:pPr>
              <w:pStyle w:val="42"/>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14:paraId="4EAD14A0">
            <w:pPr>
              <w:pStyle w:val="42"/>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4A6F640C">
            <w:pPr>
              <w:pStyle w:val="42"/>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489E9905">
            <w:pPr>
              <w:pStyle w:val="42"/>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06C930F6">
            <w:pPr>
              <w:pStyle w:val="42"/>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376752D9">
            <w:pPr>
              <w:pStyle w:val="42"/>
              <w:jc w:val="center"/>
              <w:rPr>
                <w:rFonts w:ascii="宋体" w:hAnsi="宋体"/>
                <w:color w:val="auto"/>
                <w:sz w:val="21"/>
                <w:szCs w:val="21"/>
                <w:highlight w:val="none"/>
              </w:rPr>
            </w:pPr>
          </w:p>
        </w:tc>
      </w:tr>
      <w:tr w14:paraId="6EB36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0718CACD">
            <w:pPr>
              <w:rPr>
                <w:rFonts w:ascii="宋体" w:hAnsi="宋体"/>
                <w:color w:val="auto"/>
                <w:szCs w:val="21"/>
                <w:highlight w:val="none"/>
              </w:rPr>
            </w:pPr>
            <w:r>
              <w:rPr>
                <w:rFonts w:hint="eastAsia" w:ascii="宋体" w:hAnsi="宋体"/>
                <w:color w:val="auto"/>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14:paraId="620D1606">
            <w:pPr>
              <w:rPr>
                <w:rFonts w:ascii="宋体" w:hAnsi="宋体"/>
                <w:color w:val="auto"/>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77841396">
            <w:pPr>
              <w:rPr>
                <w:rFonts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2F4A636">
            <w:pPr>
              <w:rPr>
                <w:rFonts w:ascii="宋体" w:hAnsi="宋体"/>
                <w:color w:val="auto"/>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6FBE272A">
            <w:pPr>
              <w:rPr>
                <w:rFonts w:ascii="宋体" w:hAnsi="宋体"/>
                <w:color w:val="auto"/>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4CF3270A">
            <w:pPr>
              <w:rPr>
                <w:rFonts w:ascii="宋体" w:hAnsi="宋体"/>
                <w:color w:val="auto"/>
                <w:szCs w:val="21"/>
                <w:highlight w:val="none"/>
              </w:rPr>
            </w:pPr>
          </w:p>
        </w:tc>
      </w:tr>
      <w:tr w14:paraId="33185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300" w:type="dxa"/>
            <w:gridSpan w:val="6"/>
            <w:tcBorders>
              <w:top w:val="single" w:color="auto" w:sz="4" w:space="0"/>
              <w:left w:val="single" w:color="auto" w:sz="4" w:space="0"/>
              <w:bottom w:val="single" w:color="auto" w:sz="4" w:space="0"/>
              <w:right w:val="single" w:color="auto" w:sz="4" w:space="0"/>
            </w:tcBorders>
            <w:vAlign w:val="center"/>
          </w:tcPr>
          <w:p w14:paraId="3E3135E4">
            <w:pPr>
              <w:rPr>
                <w:rFonts w:ascii="宋体" w:hAnsi="宋体"/>
                <w:color w:val="auto"/>
                <w:szCs w:val="21"/>
                <w:highlight w:val="none"/>
              </w:rPr>
            </w:pPr>
            <w:r>
              <w:rPr>
                <w:rFonts w:hint="eastAsia" w:ascii="宋体" w:hAnsi="宋体"/>
                <w:color w:val="auto"/>
                <w:szCs w:val="21"/>
                <w:highlight w:val="none"/>
              </w:rPr>
              <w:t>一旦我单位中标，我方保证并配备上述项目服务人员。上述填报内容真实，若不真实，愿按有关规定接受处理。</w:t>
            </w:r>
          </w:p>
        </w:tc>
      </w:tr>
    </w:tbl>
    <w:p w14:paraId="49253797">
      <w:pPr>
        <w:spacing w:line="360" w:lineRule="auto"/>
        <w:ind w:firstLine="422" w:firstLineChars="200"/>
        <w:rPr>
          <w:rFonts w:ascii="宋体" w:hAnsi="宋体"/>
          <w:b/>
          <w:color w:val="auto"/>
          <w:szCs w:val="21"/>
          <w:highlight w:val="none"/>
        </w:rPr>
      </w:pPr>
    </w:p>
    <w:p w14:paraId="438E76EF">
      <w:pPr>
        <w:spacing w:line="360" w:lineRule="auto"/>
        <w:ind w:firstLine="422" w:firstLineChars="200"/>
        <w:rPr>
          <w:rFonts w:hint="eastAsia" w:ascii="宋体" w:hAnsi="宋体" w:eastAsia="宋体"/>
          <w:b/>
          <w:color w:val="auto"/>
          <w:szCs w:val="21"/>
          <w:highlight w:val="none"/>
          <w:lang w:eastAsia="zh-CN"/>
        </w:rPr>
      </w:pPr>
      <w:r>
        <w:rPr>
          <w:rFonts w:hint="eastAsia" w:ascii="宋体" w:hAnsi="宋体"/>
          <w:b/>
          <w:color w:val="auto"/>
          <w:szCs w:val="21"/>
          <w:highlight w:val="none"/>
        </w:rPr>
        <w:t>注：1、相关证明材料附后</w:t>
      </w:r>
      <w:r>
        <w:rPr>
          <w:rFonts w:hint="eastAsia" w:ascii="宋体" w:hAnsi="宋体"/>
          <w:b/>
          <w:color w:val="auto"/>
          <w:szCs w:val="21"/>
          <w:highlight w:val="none"/>
          <w:lang w:eastAsia="zh-CN"/>
        </w:rPr>
        <w:t>，</w:t>
      </w:r>
      <w:r>
        <w:rPr>
          <w:rFonts w:hint="eastAsia" w:ascii="宋体" w:hAnsi="宋体"/>
          <w:b/>
          <w:color w:val="auto"/>
          <w:szCs w:val="21"/>
          <w:highlight w:val="none"/>
        </w:rPr>
        <w:t>所需的证明材料要求详见评标办法</w:t>
      </w:r>
      <w:r>
        <w:rPr>
          <w:rFonts w:hint="eastAsia" w:ascii="宋体" w:hAnsi="宋体"/>
          <w:b/>
          <w:color w:val="auto"/>
          <w:szCs w:val="21"/>
          <w:highlight w:val="none"/>
          <w:lang w:eastAsia="zh-CN"/>
        </w:rPr>
        <w:t>。</w:t>
      </w:r>
    </w:p>
    <w:p w14:paraId="13ACDD2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2、列入本表人员如要更换，需经招标人同意；擅自更换或不到位属违约行为</w:t>
      </w:r>
    </w:p>
    <w:p w14:paraId="49C825A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、表格不够填写可添加。</w:t>
      </w:r>
    </w:p>
    <w:p w14:paraId="2F34BC32">
      <w:pPr>
        <w:snapToGrid w:val="0"/>
        <w:spacing w:before="50" w:after="50" w:line="360" w:lineRule="auto"/>
        <w:rPr>
          <w:rFonts w:ascii="宋体" w:hAnsi="宋体"/>
          <w:color w:val="auto"/>
          <w:sz w:val="24"/>
          <w:highlight w:val="none"/>
        </w:rPr>
      </w:pPr>
    </w:p>
    <w:p w14:paraId="13611813">
      <w:pPr>
        <w:snapToGrid w:val="0"/>
        <w:spacing w:before="50" w:after="50" w:line="360" w:lineRule="auto"/>
        <w:rPr>
          <w:rFonts w:ascii="宋体" w:hAnsi="宋体"/>
          <w:color w:val="auto"/>
          <w:sz w:val="24"/>
          <w:highlight w:val="none"/>
        </w:rPr>
      </w:pPr>
    </w:p>
    <w:p w14:paraId="3A16EE12">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262A47A9">
      <w:pPr>
        <w:pStyle w:val="85"/>
        <w:ind w:left="0" w:leftChars="0" w:firstLine="0" w:firstLineChars="0"/>
        <w:rPr>
          <w:rFonts w:hAnsi="宋体"/>
          <w:color w:val="auto"/>
          <w:highlight w:val="none"/>
        </w:rPr>
      </w:pPr>
      <w:r>
        <w:rPr>
          <w:rFonts w:hint="eastAsia" w:ascii="宋体" w:hAnsi="宋体" w:cs="宋体"/>
          <w:color w:val="auto"/>
          <w:highlight w:val="none"/>
        </w:rPr>
        <w:t>投标人名称（加盖公章）</w:t>
      </w:r>
      <w:r>
        <w:rPr>
          <w:rFonts w:hint="eastAsia" w:hAnsi="宋体"/>
          <w:color w:val="auto"/>
          <w:highlight w:val="none"/>
          <w:u w:val="singl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 xml:space="preserve">    </w:t>
      </w:r>
    </w:p>
    <w:p w14:paraId="7C3910AB">
      <w:pPr>
        <w:pStyle w:val="85"/>
        <w:ind w:left="0" w:leftChars="0" w:firstLine="0" w:firstLineChars="0"/>
        <w:rPr>
          <w:rFonts w:ascii="宋体" w:hAnsi="宋体"/>
          <w:b/>
          <w:color w:val="auto"/>
          <w:sz w:val="28"/>
          <w:szCs w:val="28"/>
          <w:highlight w:val="none"/>
        </w:rPr>
      </w:pPr>
      <w:r>
        <w:rPr>
          <w:rFonts w:hint="eastAsia" w:hAnsi="宋体" w:cs="宋体"/>
          <w:color w:val="auto"/>
          <w:highlight w:val="none"/>
        </w:rPr>
        <w:t>日期：_____年____月____日</w:t>
      </w:r>
    </w:p>
    <w:p w14:paraId="508A6FFC">
      <w:pPr>
        <w:pStyle w:val="85"/>
        <w:ind w:left="420" w:firstLine="0" w:firstLineChars="0"/>
        <w:rPr>
          <w:rFonts w:ascii="宋体" w:hAnsi="宋体"/>
          <w:b/>
          <w:color w:val="auto"/>
          <w:sz w:val="28"/>
          <w:szCs w:val="28"/>
          <w:highlight w:val="none"/>
        </w:rPr>
      </w:pPr>
    </w:p>
    <w:p w14:paraId="00FC95B8">
      <w:pPr>
        <w:widowControl/>
        <w:jc w:val="center"/>
        <w:rPr>
          <w:rFonts w:ascii="宋体" w:hAnsi="宋体" w:cs="宋体"/>
          <w:b/>
          <w:color w:val="auto"/>
          <w:kern w:val="0"/>
          <w:sz w:val="24"/>
          <w:highlight w:val="none"/>
          <w:lang w:bidi="ar"/>
        </w:rPr>
      </w:pPr>
    </w:p>
    <w:p w14:paraId="7D5858B0">
      <w:pPr>
        <w:widowControl/>
        <w:jc w:val="center"/>
        <w:rPr>
          <w:rFonts w:ascii="宋体" w:hAnsi="宋体" w:cs="宋体"/>
          <w:b/>
          <w:color w:val="auto"/>
          <w:kern w:val="0"/>
          <w:sz w:val="24"/>
          <w:highlight w:val="none"/>
          <w:lang w:bidi="ar"/>
        </w:rPr>
      </w:pPr>
    </w:p>
    <w:p w14:paraId="37F09136">
      <w:pPr>
        <w:widowControl/>
        <w:jc w:val="center"/>
        <w:rPr>
          <w:rFonts w:ascii="宋体" w:hAnsi="宋体" w:cs="宋体"/>
          <w:b/>
          <w:color w:val="auto"/>
          <w:kern w:val="0"/>
          <w:sz w:val="24"/>
          <w:highlight w:val="none"/>
          <w:lang w:bidi="ar"/>
        </w:rPr>
      </w:pPr>
    </w:p>
    <w:p w14:paraId="54F6806D">
      <w:pPr>
        <w:widowControl/>
        <w:jc w:val="center"/>
        <w:rPr>
          <w:rFonts w:ascii="宋体" w:hAnsi="宋体" w:cs="宋体"/>
          <w:b/>
          <w:color w:val="auto"/>
          <w:kern w:val="0"/>
          <w:sz w:val="24"/>
          <w:highlight w:val="none"/>
          <w:lang w:bidi="ar"/>
        </w:rPr>
      </w:pPr>
    </w:p>
    <w:p w14:paraId="13B0952D">
      <w:pPr>
        <w:widowControl/>
        <w:jc w:val="center"/>
        <w:rPr>
          <w:rFonts w:ascii="宋体" w:hAnsi="宋体" w:cs="宋体"/>
          <w:b/>
          <w:color w:val="auto"/>
          <w:kern w:val="0"/>
          <w:sz w:val="24"/>
          <w:highlight w:val="none"/>
          <w:lang w:bidi="ar"/>
        </w:rPr>
      </w:pPr>
    </w:p>
    <w:p w14:paraId="65713E5D">
      <w:pPr>
        <w:widowControl/>
        <w:jc w:val="center"/>
        <w:rPr>
          <w:rFonts w:ascii="宋体" w:hAnsi="宋体" w:cs="宋体"/>
          <w:b/>
          <w:color w:val="auto"/>
          <w:kern w:val="0"/>
          <w:sz w:val="24"/>
          <w:highlight w:val="none"/>
          <w:lang w:bidi="ar"/>
        </w:rPr>
      </w:pPr>
    </w:p>
    <w:p w14:paraId="41E8DE9D">
      <w:pPr>
        <w:widowControl/>
        <w:jc w:val="center"/>
        <w:rPr>
          <w:rFonts w:ascii="宋体" w:hAnsi="宋体" w:cs="宋体"/>
          <w:b/>
          <w:color w:val="auto"/>
          <w:kern w:val="0"/>
          <w:sz w:val="24"/>
          <w:highlight w:val="none"/>
          <w:lang w:bidi="ar"/>
        </w:rPr>
      </w:pPr>
    </w:p>
    <w:p w14:paraId="4446373A">
      <w:pPr>
        <w:widowControl/>
        <w:jc w:val="center"/>
        <w:rPr>
          <w:rFonts w:ascii="宋体" w:hAnsi="宋体" w:cs="宋体"/>
          <w:b/>
          <w:color w:val="auto"/>
          <w:kern w:val="0"/>
          <w:sz w:val="24"/>
          <w:highlight w:val="none"/>
          <w:lang w:bidi="ar"/>
        </w:rPr>
      </w:pPr>
    </w:p>
    <w:p w14:paraId="558F1BFC">
      <w:pPr>
        <w:pStyle w:val="26"/>
        <w:rPr>
          <w:rFonts w:ascii="宋体" w:hAnsi="宋体" w:cs="宋体"/>
          <w:b/>
          <w:color w:val="auto"/>
          <w:kern w:val="0"/>
          <w:sz w:val="24"/>
          <w:highlight w:val="none"/>
          <w:lang w:bidi="ar"/>
        </w:rPr>
      </w:pPr>
    </w:p>
    <w:p w14:paraId="32FC1BBB">
      <w:pPr>
        <w:pStyle w:val="26"/>
        <w:rPr>
          <w:color w:val="auto"/>
          <w:highlight w:val="none"/>
        </w:rPr>
      </w:pPr>
    </w:p>
    <w:p w14:paraId="33A0DE66">
      <w:pPr>
        <w:widowControl/>
        <w:jc w:val="center"/>
        <w:rPr>
          <w:rFonts w:ascii="宋体" w:hAnsi="宋体" w:cs="宋体"/>
          <w:b/>
          <w:color w:val="auto"/>
          <w:kern w:val="0"/>
          <w:sz w:val="24"/>
          <w:highlight w:val="none"/>
          <w:lang w:bidi="ar"/>
        </w:rPr>
      </w:pPr>
    </w:p>
    <w:p w14:paraId="1EBE68C8">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14:paraId="146978AA">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14:paraId="6DA3DFBE">
      <w:pPr>
        <w:snapToGrid w:val="0"/>
        <w:spacing w:before="120" w:beforeLines="50" w:after="50" w:line="360" w:lineRule="auto"/>
        <w:ind w:firstLine="480" w:firstLineChars="200"/>
        <w:rPr>
          <w:rFonts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14:paraId="1CD1405A">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14:paraId="00972CC2">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20643A32">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466109C1">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14:paraId="7D13DA87">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2EC28FFC">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14:paraId="183C0925">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14:paraId="18F5FCA4">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14:paraId="77CDA27A">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14:paraId="5ABF4646">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14:paraId="34273F60">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B27A4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投标人名称（加盖公章）：          </w:t>
      </w:r>
    </w:p>
    <w:p w14:paraId="3EE2D00B">
      <w:pPr>
        <w:snapToGrid w:val="0"/>
        <w:spacing w:line="360" w:lineRule="auto"/>
        <w:ind w:firstLine="5040" w:firstLineChars="2100"/>
        <w:rPr>
          <w:rFonts w:ascii="宋体" w:hAnsi="宋体" w:cs="宋体"/>
          <w:color w:val="auto"/>
          <w:sz w:val="24"/>
          <w:highlight w:val="none"/>
        </w:rPr>
      </w:pPr>
    </w:p>
    <w:p w14:paraId="4CC6725C">
      <w:pPr>
        <w:snapToGrid w:val="0"/>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日期:_____年___月___日</w:t>
      </w:r>
    </w:p>
    <w:p w14:paraId="61E5AC49">
      <w:pPr>
        <w:snapToGrid w:val="0"/>
        <w:spacing w:before="50" w:after="50"/>
        <w:rPr>
          <w:rFonts w:ascii="宋体" w:hAnsi="宋体" w:cs="宋体"/>
          <w:color w:val="auto"/>
          <w:highlight w:val="none"/>
        </w:rPr>
      </w:pPr>
    </w:p>
    <w:p w14:paraId="6B923CF2">
      <w:pPr>
        <w:snapToGrid w:val="0"/>
        <w:spacing w:before="50" w:after="50"/>
        <w:rPr>
          <w:rFonts w:ascii="宋体" w:hAnsi="宋体" w:cs="宋体"/>
          <w:color w:val="auto"/>
          <w:highlight w:val="none"/>
        </w:rPr>
      </w:pPr>
    </w:p>
    <w:p w14:paraId="6876A5D0">
      <w:pPr>
        <w:snapToGrid w:val="0"/>
        <w:spacing w:before="50" w:after="50"/>
        <w:rPr>
          <w:rFonts w:ascii="宋体" w:hAnsi="宋体" w:cs="宋体"/>
          <w:color w:val="auto"/>
          <w:highlight w:val="none"/>
        </w:rPr>
      </w:pPr>
    </w:p>
    <w:p w14:paraId="16813EE1">
      <w:pPr>
        <w:snapToGrid w:val="0"/>
        <w:spacing w:before="50" w:after="50"/>
        <w:rPr>
          <w:rFonts w:ascii="宋体" w:hAnsi="宋体" w:cs="宋体"/>
          <w:color w:val="auto"/>
          <w:highlight w:val="none"/>
        </w:rPr>
      </w:pPr>
    </w:p>
    <w:p w14:paraId="10D8E0BE">
      <w:pPr>
        <w:snapToGrid w:val="0"/>
        <w:spacing w:before="50" w:after="50"/>
        <w:rPr>
          <w:rFonts w:ascii="宋体" w:hAnsi="宋体" w:cs="宋体"/>
          <w:color w:val="auto"/>
          <w:highlight w:val="none"/>
        </w:rPr>
      </w:pPr>
    </w:p>
    <w:p w14:paraId="30B8E179">
      <w:pPr>
        <w:pStyle w:val="26"/>
        <w:rPr>
          <w:rFonts w:hAnsi="宋体" w:cs="宋体"/>
          <w:color w:val="auto"/>
          <w:highlight w:val="none"/>
        </w:rPr>
      </w:pPr>
    </w:p>
    <w:bookmarkEnd w:id="35"/>
    <w:p w14:paraId="59F6F20D">
      <w:pPr>
        <w:snapToGrid w:val="0"/>
        <w:spacing w:before="50" w:after="50"/>
        <w:jc w:val="both"/>
        <w:rPr>
          <w:rFonts w:ascii="宋体" w:hAnsi="宋体" w:cs="宋体"/>
          <w:b/>
          <w:color w:val="auto"/>
          <w:sz w:val="24"/>
          <w:highlight w:val="none"/>
        </w:rPr>
      </w:pPr>
    </w:p>
    <w:p w14:paraId="0DD37031">
      <w:pPr>
        <w:snapToGrid w:val="0"/>
        <w:spacing w:before="50" w:after="50"/>
        <w:jc w:val="center"/>
        <w:rPr>
          <w:rFonts w:ascii="宋体" w:hAnsi="宋体" w:cs="宋体"/>
          <w:b/>
          <w:color w:val="auto"/>
          <w:sz w:val="24"/>
          <w:highlight w:val="none"/>
        </w:rPr>
      </w:pPr>
    </w:p>
    <w:p w14:paraId="7D3DBB6A">
      <w:pPr>
        <w:snapToGrid w:val="0"/>
        <w:spacing w:before="50" w:after="50"/>
        <w:jc w:val="center"/>
        <w:rPr>
          <w:rFonts w:hint="eastAsia" w:ascii="宋体" w:hAnsi="宋体" w:cs="宋体"/>
          <w:b/>
          <w:color w:val="auto"/>
          <w:sz w:val="24"/>
          <w:highlight w:val="none"/>
        </w:rPr>
      </w:pPr>
    </w:p>
    <w:p w14:paraId="5AB0259C">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开标一览表</w:t>
      </w:r>
    </w:p>
    <w:p w14:paraId="45C3BD5B">
      <w:pPr>
        <w:snapToGrid w:val="0"/>
        <w:spacing w:before="50" w:after="50"/>
        <w:jc w:val="center"/>
        <w:rPr>
          <w:rFonts w:ascii="宋体" w:hAnsi="宋体" w:cs="宋体"/>
          <w:b/>
          <w:color w:val="auto"/>
          <w:sz w:val="24"/>
          <w:szCs w:val="20"/>
          <w:highlight w:val="none"/>
        </w:rPr>
      </w:pPr>
    </w:p>
    <w:p w14:paraId="4014D93D">
      <w:pPr>
        <w:snapToGrid w:val="0"/>
        <w:spacing w:before="50" w:after="50"/>
        <w:ind w:right="480"/>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w:t>
      </w:r>
      <w:r>
        <w:rPr>
          <w:rFonts w:hint="eastAsia" w:ascii="宋体" w:hAnsi="宋体"/>
          <w:color w:val="auto"/>
          <w:sz w:val="24"/>
          <w:highlight w:val="none"/>
        </w:rPr>
        <w:t>人民币</w:t>
      </w:r>
      <w:r>
        <w:rPr>
          <w:rFonts w:hint="eastAsia" w:ascii="宋体" w:hAnsi="宋体" w:cs="宋体"/>
          <w:color w:val="auto"/>
          <w:sz w:val="24"/>
          <w:highlight w:val="none"/>
        </w:rPr>
        <w:t>元</w:t>
      </w:r>
    </w:p>
    <w:p w14:paraId="0DAD53E6">
      <w:pPr>
        <w:snapToGrid w:val="0"/>
        <w:spacing w:before="50" w:after="50"/>
        <w:ind w:right="480"/>
        <w:jc w:val="right"/>
        <w:rPr>
          <w:rFonts w:ascii="宋体" w:hAnsi="宋体" w:cs="宋体"/>
          <w:color w:val="auto"/>
          <w:sz w:val="24"/>
          <w:highlight w:val="none"/>
        </w:rPr>
      </w:pPr>
      <w:r>
        <w:rPr>
          <w:rFonts w:hint="eastAsia" w:ascii="宋体" w:hAnsi="宋体" w:cs="宋体"/>
          <w:color w:val="auto"/>
          <w:sz w:val="24"/>
          <w:highlight w:val="none"/>
        </w:rPr>
        <w:t xml:space="preserve">            </w:t>
      </w:r>
    </w:p>
    <w:tbl>
      <w:tblPr>
        <w:tblStyle w:val="64"/>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912"/>
      </w:tblGrid>
      <w:tr w14:paraId="66CA6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14:paraId="44B5E28C">
            <w:pPr>
              <w:snapToGrid w:val="0"/>
              <w:spacing w:before="100" w:beforeAutospacing="1" w:after="100" w:afterAutospacing="1" w:line="276" w:lineRule="auto"/>
              <w:jc w:val="center"/>
              <w:rPr>
                <w:rFonts w:eastAsia="仿宋_GB2312"/>
                <w:b/>
                <w:color w:val="auto"/>
                <w:szCs w:val="21"/>
                <w:highlight w:val="none"/>
              </w:rPr>
            </w:pPr>
            <w:r>
              <w:rPr>
                <w:rFonts w:hint="eastAsia"/>
                <w:b/>
                <w:color w:val="auto"/>
                <w:szCs w:val="21"/>
                <w:highlight w:val="none"/>
              </w:rPr>
              <w:t>项目名称</w:t>
            </w:r>
          </w:p>
        </w:tc>
        <w:tc>
          <w:tcPr>
            <w:tcW w:w="6912" w:type="dxa"/>
            <w:tcBorders>
              <w:top w:val="single" w:color="auto" w:sz="4" w:space="0"/>
              <w:left w:val="single" w:color="auto" w:sz="4" w:space="0"/>
              <w:bottom w:val="single" w:color="auto" w:sz="4" w:space="0"/>
              <w:right w:val="single" w:color="auto" w:sz="4" w:space="0"/>
            </w:tcBorders>
            <w:vAlign w:val="center"/>
          </w:tcPr>
          <w:p w14:paraId="127D240F">
            <w:pPr>
              <w:snapToGrid w:val="0"/>
              <w:spacing w:before="100" w:beforeAutospacing="1" w:after="100" w:afterAutospacing="1" w:line="276" w:lineRule="auto"/>
              <w:rPr>
                <w:rFonts w:eastAsia="仿宋_GB2312"/>
                <w:b/>
                <w:color w:val="auto"/>
                <w:szCs w:val="21"/>
                <w:highlight w:val="none"/>
              </w:rPr>
            </w:pPr>
          </w:p>
        </w:tc>
      </w:tr>
      <w:tr w14:paraId="1A823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2088" w:type="dxa"/>
            <w:tcBorders>
              <w:top w:val="single" w:color="auto" w:sz="4" w:space="0"/>
              <w:left w:val="single" w:color="auto" w:sz="4" w:space="0"/>
              <w:bottom w:val="single" w:color="auto" w:sz="4" w:space="0"/>
              <w:right w:val="single" w:color="auto" w:sz="4" w:space="0"/>
            </w:tcBorders>
            <w:vAlign w:val="center"/>
          </w:tcPr>
          <w:p w14:paraId="2C1A621E">
            <w:pPr>
              <w:snapToGrid w:val="0"/>
              <w:spacing w:before="100" w:beforeAutospacing="1" w:after="100" w:afterAutospacing="1" w:line="276" w:lineRule="auto"/>
              <w:jc w:val="center"/>
              <w:rPr>
                <w:rFonts w:hint="eastAsia"/>
                <w:b/>
                <w:color w:val="auto"/>
                <w:szCs w:val="21"/>
                <w:highlight w:val="none"/>
              </w:rPr>
            </w:pPr>
            <w:r>
              <w:rPr>
                <w:rFonts w:hint="eastAsia"/>
                <w:b/>
                <w:color w:val="auto"/>
                <w:szCs w:val="21"/>
                <w:highlight w:val="none"/>
              </w:rPr>
              <w:t xml:space="preserve">总报价 </w:t>
            </w:r>
          </w:p>
        </w:tc>
        <w:tc>
          <w:tcPr>
            <w:tcW w:w="6912" w:type="dxa"/>
            <w:tcBorders>
              <w:top w:val="single" w:color="auto" w:sz="4" w:space="0"/>
              <w:left w:val="single" w:color="auto" w:sz="4" w:space="0"/>
              <w:bottom w:val="single" w:color="auto" w:sz="4" w:space="0"/>
              <w:right w:val="single" w:color="auto" w:sz="4" w:space="0"/>
            </w:tcBorders>
            <w:vAlign w:val="center"/>
          </w:tcPr>
          <w:p w14:paraId="290008B6">
            <w:pPr>
              <w:snapToGrid w:val="0"/>
              <w:spacing w:before="100" w:beforeAutospacing="1" w:after="100" w:afterAutospacing="1" w:line="276" w:lineRule="auto"/>
              <w:rPr>
                <w:rFonts w:eastAsia="仿宋_GB2312"/>
                <w:b/>
                <w:color w:val="auto"/>
                <w:szCs w:val="21"/>
                <w:highlight w:val="none"/>
              </w:rPr>
            </w:pPr>
            <w:r>
              <w:rPr>
                <w:rFonts w:hint="eastAsia" w:eastAsia="仿宋_GB2312"/>
                <w:color w:val="auto"/>
                <w:szCs w:val="21"/>
                <w:highlight w:val="none"/>
              </w:rPr>
              <w:t>大写</w:t>
            </w:r>
            <w:r>
              <w:rPr>
                <w:rFonts w:hint="eastAsia" w:eastAsia="仿宋_GB2312"/>
                <w:color w:val="auto"/>
                <w:szCs w:val="21"/>
                <w:highlight w:val="none"/>
                <w:lang w:eastAsia="zh-CN"/>
              </w:rPr>
              <w:t>：</w:t>
            </w:r>
            <w:r>
              <w:rPr>
                <w:rFonts w:hint="eastAsia" w:eastAsia="仿宋_GB2312"/>
                <w:color w:val="auto"/>
                <w:szCs w:val="21"/>
                <w:highlight w:val="none"/>
                <w:lang w:val="en-US" w:eastAsia="zh-CN"/>
              </w:rPr>
              <w:t xml:space="preserve">                            </w:t>
            </w:r>
            <w:r>
              <w:rPr>
                <w:rFonts w:hint="eastAsia" w:eastAsia="仿宋_GB2312"/>
                <w:color w:val="auto"/>
                <w:szCs w:val="21"/>
                <w:highlight w:val="none"/>
              </w:rPr>
              <w:t>小写</w:t>
            </w:r>
            <w:r>
              <w:rPr>
                <w:rFonts w:hint="eastAsia" w:eastAsia="仿宋_GB2312"/>
                <w:color w:val="auto"/>
                <w:szCs w:val="21"/>
                <w:highlight w:val="none"/>
                <w:lang w:eastAsia="zh-CN"/>
              </w:rPr>
              <w:t>：</w:t>
            </w:r>
          </w:p>
        </w:tc>
      </w:tr>
    </w:tbl>
    <w:p w14:paraId="0635F214">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 1、报价一经涂改，应在涂改处加盖单位公章或者由法定代表人或被授权人签字或盖章，</w:t>
      </w:r>
    </w:p>
    <w:p w14:paraId="066EE8EC">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否则其投标将作投标无效处理。</w:t>
      </w:r>
    </w:p>
    <w:p w14:paraId="5220C361">
      <w:pPr>
        <w:snapToGrid w:val="0"/>
        <w:spacing w:line="48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本页后附投标报价明细表</w:t>
      </w:r>
      <w:r>
        <w:rPr>
          <w:rFonts w:hint="eastAsia" w:ascii="宋体" w:hAnsi="宋体" w:cs="宋体"/>
          <w:color w:val="auto"/>
          <w:sz w:val="22"/>
          <w:szCs w:val="22"/>
          <w:highlight w:val="none"/>
          <w:lang w:eastAsia="zh-CN"/>
        </w:rPr>
        <w:t>。</w:t>
      </w:r>
    </w:p>
    <w:p w14:paraId="1507E7F4">
      <w:pPr>
        <w:snapToGrid w:val="0"/>
        <w:spacing w:before="50" w:after="50" w:line="360" w:lineRule="auto"/>
        <w:rPr>
          <w:rFonts w:ascii="宋体" w:hAnsi="宋体"/>
          <w:color w:val="auto"/>
          <w:sz w:val="24"/>
          <w:highlight w:val="none"/>
        </w:rPr>
      </w:pPr>
    </w:p>
    <w:p w14:paraId="0C607E9A">
      <w:pPr>
        <w:snapToGrid w:val="0"/>
        <w:spacing w:before="50" w:after="50" w:line="360" w:lineRule="auto"/>
        <w:rPr>
          <w:rFonts w:ascii="宋体" w:hAnsi="宋体"/>
          <w:color w:val="auto"/>
          <w:sz w:val="24"/>
          <w:highlight w:val="none"/>
        </w:rPr>
      </w:pPr>
    </w:p>
    <w:p w14:paraId="73B21AD4">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322DDECF">
      <w:pPr>
        <w:pStyle w:val="967"/>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3882CFEE">
      <w:pPr>
        <w:rPr>
          <w:rFonts w:hAnsi="宋体" w:cs="宋体"/>
          <w:color w:val="auto"/>
          <w:sz w:val="24"/>
          <w:highlight w:val="none"/>
        </w:rPr>
      </w:pPr>
      <w:r>
        <w:rPr>
          <w:rFonts w:hint="eastAsia" w:hAnsi="宋体" w:cs="宋体"/>
          <w:color w:val="auto"/>
          <w:sz w:val="24"/>
          <w:highlight w:val="none"/>
        </w:rPr>
        <w:t>日期：_____年____月____日</w:t>
      </w:r>
    </w:p>
    <w:p w14:paraId="75AC4996">
      <w:pPr>
        <w:pStyle w:val="26"/>
        <w:rPr>
          <w:rFonts w:ascii="宋体" w:hAnsi="宋体"/>
          <w:b/>
          <w:color w:val="auto"/>
          <w:sz w:val="28"/>
          <w:szCs w:val="28"/>
          <w:highlight w:val="none"/>
        </w:rPr>
      </w:pPr>
    </w:p>
    <w:p w14:paraId="1DBA2EEC">
      <w:pPr>
        <w:pStyle w:val="58"/>
        <w:rPr>
          <w:color w:val="auto"/>
          <w:highlight w:val="none"/>
        </w:rPr>
      </w:pPr>
    </w:p>
    <w:p w14:paraId="1E89789D">
      <w:pPr>
        <w:rPr>
          <w:color w:val="auto"/>
          <w:highlight w:val="none"/>
        </w:rPr>
      </w:pPr>
    </w:p>
    <w:p w14:paraId="6195A445">
      <w:pPr>
        <w:rPr>
          <w:rFonts w:hint="eastAsia" w:ascii="宋体" w:hAnsi="宋体"/>
          <w:b/>
          <w:color w:val="auto"/>
          <w:sz w:val="28"/>
          <w:szCs w:val="28"/>
          <w:highlight w:val="none"/>
        </w:rPr>
      </w:pPr>
    </w:p>
    <w:p w14:paraId="2FD13422">
      <w:pPr>
        <w:rPr>
          <w:rFonts w:hint="eastAsia" w:ascii="宋体" w:hAnsi="宋体"/>
          <w:b/>
          <w:color w:val="auto"/>
          <w:sz w:val="28"/>
          <w:szCs w:val="28"/>
          <w:highlight w:val="none"/>
        </w:rPr>
      </w:pPr>
    </w:p>
    <w:p w14:paraId="02C61F4A">
      <w:pPr>
        <w:rPr>
          <w:rFonts w:hint="eastAsia" w:ascii="宋体" w:hAnsi="宋体"/>
          <w:b/>
          <w:color w:val="auto"/>
          <w:sz w:val="28"/>
          <w:szCs w:val="28"/>
          <w:highlight w:val="none"/>
        </w:rPr>
      </w:pPr>
    </w:p>
    <w:p w14:paraId="1CCE89A2">
      <w:pPr>
        <w:rPr>
          <w:rFonts w:hint="eastAsia" w:ascii="宋体" w:hAnsi="宋体"/>
          <w:b/>
          <w:color w:val="auto"/>
          <w:sz w:val="28"/>
          <w:szCs w:val="28"/>
          <w:highlight w:val="none"/>
        </w:rPr>
      </w:pPr>
    </w:p>
    <w:p w14:paraId="6C42F5A9">
      <w:pPr>
        <w:rPr>
          <w:rFonts w:hint="eastAsia" w:ascii="宋体" w:hAnsi="宋体"/>
          <w:b/>
          <w:color w:val="auto"/>
          <w:sz w:val="28"/>
          <w:szCs w:val="28"/>
          <w:highlight w:val="none"/>
        </w:rPr>
      </w:pPr>
    </w:p>
    <w:p w14:paraId="6B23E118">
      <w:pPr>
        <w:rPr>
          <w:rFonts w:hint="eastAsia" w:ascii="宋体" w:hAnsi="宋体"/>
          <w:b/>
          <w:color w:val="auto"/>
          <w:sz w:val="28"/>
          <w:szCs w:val="28"/>
          <w:highlight w:val="none"/>
        </w:rPr>
      </w:pPr>
    </w:p>
    <w:p w14:paraId="260CFD4A">
      <w:pPr>
        <w:rPr>
          <w:rFonts w:hint="eastAsia" w:ascii="宋体" w:hAnsi="宋体"/>
          <w:b/>
          <w:color w:val="auto"/>
          <w:sz w:val="28"/>
          <w:szCs w:val="28"/>
          <w:highlight w:val="none"/>
        </w:rPr>
      </w:pPr>
    </w:p>
    <w:p w14:paraId="71BB025B">
      <w:pPr>
        <w:rPr>
          <w:rFonts w:hint="eastAsia" w:ascii="宋体" w:hAnsi="宋体"/>
          <w:b/>
          <w:color w:val="auto"/>
          <w:sz w:val="28"/>
          <w:szCs w:val="28"/>
          <w:highlight w:val="none"/>
        </w:rPr>
      </w:pPr>
    </w:p>
    <w:p w14:paraId="1B758DDB">
      <w:pPr>
        <w:rPr>
          <w:rFonts w:hint="eastAsia" w:ascii="宋体" w:hAnsi="宋体"/>
          <w:b/>
          <w:color w:val="auto"/>
          <w:sz w:val="28"/>
          <w:szCs w:val="28"/>
          <w:highlight w:val="none"/>
        </w:rPr>
      </w:pPr>
    </w:p>
    <w:p w14:paraId="0203DEA7">
      <w:pPr>
        <w:rPr>
          <w:rFonts w:hint="eastAsia" w:ascii="宋体" w:hAnsi="宋体"/>
          <w:b/>
          <w:color w:val="auto"/>
          <w:sz w:val="28"/>
          <w:szCs w:val="28"/>
          <w:highlight w:val="none"/>
        </w:rPr>
      </w:pPr>
    </w:p>
    <w:p w14:paraId="6AAA52E2">
      <w:pPr>
        <w:rPr>
          <w:rFonts w:hint="eastAsia" w:ascii="宋体" w:hAnsi="宋体"/>
          <w:b/>
          <w:color w:val="auto"/>
          <w:sz w:val="28"/>
          <w:szCs w:val="28"/>
          <w:highlight w:val="none"/>
        </w:rPr>
      </w:pPr>
    </w:p>
    <w:p w14:paraId="1A1632C5">
      <w:pPr>
        <w:rPr>
          <w:rFonts w:hint="eastAsia" w:ascii="宋体" w:hAnsi="宋体"/>
          <w:b/>
          <w:color w:val="auto"/>
          <w:sz w:val="28"/>
          <w:szCs w:val="28"/>
          <w:highlight w:val="none"/>
        </w:rPr>
      </w:pPr>
    </w:p>
    <w:p w14:paraId="7EA7DDBF">
      <w:pPr>
        <w:rPr>
          <w:rFonts w:hint="eastAsia" w:ascii="宋体" w:hAnsi="宋体"/>
          <w:b/>
          <w:color w:val="auto"/>
          <w:sz w:val="28"/>
          <w:szCs w:val="28"/>
          <w:highlight w:val="none"/>
        </w:rPr>
      </w:pPr>
    </w:p>
    <w:p w14:paraId="32DE089C">
      <w:pPr>
        <w:rPr>
          <w:rFonts w:hint="eastAsia" w:ascii="宋体" w:hAnsi="宋体"/>
          <w:b/>
          <w:color w:val="auto"/>
          <w:sz w:val="28"/>
          <w:szCs w:val="28"/>
          <w:highlight w:val="none"/>
        </w:rPr>
      </w:pPr>
    </w:p>
    <w:p w14:paraId="5A141420">
      <w:pPr>
        <w:rPr>
          <w:rFonts w:hint="eastAsia" w:ascii="宋体" w:hAnsi="宋体"/>
          <w:b/>
          <w:color w:val="auto"/>
          <w:sz w:val="28"/>
          <w:szCs w:val="28"/>
          <w:highlight w:val="none"/>
        </w:rPr>
      </w:pPr>
    </w:p>
    <w:p w14:paraId="27BCE8B2">
      <w:pPr>
        <w:rPr>
          <w:rFonts w:hint="eastAsia" w:ascii="宋体" w:hAnsi="宋体"/>
          <w:b/>
          <w:color w:val="auto"/>
          <w:sz w:val="28"/>
          <w:szCs w:val="28"/>
          <w:highlight w:val="none"/>
        </w:rPr>
      </w:pPr>
    </w:p>
    <w:p w14:paraId="35E390C2">
      <w:pPr>
        <w:rPr>
          <w:rFonts w:hint="eastAsia" w:ascii="宋体" w:hAnsi="宋体"/>
          <w:b/>
          <w:color w:val="auto"/>
          <w:sz w:val="28"/>
          <w:szCs w:val="28"/>
          <w:highlight w:val="none"/>
        </w:rPr>
      </w:pPr>
    </w:p>
    <w:p w14:paraId="707A8C57">
      <w:pPr>
        <w:pStyle w:val="58"/>
        <w:jc w:val="center"/>
        <w:rPr>
          <w:rFonts w:hint="eastAsia" w:ascii="宋体" w:hAnsi="宋体"/>
          <w:b/>
          <w:color w:val="auto"/>
          <w:sz w:val="28"/>
          <w:szCs w:val="28"/>
          <w:highlight w:val="none"/>
        </w:rPr>
      </w:pPr>
      <w:r>
        <w:rPr>
          <w:rFonts w:hint="eastAsia" w:ascii="宋体" w:hAnsi="宋体"/>
          <w:b/>
          <w:color w:val="auto"/>
          <w:sz w:val="28"/>
          <w:szCs w:val="28"/>
          <w:highlight w:val="none"/>
        </w:rPr>
        <w:t>投标报价明细表</w:t>
      </w:r>
    </w:p>
    <w:p w14:paraId="4DF9ECAA">
      <w:pPr>
        <w:jc w:val="center"/>
        <w:rPr>
          <w:color w:val="auto"/>
        </w:rPr>
      </w:pPr>
      <w:r>
        <w:rPr>
          <w:rFonts w:hint="eastAsia" w:ascii="宋体" w:hAnsi="宋体" w:cs="宋体"/>
          <w:color w:val="auto"/>
          <w:szCs w:val="24"/>
          <w:lang w:val="en-US" w:eastAsia="zh-CN"/>
        </w:rPr>
        <w:t xml:space="preserve">                                                               </w:t>
      </w:r>
      <w:r>
        <w:rPr>
          <w:rFonts w:hint="eastAsia" w:ascii="宋体" w:hAnsi="宋体" w:cs="宋体"/>
          <w:color w:val="auto"/>
          <w:sz w:val="24"/>
          <w:szCs w:val="32"/>
        </w:rPr>
        <w:t>单位：人民币元</w:t>
      </w:r>
    </w:p>
    <w:tbl>
      <w:tblPr>
        <w:tblStyle w:val="64"/>
        <w:tblpPr w:leftFromText="180" w:rightFromText="180" w:vertAnchor="text" w:horzAnchor="page" w:tblpXSpec="center" w:tblpY="164"/>
        <w:tblOverlap w:val="never"/>
        <w:tblW w:w="9203" w:type="dxa"/>
        <w:jc w:val="center"/>
        <w:tblLayout w:type="fixed"/>
        <w:tblCellMar>
          <w:top w:w="0" w:type="dxa"/>
          <w:left w:w="108" w:type="dxa"/>
          <w:bottom w:w="0" w:type="dxa"/>
          <w:right w:w="108" w:type="dxa"/>
        </w:tblCellMar>
      </w:tblPr>
      <w:tblGrid>
        <w:gridCol w:w="765"/>
        <w:gridCol w:w="3458"/>
        <w:gridCol w:w="1259"/>
        <w:gridCol w:w="1134"/>
        <w:gridCol w:w="1237"/>
        <w:gridCol w:w="1350"/>
      </w:tblGrid>
      <w:tr w14:paraId="0758D3FC">
        <w:tblPrEx>
          <w:tblCellMar>
            <w:top w:w="0" w:type="dxa"/>
            <w:left w:w="108" w:type="dxa"/>
            <w:bottom w:w="0" w:type="dxa"/>
            <w:right w:w="108" w:type="dxa"/>
          </w:tblCellMar>
        </w:tblPrEx>
        <w:trPr>
          <w:trHeight w:val="567" w:hRule="atLeast"/>
          <w:jc w:val="center"/>
        </w:trPr>
        <w:tc>
          <w:tcPr>
            <w:tcW w:w="765" w:type="dxa"/>
            <w:tcBorders>
              <w:top w:val="single" w:color="auto" w:sz="4" w:space="0"/>
              <w:left w:val="single" w:color="auto" w:sz="4" w:space="0"/>
              <w:bottom w:val="single" w:color="auto" w:sz="4" w:space="0"/>
              <w:right w:val="single" w:color="auto" w:sz="4" w:space="0"/>
            </w:tcBorders>
            <w:noWrap/>
            <w:vAlign w:val="center"/>
          </w:tcPr>
          <w:p w14:paraId="41577373">
            <w:pPr>
              <w:widowControl/>
              <w:ind w:firstLine="0" w:firstLineChars="0"/>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序号</w:t>
            </w:r>
          </w:p>
        </w:tc>
        <w:tc>
          <w:tcPr>
            <w:tcW w:w="3458" w:type="dxa"/>
            <w:tcBorders>
              <w:top w:val="single" w:color="auto" w:sz="4" w:space="0"/>
              <w:left w:val="nil"/>
              <w:bottom w:val="single" w:color="auto" w:sz="4" w:space="0"/>
              <w:right w:val="single" w:color="auto" w:sz="4" w:space="0"/>
            </w:tcBorders>
            <w:vAlign w:val="center"/>
          </w:tcPr>
          <w:p w14:paraId="64CF2113">
            <w:pPr>
              <w:widowControl/>
              <w:ind w:firstLine="0" w:firstLineChars="0"/>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color w:val="auto"/>
                <w:spacing w:val="20"/>
                <w:sz w:val="24"/>
                <w:szCs w:val="24"/>
              </w:rPr>
              <w:t>工作内容</w:t>
            </w:r>
          </w:p>
        </w:tc>
        <w:tc>
          <w:tcPr>
            <w:tcW w:w="1259" w:type="dxa"/>
            <w:tcBorders>
              <w:top w:val="single" w:color="auto" w:sz="4" w:space="0"/>
              <w:left w:val="nil"/>
              <w:bottom w:val="single" w:color="auto" w:sz="4" w:space="0"/>
              <w:right w:val="single" w:color="auto" w:sz="4" w:space="0"/>
            </w:tcBorders>
            <w:vAlign w:val="center"/>
          </w:tcPr>
          <w:p w14:paraId="13399018">
            <w:pPr>
              <w:widowControl/>
              <w:ind w:firstLine="0" w:firstLineChars="0"/>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数量</w:t>
            </w:r>
          </w:p>
        </w:tc>
        <w:tc>
          <w:tcPr>
            <w:tcW w:w="1134" w:type="dxa"/>
            <w:tcBorders>
              <w:top w:val="single" w:color="auto" w:sz="4" w:space="0"/>
              <w:left w:val="nil"/>
              <w:bottom w:val="single" w:color="auto" w:sz="4" w:space="0"/>
              <w:right w:val="single" w:color="auto" w:sz="4" w:space="0"/>
            </w:tcBorders>
            <w:vAlign w:val="center"/>
          </w:tcPr>
          <w:p w14:paraId="3FBE83FC">
            <w:pPr>
              <w:widowControl/>
              <w:ind w:firstLine="0" w:firstLineChars="0"/>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单位</w:t>
            </w:r>
          </w:p>
        </w:tc>
        <w:tc>
          <w:tcPr>
            <w:tcW w:w="1237" w:type="dxa"/>
            <w:tcBorders>
              <w:top w:val="single" w:color="auto" w:sz="4" w:space="0"/>
              <w:left w:val="nil"/>
              <w:bottom w:val="single" w:color="auto" w:sz="4" w:space="0"/>
              <w:right w:val="single" w:color="auto" w:sz="4" w:space="0"/>
            </w:tcBorders>
            <w:vAlign w:val="center"/>
          </w:tcPr>
          <w:p w14:paraId="566DC484">
            <w:pPr>
              <w:widowControl/>
              <w:ind w:firstLine="0" w:firstLineChars="0"/>
              <w:jc w:val="center"/>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rPr>
              <w:t>单价</w:t>
            </w:r>
            <w:r>
              <w:rPr>
                <w:rFonts w:hint="eastAsia" w:asciiTheme="minorEastAsia" w:hAnsiTheme="minorEastAsia" w:eastAsiaTheme="minorEastAsia" w:cstheme="minorEastAsia"/>
                <w:b/>
                <w:bCs/>
                <w:color w:val="auto"/>
                <w:kern w:val="0"/>
                <w:sz w:val="24"/>
                <w:szCs w:val="24"/>
                <w:lang w:eastAsia="zh-CN"/>
              </w:rPr>
              <w:t>（元）</w:t>
            </w:r>
          </w:p>
        </w:tc>
        <w:tc>
          <w:tcPr>
            <w:tcW w:w="1350" w:type="dxa"/>
            <w:tcBorders>
              <w:top w:val="single" w:color="auto" w:sz="4" w:space="0"/>
              <w:left w:val="nil"/>
              <w:bottom w:val="single" w:color="auto" w:sz="4" w:space="0"/>
              <w:right w:val="single" w:color="auto" w:sz="4" w:space="0"/>
            </w:tcBorders>
            <w:vAlign w:val="center"/>
          </w:tcPr>
          <w:p w14:paraId="2925D3B5">
            <w:pPr>
              <w:widowControl/>
              <w:ind w:firstLine="0" w:firstLineChars="0"/>
              <w:jc w:val="center"/>
              <w:rPr>
                <w:rFonts w:hint="eastAsia" w:asciiTheme="minorEastAsia" w:hAnsiTheme="minorEastAsia" w:eastAsiaTheme="minorEastAsia" w:cstheme="minorEastAsia"/>
                <w:b/>
                <w:bCs/>
                <w:color w:val="auto"/>
                <w:kern w:val="0"/>
                <w:sz w:val="24"/>
                <w:szCs w:val="24"/>
                <w:lang w:eastAsia="zh-CN"/>
              </w:rPr>
            </w:pPr>
            <w:r>
              <w:rPr>
                <w:rFonts w:hint="eastAsia" w:asciiTheme="minorEastAsia" w:hAnsiTheme="minorEastAsia" w:eastAsiaTheme="minorEastAsia" w:cstheme="minorEastAsia"/>
                <w:b/>
                <w:bCs/>
                <w:color w:val="auto"/>
                <w:kern w:val="0"/>
                <w:sz w:val="24"/>
                <w:szCs w:val="24"/>
              </w:rPr>
              <w:t>合价</w:t>
            </w:r>
            <w:r>
              <w:rPr>
                <w:rFonts w:hint="eastAsia" w:asciiTheme="minorEastAsia" w:hAnsiTheme="minorEastAsia" w:eastAsiaTheme="minorEastAsia" w:cstheme="minorEastAsia"/>
                <w:b/>
                <w:bCs/>
                <w:color w:val="auto"/>
                <w:kern w:val="0"/>
                <w:sz w:val="24"/>
                <w:szCs w:val="24"/>
                <w:lang w:eastAsia="zh-CN"/>
              </w:rPr>
              <w:t>（元）</w:t>
            </w:r>
          </w:p>
        </w:tc>
      </w:tr>
      <w:tr w14:paraId="06710D4E">
        <w:tblPrEx>
          <w:tblCellMar>
            <w:top w:w="0" w:type="dxa"/>
            <w:left w:w="108" w:type="dxa"/>
            <w:bottom w:w="0" w:type="dxa"/>
            <w:right w:w="108" w:type="dxa"/>
          </w:tblCellMar>
        </w:tblPrEx>
        <w:trPr>
          <w:trHeight w:val="936" w:hRule="atLeast"/>
          <w:jc w:val="center"/>
        </w:trPr>
        <w:tc>
          <w:tcPr>
            <w:tcW w:w="765" w:type="dxa"/>
            <w:tcBorders>
              <w:top w:val="nil"/>
              <w:left w:val="single" w:color="auto" w:sz="4" w:space="0"/>
              <w:bottom w:val="single" w:color="auto" w:sz="4" w:space="0"/>
              <w:right w:val="single" w:color="auto" w:sz="4" w:space="0"/>
            </w:tcBorders>
            <w:vAlign w:val="center"/>
          </w:tcPr>
          <w:p w14:paraId="1FC68876">
            <w:pPr>
              <w:widowControl/>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p>
        </w:tc>
        <w:tc>
          <w:tcPr>
            <w:tcW w:w="3458" w:type="dxa"/>
            <w:tcBorders>
              <w:top w:val="nil"/>
              <w:left w:val="nil"/>
              <w:bottom w:val="single" w:color="auto" w:sz="4" w:space="0"/>
              <w:right w:val="single" w:color="auto" w:sz="4" w:space="0"/>
            </w:tcBorders>
            <w:vAlign w:val="center"/>
          </w:tcPr>
          <w:p w14:paraId="6482AC42">
            <w:pPr>
              <w:snapToGrid w:val="0"/>
              <w:ind w:left="0" w:leftChars="0" w:firstLine="0" w:firstLineChars="0"/>
              <w:jc w:val="center"/>
              <w:rPr>
                <w:rFonts w:hint="eastAsia" w:asciiTheme="minorEastAsia" w:hAnsiTheme="minorEastAsia" w:eastAsiaTheme="minorEastAsia" w:cstheme="minorEastAsia"/>
                <w:b w:val="0"/>
                <w:bCs w:val="0"/>
                <w:color w:val="auto"/>
                <w:spacing w:val="20"/>
                <w:sz w:val="24"/>
                <w:szCs w:val="24"/>
              </w:rPr>
            </w:pPr>
            <w:r>
              <w:rPr>
                <w:rFonts w:hint="eastAsia" w:asciiTheme="minorEastAsia" w:hAnsiTheme="minorEastAsia" w:eastAsiaTheme="minorEastAsia" w:cstheme="minorEastAsia"/>
                <w:b w:val="0"/>
                <w:bCs w:val="0"/>
                <w:color w:val="auto"/>
                <w:spacing w:val="20"/>
                <w:sz w:val="24"/>
                <w:szCs w:val="24"/>
              </w:rPr>
              <w:t>纸质档案整理及数字化建库服务</w:t>
            </w:r>
          </w:p>
        </w:tc>
        <w:tc>
          <w:tcPr>
            <w:tcW w:w="1259" w:type="dxa"/>
            <w:tcBorders>
              <w:top w:val="nil"/>
              <w:left w:val="nil"/>
              <w:bottom w:val="single" w:color="auto" w:sz="4" w:space="0"/>
              <w:right w:val="single" w:color="auto" w:sz="4" w:space="0"/>
            </w:tcBorders>
            <w:vAlign w:val="center"/>
          </w:tcPr>
          <w:p w14:paraId="286EEEA5">
            <w:pPr>
              <w:snapToGrid w:val="0"/>
              <w:ind w:left="0" w:leftChars="0" w:firstLine="0" w:firstLineChars="0"/>
              <w:jc w:val="center"/>
              <w:rPr>
                <w:rFonts w:hint="eastAsia" w:asciiTheme="minorEastAsia" w:hAnsiTheme="minorEastAsia" w:eastAsiaTheme="minorEastAsia" w:cstheme="minorEastAsia"/>
                <w:color w:val="auto"/>
                <w:sz w:val="24"/>
                <w:szCs w:val="24"/>
                <w:shd w:val="clear" w:color="auto" w:fill="FFFFFF"/>
                <w:lang w:val="en-US" w:eastAsia="zh-CN"/>
              </w:rPr>
            </w:pPr>
            <w:r>
              <w:rPr>
                <w:rFonts w:hint="eastAsia" w:asciiTheme="minorEastAsia" w:hAnsiTheme="minorEastAsia" w:eastAsiaTheme="minorEastAsia" w:cstheme="minorEastAsia"/>
                <w:color w:val="auto"/>
                <w:sz w:val="24"/>
                <w:szCs w:val="24"/>
                <w:shd w:val="clear" w:color="auto" w:fill="FFFFFF"/>
                <w:lang w:val="en-US" w:eastAsia="zh-CN"/>
              </w:rPr>
              <w:t>1400000</w:t>
            </w:r>
          </w:p>
        </w:tc>
        <w:tc>
          <w:tcPr>
            <w:tcW w:w="1134" w:type="dxa"/>
            <w:tcBorders>
              <w:top w:val="single" w:color="auto" w:sz="4" w:space="0"/>
              <w:left w:val="nil"/>
              <w:bottom w:val="single" w:color="auto" w:sz="4" w:space="0"/>
              <w:right w:val="single" w:color="auto" w:sz="4" w:space="0"/>
            </w:tcBorders>
            <w:vAlign w:val="center"/>
          </w:tcPr>
          <w:p w14:paraId="6CDD2B89">
            <w:pPr>
              <w:widowControl/>
              <w:ind w:firstLine="0" w:firstLineChars="0"/>
              <w:jc w:val="center"/>
              <w:rPr>
                <w:rFonts w:hint="eastAsia" w:asciiTheme="minorEastAsia" w:hAnsiTheme="minorEastAsia" w:eastAsiaTheme="minorEastAsia" w:cstheme="minorEastAsia"/>
                <w:color w:val="auto"/>
                <w:sz w:val="24"/>
                <w:szCs w:val="24"/>
                <w:shd w:val="clear" w:color="auto" w:fill="FFFFFF"/>
                <w:lang w:val="en-US" w:eastAsia="zh-CN"/>
              </w:rPr>
            </w:pPr>
            <w:r>
              <w:rPr>
                <w:rFonts w:hint="eastAsia" w:asciiTheme="minorEastAsia" w:hAnsiTheme="minorEastAsia" w:eastAsiaTheme="minorEastAsia" w:cstheme="minorEastAsia"/>
                <w:color w:val="auto"/>
                <w:sz w:val="24"/>
                <w:szCs w:val="24"/>
                <w:shd w:val="clear" w:color="auto" w:fill="FFFFFF"/>
                <w:lang w:val="en-US" w:eastAsia="zh-CN"/>
              </w:rPr>
              <w:t>页</w:t>
            </w:r>
          </w:p>
        </w:tc>
        <w:tc>
          <w:tcPr>
            <w:tcW w:w="1237" w:type="dxa"/>
            <w:tcBorders>
              <w:top w:val="single" w:color="auto" w:sz="4" w:space="0"/>
              <w:left w:val="nil"/>
              <w:bottom w:val="single" w:color="auto" w:sz="4" w:space="0"/>
              <w:right w:val="single" w:color="auto" w:sz="4" w:space="0"/>
            </w:tcBorders>
            <w:vAlign w:val="center"/>
          </w:tcPr>
          <w:p w14:paraId="4B8DD6FE">
            <w:pPr>
              <w:widowControl/>
              <w:ind w:firstLine="0" w:firstLineChars="0"/>
              <w:jc w:val="center"/>
              <w:rPr>
                <w:rFonts w:hint="eastAsia" w:asciiTheme="minorEastAsia" w:hAnsiTheme="minorEastAsia" w:eastAsiaTheme="minorEastAsia" w:cstheme="minorEastAsia"/>
                <w:color w:val="auto"/>
                <w:sz w:val="24"/>
                <w:szCs w:val="24"/>
              </w:rPr>
            </w:pPr>
          </w:p>
        </w:tc>
        <w:tc>
          <w:tcPr>
            <w:tcW w:w="1350" w:type="dxa"/>
            <w:tcBorders>
              <w:top w:val="single" w:color="auto" w:sz="4" w:space="0"/>
              <w:left w:val="nil"/>
              <w:bottom w:val="single" w:color="auto" w:sz="4" w:space="0"/>
              <w:right w:val="single" w:color="auto" w:sz="4" w:space="0"/>
            </w:tcBorders>
            <w:vAlign w:val="center"/>
          </w:tcPr>
          <w:p w14:paraId="2F3283F1">
            <w:pPr>
              <w:widowControl/>
              <w:ind w:firstLine="0" w:firstLineChars="0"/>
              <w:jc w:val="center"/>
              <w:rPr>
                <w:rFonts w:hint="eastAsia" w:asciiTheme="minorEastAsia" w:hAnsiTheme="minorEastAsia" w:eastAsiaTheme="minorEastAsia" w:cstheme="minorEastAsia"/>
                <w:color w:val="auto"/>
                <w:sz w:val="24"/>
                <w:szCs w:val="24"/>
              </w:rPr>
            </w:pPr>
          </w:p>
        </w:tc>
      </w:tr>
      <w:tr w14:paraId="12C4B968">
        <w:tblPrEx>
          <w:tblCellMar>
            <w:top w:w="0" w:type="dxa"/>
            <w:left w:w="108" w:type="dxa"/>
            <w:bottom w:w="0" w:type="dxa"/>
            <w:right w:w="108" w:type="dxa"/>
          </w:tblCellMar>
        </w:tblPrEx>
        <w:trPr>
          <w:trHeight w:val="607" w:hRule="atLeast"/>
          <w:jc w:val="center"/>
        </w:trPr>
        <w:tc>
          <w:tcPr>
            <w:tcW w:w="9203" w:type="dxa"/>
            <w:gridSpan w:val="6"/>
            <w:tcBorders>
              <w:top w:val="nil"/>
              <w:left w:val="single" w:color="auto" w:sz="4" w:space="0"/>
              <w:bottom w:val="single" w:color="auto" w:sz="4" w:space="0"/>
              <w:right w:val="single" w:color="auto" w:sz="4" w:space="0"/>
            </w:tcBorders>
            <w:noWrap/>
            <w:vAlign w:val="center"/>
          </w:tcPr>
          <w:p w14:paraId="346B2E76">
            <w:pPr>
              <w:widowControl/>
              <w:ind w:firstLine="720" w:firstLineChars="3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 xml:space="preserve">投标总价：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（大写），    （小写）</w:t>
            </w:r>
          </w:p>
        </w:tc>
      </w:tr>
    </w:tbl>
    <w:p w14:paraId="3D7B2EAA">
      <w:pPr>
        <w:rPr>
          <w:rFonts w:hint="eastAsia" w:eastAsia="宋体"/>
          <w:color w:val="auto"/>
          <w:highlight w:val="none"/>
          <w:lang w:eastAsia="zh-CN"/>
        </w:rPr>
      </w:pPr>
    </w:p>
    <w:p w14:paraId="7DEBA08B">
      <w:pPr>
        <w:snapToGrid w:val="0"/>
        <w:spacing w:before="50" w:after="50" w:line="360" w:lineRule="auto"/>
        <w:ind w:firstLine="240" w:firstLineChars="100"/>
        <w:rPr>
          <w:rFonts w:hint="eastAsia" w:ascii="宋体" w:hAnsi="宋体"/>
          <w:color w:val="auto"/>
          <w:sz w:val="24"/>
          <w:highlight w:val="none"/>
        </w:rPr>
      </w:pPr>
      <w:r>
        <w:rPr>
          <w:rFonts w:hint="eastAsia"/>
          <w:color w:val="auto"/>
          <w:sz w:val="24"/>
          <w:szCs w:val="24"/>
          <w:highlight w:val="none"/>
          <w:lang w:eastAsia="zh-CN"/>
        </w:rPr>
        <w:t>注：</w:t>
      </w:r>
      <w:r>
        <w:rPr>
          <w:rFonts w:hint="eastAsia"/>
          <w:color w:val="auto"/>
          <w:sz w:val="24"/>
          <w:szCs w:val="24"/>
          <w:highlight w:val="none"/>
        </w:rPr>
        <w:t>以上“投标总价”应与“开标一览表”中的“总报价”数相一致</w:t>
      </w:r>
    </w:p>
    <w:p w14:paraId="474E25D5">
      <w:pPr>
        <w:snapToGrid w:val="0"/>
        <w:spacing w:before="50" w:after="50" w:line="360" w:lineRule="auto"/>
        <w:rPr>
          <w:rFonts w:hint="eastAsia" w:ascii="宋体" w:hAnsi="宋体"/>
          <w:color w:val="auto"/>
          <w:sz w:val="24"/>
          <w:highlight w:val="none"/>
        </w:rPr>
      </w:pPr>
    </w:p>
    <w:p w14:paraId="11BDDF5E">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24068B65">
      <w:pPr>
        <w:pStyle w:val="967"/>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44DF3CEF">
      <w:pPr>
        <w:rPr>
          <w:rFonts w:hint="eastAsia" w:eastAsia="宋体"/>
          <w:color w:val="auto"/>
          <w:highlight w:val="none"/>
          <w:lang w:eastAsia="zh-CN"/>
        </w:rPr>
      </w:pPr>
      <w:r>
        <w:rPr>
          <w:rFonts w:hint="eastAsia" w:hAnsi="宋体" w:cs="宋体"/>
          <w:color w:val="auto"/>
          <w:sz w:val="24"/>
          <w:highlight w:val="none"/>
        </w:rPr>
        <w:t>日期：_____年____月____日</w:t>
      </w:r>
    </w:p>
    <w:sectPr>
      <w:headerReference r:id="rId9" w:type="first"/>
      <w:footerReference r:id="rId11" w:type="first"/>
      <w:headerReference r:id="rId8" w:type="default"/>
      <w:footerReference r:id="rId10" w:type="default"/>
      <w:pgSz w:w="11906"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17D61">
    <w:pPr>
      <w:pStyle w:val="43"/>
      <w:framePr w:wrap="around" w:vAnchor="text" w:hAnchor="margin" w:xAlign="right" w:y="1"/>
      <w:rPr>
        <w:rStyle w:val="74"/>
      </w:rPr>
    </w:pPr>
    <w:r>
      <w:fldChar w:fldCharType="begin"/>
    </w:r>
    <w:r>
      <w:rPr>
        <w:rStyle w:val="74"/>
      </w:rPr>
      <w:instrText xml:space="preserve">PAGE  </w:instrText>
    </w:r>
    <w:r>
      <w:fldChar w:fldCharType="end"/>
    </w:r>
  </w:p>
  <w:p w14:paraId="6EAF16B6">
    <w:pPr>
      <w:pStyle w:val="4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0C793">
    <w:pPr>
      <w:pStyle w:val="43"/>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454C2">
                          <w:pPr>
                            <w:pStyle w:val="4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3C454C2">
                    <w:pPr>
                      <w:pStyle w:val="4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64FC4">
    <w:pPr>
      <w:pStyle w:val="43"/>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FE52B">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E7FE52B">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9006">
    <w:pPr>
      <w:pStyle w:val="4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D65C2">
                          <w:pPr>
                            <w:pStyle w:val="4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12D65C2">
                    <w:pPr>
                      <w:pStyle w:val="4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p w14:paraId="2B671033">
    <w:pPr>
      <w:pStyle w:val="4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41568">
    <w:pPr>
      <w:pStyle w:val="43"/>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9A1B7">
                          <w:pPr>
                            <w:pStyle w:val="43"/>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109A1B7">
                    <w:pPr>
                      <w:pStyle w:val="43"/>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18B63">
    <w:pPr>
      <w:pStyle w:val="43"/>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C98D3">
                          <w:pPr>
                            <w:pStyle w:val="43"/>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CEC98D3">
                    <w:pPr>
                      <w:pStyle w:val="43"/>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C84B8">
    <w:pPr>
      <w:pStyle w:val="62"/>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2EE40">
    <w:pPr>
      <w:pStyle w:val="44"/>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4879A">
    <w:pPr>
      <w:pStyle w:val="44"/>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98E8C"/>
    <w:multiLevelType w:val="singleLevel"/>
    <w:tmpl w:val="8D098E8C"/>
    <w:lvl w:ilvl="0" w:tentative="0">
      <w:start w:val="1"/>
      <w:numFmt w:val="decimal"/>
      <w:suff w:val="nothing"/>
      <w:lvlText w:val="%1、"/>
      <w:lvlJc w:val="left"/>
    </w:lvl>
  </w:abstractNum>
  <w:abstractNum w:abstractNumId="1">
    <w:nsid w:val="9139E8E3"/>
    <w:multiLevelType w:val="singleLevel"/>
    <w:tmpl w:val="9139E8E3"/>
    <w:lvl w:ilvl="0" w:tentative="0">
      <w:start w:val="2"/>
      <w:numFmt w:val="chineseCounting"/>
      <w:suff w:val="nothing"/>
      <w:lvlText w:val="%1、"/>
      <w:lvlJc w:val="left"/>
      <w:rPr>
        <w:rFonts w:hint="eastAsia"/>
      </w:rPr>
    </w:lvl>
  </w:abstractNum>
  <w:abstractNum w:abstractNumId="2">
    <w:nsid w:val="B5CA3B46"/>
    <w:multiLevelType w:val="singleLevel"/>
    <w:tmpl w:val="B5CA3B46"/>
    <w:lvl w:ilvl="0" w:tentative="0">
      <w:start w:val="6"/>
      <w:numFmt w:val="chineseCounting"/>
      <w:suff w:val="nothing"/>
      <w:lvlText w:val="第%1章　"/>
      <w:lvlJc w:val="left"/>
      <w:rPr>
        <w:rFonts w:hint="eastAsia"/>
      </w:rPr>
    </w:lvl>
  </w:abstractNum>
  <w:abstractNum w:abstractNumId="3">
    <w:nsid w:val="BC792504"/>
    <w:multiLevelType w:val="singleLevel"/>
    <w:tmpl w:val="BC792504"/>
    <w:lvl w:ilvl="0" w:tentative="0">
      <w:start w:val="2"/>
      <w:numFmt w:val="chineseCounting"/>
      <w:suff w:val="space"/>
      <w:lvlText w:val="第%1章"/>
      <w:lvlJc w:val="left"/>
      <w:rPr>
        <w:rFonts w:hint="eastAsia"/>
      </w:rPr>
    </w:lvl>
  </w:abstractNum>
  <w:abstractNum w:abstractNumId="4">
    <w:nsid w:val="12973361"/>
    <w:multiLevelType w:val="singleLevel"/>
    <w:tmpl w:val="12973361"/>
    <w:lvl w:ilvl="0" w:tentative="0">
      <w:start w:val="1"/>
      <w:numFmt w:val="decimal"/>
      <w:suff w:val="space"/>
      <w:lvlText w:val="%1."/>
      <w:lvlJc w:val="left"/>
    </w:lvl>
  </w:abstractNum>
  <w:abstractNum w:abstractNumId="5">
    <w:nsid w:val="31C2147C"/>
    <w:multiLevelType w:val="multilevel"/>
    <w:tmpl w:val="31C2147C"/>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6">
    <w:nsid w:val="396403C6"/>
    <w:multiLevelType w:val="multilevel"/>
    <w:tmpl w:val="396403C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02F11D9"/>
    <w:multiLevelType w:val="multilevel"/>
    <w:tmpl w:val="402F11D9"/>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D804704"/>
    <w:multiLevelType w:val="singleLevel"/>
    <w:tmpl w:val="5D804704"/>
    <w:lvl w:ilvl="0" w:tentative="0">
      <w:start w:val="1"/>
      <w:numFmt w:val="chineseCounting"/>
      <w:suff w:val="nothing"/>
      <w:lvlText w:val="%1、"/>
      <w:lvlJc w:val="left"/>
    </w:lvl>
  </w:abstractNum>
  <w:abstractNum w:abstractNumId="9">
    <w:nsid w:val="5D804826"/>
    <w:multiLevelType w:val="singleLevel"/>
    <w:tmpl w:val="5D804826"/>
    <w:lvl w:ilvl="0" w:tentative="0">
      <w:start w:val="1"/>
      <w:numFmt w:val="decimal"/>
      <w:suff w:val="nothing"/>
      <w:lvlText w:val="%1."/>
      <w:lvlJc w:val="left"/>
    </w:lvl>
  </w:abstractNum>
  <w:num w:numId="1">
    <w:abstractNumId w:val="3"/>
  </w:num>
  <w:num w:numId="2">
    <w:abstractNumId w:val="1"/>
  </w:num>
  <w:num w:numId="3">
    <w:abstractNumId w:val="8"/>
  </w:num>
  <w:num w:numId="4">
    <w:abstractNumId w:val="7"/>
  </w:num>
  <w:num w:numId="5">
    <w:abstractNumId w:val="5"/>
  </w:num>
  <w:num w:numId="6">
    <w:abstractNumId w:val="6"/>
  </w:num>
  <w:num w:numId="7">
    <w:abstractNumId w:val="9"/>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026"/>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C2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EDE"/>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8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46D"/>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6"/>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C7E"/>
    <w:rsid w:val="004A6D2C"/>
    <w:rsid w:val="004B026C"/>
    <w:rsid w:val="004B0271"/>
    <w:rsid w:val="004B0BE8"/>
    <w:rsid w:val="004B0E4A"/>
    <w:rsid w:val="004B18F4"/>
    <w:rsid w:val="004B1A98"/>
    <w:rsid w:val="004B2463"/>
    <w:rsid w:val="004B2E9D"/>
    <w:rsid w:val="004B305F"/>
    <w:rsid w:val="004B34C4"/>
    <w:rsid w:val="004B34E8"/>
    <w:rsid w:val="004B3693"/>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342"/>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3D78"/>
    <w:rsid w:val="006B4CF8"/>
    <w:rsid w:val="006B506B"/>
    <w:rsid w:val="006B54E8"/>
    <w:rsid w:val="006B5FBC"/>
    <w:rsid w:val="006B6ED2"/>
    <w:rsid w:val="006B7F74"/>
    <w:rsid w:val="006C0230"/>
    <w:rsid w:val="006C05C7"/>
    <w:rsid w:val="006C064E"/>
    <w:rsid w:val="006C25AB"/>
    <w:rsid w:val="006C2DA6"/>
    <w:rsid w:val="006C3581"/>
    <w:rsid w:val="006C39A0"/>
    <w:rsid w:val="006C3EFE"/>
    <w:rsid w:val="006C46C7"/>
    <w:rsid w:val="006C4767"/>
    <w:rsid w:val="006C4A1A"/>
    <w:rsid w:val="006C4D02"/>
    <w:rsid w:val="006C53A4"/>
    <w:rsid w:val="006C54DF"/>
    <w:rsid w:val="006C5A2E"/>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98"/>
    <w:rsid w:val="00712BDD"/>
    <w:rsid w:val="00712E1E"/>
    <w:rsid w:val="00712F37"/>
    <w:rsid w:val="0071308B"/>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E10"/>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D4"/>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F68"/>
    <w:rsid w:val="007D03BC"/>
    <w:rsid w:val="007D0DC9"/>
    <w:rsid w:val="007D0ECD"/>
    <w:rsid w:val="007D2882"/>
    <w:rsid w:val="007D296C"/>
    <w:rsid w:val="007D2C31"/>
    <w:rsid w:val="007D2E50"/>
    <w:rsid w:val="007D3D74"/>
    <w:rsid w:val="007D445F"/>
    <w:rsid w:val="007D4DED"/>
    <w:rsid w:val="007D51DC"/>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754"/>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4A4"/>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75E"/>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0E0"/>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C6B"/>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D3"/>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37A"/>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DB0"/>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1B4"/>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9F8"/>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0DA6"/>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3E89"/>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584"/>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87819"/>
    <w:rsid w:val="011A18EF"/>
    <w:rsid w:val="011F6449"/>
    <w:rsid w:val="01236AFB"/>
    <w:rsid w:val="01321819"/>
    <w:rsid w:val="013D1A7E"/>
    <w:rsid w:val="0155173E"/>
    <w:rsid w:val="019628C6"/>
    <w:rsid w:val="019F7441"/>
    <w:rsid w:val="01A319FB"/>
    <w:rsid w:val="01B37585"/>
    <w:rsid w:val="01CE68EB"/>
    <w:rsid w:val="01D55165"/>
    <w:rsid w:val="01DF6BF8"/>
    <w:rsid w:val="01EC2C57"/>
    <w:rsid w:val="01F11CD4"/>
    <w:rsid w:val="01F176F8"/>
    <w:rsid w:val="02151639"/>
    <w:rsid w:val="022B2C0A"/>
    <w:rsid w:val="026B2E25"/>
    <w:rsid w:val="02734700"/>
    <w:rsid w:val="02824D4D"/>
    <w:rsid w:val="028E5F70"/>
    <w:rsid w:val="02C46BBB"/>
    <w:rsid w:val="02C939CD"/>
    <w:rsid w:val="02DC4B10"/>
    <w:rsid w:val="02DD76CE"/>
    <w:rsid w:val="02F36323"/>
    <w:rsid w:val="02F5619C"/>
    <w:rsid w:val="030C3FC2"/>
    <w:rsid w:val="0326446A"/>
    <w:rsid w:val="032D5555"/>
    <w:rsid w:val="036634D2"/>
    <w:rsid w:val="037A0CE5"/>
    <w:rsid w:val="037B371D"/>
    <w:rsid w:val="03B77F2C"/>
    <w:rsid w:val="03DD35E4"/>
    <w:rsid w:val="04076900"/>
    <w:rsid w:val="041A5A3B"/>
    <w:rsid w:val="042311BA"/>
    <w:rsid w:val="04267B2D"/>
    <w:rsid w:val="042B157A"/>
    <w:rsid w:val="04352F11"/>
    <w:rsid w:val="0489330B"/>
    <w:rsid w:val="048F763B"/>
    <w:rsid w:val="049F330E"/>
    <w:rsid w:val="04AA775C"/>
    <w:rsid w:val="04AF1889"/>
    <w:rsid w:val="04CA06D2"/>
    <w:rsid w:val="04EC6475"/>
    <w:rsid w:val="04F66F48"/>
    <w:rsid w:val="05251E14"/>
    <w:rsid w:val="0533087A"/>
    <w:rsid w:val="054B2EBB"/>
    <w:rsid w:val="05541A7D"/>
    <w:rsid w:val="05A16594"/>
    <w:rsid w:val="05A7762D"/>
    <w:rsid w:val="06011897"/>
    <w:rsid w:val="060E5941"/>
    <w:rsid w:val="06110FAF"/>
    <w:rsid w:val="06493CA7"/>
    <w:rsid w:val="065A6178"/>
    <w:rsid w:val="066F1CF3"/>
    <w:rsid w:val="06832EA6"/>
    <w:rsid w:val="06930BB8"/>
    <w:rsid w:val="06C62918"/>
    <w:rsid w:val="06DC1F3F"/>
    <w:rsid w:val="07165DDE"/>
    <w:rsid w:val="07245D42"/>
    <w:rsid w:val="07264C62"/>
    <w:rsid w:val="075D5951"/>
    <w:rsid w:val="076D5C61"/>
    <w:rsid w:val="077855B9"/>
    <w:rsid w:val="0779354C"/>
    <w:rsid w:val="079F6195"/>
    <w:rsid w:val="07C17D1A"/>
    <w:rsid w:val="07D15156"/>
    <w:rsid w:val="08061376"/>
    <w:rsid w:val="080D354F"/>
    <w:rsid w:val="082A6473"/>
    <w:rsid w:val="083833CC"/>
    <w:rsid w:val="08452D77"/>
    <w:rsid w:val="084C789E"/>
    <w:rsid w:val="086401F8"/>
    <w:rsid w:val="086B6DF8"/>
    <w:rsid w:val="08751CAA"/>
    <w:rsid w:val="08762585"/>
    <w:rsid w:val="087E4C40"/>
    <w:rsid w:val="08AA4CC9"/>
    <w:rsid w:val="08D63C3F"/>
    <w:rsid w:val="08D66AD6"/>
    <w:rsid w:val="08DA33A3"/>
    <w:rsid w:val="08E80F13"/>
    <w:rsid w:val="092B34F0"/>
    <w:rsid w:val="09335624"/>
    <w:rsid w:val="093D097C"/>
    <w:rsid w:val="0944690F"/>
    <w:rsid w:val="09535675"/>
    <w:rsid w:val="095F057D"/>
    <w:rsid w:val="09642282"/>
    <w:rsid w:val="096B2247"/>
    <w:rsid w:val="09733572"/>
    <w:rsid w:val="09772C16"/>
    <w:rsid w:val="09774987"/>
    <w:rsid w:val="097806ED"/>
    <w:rsid w:val="098353B5"/>
    <w:rsid w:val="09A92330"/>
    <w:rsid w:val="09B06B87"/>
    <w:rsid w:val="09C13146"/>
    <w:rsid w:val="09C430F7"/>
    <w:rsid w:val="09E04166"/>
    <w:rsid w:val="0A1C0718"/>
    <w:rsid w:val="0A2A19F9"/>
    <w:rsid w:val="0A2E2D1E"/>
    <w:rsid w:val="0A384D1A"/>
    <w:rsid w:val="0A3E7710"/>
    <w:rsid w:val="0A5B7E63"/>
    <w:rsid w:val="0A5C3149"/>
    <w:rsid w:val="0A694238"/>
    <w:rsid w:val="0A7725A3"/>
    <w:rsid w:val="0A826F07"/>
    <w:rsid w:val="0A8A7C8B"/>
    <w:rsid w:val="0AA374A5"/>
    <w:rsid w:val="0AA51080"/>
    <w:rsid w:val="0AAB7649"/>
    <w:rsid w:val="0ABC5606"/>
    <w:rsid w:val="0AE012BD"/>
    <w:rsid w:val="0AE32AA0"/>
    <w:rsid w:val="0B012ED1"/>
    <w:rsid w:val="0B2E376B"/>
    <w:rsid w:val="0B30404E"/>
    <w:rsid w:val="0B4C6C14"/>
    <w:rsid w:val="0B631A88"/>
    <w:rsid w:val="0B683D45"/>
    <w:rsid w:val="0B7F3F11"/>
    <w:rsid w:val="0B7F3FC7"/>
    <w:rsid w:val="0B884417"/>
    <w:rsid w:val="0B973B9D"/>
    <w:rsid w:val="0BBA4FFF"/>
    <w:rsid w:val="0BDE0321"/>
    <w:rsid w:val="0BF6188C"/>
    <w:rsid w:val="0BF64210"/>
    <w:rsid w:val="0BF73C91"/>
    <w:rsid w:val="0C020E7E"/>
    <w:rsid w:val="0C0E5D5C"/>
    <w:rsid w:val="0C170175"/>
    <w:rsid w:val="0C480CD6"/>
    <w:rsid w:val="0C571A41"/>
    <w:rsid w:val="0C5C1171"/>
    <w:rsid w:val="0C5E1CBC"/>
    <w:rsid w:val="0C615B50"/>
    <w:rsid w:val="0C8445DA"/>
    <w:rsid w:val="0C87121B"/>
    <w:rsid w:val="0CA4214E"/>
    <w:rsid w:val="0CBA4FBD"/>
    <w:rsid w:val="0CC007F7"/>
    <w:rsid w:val="0CD60B29"/>
    <w:rsid w:val="0CD90B79"/>
    <w:rsid w:val="0CDB1229"/>
    <w:rsid w:val="0CFE707A"/>
    <w:rsid w:val="0D063BDA"/>
    <w:rsid w:val="0D08375F"/>
    <w:rsid w:val="0D184CFB"/>
    <w:rsid w:val="0D1A7341"/>
    <w:rsid w:val="0D1E7791"/>
    <w:rsid w:val="0D4A7419"/>
    <w:rsid w:val="0D59288C"/>
    <w:rsid w:val="0D827401"/>
    <w:rsid w:val="0D84094E"/>
    <w:rsid w:val="0D8A00E9"/>
    <w:rsid w:val="0D8D589E"/>
    <w:rsid w:val="0DA01C73"/>
    <w:rsid w:val="0DD63300"/>
    <w:rsid w:val="0DE978E6"/>
    <w:rsid w:val="0DF50604"/>
    <w:rsid w:val="0DF702FE"/>
    <w:rsid w:val="0E0002FB"/>
    <w:rsid w:val="0E060E51"/>
    <w:rsid w:val="0E550E35"/>
    <w:rsid w:val="0E5604B2"/>
    <w:rsid w:val="0E5E6115"/>
    <w:rsid w:val="0E6D5D79"/>
    <w:rsid w:val="0E9D0089"/>
    <w:rsid w:val="0EB803EE"/>
    <w:rsid w:val="0EE926B8"/>
    <w:rsid w:val="0EF94D4B"/>
    <w:rsid w:val="0EFD4EA0"/>
    <w:rsid w:val="0F285729"/>
    <w:rsid w:val="0F4958DC"/>
    <w:rsid w:val="0F4B0B32"/>
    <w:rsid w:val="0F515DF7"/>
    <w:rsid w:val="0F596BA8"/>
    <w:rsid w:val="0F6248D2"/>
    <w:rsid w:val="0F693536"/>
    <w:rsid w:val="0F7554C5"/>
    <w:rsid w:val="0F7B0511"/>
    <w:rsid w:val="0F7B76D9"/>
    <w:rsid w:val="0F816ACD"/>
    <w:rsid w:val="0F9832DB"/>
    <w:rsid w:val="0FBF3FD2"/>
    <w:rsid w:val="0FBF7FF3"/>
    <w:rsid w:val="0FE73EE9"/>
    <w:rsid w:val="0FF00688"/>
    <w:rsid w:val="0FF30ADF"/>
    <w:rsid w:val="10043AE6"/>
    <w:rsid w:val="10505D41"/>
    <w:rsid w:val="10646583"/>
    <w:rsid w:val="107D4B15"/>
    <w:rsid w:val="107D65A4"/>
    <w:rsid w:val="108A3C80"/>
    <w:rsid w:val="10AA73F0"/>
    <w:rsid w:val="10C26171"/>
    <w:rsid w:val="10E03134"/>
    <w:rsid w:val="10F33360"/>
    <w:rsid w:val="10F35816"/>
    <w:rsid w:val="10FC16EA"/>
    <w:rsid w:val="110F1D40"/>
    <w:rsid w:val="11266F33"/>
    <w:rsid w:val="11507B96"/>
    <w:rsid w:val="11525A28"/>
    <w:rsid w:val="115343AE"/>
    <w:rsid w:val="118963A1"/>
    <w:rsid w:val="11916802"/>
    <w:rsid w:val="11C6522A"/>
    <w:rsid w:val="11DC71F8"/>
    <w:rsid w:val="11E104CC"/>
    <w:rsid w:val="11E20309"/>
    <w:rsid w:val="121D0989"/>
    <w:rsid w:val="12255233"/>
    <w:rsid w:val="122816D4"/>
    <w:rsid w:val="12481F28"/>
    <w:rsid w:val="124F64A1"/>
    <w:rsid w:val="12530213"/>
    <w:rsid w:val="12665599"/>
    <w:rsid w:val="12723F3D"/>
    <w:rsid w:val="127723A9"/>
    <w:rsid w:val="12862074"/>
    <w:rsid w:val="12883966"/>
    <w:rsid w:val="129E45B4"/>
    <w:rsid w:val="12AA761C"/>
    <w:rsid w:val="12CE02E9"/>
    <w:rsid w:val="12D81596"/>
    <w:rsid w:val="12E23E98"/>
    <w:rsid w:val="13072A44"/>
    <w:rsid w:val="131B2827"/>
    <w:rsid w:val="132502C8"/>
    <w:rsid w:val="135F4BE2"/>
    <w:rsid w:val="139B1A0A"/>
    <w:rsid w:val="139D25C7"/>
    <w:rsid w:val="13BF3CE4"/>
    <w:rsid w:val="13C42FAC"/>
    <w:rsid w:val="13E23345"/>
    <w:rsid w:val="13E34051"/>
    <w:rsid w:val="14043309"/>
    <w:rsid w:val="141008D8"/>
    <w:rsid w:val="14125FE6"/>
    <w:rsid w:val="14165B51"/>
    <w:rsid w:val="146D271E"/>
    <w:rsid w:val="14982588"/>
    <w:rsid w:val="14991C55"/>
    <w:rsid w:val="149A5AD9"/>
    <w:rsid w:val="14A03F0D"/>
    <w:rsid w:val="14A7619D"/>
    <w:rsid w:val="14BE3364"/>
    <w:rsid w:val="14C8320F"/>
    <w:rsid w:val="14EA71B5"/>
    <w:rsid w:val="14F06FC3"/>
    <w:rsid w:val="14F30520"/>
    <w:rsid w:val="150536C3"/>
    <w:rsid w:val="150C1963"/>
    <w:rsid w:val="151447A0"/>
    <w:rsid w:val="15194B44"/>
    <w:rsid w:val="154A6454"/>
    <w:rsid w:val="15613E68"/>
    <w:rsid w:val="15762120"/>
    <w:rsid w:val="15892CDA"/>
    <w:rsid w:val="15C301DF"/>
    <w:rsid w:val="15D77B9E"/>
    <w:rsid w:val="163E55E1"/>
    <w:rsid w:val="166A18FC"/>
    <w:rsid w:val="169F2681"/>
    <w:rsid w:val="16A50D85"/>
    <w:rsid w:val="16A8729C"/>
    <w:rsid w:val="16B33777"/>
    <w:rsid w:val="16BC70A7"/>
    <w:rsid w:val="16C6339E"/>
    <w:rsid w:val="172F2D79"/>
    <w:rsid w:val="17557BEF"/>
    <w:rsid w:val="17984446"/>
    <w:rsid w:val="179E6FD7"/>
    <w:rsid w:val="17A7720B"/>
    <w:rsid w:val="17D349C1"/>
    <w:rsid w:val="17D56578"/>
    <w:rsid w:val="17FC6283"/>
    <w:rsid w:val="1830729E"/>
    <w:rsid w:val="186E4F56"/>
    <w:rsid w:val="1870062C"/>
    <w:rsid w:val="187F5606"/>
    <w:rsid w:val="18817102"/>
    <w:rsid w:val="18830A15"/>
    <w:rsid w:val="18852B28"/>
    <w:rsid w:val="188B5321"/>
    <w:rsid w:val="18A94431"/>
    <w:rsid w:val="18AD308A"/>
    <w:rsid w:val="18DF7E53"/>
    <w:rsid w:val="19137AFC"/>
    <w:rsid w:val="191D01AA"/>
    <w:rsid w:val="197E766C"/>
    <w:rsid w:val="19932372"/>
    <w:rsid w:val="199B1288"/>
    <w:rsid w:val="19A20DD5"/>
    <w:rsid w:val="19AE03F1"/>
    <w:rsid w:val="19BE1321"/>
    <w:rsid w:val="19C914F1"/>
    <w:rsid w:val="19E97D73"/>
    <w:rsid w:val="1A071A03"/>
    <w:rsid w:val="1A1F16AE"/>
    <w:rsid w:val="1A2057C6"/>
    <w:rsid w:val="1A3B5C77"/>
    <w:rsid w:val="1A4062D0"/>
    <w:rsid w:val="1A8D1BED"/>
    <w:rsid w:val="1A8E207F"/>
    <w:rsid w:val="1A984BAD"/>
    <w:rsid w:val="1AAC1FB7"/>
    <w:rsid w:val="1AB8220E"/>
    <w:rsid w:val="1ABD2708"/>
    <w:rsid w:val="1ADC0F2F"/>
    <w:rsid w:val="1AE4166C"/>
    <w:rsid w:val="1AF06CFB"/>
    <w:rsid w:val="1AF11B8D"/>
    <w:rsid w:val="1B11359C"/>
    <w:rsid w:val="1B2A271F"/>
    <w:rsid w:val="1B2B7803"/>
    <w:rsid w:val="1B530544"/>
    <w:rsid w:val="1B5508A0"/>
    <w:rsid w:val="1B591FEF"/>
    <w:rsid w:val="1B713184"/>
    <w:rsid w:val="1BA209CF"/>
    <w:rsid w:val="1BB20793"/>
    <w:rsid w:val="1BB4777D"/>
    <w:rsid w:val="1BD75AB8"/>
    <w:rsid w:val="1BE12F50"/>
    <w:rsid w:val="1BFF21EA"/>
    <w:rsid w:val="1C0459C2"/>
    <w:rsid w:val="1C1B3B4A"/>
    <w:rsid w:val="1C88086E"/>
    <w:rsid w:val="1D266CE1"/>
    <w:rsid w:val="1D3963AF"/>
    <w:rsid w:val="1D6A673C"/>
    <w:rsid w:val="1D9247AE"/>
    <w:rsid w:val="1DAE4D97"/>
    <w:rsid w:val="1DB567EC"/>
    <w:rsid w:val="1DBF7FCB"/>
    <w:rsid w:val="1DC57B03"/>
    <w:rsid w:val="1DF51A98"/>
    <w:rsid w:val="1DFE0D7B"/>
    <w:rsid w:val="1E300367"/>
    <w:rsid w:val="1E3D060F"/>
    <w:rsid w:val="1E3D60DD"/>
    <w:rsid w:val="1E3F7D2E"/>
    <w:rsid w:val="1E4134E4"/>
    <w:rsid w:val="1E5062B3"/>
    <w:rsid w:val="1E523514"/>
    <w:rsid w:val="1E593358"/>
    <w:rsid w:val="1E686B46"/>
    <w:rsid w:val="1E714A66"/>
    <w:rsid w:val="1E802593"/>
    <w:rsid w:val="1EA703CC"/>
    <w:rsid w:val="1EB7330C"/>
    <w:rsid w:val="1EF93289"/>
    <w:rsid w:val="1F0A0FF3"/>
    <w:rsid w:val="1F1A3255"/>
    <w:rsid w:val="1F5771FF"/>
    <w:rsid w:val="1F602E7C"/>
    <w:rsid w:val="1F745498"/>
    <w:rsid w:val="1FC91F88"/>
    <w:rsid w:val="1FDF32F5"/>
    <w:rsid w:val="1FE868A9"/>
    <w:rsid w:val="1FEE320F"/>
    <w:rsid w:val="20034907"/>
    <w:rsid w:val="20173E4B"/>
    <w:rsid w:val="20181590"/>
    <w:rsid w:val="20380D25"/>
    <w:rsid w:val="204E48BC"/>
    <w:rsid w:val="20631369"/>
    <w:rsid w:val="206801ED"/>
    <w:rsid w:val="207B66B3"/>
    <w:rsid w:val="207E2E19"/>
    <w:rsid w:val="208921B3"/>
    <w:rsid w:val="20973DEB"/>
    <w:rsid w:val="20AC592F"/>
    <w:rsid w:val="20B26522"/>
    <w:rsid w:val="20B44310"/>
    <w:rsid w:val="20DB5D96"/>
    <w:rsid w:val="211116EB"/>
    <w:rsid w:val="21431023"/>
    <w:rsid w:val="21503653"/>
    <w:rsid w:val="216133FC"/>
    <w:rsid w:val="2161415A"/>
    <w:rsid w:val="21B27333"/>
    <w:rsid w:val="21BC2207"/>
    <w:rsid w:val="21D56769"/>
    <w:rsid w:val="21E1669B"/>
    <w:rsid w:val="21E52EF3"/>
    <w:rsid w:val="21FB5D7B"/>
    <w:rsid w:val="220B1C3D"/>
    <w:rsid w:val="221D1D20"/>
    <w:rsid w:val="22334A87"/>
    <w:rsid w:val="223C04EC"/>
    <w:rsid w:val="224654C1"/>
    <w:rsid w:val="224F3E0C"/>
    <w:rsid w:val="22755FAC"/>
    <w:rsid w:val="22BE6801"/>
    <w:rsid w:val="22C1269A"/>
    <w:rsid w:val="22C26C62"/>
    <w:rsid w:val="233500BF"/>
    <w:rsid w:val="23377FF7"/>
    <w:rsid w:val="236B425F"/>
    <w:rsid w:val="2373197C"/>
    <w:rsid w:val="23836192"/>
    <w:rsid w:val="23901F29"/>
    <w:rsid w:val="239C0061"/>
    <w:rsid w:val="23A91BB2"/>
    <w:rsid w:val="23B908A4"/>
    <w:rsid w:val="23C30A9D"/>
    <w:rsid w:val="23E95BEF"/>
    <w:rsid w:val="23FD0064"/>
    <w:rsid w:val="24214D92"/>
    <w:rsid w:val="24285E12"/>
    <w:rsid w:val="245375B0"/>
    <w:rsid w:val="24642C0A"/>
    <w:rsid w:val="246D0A09"/>
    <w:rsid w:val="24B22173"/>
    <w:rsid w:val="24B95AD9"/>
    <w:rsid w:val="24BE0639"/>
    <w:rsid w:val="24BE24DA"/>
    <w:rsid w:val="24CF5825"/>
    <w:rsid w:val="24D34D10"/>
    <w:rsid w:val="24D663E6"/>
    <w:rsid w:val="24D77F2B"/>
    <w:rsid w:val="24DE5462"/>
    <w:rsid w:val="25530F16"/>
    <w:rsid w:val="258B00E2"/>
    <w:rsid w:val="258B7398"/>
    <w:rsid w:val="25A917A6"/>
    <w:rsid w:val="25BE27CC"/>
    <w:rsid w:val="25C004DD"/>
    <w:rsid w:val="25C7193F"/>
    <w:rsid w:val="25F74A5C"/>
    <w:rsid w:val="26172125"/>
    <w:rsid w:val="261C6242"/>
    <w:rsid w:val="2628662C"/>
    <w:rsid w:val="262D45DE"/>
    <w:rsid w:val="26471765"/>
    <w:rsid w:val="264A0EBF"/>
    <w:rsid w:val="264A61BF"/>
    <w:rsid w:val="2662090A"/>
    <w:rsid w:val="268D6829"/>
    <w:rsid w:val="26A53EF9"/>
    <w:rsid w:val="26A94201"/>
    <w:rsid w:val="26AC274F"/>
    <w:rsid w:val="26AC3A6A"/>
    <w:rsid w:val="26C30DB4"/>
    <w:rsid w:val="26F23D25"/>
    <w:rsid w:val="27044A29"/>
    <w:rsid w:val="27056071"/>
    <w:rsid w:val="270E63AA"/>
    <w:rsid w:val="271D34C8"/>
    <w:rsid w:val="2746464E"/>
    <w:rsid w:val="276142BF"/>
    <w:rsid w:val="276866FA"/>
    <w:rsid w:val="27783712"/>
    <w:rsid w:val="27907362"/>
    <w:rsid w:val="27BF771A"/>
    <w:rsid w:val="27C73204"/>
    <w:rsid w:val="27D0744D"/>
    <w:rsid w:val="27E965F8"/>
    <w:rsid w:val="27EE00B2"/>
    <w:rsid w:val="28333E1D"/>
    <w:rsid w:val="283C6C0F"/>
    <w:rsid w:val="28454BD6"/>
    <w:rsid w:val="28455253"/>
    <w:rsid w:val="28551971"/>
    <w:rsid w:val="285B1C53"/>
    <w:rsid w:val="2895356C"/>
    <w:rsid w:val="289F7086"/>
    <w:rsid w:val="28C32028"/>
    <w:rsid w:val="28C52950"/>
    <w:rsid w:val="28CC490F"/>
    <w:rsid w:val="28DE40AA"/>
    <w:rsid w:val="29345E77"/>
    <w:rsid w:val="294B0DAC"/>
    <w:rsid w:val="294C65AD"/>
    <w:rsid w:val="29806583"/>
    <w:rsid w:val="298B3C4C"/>
    <w:rsid w:val="29D54D29"/>
    <w:rsid w:val="29E90B31"/>
    <w:rsid w:val="29F26D24"/>
    <w:rsid w:val="2A027E45"/>
    <w:rsid w:val="2A054BA8"/>
    <w:rsid w:val="2A1170FC"/>
    <w:rsid w:val="2A15033F"/>
    <w:rsid w:val="2A155109"/>
    <w:rsid w:val="2A1662C1"/>
    <w:rsid w:val="2A1C7367"/>
    <w:rsid w:val="2A2815FA"/>
    <w:rsid w:val="2A314286"/>
    <w:rsid w:val="2A6D6092"/>
    <w:rsid w:val="2A7204D1"/>
    <w:rsid w:val="2A7D76B4"/>
    <w:rsid w:val="2ABD45AE"/>
    <w:rsid w:val="2AC70EDC"/>
    <w:rsid w:val="2B34709B"/>
    <w:rsid w:val="2B373B1E"/>
    <w:rsid w:val="2B437463"/>
    <w:rsid w:val="2B7807EE"/>
    <w:rsid w:val="2B945009"/>
    <w:rsid w:val="2BBF00EC"/>
    <w:rsid w:val="2BC37CFD"/>
    <w:rsid w:val="2BD5237F"/>
    <w:rsid w:val="2BE536CE"/>
    <w:rsid w:val="2BE758D9"/>
    <w:rsid w:val="2BE772F2"/>
    <w:rsid w:val="2C02412C"/>
    <w:rsid w:val="2C09049E"/>
    <w:rsid w:val="2C0A653C"/>
    <w:rsid w:val="2C191F85"/>
    <w:rsid w:val="2C4712C3"/>
    <w:rsid w:val="2C6000DA"/>
    <w:rsid w:val="2C856106"/>
    <w:rsid w:val="2C874F6F"/>
    <w:rsid w:val="2CA32A1F"/>
    <w:rsid w:val="2CE82D6F"/>
    <w:rsid w:val="2D343236"/>
    <w:rsid w:val="2D3C058E"/>
    <w:rsid w:val="2D5C086B"/>
    <w:rsid w:val="2D5D0739"/>
    <w:rsid w:val="2D823314"/>
    <w:rsid w:val="2D9078D1"/>
    <w:rsid w:val="2D9214E0"/>
    <w:rsid w:val="2DD1025A"/>
    <w:rsid w:val="2DD15014"/>
    <w:rsid w:val="2DF51922"/>
    <w:rsid w:val="2DF72DE4"/>
    <w:rsid w:val="2E0220AF"/>
    <w:rsid w:val="2E07472B"/>
    <w:rsid w:val="2E0E6DB8"/>
    <w:rsid w:val="2E455766"/>
    <w:rsid w:val="2E4B082A"/>
    <w:rsid w:val="2E5A1FFE"/>
    <w:rsid w:val="2E5D4E86"/>
    <w:rsid w:val="2E5D790B"/>
    <w:rsid w:val="2E753370"/>
    <w:rsid w:val="2E9A3C18"/>
    <w:rsid w:val="2EBB0FEE"/>
    <w:rsid w:val="2EC22DD3"/>
    <w:rsid w:val="2EC63002"/>
    <w:rsid w:val="2EE364E6"/>
    <w:rsid w:val="2EE77D2D"/>
    <w:rsid w:val="2EF37F53"/>
    <w:rsid w:val="2EFD2AE1"/>
    <w:rsid w:val="2F0A6B38"/>
    <w:rsid w:val="2F3665D3"/>
    <w:rsid w:val="2F3B2DD2"/>
    <w:rsid w:val="2F6A2714"/>
    <w:rsid w:val="2F6F7335"/>
    <w:rsid w:val="2F713AA3"/>
    <w:rsid w:val="2F786245"/>
    <w:rsid w:val="2F93773A"/>
    <w:rsid w:val="2F946CCB"/>
    <w:rsid w:val="2FAC6889"/>
    <w:rsid w:val="2FAE6CC2"/>
    <w:rsid w:val="2FD25781"/>
    <w:rsid w:val="2FDB0057"/>
    <w:rsid w:val="2FF41FDE"/>
    <w:rsid w:val="2FFD5044"/>
    <w:rsid w:val="2FFD7934"/>
    <w:rsid w:val="3050190A"/>
    <w:rsid w:val="30724C70"/>
    <w:rsid w:val="30733ACD"/>
    <w:rsid w:val="3075311F"/>
    <w:rsid w:val="308C3862"/>
    <w:rsid w:val="309379D8"/>
    <w:rsid w:val="30A270F7"/>
    <w:rsid w:val="30DF1478"/>
    <w:rsid w:val="30EC586F"/>
    <w:rsid w:val="311213ED"/>
    <w:rsid w:val="31294542"/>
    <w:rsid w:val="312F5F78"/>
    <w:rsid w:val="31314001"/>
    <w:rsid w:val="316D1602"/>
    <w:rsid w:val="319C6071"/>
    <w:rsid w:val="31A863E0"/>
    <w:rsid w:val="31AC537E"/>
    <w:rsid w:val="31B639EF"/>
    <w:rsid w:val="31BE7198"/>
    <w:rsid w:val="31C60580"/>
    <w:rsid w:val="31E3679B"/>
    <w:rsid w:val="31E732FD"/>
    <w:rsid w:val="321C0590"/>
    <w:rsid w:val="324C0285"/>
    <w:rsid w:val="324E3C27"/>
    <w:rsid w:val="32517576"/>
    <w:rsid w:val="32676A97"/>
    <w:rsid w:val="32780CA4"/>
    <w:rsid w:val="32B555C0"/>
    <w:rsid w:val="32BE5C2C"/>
    <w:rsid w:val="32ED07A3"/>
    <w:rsid w:val="32FB6478"/>
    <w:rsid w:val="330709B5"/>
    <w:rsid w:val="330E2F43"/>
    <w:rsid w:val="330E6900"/>
    <w:rsid w:val="33263B3F"/>
    <w:rsid w:val="334A12E1"/>
    <w:rsid w:val="33543860"/>
    <w:rsid w:val="335E286C"/>
    <w:rsid w:val="336963EB"/>
    <w:rsid w:val="33816EEB"/>
    <w:rsid w:val="338F52EF"/>
    <w:rsid w:val="33B737F1"/>
    <w:rsid w:val="33DC7D0F"/>
    <w:rsid w:val="33EB55CD"/>
    <w:rsid w:val="33EC4C02"/>
    <w:rsid w:val="33F44659"/>
    <w:rsid w:val="340D2360"/>
    <w:rsid w:val="3410665D"/>
    <w:rsid w:val="34211214"/>
    <w:rsid w:val="342E63AB"/>
    <w:rsid w:val="34711E4F"/>
    <w:rsid w:val="34915D87"/>
    <w:rsid w:val="34947E55"/>
    <w:rsid w:val="34950E68"/>
    <w:rsid w:val="34986E94"/>
    <w:rsid w:val="34AF62C9"/>
    <w:rsid w:val="34CB4388"/>
    <w:rsid w:val="34FA6E12"/>
    <w:rsid w:val="357C0AAC"/>
    <w:rsid w:val="358D5588"/>
    <w:rsid w:val="35C05806"/>
    <w:rsid w:val="35C42453"/>
    <w:rsid w:val="35DC5440"/>
    <w:rsid w:val="361433DA"/>
    <w:rsid w:val="361B3215"/>
    <w:rsid w:val="363A3B40"/>
    <w:rsid w:val="365302AE"/>
    <w:rsid w:val="36607A0A"/>
    <w:rsid w:val="366529DF"/>
    <w:rsid w:val="366E227C"/>
    <w:rsid w:val="366F2E0D"/>
    <w:rsid w:val="36735F09"/>
    <w:rsid w:val="367B6A5C"/>
    <w:rsid w:val="36A52284"/>
    <w:rsid w:val="36A74ADA"/>
    <w:rsid w:val="36AD60D5"/>
    <w:rsid w:val="36B224F9"/>
    <w:rsid w:val="36BE005A"/>
    <w:rsid w:val="36CD6060"/>
    <w:rsid w:val="36EC0CC9"/>
    <w:rsid w:val="37090039"/>
    <w:rsid w:val="37363295"/>
    <w:rsid w:val="373F410B"/>
    <w:rsid w:val="37EE7094"/>
    <w:rsid w:val="38207E14"/>
    <w:rsid w:val="38296C89"/>
    <w:rsid w:val="383002EB"/>
    <w:rsid w:val="3851596A"/>
    <w:rsid w:val="38586797"/>
    <w:rsid w:val="38797966"/>
    <w:rsid w:val="388243AC"/>
    <w:rsid w:val="38855EC9"/>
    <w:rsid w:val="388801F5"/>
    <w:rsid w:val="3894610C"/>
    <w:rsid w:val="38994A3E"/>
    <w:rsid w:val="38B113F5"/>
    <w:rsid w:val="38BC0149"/>
    <w:rsid w:val="38C868F6"/>
    <w:rsid w:val="38D87D1C"/>
    <w:rsid w:val="38E22CFA"/>
    <w:rsid w:val="38F80D91"/>
    <w:rsid w:val="391A199A"/>
    <w:rsid w:val="39411969"/>
    <w:rsid w:val="39636459"/>
    <w:rsid w:val="396B7F6C"/>
    <w:rsid w:val="39755423"/>
    <w:rsid w:val="399C4350"/>
    <w:rsid w:val="39B417A9"/>
    <w:rsid w:val="39BA1823"/>
    <w:rsid w:val="39BB2205"/>
    <w:rsid w:val="39CD7B28"/>
    <w:rsid w:val="39F94929"/>
    <w:rsid w:val="39FC5695"/>
    <w:rsid w:val="3A006D8E"/>
    <w:rsid w:val="3A3651E5"/>
    <w:rsid w:val="3A6B67E3"/>
    <w:rsid w:val="3A744481"/>
    <w:rsid w:val="3A8C7BEF"/>
    <w:rsid w:val="3A906246"/>
    <w:rsid w:val="3A9D23BA"/>
    <w:rsid w:val="3AE004A0"/>
    <w:rsid w:val="3B2349B7"/>
    <w:rsid w:val="3B297E39"/>
    <w:rsid w:val="3B3C7E67"/>
    <w:rsid w:val="3B3FC59C"/>
    <w:rsid w:val="3B616CFF"/>
    <w:rsid w:val="3B6259F6"/>
    <w:rsid w:val="3B720C0D"/>
    <w:rsid w:val="3B976654"/>
    <w:rsid w:val="3BAA4176"/>
    <w:rsid w:val="3BAD7F13"/>
    <w:rsid w:val="3BAF42E8"/>
    <w:rsid w:val="3BB6355F"/>
    <w:rsid w:val="3BC01EFC"/>
    <w:rsid w:val="3BCA786A"/>
    <w:rsid w:val="3BCB7E0F"/>
    <w:rsid w:val="3BD31E2F"/>
    <w:rsid w:val="3BDA652C"/>
    <w:rsid w:val="3BF15831"/>
    <w:rsid w:val="3C0635AB"/>
    <w:rsid w:val="3C105946"/>
    <w:rsid w:val="3C471448"/>
    <w:rsid w:val="3C5F759A"/>
    <w:rsid w:val="3C6C525A"/>
    <w:rsid w:val="3C8D08FE"/>
    <w:rsid w:val="3CAD649B"/>
    <w:rsid w:val="3CC33275"/>
    <w:rsid w:val="3CC34D87"/>
    <w:rsid w:val="3CCB4B5A"/>
    <w:rsid w:val="3CCE23CB"/>
    <w:rsid w:val="3CD17D17"/>
    <w:rsid w:val="3CED04E1"/>
    <w:rsid w:val="3D095B46"/>
    <w:rsid w:val="3D3C7F39"/>
    <w:rsid w:val="3D4015F2"/>
    <w:rsid w:val="3D440F09"/>
    <w:rsid w:val="3D4504A0"/>
    <w:rsid w:val="3D60541C"/>
    <w:rsid w:val="3D6F6425"/>
    <w:rsid w:val="3D8734BB"/>
    <w:rsid w:val="3D9A11D4"/>
    <w:rsid w:val="3DA16D89"/>
    <w:rsid w:val="3DA364BE"/>
    <w:rsid w:val="3DE041CB"/>
    <w:rsid w:val="3E0D48F6"/>
    <w:rsid w:val="3E185305"/>
    <w:rsid w:val="3E1868B4"/>
    <w:rsid w:val="3E377251"/>
    <w:rsid w:val="3E42664B"/>
    <w:rsid w:val="3E4A4A56"/>
    <w:rsid w:val="3E4B4F87"/>
    <w:rsid w:val="3E5661DC"/>
    <w:rsid w:val="3E5A7334"/>
    <w:rsid w:val="3E6A0E96"/>
    <w:rsid w:val="3E7B5D6B"/>
    <w:rsid w:val="3E843E66"/>
    <w:rsid w:val="3E8F51FE"/>
    <w:rsid w:val="3E926F87"/>
    <w:rsid w:val="3E9A59DE"/>
    <w:rsid w:val="3EA6150B"/>
    <w:rsid w:val="3EAF4836"/>
    <w:rsid w:val="3EB96BF2"/>
    <w:rsid w:val="3EC33DFA"/>
    <w:rsid w:val="3EC84D62"/>
    <w:rsid w:val="3EE85404"/>
    <w:rsid w:val="3F060E16"/>
    <w:rsid w:val="3F173D18"/>
    <w:rsid w:val="3F1C4A39"/>
    <w:rsid w:val="3F1D1096"/>
    <w:rsid w:val="3F2F0234"/>
    <w:rsid w:val="3F485DF7"/>
    <w:rsid w:val="3F6363FE"/>
    <w:rsid w:val="3F756B8F"/>
    <w:rsid w:val="3F855795"/>
    <w:rsid w:val="3F8F60F8"/>
    <w:rsid w:val="3F95482B"/>
    <w:rsid w:val="3FA57E6B"/>
    <w:rsid w:val="4019356B"/>
    <w:rsid w:val="40275AB8"/>
    <w:rsid w:val="404345B0"/>
    <w:rsid w:val="4046605F"/>
    <w:rsid w:val="40592157"/>
    <w:rsid w:val="40674A44"/>
    <w:rsid w:val="406E1CAE"/>
    <w:rsid w:val="4070076D"/>
    <w:rsid w:val="407A39D5"/>
    <w:rsid w:val="40817E61"/>
    <w:rsid w:val="40842F0A"/>
    <w:rsid w:val="409254A7"/>
    <w:rsid w:val="40A0133A"/>
    <w:rsid w:val="40BD1BD6"/>
    <w:rsid w:val="40C11463"/>
    <w:rsid w:val="40C31A53"/>
    <w:rsid w:val="40FF545D"/>
    <w:rsid w:val="410067C8"/>
    <w:rsid w:val="41193901"/>
    <w:rsid w:val="418F0D2A"/>
    <w:rsid w:val="419929E5"/>
    <w:rsid w:val="41A22999"/>
    <w:rsid w:val="41B4781F"/>
    <w:rsid w:val="41D01505"/>
    <w:rsid w:val="41E9396D"/>
    <w:rsid w:val="41EF2605"/>
    <w:rsid w:val="421079C8"/>
    <w:rsid w:val="421E7984"/>
    <w:rsid w:val="42474939"/>
    <w:rsid w:val="424C3C57"/>
    <w:rsid w:val="42613FF3"/>
    <w:rsid w:val="42654F91"/>
    <w:rsid w:val="42660D96"/>
    <w:rsid w:val="428667D2"/>
    <w:rsid w:val="429A368A"/>
    <w:rsid w:val="42CC0595"/>
    <w:rsid w:val="42CD1CE0"/>
    <w:rsid w:val="42D71A17"/>
    <w:rsid w:val="42E1381E"/>
    <w:rsid w:val="42ED6459"/>
    <w:rsid w:val="42F16C31"/>
    <w:rsid w:val="42FE58DD"/>
    <w:rsid w:val="43144544"/>
    <w:rsid w:val="43174B3D"/>
    <w:rsid w:val="431C3DDE"/>
    <w:rsid w:val="43354997"/>
    <w:rsid w:val="434B790E"/>
    <w:rsid w:val="4360274F"/>
    <w:rsid w:val="4362779A"/>
    <w:rsid w:val="43977AB6"/>
    <w:rsid w:val="43A07FF2"/>
    <w:rsid w:val="43A24A91"/>
    <w:rsid w:val="43A3342B"/>
    <w:rsid w:val="43C77C27"/>
    <w:rsid w:val="43DE09EE"/>
    <w:rsid w:val="44002FAD"/>
    <w:rsid w:val="4412328B"/>
    <w:rsid w:val="4415542B"/>
    <w:rsid w:val="44657104"/>
    <w:rsid w:val="44780252"/>
    <w:rsid w:val="449101DD"/>
    <w:rsid w:val="449806FE"/>
    <w:rsid w:val="44A40868"/>
    <w:rsid w:val="44BA722D"/>
    <w:rsid w:val="44DE1391"/>
    <w:rsid w:val="44F96CD2"/>
    <w:rsid w:val="45106B70"/>
    <w:rsid w:val="451B225C"/>
    <w:rsid w:val="452410C9"/>
    <w:rsid w:val="45317DFB"/>
    <w:rsid w:val="455A7D30"/>
    <w:rsid w:val="456D3CE4"/>
    <w:rsid w:val="45774DEB"/>
    <w:rsid w:val="4579042C"/>
    <w:rsid w:val="457F0571"/>
    <w:rsid w:val="45851176"/>
    <w:rsid w:val="45883496"/>
    <w:rsid w:val="45B10806"/>
    <w:rsid w:val="45C63B94"/>
    <w:rsid w:val="45C7395E"/>
    <w:rsid w:val="45FF50F7"/>
    <w:rsid w:val="460A332B"/>
    <w:rsid w:val="460E7DA5"/>
    <w:rsid w:val="462C3D33"/>
    <w:rsid w:val="46402205"/>
    <w:rsid w:val="46422483"/>
    <w:rsid w:val="4659254A"/>
    <w:rsid w:val="465B0637"/>
    <w:rsid w:val="465E3F0D"/>
    <w:rsid w:val="466A16E6"/>
    <w:rsid w:val="466A3861"/>
    <w:rsid w:val="467B69ED"/>
    <w:rsid w:val="46833504"/>
    <w:rsid w:val="46893F2B"/>
    <w:rsid w:val="46A74719"/>
    <w:rsid w:val="46A92CD7"/>
    <w:rsid w:val="46C4686E"/>
    <w:rsid w:val="46EA6DA0"/>
    <w:rsid w:val="46F618BC"/>
    <w:rsid w:val="470F0786"/>
    <w:rsid w:val="4715601C"/>
    <w:rsid w:val="476C6937"/>
    <w:rsid w:val="47704A29"/>
    <w:rsid w:val="47783C10"/>
    <w:rsid w:val="477B778F"/>
    <w:rsid w:val="477F61D9"/>
    <w:rsid w:val="478203EC"/>
    <w:rsid w:val="478661AE"/>
    <w:rsid w:val="47B025FA"/>
    <w:rsid w:val="47D54D54"/>
    <w:rsid w:val="47FE483C"/>
    <w:rsid w:val="4809698F"/>
    <w:rsid w:val="4811697D"/>
    <w:rsid w:val="483C40DA"/>
    <w:rsid w:val="487A3E25"/>
    <w:rsid w:val="488169AC"/>
    <w:rsid w:val="488B5503"/>
    <w:rsid w:val="48937E21"/>
    <w:rsid w:val="489A0361"/>
    <w:rsid w:val="48AD6A8D"/>
    <w:rsid w:val="48B94FF3"/>
    <w:rsid w:val="48E37AAB"/>
    <w:rsid w:val="48FD4B4C"/>
    <w:rsid w:val="49061243"/>
    <w:rsid w:val="490A68E0"/>
    <w:rsid w:val="491055FE"/>
    <w:rsid w:val="495A44E3"/>
    <w:rsid w:val="495F5B3E"/>
    <w:rsid w:val="49681CBC"/>
    <w:rsid w:val="496F77D7"/>
    <w:rsid w:val="497654FD"/>
    <w:rsid w:val="497E2BEC"/>
    <w:rsid w:val="49B64211"/>
    <w:rsid w:val="49F6167F"/>
    <w:rsid w:val="4A064FA0"/>
    <w:rsid w:val="4A077ABF"/>
    <w:rsid w:val="4A0909A1"/>
    <w:rsid w:val="4A16615C"/>
    <w:rsid w:val="4A4424D7"/>
    <w:rsid w:val="4A7D1411"/>
    <w:rsid w:val="4A9D4A92"/>
    <w:rsid w:val="4AB82D0F"/>
    <w:rsid w:val="4ABB17CB"/>
    <w:rsid w:val="4ABE526B"/>
    <w:rsid w:val="4AD62A89"/>
    <w:rsid w:val="4AEB7664"/>
    <w:rsid w:val="4AFD7C19"/>
    <w:rsid w:val="4B0567D1"/>
    <w:rsid w:val="4B1C363A"/>
    <w:rsid w:val="4B1E0C59"/>
    <w:rsid w:val="4B236AAE"/>
    <w:rsid w:val="4B254FC3"/>
    <w:rsid w:val="4B6444FF"/>
    <w:rsid w:val="4B707271"/>
    <w:rsid w:val="4B9739F7"/>
    <w:rsid w:val="4BD74F3E"/>
    <w:rsid w:val="4BEA27BB"/>
    <w:rsid w:val="4BEE2503"/>
    <w:rsid w:val="4BEF5BF8"/>
    <w:rsid w:val="4C245A30"/>
    <w:rsid w:val="4C503B9A"/>
    <w:rsid w:val="4C736329"/>
    <w:rsid w:val="4C7C718B"/>
    <w:rsid w:val="4C9A4AA6"/>
    <w:rsid w:val="4CA961D2"/>
    <w:rsid w:val="4CB6685F"/>
    <w:rsid w:val="4CC367FE"/>
    <w:rsid w:val="4CD670E4"/>
    <w:rsid w:val="4D027691"/>
    <w:rsid w:val="4D077F3C"/>
    <w:rsid w:val="4D123355"/>
    <w:rsid w:val="4D2A3B31"/>
    <w:rsid w:val="4D312C52"/>
    <w:rsid w:val="4D693BB4"/>
    <w:rsid w:val="4D73233C"/>
    <w:rsid w:val="4D844549"/>
    <w:rsid w:val="4D905305"/>
    <w:rsid w:val="4D964A72"/>
    <w:rsid w:val="4D982235"/>
    <w:rsid w:val="4D983DE0"/>
    <w:rsid w:val="4D9B759A"/>
    <w:rsid w:val="4D9C1254"/>
    <w:rsid w:val="4DC36632"/>
    <w:rsid w:val="4DF55F07"/>
    <w:rsid w:val="4DFC0584"/>
    <w:rsid w:val="4E433CEC"/>
    <w:rsid w:val="4E6544E7"/>
    <w:rsid w:val="4E793892"/>
    <w:rsid w:val="4E800872"/>
    <w:rsid w:val="4EAC51FF"/>
    <w:rsid w:val="4EB63AF8"/>
    <w:rsid w:val="4EB8094F"/>
    <w:rsid w:val="4EC569ED"/>
    <w:rsid w:val="4ED50EA1"/>
    <w:rsid w:val="4EDF24BE"/>
    <w:rsid w:val="4EE23C1E"/>
    <w:rsid w:val="4EEC050C"/>
    <w:rsid w:val="4F104EC3"/>
    <w:rsid w:val="4F2C625F"/>
    <w:rsid w:val="4F47354A"/>
    <w:rsid w:val="4F710CA8"/>
    <w:rsid w:val="4F911C54"/>
    <w:rsid w:val="4F9E5990"/>
    <w:rsid w:val="4FE625E0"/>
    <w:rsid w:val="4FE94F10"/>
    <w:rsid w:val="4FF83E3A"/>
    <w:rsid w:val="5021480F"/>
    <w:rsid w:val="50577BF5"/>
    <w:rsid w:val="506932DB"/>
    <w:rsid w:val="5087615A"/>
    <w:rsid w:val="50962ECB"/>
    <w:rsid w:val="50A42E38"/>
    <w:rsid w:val="50A4577F"/>
    <w:rsid w:val="50B67110"/>
    <w:rsid w:val="50B73D1F"/>
    <w:rsid w:val="50BD5BC9"/>
    <w:rsid w:val="50C11EEE"/>
    <w:rsid w:val="50C21746"/>
    <w:rsid w:val="50CD0EEC"/>
    <w:rsid w:val="50E97CFC"/>
    <w:rsid w:val="50FA4028"/>
    <w:rsid w:val="51095C3F"/>
    <w:rsid w:val="510D65B7"/>
    <w:rsid w:val="511157AB"/>
    <w:rsid w:val="512027DB"/>
    <w:rsid w:val="512C7869"/>
    <w:rsid w:val="51363839"/>
    <w:rsid w:val="51363DAD"/>
    <w:rsid w:val="5142540C"/>
    <w:rsid w:val="514E5CE3"/>
    <w:rsid w:val="515B7CB7"/>
    <w:rsid w:val="517A1653"/>
    <w:rsid w:val="518832C8"/>
    <w:rsid w:val="519631F9"/>
    <w:rsid w:val="51A0432A"/>
    <w:rsid w:val="51A86090"/>
    <w:rsid w:val="51AC406F"/>
    <w:rsid w:val="51B278FC"/>
    <w:rsid w:val="51B7396D"/>
    <w:rsid w:val="51ED4DB3"/>
    <w:rsid w:val="522E4CC3"/>
    <w:rsid w:val="5244713B"/>
    <w:rsid w:val="52615633"/>
    <w:rsid w:val="52977FD4"/>
    <w:rsid w:val="529C2335"/>
    <w:rsid w:val="52A25790"/>
    <w:rsid w:val="52A96B6F"/>
    <w:rsid w:val="52B45975"/>
    <w:rsid w:val="52D94AA4"/>
    <w:rsid w:val="52EA3A62"/>
    <w:rsid w:val="52EA567C"/>
    <w:rsid w:val="52F50BB8"/>
    <w:rsid w:val="53097272"/>
    <w:rsid w:val="534A2842"/>
    <w:rsid w:val="53513CED"/>
    <w:rsid w:val="53544462"/>
    <w:rsid w:val="535A1773"/>
    <w:rsid w:val="53745B13"/>
    <w:rsid w:val="53946913"/>
    <w:rsid w:val="5397158E"/>
    <w:rsid w:val="53CD2A18"/>
    <w:rsid w:val="54013861"/>
    <w:rsid w:val="5416249B"/>
    <w:rsid w:val="54487265"/>
    <w:rsid w:val="544D6070"/>
    <w:rsid w:val="544F6E13"/>
    <w:rsid w:val="54593DEF"/>
    <w:rsid w:val="54605E1E"/>
    <w:rsid w:val="54B3506A"/>
    <w:rsid w:val="54CA0D16"/>
    <w:rsid w:val="54D934E7"/>
    <w:rsid w:val="54DD4057"/>
    <w:rsid w:val="54E7490F"/>
    <w:rsid w:val="54F326AE"/>
    <w:rsid w:val="54FA328F"/>
    <w:rsid w:val="550764A4"/>
    <w:rsid w:val="550B2BF6"/>
    <w:rsid w:val="55214EB5"/>
    <w:rsid w:val="55364EFD"/>
    <w:rsid w:val="555D4828"/>
    <w:rsid w:val="557A4C8B"/>
    <w:rsid w:val="558931E1"/>
    <w:rsid w:val="55902A27"/>
    <w:rsid w:val="55923347"/>
    <w:rsid w:val="55925180"/>
    <w:rsid w:val="55983B1B"/>
    <w:rsid w:val="55A8376B"/>
    <w:rsid w:val="55A97243"/>
    <w:rsid w:val="55D50903"/>
    <w:rsid w:val="55DC29B6"/>
    <w:rsid w:val="55DD4241"/>
    <w:rsid w:val="55DF0EB7"/>
    <w:rsid w:val="55E30F27"/>
    <w:rsid w:val="561926D0"/>
    <w:rsid w:val="565F3864"/>
    <w:rsid w:val="566B6D1E"/>
    <w:rsid w:val="569F6AC7"/>
    <w:rsid w:val="56AA6827"/>
    <w:rsid w:val="56BD4D01"/>
    <w:rsid w:val="56D93B58"/>
    <w:rsid w:val="57032A2C"/>
    <w:rsid w:val="570F5219"/>
    <w:rsid w:val="575D12B5"/>
    <w:rsid w:val="57610A87"/>
    <w:rsid w:val="5772374D"/>
    <w:rsid w:val="577B1140"/>
    <w:rsid w:val="577B7F21"/>
    <w:rsid w:val="577F181B"/>
    <w:rsid w:val="57921984"/>
    <w:rsid w:val="579737F0"/>
    <w:rsid w:val="57AB7B30"/>
    <w:rsid w:val="57AF5251"/>
    <w:rsid w:val="57B26373"/>
    <w:rsid w:val="57B63F04"/>
    <w:rsid w:val="57CD20C2"/>
    <w:rsid w:val="57D675AB"/>
    <w:rsid w:val="57D95FDD"/>
    <w:rsid w:val="57EA58F1"/>
    <w:rsid w:val="58023FFF"/>
    <w:rsid w:val="58142FFC"/>
    <w:rsid w:val="58917D2F"/>
    <w:rsid w:val="5894085C"/>
    <w:rsid w:val="589668C2"/>
    <w:rsid w:val="58AE4F0C"/>
    <w:rsid w:val="58B85899"/>
    <w:rsid w:val="58BB2F7B"/>
    <w:rsid w:val="58E363A9"/>
    <w:rsid w:val="590E29AC"/>
    <w:rsid w:val="595E1678"/>
    <w:rsid w:val="596D5BD4"/>
    <w:rsid w:val="59782F99"/>
    <w:rsid w:val="597E3DD8"/>
    <w:rsid w:val="59A0635C"/>
    <w:rsid w:val="59D634DF"/>
    <w:rsid w:val="59E24BF1"/>
    <w:rsid w:val="59E44380"/>
    <w:rsid w:val="59F80043"/>
    <w:rsid w:val="5A09252F"/>
    <w:rsid w:val="5A0B2778"/>
    <w:rsid w:val="5A133E67"/>
    <w:rsid w:val="5A2A7C7B"/>
    <w:rsid w:val="5A3E2560"/>
    <w:rsid w:val="5A5D3B6E"/>
    <w:rsid w:val="5A637A76"/>
    <w:rsid w:val="5A6D33BA"/>
    <w:rsid w:val="5A792B1F"/>
    <w:rsid w:val="5A7D5519"/>
    <w:rsid w:val="5A874767"/>
    <w:rsid w:val="5A8C7BCC"/>
    <w:rsid w:val="5A8D7133"/>
    <w:rsid w:val="5A944CE3"/>
    <w:rsid w:val="5AAD6F28"/>
    <w:rsid w:val="5AD63A24"/>
    <w:rsid w:val="5ADD79C6"/>
    <w:rsid w:val="5AEA5EB6"/>
    <w:rsid w:val="5AEA62E5"/>
    <w:rsid w:val="5AFF3461"/>
    <w:rsid w:val="5B1511F3"/>
    <w:rsid w:val="5B167F88"/>
    <w:rsid w:val="5B247AA9"/>
    <w:rsid w:val="5B2E1A1D"/>
    <w:rsid w:val="5B317CC1"/>
    <w:rsid w:val="5B6B0A58"/>
    <w:rsid w:val="5B843A1C"/>
    <w:rsid w:val="5B873E3F"/>
    <w:rsid w:val="5B897053"/>
    <w:rsid w:val="5BA83A02"/>
    <w:rsid w:val="5BED775E"/>
    <w:rsid w:val="5BF3746A"/>
    <w:rsid w:val="5C02690E"/>
    <w:rsid w:val="5C196DA7"/>
    <w:rsid w:val="5C1D0043"/>
    <w:rsid w:val="5C2A048C"/>
    <w:rsid w:val="5C5E54CC"/>
    <w:rsid w:val="5C80234E"/>
    <w:rsid w:val="5C8A680C"/>
    <w:rsid w:val="5CA644DC"/>
    <w:rsid w:val="5CE01922"/>
    <w:rsid w:val="5CEC7655"/>
    <w:rsid w:val="5D0C4701"/>
    <w:rsid w:val="5D0F0395"/>
    <w:rsid w:val="5D221076"/>
    <w:rsid w:val="5D397964"/>
    <w:rsid w:val="5D5A391C"/>
    <w:rsid w:val="5D5F10C0"/>
    <w:rsid w:val="5D891B7B"/>
    <w:rsid w:val="5DA35AD2"/>
    <w:rsid w:val="5DAA5DD8"/>
    <w:rsid w:val="5DAD38EE"/>
    <w:rsid w:val="5DCE5EE9"/>
    <w:rsid w:val="5E006862"/>
    <w:rsid w:val="5E0207B9"/>
    <w:rsid w:val="5E0B0AD6"/>
    <w:rsid w:val="5E1834A1"/>
    <w:rsid w:val="5E261785"/>
    <w:rsid w:val="5E4A0E97"/>
    <w:rsid w:val="5E4A7017"/>
    <w:rsid w:val="5E4F2952"/>
    <w:rsid w:val="5E552BBA"/>
    <w:rsid w:val="5E610D01"/>
    <w:rsid w:val="5E611C10"/>
    <w:rsid w:val="5E632B19"/>
    <w:rsid w:val="5E655CD1"/>
    <w:rsid w:val="5E766130"/>
    <w:rsid w:val="5EA31D4C"/>
    <w:rsid w:val="5EFC7377"/>
    <w:rsid w:val="5F06174D"/>
    <w:rsid w:val="5F3A3602"/>
    <w:rsid w:val="5F6277C6"/>
    <w:rsid w:val="5F6D0B1D"/>
    <w:rsid w:val="5F6E7612"/>
    <w:rsid w:val="5F6FF5AD"/>
    <w:rsid w:val="5F8D0B82"/>
    <w:rsid w:val="5FCC5339"/>
    <w:rsid w:val="5FE34A5B"/>
    <w:rsid w:val="5FFE1E36"/>
    <w:rsid w:val="600502B2"/>
    <w:rsid w:val="60232584"/>
    <w:rsid w:val="602C4E9D"/>
    <w:rsid w:val="602C61F7"/>
    <w:rsid w:val="605E35A7"/>
    <w:rsid w:val="6060009F"/>
    <w:rsid w:val="607330CE"/>
    <w:rsid w:val="60825176"/>
    <w:rsid w:val="609F2AC4"/>
    <w:rsid w:val="60FA2EE8"/>
    <w:rsid w:val="61054A27"/>
    <w:rsid w:val="610A52BC"/>
    <w:rsid w:val="611D2366"/>
    <w:rsid w:val="611E354A"/>
    <w:rsid w:val="61401BAF"/>
    <w:rsid w:val="61421856"/>
    <w:rsid w:val="615227C4"/>
    <w:rsid w:val="6153074E"/>
    <w:rsid w:val="615553C8"/>
    <w:rsid w:val="61654E3F"/>
    <w:rsid w:val="61721216"/>
    <w:rsid w:val="6182292A"/>
    <w:rsid w:val="618D5C6B"/>
    <w:rsid w:val="619F7F92"/>
    <w:rsid w:val="61B60EF8"/>
    <w:rsid w:val="61CD186D"/>
    <w:rsid w:val="61EF4230"/>
    <w:rsid w:val="61F94C26"/>
    <w:rsid w:val="62000E56"/>
    <w:rsid w:val="620A1913"/>
    <w:rsid w:val="620E01E9"/>
    <w:rsid w:val="620F44F5"/>
    <w:rsid w:val="622554D9"/>
    <w:rsid w:val="62330149"/>
    <w:rsid w:val="6246637F"/>
    <w:rsid w:val="624E346D"/>
    <w:rsid w:val="624F3E49"/>
    <w:rsid w:val="62632286"/>
    <w:rsid w:val="626369CC"/>
    <w:rsid w:val="6274758F"/>
    <w:rsid w:val="62885958"/>
    <w:rsid w:val="62B674A5"/>
    <w:rsid w:val="62F40B65"/>
    <w:rsid w:val="62FC2CFE"/>
    <w:rsid w:val="63024505"/>
    <w:rsid w:val="631D4DCC"/>
    <w:rsid w:val="6320666B"/>
    <w:rsid w:val="632C6FB1"/>
    <w:rsid w:val="633D721D"/>
    <w:rsid w:val="63461B81"/>
    <w:rsid w:val="635B1DB5"/>
    <w:rsid w:val="636B0439"/>
    <w:rsid w:val="63711FED"/>
    <w:rsid w:val="63880DDC"/>
    <w:rsid w:val="638D750D"/>
    <w:rsid w:val="63A36518"/>
    <w:rsid w:val="63AC6CC0"/>
    <w:rsid w:val="63D066D2"/>
    <w:rsid w:val="63EE305F"/>
    <w:rsid w:val="64055776"/>
    <w:rsid w:val="640C0875"/>
    <w:rsid w:val="640E127D"/>
    <w:rsid w:val="64240056"/>
    <w:rsid w:val="643E143A"/>
    <w:rsid w:val="644F7F1F"/>
    <w:rsid w:val="645A71B2"/>
    <w:rsid w:val="648B6EEF"/>
    <w:rsid w:val="648C1B70"/>
    <w:rsid w:val="64A66F94"/>
    <w:rsid w:val="64B67287"/>
    <w:rsid w:val="64C158BF"/>
    <w:rsid w:val="64C27B00"/>
    <w:rsid w:val="64CE2EAA"/>
    <w:rsid w:val="64D66A7C"/>
    <w:rsid w:val="653C3090"/>
    <w:rsid w:val="65405CCA"/>
    <w:rsid w:val="655A3BEA"/>
    <w:rsid w:val="65854376"/>
    <w:rsid w:val="658767BE"/>
    <w:rsid w:val="65892531"/>
    <w:rsid w:val="65BA52F7"/>
    <w:rsid w:val="66065A48"/>
    <w:rsid w:val="66195831"/>
    <w:rsid w:val="662B5A52"/>
    <w:rsid w:val="662D6DA8"/>
    <w:rsid w:val="662E75B1"/>
    <w:rsid w:val="66342C2E"/>
    <w:rsid w:val="663E784C"/>
    <w:rsid w:val="667A09B7"/>
    <w:rsid w:val="668138C4"/>
    <w:rsid w:val="668B6A45"/>
    <w:rsid w:val="669F3874"/>
    <w:rsid w:val="66A45BDC"/>
    <w:rsid w:val="66AF1795"/>
    <w:rsid w:val="66C74351"/>
    <w:rsid w:val="671B2C97"/>
    <w:rsid w:val="672F3F24"/>
    <w:rsid w:val="673E055F"/>
    <w:rsid w:val="67551CE3"/>
    <w:rsid w:val="67762F9E"/>
    <w:rsid w:val="679413D5"/>
    <w:rsid w:val="679B2025"/>
    <w:rsid w:val="67A22552"/>
    <w:rsid w:val="67B22DCC"/>
    <w:rsid w:val="67BE71AA"/>
    <w:rsid w:val="67D90273"/>
    <w:rsid w:val="67DE3C2F"/>
    <w:rsid w:val="67DE5875"/>
    <w:rsid w:val="67E55852"/>
    <w:rsid w:val="67EB1AB4"/>
    <w:rsid w:val="67FA1285"/>
    <w:rsid w:val="683C5CF5"/>
    <w:rsid w:val="68551F4F"/>
    <w:rsid w:val="685847A6"/>
    <w:rsid w:val="687C10C9"/>
    <w:rsid w:val="68840C16"/>
    <w:rsid w:val="68876EFB"/>
    <w:rsid w:val="68884654"/>
    <w:rsid w:val="6888718C"/>
    <w:rsid w:val="689D149E"/>
    <w:rsid w:val="689F444F"/>
    <w:rsid w:val="68B96DBB"/>
    <w:rsid w:val="68BB37A7"/>
    <w:rsid w:val="68CA2805"/>
    <w:rsid w:val="68E937A3"/>
    <w:rsid w:val="68F2242F"/>
    <w:rsid w:val="69196B57"/>
    <w:rsid w:val="691C4BA2"/>
    <w:rsid w:val="693E15D3"/>
    <w:rsid w:val="694E7060"/>
    <w:rsid w:val="695B03FD"/>
    <w:rsid w:val="69627681"/>
    <w:rsid w:val="69701FBE"/>
    <w:rsid w:val="6977531D"/>
    <w:rsid w:val="697B1F3A"/>
    <w:rsid w:val="698431D7"/>
    <w:rsid w:val="69A53598"/>
    <w:rsid w:val="69A556AB"/>
    <w:rsid w:val="69C85FF1"/>
    <w:rsid w:val="69CC2BFF"/>
    <w:rsid w:val="69F745C9"/>
    <w:rsid w:val="69FD55B8"/>
    <w:rsid w:val="6A0B1C62"/>
    <w:rsid w:val="6A2406C8"/>
    <w:rsid w:val="6A2C3AC3"/>
    <w:rsid w:val="6A4B7311"/>
    <w:rsid w:val="6A787D0E"/>
    <w:rsid w:val="6A7F636D"/>
    <w:rsid w:val="6A834F5B"/>
    <w:rsid w:val="6A8453C5"/>
    <w:rsid w:val="6A9A6657"/>
    <w:rsid w:val="6ADE0BD1"/>
    <w:rsid w:val="6AE96859"/>
    <w:rsid w:val="6B135453"/>
    <w:rsid w:val="6B147746"/>
    <w:rsid w:val="6B24787C"/>
    <w:rsid w:val="6B26761E"/>
    <w:rsid w:val="6B380B3D"/>
    <w:rsid w:val="6B426AD4"/>
    <w:rsid w:val="6B573233"/>
    <w:rsid w:val="6B5B6274"/>
    <w:rsid w:val="6B935D53"/>
    <w:rsid w:val="6B95468B"/>
    <w:rsid w:val="6B9D1285"/>
    <w:rsid w:val="6BD36970"/>
    <w:rsid w:val="6BDA1BDD"/>
    <w:rsid w:val="6BDC30C6"/>
    <w:rsid w:val="6BEA5003"/>
    <w:rsid w:val="6BF341E6"/>
    <w:rsid w:val="6C133194"/>
    <w:rsid w:val="6C196F71"/>
    <w:rsid w:val="6C1A6BD0"/>
    <w:rsid w:val="6C216DAB"/>
    <w:rsid w:val="6C226FCB"/>
    <w:rsid w:val="6C31226F"/>
    <w:rsid w:val="6C514E57"/>
    <w:rsid w:val="6C552F0B"/>
    <w:rsid w:val="6C8C67B7"/>
    <w:rsid w:val="6C9D744C"/>
    <w:rsid w:val="6CC55D31"/>
    <w:rsid w:val="6D0C6748"/>
    <w:rsid w:val="6D167928"/>
    <w:rsid w:val="6D26299B"/>
    <w:rsid w:val="6D2A2246"/>
    <w:rsid w:val="6D4772EC"/>
    <w:rsid w:val="6D9078AF"/>
    <w:rsid w:val="6DAA1953"/>
    <w:rsid w:val="6DAA3FEF"/>
    <w:rsid w:val="6DBF2DB2"/>
    <w:rsid w:val="6DC0172B"/>
    <w:rsid w:val="6DCB690C"/>
    <w:rsid w:val="6DD41A5B"/>
    <w:rsid w:val="6DF43C2E"/>
    <w:rsid w:val="6DF51CA3"/>
    <w:rsid w:val="6E0863D3"/>
    <w:rsid w:val="6E7E64B7"/>
    <w:rsid w:val="6E8335BD"/>
    <w:rsid w:val="6E8E12EF"/>
    <w:rsid w:val="6E9662E6"/>
    <w:rsid w:val="6E972936"/>
    <w:rsid w:val="6EBF1DC3"/>
    <w:rsid w:val="6ED446C5"/>
    <w:rsid w:val="6EE12839"/>
    <w:rsid w:val="6F2A7D94"/>
    <w:rsid w:val="6F730377"/>
    <w:rsid w:val="6F8331F1"/>
    <w:rsid w:val="6F8A0F8C"/>
    <w:rsid w:val="6FAE1A09"/>
    <w:rsid w:val="6FD44A65"/>
    <w:rsid w:val="6FD75BF8"/>
    <w:rsid w:val="70206492"/>
    <w:rsid w:val="707723D0"/>
    <w:rsid w:val="70BF3010"/>
    <w:rsid w:val="70E5507E"/>
    <w:rsid w:val="70F5661B"/>
    <w:rsid w:val="71045209"/>
    <w:rsid w:val="71084023"/>
    <w:rsid w:val="710E183A"/>
    <w:rsid w:val="711B4915"/>
    <w:rsid w:val="71360107"/>
    <w:rsid w:val="713B688E"/>
    <w:rsid w:val="7151750C"/>
    <w:rsid w:val="71A265F4"/>
    <w:rsid w:val="71D25EF0"/>
    <w:rsid w:val="71D43752"/>
    <w:rsid w:val="71D74F57"/>
    <w:rsid w:val="71E03B95"/>
    <w:rsid w:val="71F1796A"/>
    <w:rsid w:val="72093BA6"/>
    <w:rsid w:val="720C45CB"/>
    <w:rsid w:val="72132D4D"/>
    <w:rsid w:val="7214383E"/>
    <w:rsid w:val="72154626"/>
    <w:rsid w:val="72262B5D"/>
    <w:rsid w:val="72283FF7"/>
    <w:rsid w:val="722E7212"/>
    <w:rsid w:val="723A0474"/>
    <w:rsid w:val="724F4877"/>
    <w:rsid w:val="725923E4"/>
    <w:rsid w:val="727163BD"/>
    <w:rsid w:val="72777EDD"/>
    <w:rsid w:val="72864BF7"/>
    <w:rsid w:val="729023FC"/>
    <w:rsid w:val="72AA7CFF"/>
    <w:rsid w:val="72B62B48"/>
    <w:rsid w:val="72C4788F"/>
    <w:rsid w:val="72CE1FD6"/>
    <w:rsid w:val="7328339C"/>
    <w:rsid w:val="73286404"/>
    <w:rsid w:val="73460898"/>
    <w:rsid w:val="736F67EC"/>
    <w:rsid w:val="73B95C72"/>
    <w:rsid w:val="73C0646E"/>
    <w:rsid w:val="73D239B1"/>
    <w:rsid w:val="73D96AEE"/>
    <w:rsid w:val="73E6120B"/>
    <w:rsid w:val="742222F5"/>
    <w:rsid w:val="74476126"/>
    <w:rsid w:val="7463243A"/>
    <w:rsid w:val="74681C20"/>
    <w:rsid w:val="74706664"/>
    <w:rsid w:val="747F3682"/>
    <w:rsid w:val="748E79EE"/>
    <w:rsid w:val="749C4185"/>
    <w:rsid w:val="74BC6A08"/>
    <w:rsid w:val="74E17820"/>
    <w:rsid w:val="74FE35BE"/>
    <w:rsid w:val="75067759"/>
    <w:rsid w:val="75223BAA"/>
    <w:rsid w:val="752E6DCD"/>
    <w:rsid w:val="754405BD"/>
    <w:rsid w:val="754F2B6C"/>
    <w:rsid w:val="7551380D"/>
    <w:rsid w:val="75600BE5"/>
    <w:rsid w:val="7564475C"/>
    <w:rsid w:val="7583797F"/>
    <w:rsid w:val="75D20F1D"/>
    <w:rsid w:val="75DA2C18"/>
    <w:rsid w:val="75EB1C30"/>
    <w:rsid w:val="75F54412"/>
    <w:rsid w:val="761C1A7F"/>
    <w:rsid w:val="761D08E0"/>
    <w:rsid w:val="763A5CD8"/>
    <w:rsid w:val="765D347C"/>
    <w:rsid w:val="766B05BB"/>
    <w:rsid w:val="76826699"/>
    <w:rsid w:val="76A34634"/>
    <w:rsid w:val="76AE4262"/>
    <w:rsid w:val="76B800A3"/>
    <w:rsid w:val="76C87133"/>
    <w:rsid w:val="76CD08D5"/>
    <w:rsid w:val="76DB4B92"/>
    <w:rsid w:val="76F51E90"/>
    <w:rsid w:val="77052AA4"/>
    <w:rsid w:val="770F479C"/>
    <w:rsid w:val="77136511"/>
    <w:rsid w:val="77315B09"/>
    <w:rsid w:val="77340A39"/>
    <w:rsid w:val="77351FD0"/>
    <w:rsid w:val="77472422"/>
    <w:rsid w:val="777F31F2"/>
    <w:rsid w:val="779C6247"/>
    <w:rsid w:val="77D1700D"/>
    <w:rsid w:val="77DF044B"/>
    <w:rsid w:val="77E0504E"/>
    <w:rsid w:val="77E12CB2"/>
    <w:rsid w:val="77EC04CC"/>
    <w:rsid w:val="77ED2B68"/>
    <w:rsid w:val="77FB7178"/>
    <w:rsid w:val="77FDDB5F"/>
    <w:rsid w:val="78063EE4"/>
    <w:rsid w:val="781A0520"/>
    <w:rsid w:val="78602ACB"/>
    <w:rsid w:val="78664675"/>
    <w:rsid w:val="78775729"/>
    <w:rsid w:val="789324D6"/>
    <w:rsid w:val="78A42DB0"/>
    <w:rsid w:val="78A656AB"/>
    <w:rsid w:val="78B2245C"/>
    <w:rsid w:val="78CC2A74"/>
    <w:rsid w:val="78DF1AD6"/>
    <w:rsid w:val="78E172CC"/>
    <w:rsid w:val="78E201F2"/>
    <w:rsid w:val="78E2415B"/>
    <w:rsid w:val="78EA1D1F"/>
    <w:rsid w:val="7904172F"/>
    <w:rsid w:val="790F7E27"/>
    <w:rsid w:val="7916119D"/>
    <w:rsid w:val="792A231A"/>
    <w:rsid w:val="79316829"/>
    <w:rsid w:val="79475498"/>
    <w:rsid w:val="797E66A9"/>
    <w:rsid w:val="79A97383"/>
    <w:rsid w:val="79B7342D"/>
    <w:rsid w:val="79D35D8D"/>
    <w:rsid w:val="79E27E8B"/>
    <w:rsid w:val="79F850CE"/>
    <w:rsid w:val="79FD443C"/>
    <w:rsid w:val="7A1D1975"/>
    <w:rsid w:val="7A307068"/>
    <w:rsid w:val="7A3B356F"/>
    <w:rsid w:val="7A3E5150"/>
    <w:rsid w:val="7A4670D6"/>
    <w:rsid w:val="7A534B63"/>
    <w:rsid w:val="7A615382"/>
    <w:rsid w:val="7A67303B"/>
    <w:rsid w:val="7A8A67E0"/>
    <w:rsid w:val="7A916F8C"/>
    <w:rsid w:val="7AAA11E4"/>
    <w:rsid w:val="7AAB1D04"/>
    <w:rsid w:val="7ABA4368"/>
    <w:rsid w:val="7ACD1C1E"/>
    <w:rsid w:val="7AD05746"/>
    <w:rsid w:val="7ADE7FF4"/>
    <w:rsid w:val="7B1D7C08"/>
    <w:rsid w:val="7B2173E8"/>
    <w:rsid w:val="7B257FFD"/>
    <w:rsid w:val="7B343476"/>
    <w:rsid w:val="7B4909FD"/>
    <w:rsid w:val="7B5A2978"/>
    <w:rsid w:val="7B5A7E4C"/>
    <w:rsid w:val="7B667AF9"/>
    <w:rsid w:val="7B6B7668"/>
    <w:rsid w:val="7B7468F8"/>
    <w:rsid w:val="7B7C1ABA"/>
    <w:rsid w:val="7BC30888"/>
    <w:rsid w:val="7BEE0103"/>
    <w:rsid w:val="7BF56183"/>
    <w:rsid w:val="7C0A0FE4"/>
    <w:rsid w:val="7C1A1F01"/>
    <w:rsid w:val="7C254906"/>
    <w:rsid w:val="7C30396B"/>
    <w:rsid w:val="7C35301B"/>
    <w:rsid w:val="7C590818"/>
    <w:rsid w:val="7C6FCA9D"/>
    <w:rsid w:val="7C7C10F6"/>
    <w:rsid w:val="7C8025FB"/>
    <w:rsid w:val="7C853BEA"/>
    <w:rsid w:val="7C881368"/>
    <w:rsid w:val="7C9944BA"/>
    <w:rsid w:val="7CD72403"/>
    <w:rsid w:val="7CE27788"/>
    <w:rsid w:val="7CF14EA8"/>
    <w:rsid w:val="7D0A41BC"/>
    <w:rsid w:val="7D0C32F1"/>
    <w:rsid w:val="7D0F408D"/>
    <w:rsid w:val="7D1E214B"/>
    <w:rsid w:val="7D491C6C"/>
    <w:rsid w:val="7D502693"/>
    <w:rsid w:val="7D5429C0"/>
    <w:rsid w:val="7D6E6D43"/>
    <w:rsid w:val="7D7E1AD8"/>
    <w:rsid w:val="7DB57A34"/>
    <w:rsid w:val="7DE60973"/>
    <w:rsid w:val="7DEF0916"/>
    <w:rsid w:val="7DF74B1D"/>
    <w:rsid w:val="7E1E5218"/>
    <w:rsid w:val="7E290672"/>
    <w:rsid w:val="7E441043"/>
    <w:rsid w:val="7E8D00FD"/>
    <w:rsid w:val="7E924985"/>
    <w:rsid w:val="7E9A4E1F"/>
    <w:rsid w:val="7EA7723A"/>
    <w:rsid w:val="7EB720E9"/>
    <w:rsid w:val="7ED02A96"/>
    <w:rsid w:val="7EF56FBB"/>
    <w:rsid w:val="7F0768EB"/>
    <w:rsid w:val="7F143BEC"/>
    <w:rsid w:val="7F28097A"/>
    <w:rsid w:val="7F715AF2"/>
    <w:rsid w:val="7F800BF4"/>
    <w:rsid w:val="7F886E69"/>
    <w:rsid w:val="7FE32054"/>
    <w:rsid w:val="7FFA4FF3"/>
    <w:rsid w:val="BB7FA927"/>
    <w:rsid w:val="DEFFAD92"/>
    <w:rsid w:val="F5FFD31F"/>
    <w:rsid w:val="FA47BF2E"/>
    <w:rsid w:val="FA7DB66F"/>
    <w:rsid w:val="FEEF3596"/>
    <w:rsid w:val="FFF7D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5"/>
    <w:qFormat/>
    <w:uiPriority w:val="0"/>
    <w:pPr>
      <w:adjustRightInd/>
      <w:spacing w:after="120" w:line="240" w:lineRule="auto"/>
      <w:ind w:left="420" w:leftChars="200" w:firstLine="210"/>
    </w:pPr>
    <w:rPr>
      <w:sz w:val="21"/>
    </w:rPr>
  </w:style>
  <w:style w:type="paragraph" w:styleId="3">
    <w:name w:val="Body Text Indent"/>
    <w:basedOn w:val="1"/>
    <w:next w:val="4"/>
    <w:link w:val="270"/>
    <w:qFormat/>
    <w:uiPriority w:val="0"/>
    <w:pPr>
      <w:spacing w:line="480" w:lineRule="exact"/>
      <w:ind w:firstLine="480" w:firstLineChars="200"/>
    </w:pPr>
    <w:rPr>
      <w:rFonts w:ascii="宋体" w:hAnsi="宋体"/>
      <w:sz w:val="24"/>
    </w:rPr>
  </w:style>
  <w:style w:type="paragraph" w:styleId="4">
    <w:name w:val="envelope return"/>
    <w:basedOn w:val="1"/>
    <w:qFormat/>
    <w:uiPriority w:val="0"/>
    <w:pPr>
      <w:snapToGrid w:val="0"/>
    </w:pPr>
    <w:rPr>
      <w:rFonts w:ascii="Arial" w:hAnsi="Arial" w:cs="Arial"/>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3"/>
    <w:link w:val="197"/>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3"/>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6"/>
    <w:qFormat/>
    <w:uiPriority w:val="0"/>
    <w:pPr>
      <w:shd w:val="clear" w:color="auto" w:fill="000080"/>
    </w:pPr>
  </w:style>
  <w:style w:type="paragraph" w:styleId="22">
    <w:name w:val="annotation text"/>
    <w:basedOn w:val="1"/>
    <w:link w:val="349"/>
    <w:qFormat/>
    <w:uiPriority w:val="99"/>
    <w:pPr>
      <w:jc w:val="left"/>
    </w:pPr>
  </w:style>
  <w:style w:type="paragraph" w:styleId="23">
    <w:name w:val="Salutation"/>
    <w:basedOn w:val="1"/>
    <w:next w:val="1"/>
    <w:link w:val="303"/>
    <w:qFormat/>
    <w:uiPriority w:val="0"/>
    <w:rPr>
      <w:rFonts w:ascii="仿宋_GB2312" w:eastAsia="仿宋_GB2312"/>
      <w:sz w:val="28"/>
      <w:szCs w:val="20"/>
    </w:rPr>
  </w:style>
  <w:style w:type="paragraph" w:styleId="24">
    <w:name w:val="Body Text 3"/>
    <w:basedOn w:val="1"/>
    <w:link w:val="335"/>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5"/>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26"/>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next w:val="1"/>
    <w:link w:val="313"/>
    <w:qFormat/>
    <w:uiPriority w:val="0"/>
    <w:pPr>
      <w:spacing w:line="360" w:lineRule="auto"/>
      <w:ind w:firstLine="601"/>
      <w:textAlignment w:val="baseline"/>
    </w:pPr>
    <w:rPr>
      <w:rFonts w:ascii="宋体"/>
      <w:kern w:val="0"/>
      <w:sz w:val="28"/>
      <w:szCs w:val="20"/>
    </w:rPr>
  </w:style>
  <w:style w:type="paragraph" w:styleId="41">
    <w:name w:val="endnote text"/>
    <w:basedOn w:val="1"/>
    <w:link w:val="934"/>
    <w:qFormat/>
    <w:uiPriority w:val="0"/>
    <w:rPr>
      <w:lang w:val="zh-CN"/>
    </w:rPr>
  </w:style>
  <w:style w:type="paragraph" w:styleId="42">
    <w:name w:val="Balloon Text"/>
    <w:basedOn w:val="1"/>
    <w:link w:val="192"/>
    <w:qFormat/>
    <w:uiPriority w:val="0"/>
    <w:rPr>
      <w:sz w:val="18"/>
      <w:szCs w:val="18"/>
    </w:rPr>
  </w:style>
  <w:style w:type="paragraph" w:styleId="43">
    <w:name w:val="footer"/>
    <w:basedOn w:val="1"/>
    <w:link w:val="388"/>
    <w:qFormat/>
    <w:uiPriority w:val="99"/>
    <w:pPr>
      <w:tabs>
        <w:tab w:val="center" w:pos="4153"/>
        <w:tab w:val="right" w:pos="8306"/>
      </w:tabs>
      <w:snapToGrid w:val="0"/>
      <w:jc w:val="left"/>
    </w:pPr>
    <w:rPr>
      <w:sz w:val="18"/>
      <w:szCs w:val="18"/>
    </w:rPr>
  </w:style>
  <w:style w:type="paragraph" w:styleId="44">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
    <w:link w:val="315"/>
    <w:qFormat/>
    <w:uiPriority w:val="0"/>
    <w:pPr>
      <w:adjustRightInd/>
      <w:spacing w:before="60" w:after="60" w:line="300" w:lineRule="exact"/>
    </w:pPr>
    <w:rPr>
      <w:rFonts w:ascii="Calibri"/>
      <w:color w:val="0000FF"/>
      <w:kern w:val="0"/>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0"/>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next w:val="1"/>
    <w:link w:val="307"/>
    <w:qFormat/>
    <w:uiPriority w:val="0"/>
    <w:pPr>
      <w:spacing w:after="120" w:line="480" w:lineRule="auto"/>
    </w:pPr>
  </w:style>
  <w:style w:type="paragraph" w:styleId="59">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next w:val="61"/>
    <w:qFormat/>
    <w:uiPriority w:val="99"/>
    <w:pPr>
      <w:widowControl/>
      <w:spacing w:before="100" w:beforeAutospacing="1" w:after="100" w:afterAutospacing="1"/>
      <w:jc w:val="left"/>
    </w:pPr>
    <w:rPr>
      <w:rFonts w:ascii="宋体" w:hAnsi="宋体"/>
      <w:kern w:val="0"/>
      <w:sz w:val="24"/>
    </w:rPr>
  </w:style>
  <w:style w:type="paragraph" w:customStyle="1" w:styleId="61">
    <w:name w:val="TOC 91"/>
    <w:next w:val="1"/>
    <w:qFormat/>
    <w:uiPriority w:val="0"/>
    <w:pPr>
      <w:wordWrap w:val="0"/>
      <w:ind w:left="3400"/>
      <w:jc w:val="both"/>
    </w:pPr>
    <w:rPr>
      <w:rFonts w:ascii="宋体" w:hAnsi="宋体" w:cs="Times New Roman" w:eastAsiaTheme="minorEastAsia"/>
      <w:sz w:val="21"/>
      <w:lang w:val="en-US" w:eastAsia="zh-CN" w:bidi="ar-SA"/>
    </w:rPr>
  </w:style>
  <w:style w:type="paragraph" w:styleId="62">
    <w:name w:val="Title"/>
    <w:basedOn w:val="1"/>
    <w:next w:val="1"/>
    <w:link w:val="291"/>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100"/>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basedOn w:val="71"/>
    <w:qFormat/>
    <w:uiPriority w:val="99"/>
    <w:rPr>
      <w:rFonts w:ascii="Times New Roman" w:hAnsi="Times New Roman" w:eastAsia="宋体" w:cs="Times New Roman"/>
      <w:kern w:val="2"/>
      <w:sz w:val="21"/>
      <w:szCs w:val="24"/>
      <w:lang w:val="en-US" w:eastAsia="zh-CN" w:bidi="ar-SA"/>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2">
    <w:name w:val="正文1"/>
    <w:basedOn w:val="35"/>
    <w:next w:val="1"/>
    <w:qFormat/>
    <w:uiPriority w:val="0"/>
    <w:pPr>
      <w:ind w:left="0" w:leftChars="0" w:firstLine="480" w:firstLineChars="200"/>
    </w:pPr>
    <w:rPr>
      <w:rFonts w:ascii="仿宋_GB2312" w:hAnsi="Courier New" w:eastAsia="仿宋_GB2312"/>
      <w:kern w:val="28"/>
      <w:sz w:val="24"/>
    </w:rPr>
  </w:style>
  <w:style w:type="paragraph" w:customStyle="1" w:styleId="83">
    <w:name w:val="文章正文"/>
    <w:basedOn w:val="1"/>
    <w:qFormat/>
    <w:uiPriority w:val="0"/>
    <w:pPr>
      <w:spacing w:line="360" w:lineRule="auto"/>
      <w:ind w:firstLine="200" w:firstLineChars="200"/>
    </w:pPr>
    <w:rPr>
      <w:rFonts w:ascii="Calibri" w:hAnsi="Calibri"/>
      <w:sz w:val="24"/>
    </w:rPr>
  </w:style>
  <w:style w:type="paragraph" w:customStyle="1" w:styleId="84">
    <w:name w:val="_Style 2"/>
    <w:basedOn w:val="1"/>
    <w:qFormat/>
    <w:uiPriority w:val="0"/>
    <w:pPr>
      <w:ind w:firstLine="200" w:firstLineChars="200"/>
    </w:pPr>
    <w:rPr>
      <w:rFonts w:ascii="Calibri" w:hAnsi="Calibri"/>
      <w:sz w:val="28"/>
    </w:rPr>
  </w:style>
  <w:style w:type="paragraph" w:customStyle="1" w:styleId="85">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3"/>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2"/>
    <w:qFormat/>
    <w:uiPriority w:val="0"/>
    <w:rPr>
      <w:rFonts w:ascii="宋体" w:hAnsi="宋体"/>
      <w:kern w:val="2"/>
      <w:sz w:val="21"/>
      <w:szCs w:val="24"/>
    </w:rPr>
  </w:style>
  <w:style w:type="character" w:customStyle="1" w:styleId="126">
    <w:name w:val="font11"/>
    <w:basedOn w:val="7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1"/>
    <w:qFormat/>
    <w:uiPriority w:val="0"/>
    <w:rPr>
      <w:rFonts w:ascii="Arial" w:hAnsi="Arial" w:eastAsia="黑体" w:cs="Arial"/>
      <w:snapToGrid w:val="0"/>
      <w:kern w:val="0"/>
      <w:szCs w:val="21"/>
    </w:rPr>
  </w:style>
  <w:style w:type="character" w:customStyle="1" w:styleId="129">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50"/>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basedOn w:val="71"/>
    <w:qFormat/>
    <w:uiPriority w:val="0"/>
    <w:rPr>
      <w:rFonts w:hint="eastAsia" w:ascii="仿宋_GB2312" w:eastAsia="仿宋_GB2312" w:cs="仿宋_GB2312"/>
      <w:color w:val="000000"/>
      <w:sz w:val="22"/>
      <w:szCs w:val="22"/>
      <w:u w:val="none"/>
    </w:rPr>
  </w:style>
  <w:style w:type="character" w:customStyle="1" w:styleId="151">
    <w:name w:val="标题 6 字符"/>
    <w:link w:val="10"/>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6"/>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9"/>
    <w:qFormat/>
    <w:uiPriority w:val="0"/>
    <w:rPr>
      <w:rFonts w:ascii="宋体"/>
      <w:kern w:val="2"/>
      <w:sz w:val="24"/>
      <w:szCs w:val="21"/>
      <w:lang w:val="zh-CN"/>
    </w:rPr>
  </w:style>
  <w:style w:type="character" w:customStyle="1" w:styleId="186">
    <w:name w:val="标题 9 字符"/>
    <w:link w:val="13"/>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2"/>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8"/>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21"/>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basedOn w:val="7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1"/>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3"/>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8"/>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9"/>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next w:val="240"/>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3"/>
    <w:qFormat/>
    <w:uiPriority w:val="0"/>
    <w:rPr>
      <w:rFonts w:ascii="宋体" w:hAnsi="宋体"/>
      <w:kern w:val="2"/>
      <w:sz w:val="24"/>
      <w:szCs w:val="24"/>
    </w:rPr>
  </w:style>
  <w:style w:type="character" w:customStyle="1" w:styleId="271">
    <w:name w:val="font01"/>
    <w:basedOn w:val="7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5"/>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2"/>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9"/>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3"/>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9"/>
    <w:qFormat/>
    <w:uiPriority w:val="0"/>
    <w:rPr>
      <w:rFonts w:ascii="黑体" w:hAnsi="Courier New" w:eastAsia="黑体"/>
    </w:rPr>
  </w:style>
  <w:style w:type="character" w:customStyle="1" w:styleId="307">
    <w:name w:val="正文文本 2 字符1"/>
    <w:link w:val="58"/>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8"/>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11"/>
    <w:qFormat/>
    <w:uiPriority w:val="0"/>
    <w:rPr>
      <w:b/>
      <w:bCs/>
      <w:kern w:val="2"/>
      <w:sz w:val="24"/>
      <w:szCs w:val="24"/>
    </w:rPr>
  </w:style>
  <w:style w:type="character" w:customStyle="1" w:styleId="313">
    <w:name w:val="正文文本缩进 2 字符"/>
    <w:link w:val="40"/>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3"/>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basedOn w:val="7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27"/>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8"/>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4"/>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2"/>
    <w:qFormat/>
    <w:uiPriority w:val="0"/>
    <w:rPr>
      <w:kern w:val="2"/>
      <w:sz w:val="21"/>
      <w:szCs w:val="24"/>
    </w:rPr>
  </w:style>
  <w:style w:type="character" w:customStyle="1" w:styleId="350">
    <w:name w:val="签名 字符"/>
    <w:link w:val="45"/>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2"/>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basedOn w:val="7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5"/>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3"/>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4"/>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1"/>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8"/>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6">
    <w:name w:val="gray6"/>
    <w:basedOn w:val="71"/>
    <w:qFormat/>
    <w:uiPriority w:val="0"/>
    <w:rPr>
      <w:rFonts w:ascii="Arial" w:hAnsi="Arial" w:eastAsia="黑体" w:cs="Arial"/>
      <w:snapToGrid w:val="0"/>
      <w:kern w:val="0"/>
      <w:szCs w:val="21"/>
    </w:rPr>
  </w:style>
  <w:style w:type="character" w:customStyle="1" w:styleId="437">
    <w:name w:val="hui"/>
    <w:basedOn w:val="71"/>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8"/>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5"/>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6"/>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7"/>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9"/>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7"/>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8"/>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39"/>
    <w:next w:val="239"/>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39"/>
    <w:next w:val="239"/>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8"/>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5"/>
    <w:qFormat/>
    <w:uiPriority w:val="0"/>
    <w:pPr>
      <w:tabs>
        <w:tab w:val="left" w:pos="840"/>
      </w:tabs>
      <w:adjustRightInd/>
      <w:ind w:left="840" w:hanging="420"/>
    </w:pPr>
  </w:style>
  <w:style w:type="paragraph" w:customStyle="1" w:styleId="631">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0"/>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7"/>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1"/>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3"/>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5"/>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8"/>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7"/>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41"/>
    <w:qFormat/>
    <w:uiPriority w:val="0"/>
    <w:rPr>
      <w:kern w:val="2"/>
      <w:sz w:val="21"/>
      <w:szCs w:val="24"/>
      <w:lang w:val="zh-CN"/>
    </w:rPr>
  </w:style>
  <w:style w:type="character" w:customStyle="1" w:styleId="935">
    <w:name w:val="无间隔 字符"/>
    <w:link w:val="488"/>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3"/>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basedOn w:val="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7">
    <w:name w:val="纯文本3"/>
    <w:basedOn w:val="1"/>
    <w:qFormat/>
    <w:uiPriority w:val="0"/>
    <w:pPr>
      <w:textAlignment w:val="baseline"/>
    </w:pPr>
    <w:rPr>
      <w:rFonts w:ascii="宋体" w:hAnsi="Courier New" w:eastAsia="楷体_GB2312"/>
      <w:sz w:val="26"/>
      <w:szCs w:val="20"/>
    </w:rPr>
  </w:style>
  <w:style w:type="paragraph" w:customStyle="1" w:styleId="96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71">
    <w:name w:val="NormalCharacter"/>
    <w:qFormat/>
    <w:uiPriority w:val="0"/>
    <w:rPr>
      <w:kern w:val="2"/>
      <w:sz w:val="21"/>
      <w:szCs w:val="24"/>
      <w:lang w:val="en-US" w:eastAsia="zh-CN" w:bidi="ar-SA"/>
    </w:rPr>
  </w:style>
  <w:style w:type="character" w:customStyle="1" w:styleId="972">
    <w:name w:val="UserStyle_12"/>
    <w:qFormat/>
    <w:uiPriority w:val="0"/>
    <w:rPr>
      <w:kern w:val="2"/>
      <w:sz w:val="21"/>
      <w:szCs w:val="24"/>
      <w:lang w:val="en-US" w:eastAsia="zh-CN" w:bidi="ar-SA"/>
    </w:rPr>
  </w:style>
  <w:style w:type="paragraph" w:customStyle="1" w:styleId="973">
    <w:name w:val="BodyText"/>
    <w:basedOn w:val="1"/>
    <w:next w:val="974"/>
    <w:qFormat/>
    <w:uiPriority w:val="0"/>
    <w:pPr>
      <w:spacing w:after="120"/>
      <w:textAlignment w:val="baseline"/>
    </w:pPr>
    <w:rPr>
      <w:rFonts w:ascii="Calibri" w:hAnsi="Calibri"/>
    </w:rPr>
  </w:style>
  <w:style w:type="paragraph" w:customStyle="1" w:styleId="974">
    <w:name w:val="BodyText2"/>
    <w:basedOn w:val="1"/>
    <w:next w:val="1"/>
    <w:qFormat/>
    <w:uiPriority w:val="0"/>
    <w:pPr>
      <w:widowControl/>
      <w:snapToGrid w:val="0"/>
      <w:spacing w:before="50" w:after="156" w:line="400" w:lineRule="exact"/>
      <w:jc w:val="left"/>
      <w:textAlignment w:val="baseline"/>
    </w:pPr>
    <w:rPr>
      <w:rFonts w:ascii="宋体" w:hAnsi="宋体"/>
      <w:color w:val="000000"/>
      <w:sz w:val="24"/>
    </w:rPr>
  </w:style>
  <w:style w:type="paragraph" w:customStyle="1" w:styleId="975">
    <w:name w:val="纯文本4"/>
    <w:basedOn w:val="1"/>
    <w:qFormat/>
    <w:uiPriority w:val="0"/>
    <w:pPr>
      <w:textAlignment w:val="baseline"/>
    </w:pPr>
    <w:rPr>
      <w:rFonts w:ascii="宋体" w:hAnsi="Courier New" w:eastAsia="楷体_GB2312"/>
      <w:sz w:val="26"/>
      <w:szCs w:val="20"/>
    </w:rPr>
  </w:style>
  <w:style w:type="paragraph" w:customStyle="1" w:styleId="97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77">
    <w:name w:val="!正文"/>
    <w:basedOn w:val="1"/>
    <w:qFormat/>
    <w:uiPriority w:val="0"/>
    <w:pPr>
      <w:widowControl/>
      <w:spacing w:line="360" w:lineRule="auto"/>
      <w:ind w:firstLine="200" w:firstLineChars="200"/>
      <w:jc w:val="left"/>
    </w:pPr>
    <w:rPr>
      <w:rFonts w:ascii="Calibri" w:hAnsi="Calibri" w:eastAsia="微软雅黑" w:cs="微软雅黑"/>
      <w:szCs w:val="21"/>
    </w:rPr>
  </w:style>
  <w:style w:type="paragraph" w:customStyle="1" w:styleId="978">
    <w:name w:val="msolistparagraph"/>
    <w:basedOn w:val="1"/>
    <w:qFormat/>
    <w:uiPriority w:val="0"/>
    <w:pPr>
      <w:spacing w:line="360" w:lineRule="auto"/>
      <w:ind w:firstLine="420" w:firstLineChars="200"/>
    </w:pPr>
    <w:rPr>
      <w:rFonts w:hint="eastAsia" w:ascii="微软雅黑" w:hAnsi="微软雅黑" w:eastAsia="微软雅黑"/>
    </w:rPr>
  </w:style>
  <w:style w:type="table" w:customStyle="1" w:styleId="979">
    <w:name w:val="Table Normal"/>
    <w:unhideWhenUsed/>
    <w:qFormat/>
    <w:uiPriority w:val="0"/>
    <w:tblPr>
      <w:tblCellMar>
        <w:top w:w="0" w:type="dxa"/>
        <w:left w:w="0" w:type="dxa"/>
        <w:bottom w:w="0" w:type="dxa"/>
        <w:right w:w="0" w:type="dxa"/>
      </w:tblCellMar>
    </w:tblPr>
  </w:style>
  <w:style w:type="paragraph" w:customStyle="1" w:styleId="980">
    <w:name w:val="正文文本首行缩进1"/>
    <w:basedOn w:val="26"/>
    <w:qFormat/>
    <w:uiPriority w:val="0"/>
    <w:pPr>
      <w:ind w:firstLine="420" w:firstLineChars="100"/>
    </w:pPr>
    <w:rPr>
      <w:szCs w:val="21"/>
    </w:rPr>
  </w:style>
  <w:style w:type="paragraph" w:customStyle="1" w:styleId="981">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82">
    <w:name w:val="标书正文"/>
    <w:basedOn w:val="1"/>
    <w:qFormat/>
    <w:uiPriority w:val="0"/>
    <w:pPr>
      <w:widowControl/>
    </w:pPr>
    <w:rPr>
      <w:rFonts w:ascii="宋体" w:hAnsi="宋体"/>
      <w:color w:val="000000"/>
      <w:kern w:val="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50</Pages>
  <Words>18777</Words>
  <Characters>19973</Characters>
  <Lines>389</Lines>
  <Paragraphs>109</Paragraphs>
  <TotalTime>14</TotalTime>
  <ScaleCrop>false</ScaleCrop>
  <LinksUpToDate>false</LinksUpToDate>
  <CharactersWithSpaces>20444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954</cp:lastModifiedBy>
  <cp:lastPrinted>2023-10-24T07:23:00Z</cp:lastPrinted>
  <dcterms:modified xsi:type="dcterms:W3CDTF">2025-03-04T08:21:42Z</dcterms:modified>
  <dc:title>杭州市市民卡扩大发卡工程</dc:title>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eyJoZGlkIjoiMGMzMTVmNWQ0ZWUwMDFhMGMxMjI0ODY0ODBlMmFiN2UifQ==</vt:lpwstr>
  </property>
  <property fmtid="{D5CDD505-2E9C-101B-9397-08002B2CF9AE}" pid="6" name="KSOTemplateDocerSaveRecord">
    <vt:lpwstr>eyJoZGlkIjoiMGMzMTVmNWQ0ZWUwMDFhMGMxMjI0ODY0ODBlMmFiN2UiLCJ1c2VySWQiOiIxNDkxNzg2MTEyIn0=</vt:lpwstr>
  </property>
</Properties>
</file>