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47F616C">
      <w:pPr>
        <w:spacing w:line="360" w:lineRule="auto"/>
        <w:jc w:val="center"/>
        <w:rPr>
          <w:rFonts w:hint="eastAsia" w:ascii="仿宋" w:hAnsi="仿宋" w:eastAsia="仿宋" w:cs="仿宋_GB2312"/>
          <w:b/>
          <w:color w:val="auto"/>
          <w:sz w:val="24"/>
          <w:highlight w:val="none"/>
        </w:rPr>
      </w:pPr>
    </w:p>
    <w:p w14:paraId="6499E8A3">
      <w:pPr>
        <w:spacing w:line="1160" w:lineRule="exact"/>
        <w:jc w:val="center"/>
        <w:rPr>
          <w:rFonts w:hint="eastAsia" w:ascii="宋体" w:hAnsi="宋体" w:eastAsia="宋体"/>
          <w:b/>
          <w:color w:val="auto"/>
          <w:sz w:val="56"/>
          <w:szCs w:val="56"/>
          <w:highlight w:val="none"/>
          <w:lang w:eastAsia="zh-CN"/>
        </w:rPr>
      </w:pPr>
      <w:bookmarkStart w:id="0" w:name="_Hlt67893495"/>
      <w:bookmarkEnd w:id="0"/>
      <w:r>
        <w:rPr>
          <w:rFonts w:hint="eastAsia" w:ascii="宋体" w:hAnsi="宋体"/>
          <w:b/>
          <w:color w:val="auto"/>
          <w:sz w:val="52"/>
          <w:szCs w:val="52"/>
          <w:highlight w:val="none"/>
          <w:lang w:eastAsia="zh-CN"/>
        </w:rPr>
        <w:t>嘉善县妇幼保健院收费等岗位服务项目</w:t>
      </w:r>
    </w:p>
    <w:p w14:paraId="4B6CE338">
      <w:pPr>
        <w:spacing w:before="120" w:beforeLines="50"/>
        <w:rPr>
          <w:rFonts w:ascii="宋体" w:hAnsi="宋体"/>
          <w:color w:val="auto"/>
          <w:sz w:val="72"/>
          <w:szCs w:val="72"/>
          <w:highlight w:val="none"/>
        </w:rPr>
      </w:pPr>
    </w:p>
    <w:p w14:paraId="394EBB3E">
      <w:pPr>
        <w:spacing w:before="120" w:beforeLines="50"/>
        <w:rPr>
          <w:rFonts w:ascii="宋体" w:hAnsi="宋体"/>
          <w:color w:val="auto"/>
          <w:sz w:val="72"/>
          <w:szCs w:val="72"/>
          <w:highlight w:val="none"/>
        </w:rPr>
      </w:pPr>
    </w:p>
    <w:p w14:paraId="5CAC0B50">
      <w:pPr>
        <w:pStyle w:val="64"/>
        <w:rPr>
          <w:rFonts w:ascii="宋体" w:hAnsi="宋体"/>
          <w:color w:val="auto"/>
          <w:sz w:val="72"/>
          <w:szCs w:val="72"/>
          <w:highlight w:val="none"/>
        </w:rPr>
      </w:pPr>
    </w:p>
    <w:p w14:paraId="6105FBEA">
      <w:pPr>
        <w:rPr>
          <w:color w:val="auto"/>
          <w:highlight w:val="none"/>
        </w:rPr>
      </w:pPr>
    </w:p>
    <w:p w14:paraId="34164B8B">
      <w:pPr>
        <w:spacing w:before="120" w:beforeLines="50"/>
        <w:rPr>
          <w:rFonts w:ascii="宋体" w:hAnsi="宋体"/>
          <w:color w:val="auto"/>
          <w:sz w:val="72"/>
          <w:szCs w:val="72"/>
          <w:highlight w:val="none"/>
        </w:rPr>
      </w:pPr>
    </w:p>
    <w:p w14:paraId="3507CEB1">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公开招标文件</w:t>
      </w:r>
    </w:p>
    <w:p w14:paraId="580AE44D">
      <w:pPr>
        <w:pStyle w:val="63"/>
        <w:rPr>
          <w:color w:val="auto"/>
          <w:highlight w:val="none"/>
        </w:rPr>
      </w:pPr>
    </w:p>
    <w:p w14:paraId="6C71D75B">
      <w:pPr>
        <w:snapToGrid w:val="0"/>
        <w:spacing w:before="120" w:beforeLines="50" w:line="360" w:lineRule="auto"/>
        <w:jc w:val="center"/>
        <w:rPr>
          <w:rFonts w:ascii="宋体" w:hAnsi="宋体"/>
          <w:color w:val="auto"/>
          <w:sz w:val="30"/>
          <w:szCs w:val="72"/>
          <w:highlight w:val="none"/>
        </w:rPr>
      </w:pPr>
    </w:p>
    <w:p w14:paraId="71974F08">
      <w:pPr>
        <w:snapToGrid w:val="0"/>
        <w:spacing w:before="120" w:beforeLines="50" w:line="360" w:lineRule="auto"/>
        <w:rPr>
          <w:rFonts w:ascii="宋体" w:hAnsi="宋体"/>
          <w:color w:val="auto"/>
          <w:sz w:val="30"/>
          <w:szCs w:val="72"/>
          <w:highlight w:val="none"/>
        </w:rPr>
      </w:pPr>
    </w:p>
    <w:p w14:paraId="091FBF1F">
      <w:pPr>
        <w:pStyle w:val="35"/>
        <w:snapToGrid w:val="0"/>
        <w:spacing w:before="120" w:after="120" w:line="360" w:lineRule="auto"/>
        <w:rPr>
          <w:b/>
          <w:color w:val="auto"/>
          <w:sz w:val="30"/>
          <w:szCs w:val="30"/>
          <w:highlight w:val="none"/>
        </w:rPr>
      </w:pPr>
    </w:p>
    <w:p w14:paraId="09F0D92F">
      <w:pPr>
        <w:pStyle w:val="35"/>
        <w:snapToGrid w:val="0"/>
        <w:spacing w:before="120" w:after="120" w:line="360" w:lineRule="auto"/>
        <w:jc w:val="left"/>
        <w:rPr>
          <w:b/>
          <w:color w:val="auto"/>
          <w:sz w:val="30"/>
          <w:szCs w:val="30"/>
          <w:highlight w:val="none"/>
        </w:rPr>
      </w:pPr>
    </w:p>
    <w:p w14:paraId="74997FF7">
      <w:pPr>
        <w:pStyle w:val="35"/>
        <w:snapToGrid w:val="0"/>
        <w:spacing w:before="120" w:after="120" w:line="360" w:lineRule="auto"/>
        <w:jc w:val="left"/>
        <w:rPr>
          <w:b/>
          <w:color w:val="auto"/>
          <w:sz w:val="30"/>
          <w:szCs w:val="30"/>
          <w:highlight w:val="none"/>
        </w:rPr>
      </w:pPr>
    </w:p>
    <w:p w14:paraId="59F0FA46">
      <w:pPr>
        <w:pStyle w:val="35"/>
        <w:snapToGrid w:val="0"/>
        <w:spacing w:before="120" w:after="120" w:line="360" w:lineRule="auto"/>
        <w:jc w:val="left"/>
        <w:rPr>
          <w:b/>
          <w:color w:val="auto"/>
          <w:sz w:val="30"/>
          <w:szCs w:val="30"/>
          <w:highlight w:val="none"/>
        </w:rPr>
      </w:pPr>
      <w:r>
        <w:rPr>
          <w:b/>
          <w:color w:val="auto"/>
          <w:sz w:val="30"/>
          <w:szCs w:val="30"/>
          <w:highlight w:val="none"/>
        </w:rPr>
        <w:t>项目编号：</w:t>
      </w:r>
      <w:r>
        <w:rPr>
          <w:rFonts w:hint="eastAsia" w:hAnsi="宋体"/>
          <w:b/>
          <w:color w:val="auto"/>
          <w:sz w:val="30"/>
          <w:szCs w:val="48"/>
          <w:highlight w:val="none"/>
          <w:lang w:eastAsia="zh-CN"/>
        </w:rPr>
        <w:t>JXYJ2024027</w:t>
      </w:r>
      <w:r>
        <w:rPr>
          <w:rFonts w:hint="eastAsia" w:hAnsi="宋体"/>
          <w:b/>
          <w:color w:val="auto"/>
          <w:sz w:val="30"/>
          <w:szCs w:val="48"/>
          <w:highlight w:val="none"/>
        </w:rPr>
        <w:t>(G)</w:t>
      </w:r>
    </w:p>
    <w:p w14:paraId="34FBEFD2">
      <w:pPr>
        <w:pStyle w:val="35"/>
        <w:snapToGrid w:val="0"/>
        <w:spacing w:before="120" w:after="120" w:line="360" w:lineRule="auto"/>
        <w:jc w:val="left"/>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嘉善县妇幼保健院收费等岗位服务项目</w:t>
      </w:r>
    </w:p>
    <w:p w14:paraId="2DB11F1C">
      <w:pPr>
        <w:pStyle w:val="35"/>
        <w:snapToGrid w:val="0"/>
        <w:spacing w:before="120" w:after="120" w:line="360" w:lineRule="auto"/>
        <w:jc w:val="left"/>
        <w:rPr>
          <w:rFonts w:hint="eastAsia" w:hAnsi="宋体" w:eastAsia="宋体"/>
          <w:b/>
          <w:color w:val="auto"/>
          <w:sz w:val="30"/>
          <w:szCs w:val="30"/>
          <w:highlight w:val="none"/>
          <w:lang w:eastAsia="zh-CN"/>
        </w:rPr>
      </w:pPr>
      <w:r>
        <w:rPr>
          <w:b/>
          <w:color w:val="auto"/>
          <w:sz w:val="30"/>
          <w:szCs w:val="30"/>
          <w:highlight w:val="none"/>
        </w:rPr>
        <w:t>采购</w:t>
      </w:r>
      <w:r>
        <w:rPr>
          <w:rFonts w:hint="eastAsia"/>
          <w:b/>
          <w:color w:val="auto"/>
          <w:sz w:val="30"/>
          <w:szCs w:val="30"/>
          <w:highlight w:val="none"/>
        </w:rPr>
        <w:t>单位</w:t>
      </w:r>
      <w:r>
        <w:rPr>
          <w:b/>
          <w:color w:val="auto"/>
          <w:sz w:val="30"/>
          <w:szCs w:val="30"/>
          <w:highlight w:val="none"/>
        </w:rPr>
        <w:t>：</w:t>
      </w:r>
      <w:r>
        <w:rPr>
          <w:rFonts w:hint="eastAsia"/>
          <w:b/>
          <w:color w:val="auto"/>
          <w:sz w:val="30"/>
          <w:szCs w:val="30"/>
          <w:highlight w:val="none"/>
          <w:lang w:eastAsia="zh-CN"/>
        </w:rPr>
        <w:t>嘉善县妇幼保健院</w:t>
      </w:r>
    </w:p>
    <w:p w14:paraId="46DA31A6">
      <w:pPr>
        <w:pStyle w:val="35"/>
        <w:snapToGrid w:val="0"/>
        <w:spacing w:before="120" w:after="120" w:line="360" w:lineRule="auto"/>
        <w:jc w:val="left"/>
        <w:rPr>
          <w:rFonts w:hAnsi="宋体"/>
          <w:b/>
          <w:bCs/>
          <w:color w:val="auto"/>
          <w:sz w:val="30"/>
          <w:szCs w:val="30"/>
          <w:highlight w:val="none"/>
        </w:rPr>
      </w:pPr>
      <w:r>
        <w:rPr>
          <w:rFonts w:hint="eastAsia"/>
          <w:b/>
          <w:color w:val="auto"/>
          <w:sz w:val="30"/>
          <w:szCs w:val="30"/>
          <w:highlight w:val="none"/>
        </w:rPr>
        <w:t>采购代理机构</w:t>
      </w:r>
      <w:r>
        <w:rPr>
          <w:b/>
          <w:color w:val="auto"/>
          <w:sz w:val="30"/>
          <w:szCs w:val="30"/>
          <w:highlight w:val="none"/>
        </w:rPr>
        <w:t>：</w:t>
      </w:r>
      <w:r>
        <w:rPr>
          <w:rFonts w:hint="eastAsia"/>
          <w:b/>
          <w:color w:val="auto"/>
          <w:sz w:val="30"/>
          <w:szCs w:val="30"/>
          <w:highlight w:val="none"/>
        </w:rPr>
        <w:t>嘉兴市银建工程咨询评估有限公司</w:t>
      </w:r>
    </w:p>
    <w:p w14:paraId="05A188AD">
      <w:pPr>
        <w:spacing w:line="360" w:lineRule="auto"/>
        <w:jc w:val="center"/>
        <w:rPr>
          <w:rFonts w:ascii="仿宋" w:hAnsi="仿宋" w:eastAsia="仿宋" w:cs="仿宋_GB2312"/>
          <w:color w:val="auto"/>
          <w:sz w:val="24"/>
          <w:highlight w:val="none"/>
        </w:rPr>
      </w:pPr>
      <w:r>
        <w:rPr>
          <w:rFonts w:hint="eastAsia" w:ascii="宋体" w:hAnsi="宋体"/>
          <w:b/>
          <w:bCs/>
          <w:color w:val="auto"/>
          <w:w w:val="95"/>
          <w:sz w:val="30"/>
          <w:szCs w:val="30"/>
          <w:highlight w:val="none"/>
          <w:lang w:eastAsia="zh-CN"/>
        </w:rPr>
        <w:t>202</w:t>
      </w:r>
      <w:r>
        <w:rPr>
          <w:rFonts w:hint="eastAsia" w:ascii="宋体" w:hAnsi="宋体"/>
          <w:b/>
          <w:bCs/>
          <w:color w:val="auto"/>
          <w:w w:val="95"/>
          <w:sz w:val="30"/>
          <w:szCs w:val="30"/>
          <w:highlight w:val="none"/>
          <w:lang w:val="en-US" w:eastAsia="zh-CN"/>
        </w:rPr>
        <w:t>4</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8</w:t>
      </w:r>
      <w:r>
        <w:rPr>
          <w:rFonts w:hint="eastAsia" w:ascii="宋体" w:hAnsi="宋体"/>
          <w:b/>
          <w:bCs/>
          <w:color w:val="auto"/>
          <w:w w:val="95"/>
          <w:sz w:val="30"/>
          <w:szCs w:val="30"/>
          <w:highlight w:val="none"/>
        </w:rPr>
        <w:t>月</w:t>
      </w:r>
    </w:p>
    <w:p w14:paraId="3510F363">
      <w:pPr>
        <w:rPr>
          <w:rFonts w:ascii="仿宋" w:hAnsi="仿宋" w:eastAsia="仿宋" w:cs="仿宋_GB2312"/>
          <w:color w:val="auto"/>
          <w:sz w:val="24"/>
          <w:highlight w:val="none"/>
        </w:rPr>
        <w:sectPr>
          <w:headerReference r:id="rId3" w:type="default"/>
          <w:headerReference r:id="rId4" w:type="even"/>
          <w:footerReference r:id="rId5" w:type="even"/>
          <w:pgSz w:w="11906" w:h="16838"/>
          <w:pgMar w:top="680" w:right="1418" w:bottom="471" w:left="1418" w:header="851" w:footer="992" w:gutter="0"/>
          <w:cols w:space="720" w:num="1"/>
          <w:titlePg/>
          <w:docGrid w:linePitch="312" w:charSpace="0"/>
        </w:sectPr>
      </w:pPr>
    </w:p>
    <w:p w14:paraId="7AD1AA4C">
      <w:pPr>
        <w:pStyle w:val="4"/>
        <w:rPr>
          <w:color w:val="auto"/>
          <w:highlight w:val="none"/>
        </w:rPr>
      </w:pPr>
    </w:p>
    <w:p w14:paraId="05D46F71">
      <w:pPr>
        <w:pStyle w:val="63"/>
        <w:rPr>
          <w:rFonts w:ascii="仿宋" w:hAnsi="仿宋" w:eastAsia="仿宋" w:cs="仿宋_GB2312"/>
          <w:color w:val="auto"/>
          <w:highlight w:val="none"/>
        </w:rPr>
      </w:pPr>
    </w:p>
    <w:p w14:paraId="26AD4D7C">
      <w:pPr>
        <w:rPr>
          <w:rFonts w:ascii="仿宋" w:hAnsi="仿宋" w:eastAsia="仿宋" w:cs="仿宋_GB2312"/>
          <w:color w:val="auto"/>
          <w:sz w:val="24"/>
          <w:highlight w:val="none"/>
        </w:rPr>
      </w:pPr>
    </w:p>
    <w:p w14:paraId="56A4866D">
      <w:pPr>
        <w:pStyle w:val="35"/>
        <w:spacing w:before="120" w:after="120" w:line="600" w:lineRule="exact"/>
        <w:rPr>
          <w:rFonts w:ascii="创艺简标宋" w:hAnsi="宋体" w:eastAsia="创艺简标宋"/>
          <w:b/>
          <w:color w:val="auto"/>
          <w:sz w:val="44"/>
          <w:szCs w:val="44"/>
          <w:highlight w:val="none"/>
        </w:rPr>
      </w:pPr>
      <w:bookmarkStart w:id="1" w:name="_Hlt91233176"/>
      <w:bookmarkEnd w:id="1"/>
      <w:bookmarkStart w:id="2" w:name="_Toc91899869"/>
    </w:p>
    <w:p w14:paraId="54413174">
      <w:pPr>
        <w:pStyle w:val="35"/>
        <w:spacing w:before="120" w:after="120" w:line="60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14:paraId="4635CADB">
      <w:pPr>
        <w:pStyle w:val="35"/>
        <w:tabs>
          <w:tab w:val="left" w:pos="6645"/>
        </w:tabs>
        <w:spacing w:before="120" w:after="120" w:line="600" w:lineRule="exact"/>
        <w:jc w:val="left"/>
        <w:rPr>
          <w:rFonts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14:paraId="16C901B0">
      <w:pPr>
        <w:pStyle w:val="46"/>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79"/>
          <w:rFonts w:hint="eastAsia"/>
          <w:b/>
          <w:color w:val="auto"/>
          <w:sz w:val="32"/>
          <w:szCs w:val="32"/>
          <w:highlight w:val="none"/>
        </w:rPr>
        <w:t>第一章</w:t>
      </w:r>
      <w:r>
        <w:rPr>
          <w:rStyle w:val="79"/>
          <w:rFonts w:hint="eastAsia"/>
          <w:b/>
          <w:color w:val="auto"/>
          <w:sz w:val="32"/>
          <w:szCs w:val="32"/>
          <w:highlight w:val="none"/>
          <w:lang w:val="en-US"/>
        </w:rPr>
        <w:t xml:space="preserve"> </w:t>
      </w:r>
      <w:r>
        <w:rPr>
          <w:rStyle w:val="79"/>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14:paraId="311A68D9">
      <w:pPr>
        <w:pStyle w:val="46"/>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79"/>
          <w:rFonts w:hint="eastAsia"/>
          <w:b/>
          <w:color w:val="auto"/>
          <w:sz w:val="32"/>
          <w:szCs w:val="32"/>
          <w:highlight w:val="none"/>
        </w:rPr>
        <w:t>第二章</w:t>
      </w:r>
      <w:r>
        <w:rPr>
          <w:rStyle w:val="79"/>
          <w:rFonts w:hint="eastAsia"/>
          <w:b/>
          <w:color w:val="auto"/>
          <w:sz w:val="32"/>
          <w:szCs w:val="32"/>
          <w:highlight w:val="none"/>
          <w:lang w:val="en-US"/>
        </w:rPr>
        <w:t xml:space="preserve"> </w:t>
      </w:r>
      <w:r>
        <w:rPr>
          <w:rStyle w:val="79"/>
          <w:rFonts w:hint="eastAsia"/>
          <w:b/>
          <w:color w:val="auto"/>
          <w:sz w:val="32"/>
          <w:szCs w:val="32"/>
          <w:highlight w:val="none"/>
        </w:rPr>
        <w:t>招标需求</w:t>
      </w:r>
      <w:r>
        <w:rPr>
          <w:b/>
          <w:color w:val="auto"/>
          <w:sz w:val="32"/>
          <w:szCs w:val="32"/>
          <w:highlight w:val="none"/>
        </w:rPr>
        <w:tab/>
      </w:r>
      <w:r>
        <w:rPr>
          <w:rFonts w:hint="eastAsia"/>
          <w:b/>
          <w:color w:val="auto"/>
          <w:sz w:val="32"/>
          <w:szCs w:val="32"/>
          <w:highlight w:val="none"/>
          <w:lang w:val="en-US" w:eastAsia="zh-CN"/>
        </w:rPr>
        <w:t>7</w:t>
      </w:r>
      <w:r>
        <w:rPr>
          <w:rFonts w:hint="eastAsia"/>
          <w:b/>
          <w:color w:val="auto"/>
          <w:sz w:val="32"/>
          <w:szCs w:val="32"/>
          <w:highlight w:val="none"/>
        </w:rPr>
        <w:fldChar w:fldCharType="end"/>
      </w:r>
    </w:p>
    <w:p w14:paraId="15276911">
      <w:pPr>
        <w:pStyle w:val="46"/>
        <w:tabs>
          <w:tab w:val="right" w:leader="dot" w:pos="8834"/>
        </w:tabs>
        <w:spacing w:line="480" w:lineRule="auto"/>
        <w:rPr>
          <w:rFonts w:hint="default" w:eastAsia="宋体"/>
          <w:b/>
          <w:color w:val="auto"/>
          <w:sz w:val="32"/>
          <w:szCs w:val="32"/>
          <w:highlight w:val="none"/>
          <w:lang w:val="en-US" w:eastAsia="zh-CN"/>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79"/>
          <w:rFonts w:hint="eastAsia"/>
          <w:b/>
          <w:color w:val="auto"/>
          <w:sz w:val="32"/>
          <w:szCs w:val="32"/>
          <w:highlight w:val="none"/>
        </w:rPr>
        <w:t>第三章</w:t>
      </w:r>
      <w:r>
        <w:rPr>
          <w:rStyle w:val="79"/>
          <w:rFonts w:hint="eastAsia"/>
          <w:b/>
          <w:color w:val="auto"/>
          <w:sz w:val="32"/>
          <w:szCs w:val="32"/>
          <w:highlight w:val="none"/>
          <w:lang w:val="en-US"/>
        </w:rPr>
        <w:t xml:space="preserve"> </w:t>
      </w:r>
      <w:r>
        <w:rPr>
          <w:rStyle w:val="79"/>
          <w:rFonts w:hint="eastAsia"/>
          <w:b/>
          <w:color w:val="auto"/>
          <w:sz w:val="32"/>
          <w:szCs w:val="32"/>
          <w:highlight w:val="none"/>
        </w:rPr>
        <w:t>投标人须知</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10</w:t>
      </w:r>
    </w:p>
    <w:p w14:paraId="6BD22E9E">
      <w:pPr>
        <w:pStyle w:val="46"/>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79"/>
          <w:rFonts w:hint="eastAsia"/>
          <w:b/>
          <w:color w:val="auto"/>
          <w:sz w:val="32"/>
          <w:szCs w:val="32"/>
          <w:highlight w:val="none"/>
        </w:rPr>
        <w:t>第四章 评标办法及评分标准</w:t>
      </w:r>
      <w:r>
        <w:rPr>
          <w:b/>
          <w:color w:val="auto"/>
          <w:sz w:val="32"/>
          <w:szCs w:val="32"/>
          <w:highlight w:val="none"/>
        </w:rPr>
        <w:tab/>
      </w:r>
      <w:r>
        <w:rPr>
          <w:rFonts w:hint="eastAsia"/>
          <w:b/>
          <w:color w:val="auto"/>
          <w:sz w:val="32"/>
          <w:szCs w:val="32"/>
          <w:highlight w:val="none"/>
          <w:lang w:val="en-US" w:eastAsia="zh-CN"/>
        </w:rPr>
        <w:t>2</w:t>
      </w:r>
      <w:r>
        <w:rPr>
          <w:rFonts w:hint="eastAsia"/>
          <w:b/>
          <w:color w:val="auto"/>
          <w:sz w:val="32"/>
          <w:szCs w:val="32"/>
          <w:highlight w:val="none"/>
        </w:rPr>
        <w:fldChar w:fldCharType="end"/>
      </w:r>
      <w:r>
        <w:rPr>
          <w:rFonts w:hint="eastAsia"/>
          <w:b/>
          <w:color w:val="auto"/>
          <w:sz w:val="32"/>
          <w:szCs w:val="32"/>
          <w:highlight w:val="none"/>
          <w:lang w:val="en-US" w:eastAsia="zh-CN"/>
        </w:rPr>
        <w:t>7</w:t>
      </w:r>
    </w:p>
    <w:p w14:paraId="3E6531E8">
      <w:pPr>
        <w:pStyle w:val="46"/>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79"/>
          <w:rFonts w:hint="eastAsia"/>
          <w:b/>
          <w:color w:val="auto"/>
          <w:sz w:val="32"/>
          <w:szCs w:val="32"/>
          <w:highlight w:val="none"/>
        </w:rPr>
        <w:t>第五章</w:t>
      </w:r>
      <w:r>
        <w:rPr>
          <w:rStyle w:val="79"/>
          <w:rFonts w:hint="eastAsia"/>
          <w:b/>
          <w:color w:val="auto"/>
          <w:sz w:val="32"/>
          <w:szCs w:val="32"/>
          <w:highlight w:val="none"/>
          <w:lang w:val="en-US"/>
        </w:rPr>
        <w:t xml:space="preserve"> </w:t>
      </w:r>
      <w:r>
        <w:rPr>
          <w:rStyle w:val="79"/>
          <w:rFonts w:hint="eastAsia"/>
          <w:b/>
          <w:color w:val="auto"/>
          <w:sz w:val="32"/>
          <w:szCs w:val="32"/>
          <w:highlight w:val="none"/>
        </w:rPr>
        <w:t>嘉善县政府采购合同（</w:t>
      </w:r>
      <w:bookmarkStart w:id="3" w:name="_Hlt497308216"/>
      <w:r>
        <w:rPr>
          <w:rStyle w:val="79"/>
          <w:rFonts w:hint="eastAsia"/>
          <w:b/>
          <w:color w:val="auto"/>
          <w:sz w:val="32"/>
          <w:szCs w:val="32"/>
          <w:highlight w:val="none"/>
        </w:rPr>
        <w:t>指</w:t>
      </w:r>
      <w:bookmarkEnd w:id="3"/>
      <w:bookmarkStart w:id="4" w:name="_Hlt497308220"/>
      <w:r>
        <w:rPr>
          <w:rStyle w:val="79"/>
          <w:rFonts w:hint="eastAsia"/>
          <w:b/>
          <w:color w:val="auto"/>
          <w:sz w:val="32"/>
          <w:szCs w:val="32"/>
          <w:highlight w:val="none"/>
        </w:rPr>
        <w:t>引</w:t>
      </w:r>
      <w:bookmarkEnd w:id="4"/>
      <w:r>
        <w:rPr>
          <w:rStyle w:val="79"/>
          <w:rFonts w:hint="eastAsia"/>
          <w:b/>
          <w:color w:val="auto"/>
          <w:sz w:val="32"/>
          <w:szCs w:val="32"/>
          <w:highlight w:val="none"/>
        </w:rPr>
        <w:t>）</w:t>
      </w:r>
      <w:bookmarkStart w:id="5" w:name="_Hlt497308212"/>
      <w:bookmarkStart w:id="6" w:name="_Hlt497308213"/>
      <w:r>
        <w:rPr>
          <w:b/>
          <w:color w:val="auto"/>
          <w:sz w:val="32"/>
          <w:szCs w:val="32"/>
          <w:highlight w:val="none"/>
        </w:rPr>
        <w:tab/>
      </w:r>
      <w:bookmarkEnd w:id="5"/>
      <w:bookmarkEnd w:id="6"/>
      <w:r>
        <w:rPr>
          <w:rFonts w:hint="eastAsia"/>
          <w:b/>
          <w:color w:val="auto"/>
          <w:sz w:val="32"/>
          <w:szCs w:val="32"/>
          <w:highlight w:val="none"/>
          <w:lang w:val="en-US" w:eastAsia="zh-CN"/>
        </w:rPr>
        <w:t>3</w:t>
      </w:r>
      <w:r>
        <w:rPr>
          <w:rFonts w:hint="eastAsia"/>
          <w:b/>
          <w:color w:val="auto"/>
          <w:sz w:val="32"/>
          <w:szCs w:val="32"/>
          <w:highlight w:val="none"/>
        </w:rPr>
        <w:fldChar w:fldCharType="end"/>
      </w:r>
      <w:r>
        <w:rPr>
          <w:rFonts w:hint="eastAsia"/>
          <w:b/>
          <w:color w:val="auto"/>
          <w:sz w:val="32"/>
          <w:szCs w:val="32"/>
          <w:highlight w:val="none"/>
          <w:lang w:val="en-US" w:eastAsia="zh-CN"/>
        </w:rPr>
        <w:t>0</w:t>
      </w:r>
    </w:p>
    <w:p w14:paraId="22A41AD0">
      <w:pPr>
        <w:pStyle w:val="46"/>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79"/>
          <w:rFonts w:hint="eastAsia"/>
          <w:b/>
          <w:color w:val="auto"/>
          <w:sz w:val="32"/>
          <w:szCs w:val="32"/>
          <w:highlight w:val="none"/>
        </w:rPr>
        <w:t>第六章</w:t>
      </w:r>
      <w:r>
        <w:rPr>
          <w:rStyle w:val="79"/>
          <w:rFonts w:hint="eastAsia"/>
          <w:b/>
          <w:color w:val="auto"/>
          <w:sz w:val="32"/>
          <w:szCs w:val="32"/>
          <w:highlight w:val="none"/>
          <w:lang w:val="en-US"/>
        </w:rPr>
        <w:t xml:space="preserve"> </w:t>
      </w:r>
      <w:r>
        <w:rPr>
          <w:rStyle w:val="79"/>
          <w:rFonts w:hint="eastAsia"/>
          <w:b/>
          <w:color w:val="auto"/>
          <w:sz w:val="32"/>
          <w:szCs w:val="32"/>
          <w:highlight w:val="none"/>
        </w:rPr>
        <w:t>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35</w:t>
      </w:r>
    </w:p>
    <w:p w14:paraId="26A128EA">
      <w:pPr>
        <w:pStyle w:val="46"/>
        <w:tabs>
          <w:tab w:val="right" w:leader="dot" w:pos="8834"/>
        </w:tabs>
        <w:spacing w:line="480" w:lineRule="auto"/>
        <w:rPr>
          <w:b/>
          <w:color w:val="auto"/>
          <w:sz w:val="32"/>
          <w:szCs w:val="32"/>
          <w:highlight w:val="none"/>
        </w:rPr>
      </w:pPr>
    </w:p>
    <w:p w14:paraId="191AA0F4">
      <w:pPr>
        <w:pStyle w:val="46"/>
        <w:tabs>
          <w:tab w:val="right" w:leader="dot" w:pos="8834"/>
        </w:tabs>
        <w:spacing w:line="480" w:lineRule="auto"/>
        <w:rPr>
          <w:b/>
          <w:color w:val="auto"/>
          <w:sz w:val="32"/>
          <w:szCs w:val="32"/>
          <w:highlight w:val="none"/>
        </w:rPr>
      </w:pPr>
    </w:p>
    <w:p w14:paraId="3C8E96D5">
      <w:pPr>
        <w:pStyle w:val="46"/>
        <w:tabs>
          <w:tab w:val="right" w:leader="dot" w:pos="8834"/>
        </w:tabs>
        <w:spacing w:line="480" w:lineRule="auto"/>
        <w:rPr>
          <w:b/>
          <w:color w:val="auto"/>
          <w:sz w:val="32"/>
          <w:szCs w:val="32"/>
          <w:highlight w:val="none"/>
        </w:rPr>
      </w:pPr>
    </w:p>
    <w:p w14:paraId="5FC4E2DE">
      <w:pPr>
        <w:pStyle w:val="46"/>
        <w:tabs>
          <w:tab w:val="right" w:leader="dot" w:pos="8834"/>
        </w:tabs>
        <w:spacing w:line="480" w:lineRule="auto"/>
        <w:rPr>
          <w:b/>
          <w:color w:val="auto"/>
          <w:sz w:val="32"/>
          <w:szCs w:val="32"/>
          <w:highlight w:val="none"/>
        </w:rPr>
      </w:pPr>
    </w:p>
    <w:p w14:paraId="1BC5F427">
      <w:pPr>
        <w:pStyle w:val="46"/>
        <w:tabs>
          <w:tab w:val="right" w:leader="dot" w:pos="8834"/>
        </w:tabs>
        <w:spacing w:line="480" w:lineRule="auto"/>
        <w:rPr>
          <w:b/>
          <w:color w:val="auto"/>
          <w:sz w:val="32"/>
          <w:szCs w:val="32"/>
          <w:highlight w:val="none"/>
        </w:rPr>
      </w:pPr>
    </w:p>
    <w:p w14:paraId="3DFA0AA3">
      <w:pPr>
        <w:spacing w:line="360" w:lineRule="auto"/>
        <w:ind w:firstLine="480" w:firstLineChars="229"/>
        <w:rPr>
          <w:rFonts w:ascii="仿宋" w:hAnsi="仿宋" w:eastAsia="仿宋" w:cs="仿宋_GB2312"/>
          <w:color w:val="auto"/>
          <w:sz w:val="24"/>
          <w:highlight w:val="none"/>
        </w:rPr>
      </w:pPr>
      <w:r>
        <w:rPr>
          <w:color w:val="auto"/>
          <w:szCs w:val="32"/>
          <w:highlight w:val="none"/>
        </w:rPr>
        <w:fldChar w:fldCharType="end"/>
      </w:r>
    </w:p>
    <w:p w14:paraId="69E3365A">
      <w:pPr>
        <w:spacing w:line="360" w:lineRule="auto"/>
        <w:ind w:firstLine="549" w:firstLineChars="229"/>
        <w:rPr>
          <w:rFonts w:ascii="仿宋" w:hAnsi="仿宋" w:eastAsia="仿宋" w:cs="仿宋_GB2312"/>
          <w:color w:val="auto"/>
          <w:sz w:val="24"/>
          <w:highlight w:val="none"/>
        </w:rPr>
      </w:pPr>
    </w:p>
    <w:p w14:paraId="10F25DBC">
      <w:pPr>
        <w:spacing w:line="360" w:lineRule="auto"/>
        <w:ind w:firstLine="549" w:firstLineChars="229"/>
        <w:rPr>
          <w:rFonts w:ascii="仿宋" w:hAnsi="仿宋" w:eastAsia="仿宋" w:cs="仿宋_GB2312"/>
          <w:color w:val="auto"/>
          <w:sz w:val="24"/>
          <w:highlight w:val="none"/>
        </w:rPr>
      </w:pPr>
    </w:p>
    <w:p w14:paraId="53E0BD26">
      <w:pPr>
        <w:spacing w:line="360" w:lineRule="auto"/>
        <w:ind w:firstLine="549" w:firstLineChars="229"/>
        <w:rPr>
          <w:rFonts w:ascii="仿宋" w:hAnsi="仿宋" w:eastAsia="仿宋" w:cs="仿宋_GB2312"/>
          <w:color w:val="auto"/>
          <w:sz w:val="24"/>
          <w:highlight w:val="none"/>
        </w:rPr>
      </w:pPr>
    </w:p>
    <w:p w14:paraId="5F24BE91">
      <w:pPr>
        <w:spacing w:line="360" w:lineRule="auto"/>
        <w:ind w:firstLine="549" w:firstLineChars="229"/>
        <w:rPr>
          <w:rFonts w:ascii="仿宋" w:hAnsi="仿宋" w:eastAsia="仿宋" w:cs="仿宋_GB2312"/>
          <w:color w:val="auto"/>
          <w:sz w:val="24"/>
          <w:highlight w:val="none"/>
        </w:rPr>
      </w:pPr>
    </w:p>
    <w:p w14:paraId="28286187">
      <w:pPr>
        <w:spacing w:line="360" w:lineRule="auto"/>
        <w:rPr>
          <w:rFonts w:ascii="仿宋" w:hAnsi="仿宋" w:eastAsia="仿宋" w:cs="仿宋_GB2312"/>
          <w:color w:val="auto"/>
          <w:sz w:val="24"/>
          <w:highlight w:val="none"/>
        </w:rPr>
        <w:sectPr>
          <w:footerReference r:id="rId7" w:type="first"/>
          <w:footerReference r:id="rId6" w:type="default"/>
          <w:pgSz w:w="11906" w:h="16838"/>
          <w:pgMar w:top="680" w:right="1418" w:bottom="468" w:left="1418" w:header="851" w:footer="992" w:gutter="0"/>
          <w:pgNumType w:fmt="decimal" w:start="2"/>
          <w:cols w:space="720" w:num="1"/>
          <w:titlePg/>
          <w:docGrid w:linePitch="312" w:charSpace="0"/>
        </w:sectPr>
      </w:pPr>
    </w:p>
    <w:bookmarkEnd w:id="2"/>
    <w:p w14:paraId="07FD4DEB">
      <w:pPr>
        <w:adjustRightInd/>
        <w:spacing w:line="360" w:lineRule="auto"/>
        <w:jc w:val="center"/>
        <w:outlineLvl w:val="0"/>
        <w:rPr>
          <w:rFonts w:ascii="仿宋_GB2312" w:hAnsi="仿宋" w:eastAsia="仿宋_GB2312" w:cs="仿宋_GB2312"/>
          <w:b/>
          <w:color w:val="auto"/>
          <w:sz w:val="36"/>
          <w:szCs w:val="20"/>
          <w:highlight w:val="none"/>
        </w:rPr>
      </w:pPr>
      <w:bookmarkStart w:id="7" w:name="_Hlt74729822"/>
      <w:bookmarkEnd w:id="7"/>
      <w:bookmarkStart w:id="8" w:name="_Hlt74707423"/>
      <w:bookmarkEnd w:id="8"/>
      <w:bookmarkStart w:id="9" w:name="_Hlt74649545"/>
      <w:bookmarkEnd w:id="9"/>
      <w:bookmarkStart w:id="10" w:name="_Hlt74728647"/>
      <w:bookmarkEnd w:id="10"/>
      <w:bookmarkStart w:id="11" w:name="第二部分"/>
      <w:bookmarkStart w:id="12" w:name="_Toc91899870"/>
      <w:bookmarkStart w:id="13" w:name="_Toc91899871"/>
      <w:r>
        <w:rPr>
          <w:rFonts w:hint="eastAsia" w:ascii="仿宋" w:hAnsi="仿宋" w:eastAsia="仿宋" w:cs="仿宋_GB2312"/>
          <w:b/>
          <w:color w:val="auto"/>
          <w:sz w:val="36"/>
          <w:szCs w:val="20"/>
          <w:highlight w:val="none"/>
        </w:rPr>
        <w:t>第一章公开招标采购公告</w:t>
      </w:r>
    </w:p>
    <w:p w14:paraId="4385731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3BE4BDB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嘉善县妇幼保健院收费等岗位服务项目</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ascii="仿宋_GB2312" w:hAnsi="仿宋" w:eastAsia="仿宋_GB2312"/>
          <w:color w:val="auto"/>
          <w:sz w:val="24"/>
          <w:highlight w:val="none"/>
        </w:rPr>
        <w:t>https://www.zcygov.cn/）获取（下载）招标文件，并于</w:t>
      </w:r>
      <w:r>
        <w:rPr>
          <w:rFonts w:hint="eastAsia" w:ascii="仿宋_GB2312" w:hAnsi="仿宋" w:eastAsia="仿宋_GB2312"/>
          <w:color w:val="auto"/>
          <w:sz w:val="24"/>
          <w:highlight w:val="none"/>
          <w:u w:val="single"/>
          <w:lang w:eastAsia="zh-CN"/>
        </w:rPr>
        <w:t>2024年8月27日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337F13DF">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p>
    <w:p w14:paraId="6E4B01E7">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JXYJ2024027</w:t>
      </w:r>
      <w:r>
        <w:rPr>
          <w:rFonts w:hint="eastAsia" w:ascii="仿宋_GB2312" w:hAnsi="仿宋" w:eastAsia="仿宋_GB2312"/>
          <w:b/>
          <w:color w:val="auto"/>
          <w:sz w:val="24"/>
          <w:highlight w:val="none"/>
        </w:rPr>
        <w:t>(G)</w:t>
      </w:r>
    </w:p>
    <w:p w14:paraId="0041AC43">
      <w:pPr>
        <w:spacing w:line="360" w:lineRule="auto"/>
        <w:ind w:firstLine="482" w:firstLineChars="200"/>
        <w:rPr>
          <w:rFonts w:hint="eastAsia" w:ascii="仿宋_GB2312" w:hAnsi="仿宋" w:eastAsia="仿宋_GB2312"/>
          <w:color w:val="auto"/>
          <w:sz w:val="24"/>
          <w:highlight w:val="none"/>
          <w:lang w:eastAsia="zh-CN"/>
        </w:rPr>
      </w:pPr>
      <w:r>
        <w:rPr>
          <w:rFonts w:ascii="仿宋_GB2312" w:hAnsi="仿宋" w:eastAsia="仿宋_GB2312"/>
          <w:b/>
          <w:color w:val="auto"/>
          <w:sz w:val="24"/>
          <w:highlight w:val="none"/>
        </w:rPr>
        <w:t>项目名称：</w:t>
      </w:r>
      <w:r>
        <w:rPr>
          <w:rFonts w:hint="eastAsia" w:ascii="仿宋_GB2312" w:hAnsi="仿宋" w:eastAsia="仿宋_GB2312"/>
          <w:b/>
          <w:color w:val="auto"/>
          <w:sz w:val="24"/>
          <w:highlight w:val="none"/>
          <w:lang w:eastAsia="zh-CN"/>
        </w:rPr>
        <w:t>嘉善县妇幼保健院收费等岗位服务项目</w:t>
      </w:r>
    </w:p>
    <w:p w14:paraId="0232C424">
      <w:pPr>
        <w:spacing w:line="360" w:lineRule="auto"/>
        <w:ind w:firstLine="482" w:firstLineChars="200"/>
        <w:rPr>
          <w:rFonts w:hint="eastAsia" w:ascii="仿宋_GB2312" w:hAnsi="仿宋" w:eastAsia="仿宋_GB2312"/>
          <w:b/>
          <w:color w:val="auto"/>
          <w:sz w:val="24"/>
          <w:highlight w:val="none"/>
          <w:lang w:eastAsia="zh-CN"/>
        </w:rPr>
      </w:pPr>
      <w:r>
        <w:rPr>
          <w:rFonts w:ascii="仿宋_GB2312" w:hAnsi="仿宋" w:eastAsia="仿宋_GB2312"/>
          <w:b/>
          <w:color w:val="auto"/>
          <w:sz w:val="24"/>
          <w:highlight w:val="none"/>
        </w:rPr>
        <w:t>预算金额（元）：</w:t>
      </w:r>
      <w:r>
        <w:rPr>
          <w:rFonts w:hint="eastAsia" w:ascii="仿宋_GB2312" w:hAnsi="仿宋" w:eastAsia="仿宋_GB2312"/>
          <w:b/>
          <w:color w:val="auto"/>
          <w:sz w:val="24"/>
          <w:highlight w:val="none"/>
        </w:rPr>
        <w:t>2500000</w:t>
      </w:r>
    </w:p>
    <w:p w14:paraId="063C4886">
      <w:pPr>
        <w:spacing w:line="360" w:lineRule="auto"/>
        <w:ind w:firstLine="482" w:firstLineChars="200"/>
        <w:rPr>
          <w:rFonts w:hint="default" w:ascii="仿宋_GB2312" w:hAnsi="仿宋" w:eastAsia="仿宋_GB2312"/>
          <w:b/>
          <w:bCs/>
          <w:color w:val="auto"/>
          <w:sz w:val="24"/>
          <w:highlight w:val="none"/>
          <w:lang w:val="en-US" w:eastAsia="zh-CN"/>
        </w:rPr>
      </w:pPr>
      <w:r>
        <w:rPr>
          <w:rFonts w:hint="default" w:ascii="仿宋_GB2312" w:hAnsi="仿宋" w:eastAsia="仿宋_GB2312"/>
          <w:b/>
          <w:bCs/>
          <w:color w:val="auto"/>
          <w:sz w:val="24"/>
          <w:highlight w:val="none"/>
          <w:lang w:val="en-US"/>
        </w:rPr>
        <w:t>最高限价（元）：</w:t>
      </w:r>
      <w:r>
        <w:rPr>
          <w:rFonts w:hint="eastAsia" w:ascii="仿宋_GB2312" w:hAnsi="仿宋" w:eastAsia="仿宋_GB2312"/>
          <w:b/>
          <w:bCs/>
          <w:color w:val="auto"/>
          <w:sz w:val="24"/>
          <w:highlight w:val="none"/>
          <w:lang w:val="en-US" w:eastAsia="zh-CN"/>
        </w:rPr>
        <w:t>1240000</w:t>
      </w:r>
    </w:p>
    <w:p w14:paraId="702C5A4A">
      <w:pPr>
        <w:pStyle w:val="6"/>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 w:val="0"/>
          <w:bCs/>
          <w:color w:val="auto"/>
          <w:sz w:val="24"/>
          <w:highlight w:val="none"/>
        </w:rPr>
        <w:t>详见招标文件第二章招标需求</w:t>
      </w:r>
    </w:p>
    <w:p w14:paraId="602A7827">
      <w:pPr>
        <w:pStyle w:val="6"/>
        <w:spacing w:line="360" w:lineRule="auto"/>
        <w:ind w:firstLine="480"/>
        <w:rPr>
          <w:rFonts w:ascii="仿宋_GB2312" w:hAnsi="仿宋" w:eastAsia="仿宋_GB2312"/>
          <w:color w:val="auto"/>
          <w:highlight w:val="none"/>
        </w:rPr>
      </w:pPr>
      <w:r>
        <w:rPr>
          <w:rFonts w:hint="eastAsia" w:ascii="仿宋_GB2312" w:hAnsi="仿宋" w:eastAsia="仿宋_GB2312"/>
          <w:b/>
          <w:color w:val="auto"/>
          <w:sz w:val="24"/>
          <w:szCs w:val="18"/>
          <w:highlight w:val="none"/>
        </w:rPr>
        <w:t>合同履约期限</w:t>
      </w:r>
      <w:r>
        <w:rPr>
          <w:rFonts w:hint="eastAsia" w:ascii="仿宋_GB2312" w:hAnsi="仿宋" w:eastAsia="仿宋_GB2312"/>
          <w:b/>
          <w:color w:val="auto"/>
          <w:highlight w:val="none"/>
        </w:rPr>
        <w:t>：</w:t>
      </w:r>
      <w:r>
        <w:rPr>
          <w:rFonts w:hint="eastAsia" w:ascii="仿宋_GB2312" w:hAnsi="仿宋" w:eastAsia="仿宋_GB2312"/>
          <w:bCs/>
          <w:snapToGrid/>
          <w:color w:val="auto"/>
          <w:kern w:val="2"/>
          <w:sz w:val="24"/>
          <w:szCs w:val="24"/>
          <w:highlight w:val="none"/>
        </w:rPr>
        <w:t>自</w:t>
      </w:r>
      <w:r>
        <w:rPr>
          <w:rFonts w:hint="eastAsia" w:ascii="仿宋_GB2312" w:hAnsi="仿宋" w:eastAsia="仿宋_GB2312"/>
          <w:bCs/>
          <w:snapToGrid/>
          <w:color w:val="auto"/>
          <w:kern w:val="2"/>
          <w:sz w:val="24"/>
          <w:szCs w:val="24"/>
          <w:highlight w:val="none"/>
          <w:lang w:eastAsia="zh-CN"/>
        </w:rPr>
        <w:t>合同签订之日起一年</w:t>
      </w:r>
      <w:r>
        <w:rPr>
          <w:rFonts w:hint="eastAsia" w:ascii="仿宋_GB2312" w:hAnsi="仿宋" w:eastAsia="仿宋_GB2312"/>
          <w:bCs/>
          <w:snapToGrid/>
          <w:color w:val="auto"/>
          <w:kern w:val="2"/>
          <w:sz w:val="24"/>
          <w:szCs w:val="24"/>
          <w:highlight w:val="none"/>
          <w:lang w:val="en-US" w:eastAsia="zh-CN"/>
        </w:rPr>
        <w:t>,若中标供应商操作规范、服务优良，经采购人、县财政部门同意后，可延长采购服务有效期一次，续签服务合同一年</w:t>
      </w:r>
      <w:r>
        <w:rPr>
          <w:rFonts w:hint="eastAsia" w:ascii="仿宋_GB2312" w:hAnsi="仿宋" w:eastAsia="仿宋_GB2312" w:cs="Times New Roman"/>
          <w:b w:val="0"/>
          <w:bCs/>
          <w:color w:val="auto"/>
          <w:sz w:val="24"/>
          <w:highlight w:val="none"/>
        </w:rPr>
        <w:t>。</w:t>
      </w:r>
    </w:p>
    <w:p w14:paraId="52082D80">
      <w:pPr>
        <w:pStyle w:val="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2"/>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14:paraId="6B0F9BA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27A25785">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1494E472">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14:paraId="59715BDB">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无；</w:t>
      </w:r>
    </w:p>
    <w:p w14:paraId="6915500D">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14:paraId="471A0EB6">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5"/>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货物全部由符合政策要求的中小企业制造，提供中小企业声明函；</w:t>
      </w:r>
    </w:p>
    <w:p w14:paraId="0F75F5E7">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6"/>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14:paraId="55A26E98">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7"/>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服务全部由符合政策要求的中小企业承接，提供中小企业声明函；</w:t>
      </w:r>
    </w:p>
    <w:p w14:paraId="0334144B">
      <w:pPr>
        <w:spacing w:line="360" w:lineRule="auto"/>
        <w:ind w:firstLine="897" w:firstLineChars="374"/>
        <w:rPr>
          <w:color w:val="auto"/>
          <w:highlight w:val="none"/>
        </w:rPr>
      </w:pPr>
      <w:sdt>
        <w:sdtPr>
          <w:rPr>
            <w:rFonts w:hint="eastAsia" w:ascii="仿宋_GB2312" w:hAnsi="仿宋" w:eastAsia="仿宋_GB2312" w:cs="Arial"/>
            <w:color w:val="auto"/>
            <w:kern w:val="0"/>
            <w:sz w:val="24"/>
            <w:highlight w:val="none"/>
          </w:rPr>
          <w:id w:val="8"/>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14:paraId="71828197">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9"/>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14:paraId="728806E6">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14:paraId="604F0881">
      <w:pPr>
        <w:snapToGrid w:val="0"/>
        <w:spacing w:line="360" w:lineRule="auto"/>
        <w:ind w:firstLine="512" w:firstLineChars="200"/>
        <w:rPr>
          <w:rFonts w:ascii="仿宋_GB2312" w:hAnsi="仿宋" w:eastAsia="仿宋" w:cs="仿宋_GB2312"/>
          <w:color w:val="auto"/>
          <w:sz w:val="24"/>
          <w:highlight w:val="none"/>
        </w:rPr>
      </w:pPr>
      <w:r>
        <w:rPr>
          <w:rFonts w:hint="eastAsia" w:ascii="仿宋" w:hAnsi="仿宋" w:eastAsia="仿宋" w:cs="宋体"/>
          <w:color w:val="auto"/>
          <w:spacing w:val="8"/>
          <w:kern w:val="0"/>
          <w:sz w:val="24"/>
          <w:highlight w:val="none"/>
        </w:rPr>
        <w:t>3.本项目的特定资格要求：无</w:t>
      </w:r>
    </w:p>
    <w:p w14:paraId="7CBCCCA6">
      <w:pPr>
        <w:spacing w:line="360" w:lineRule="auto"/>
        <w:ind w:firstLine="512" w:firstLineChars="200"/>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5600BE2">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p>
    <w:p w14:paraId="733965FD">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2024年8月27日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14:paraId="77FB7205">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052B4C57">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564D49E4">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14:paraId="5CFBCD59">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1D6BA214">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lang w:eastAsia="zh-CN"/>
        </w:rPr>
        <w:t>2024年8月27日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color w:val="auto"/>
          <w:sz w:val="24"/>
          <w:highlight w:val="none"/>
        </w:rPr>
        <w:t>（北京时间）</w:t>
      </w:r>
    </w:p>
    <w:p w14:paraId="46EBC959">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2D8DFC0C">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2024年8月27日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p>
    <w:p w14:paraId="7D1EE942">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59474D9A">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p>
    <w:p w14:paraId="5B5BD7C5">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034B6860">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14:paraId="1E241C07">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64AE5D2">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4BF25C74">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40DC4E2">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嘉善县阳光东路185号善商大厦1号（东）楼21层嘉兴市银建工程咨询评估有限公司招标代理部</w:t>
      </w:r>
      <w:r>
        <w:rPr>
          <w:rFonts w:hint="eastAsia" w:ascii="仿宋_GB2312" w:hAnsi="仿宋" w:eastAsia="仿宋_GB2312" w:cs="仿宋_GB2312"/>
          <w:color w:val="auto"/>
          <w:sz w:val="24"/>
          <w:highlight w:val="none"/>
        </w:rPr>
        <w:t>；收件人：王佳浩；电话：</w:t>
      </w:r>
      <w:r>
        <w:rPr>
          <w:rFonts w:hint="eastAsia" w:ascii="仿宋_GB2312" w:hAnsi="仿宋" w:eastAsia="仿宋_GB2312" w:cs="仿宋_GB2312"/>
          <w:color w:val="auto"/>
          <w:sz w:val="24"/>
          <w:highlight w:val="none"/>
          <w:lang w:eastAsia="zh-CN"/>
        </w:rPr>
        <w:t>0573-84211099</w:t>
      </w:r>
      <w:r>
        <w:rPr>
          <w:rFonts w:hint="eastAsia" w:ascii="仿宋_GB2312" w:hAnsi="仿宋" w:eastAsia="仿宋_GB2312" w:cs="仿宋_GB2312"/>
          <w:color w:val="auto"/>
          <w:sz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14:paraId="5CCA6CAA">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14:paraId="64351D57">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14:paraId="1F69D116">
      <w:pPr>
        <w:spacing w:line="360" w:lineRule="auto"/>
        <w:rPr>
          <w:rFonts w:hint="eastAsia"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名    称：嘉善县妇幼保健院 </w:t>
      </w:r>
    </w:p>
    <w:p w14:paraId="5391AE68">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地    址：嘉善县境内      </w:t>
      </w:r>
    </w:p>
    <w:p w14:paraId="1B131632">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项目联系人（询问）：岑先生  </w:t>
      </w:r>
    </w:p>
    <w:p w14:paraId="36E4F713">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项目联系方式（询问）：0573-84027316 </w:t>
      </w:r>
    </w:p>
    <w:p w14:paraId="4098EAF7">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质疑联系人：陆先生 </w:t>
      </w:r>
    </w:p>
    <w:p w14:paraId="55056DDD">
      <w:pPr>
        <w:spacing w:line="360" w:lineRule="auto"/>
        <w:ind w:firstLine="480" w:firstLineChars="20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质疑联系方式：0573-84235032</w:t>
      </w:r>
    </w:p>
    <w:p w14:paraId="60F06469">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14:paraId="56F489A1">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名称：嘉兴市银建工程咨询评估有限公司</w:t>
      </w:r>
    </w:p>
    <w:p w14:paraId="2EEB28F6">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地址：嘉善县阳光东路185号善商大厦1号（东）楼21层</w:t>
      </w:r>
    </w:p>
    <w:p w14:paraId="4FF1F9C7">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王佳浩</w:t>
      </w:r>
    </w:p>
    <w:p w14:paraId="7B081EF0">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eastAsia="zh-CN"/>
        </w:rPr>
        <w:t>0573-84211099</w:t>
      </w:r>
      <w:r>
        <w:rPr>
          <w:rFonts w:hint="eastAsia" w:ascii="仿宋_GB2312" w:hAnsi="仿宋" w:eastAsia="仿宋_GB2312"/>
          <w:color w:val="auto"/>
          <w:sz w:val="24"/>
          <w:highlight w:val="none"/>
        </w:rPr>
        <w:t xml:space="preserve"> </w:t>
      </w:r>
    </w:p>
    <w:p w14:paraId="3A4281A8">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俞鸿婷</w:t>
      </w:r>
    </w:p>
    <w:p w14:paraId="31E3640A">
      <w:pPr>
        <w:spacing w:line="360" w:lineRule="auto"/>
        <w:rPr>
          <w:rFonts w:hint="default" w:ascii="仿宋" w:hAnsi="仿宋" w:eastAsia="仿宋_GB2312"/>
          <w:color w:val="auto"/>
          <w:sz w:val="24"/>
          <w:highlight w:val="none"/>
          <w:lang w:val="en-US" w:eastAsia="zh-CN"/>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eastAsia="zh-CN"/>
        </w:rPr>
        <w:t>0573-842110</w:t>
      </w:r>
      <w:r>
        <w:rPr>
          <w:rFonts w:hint="eastAsia" w:ascii="仿宋_GB2312" w:hAnsi="仿宋" w:eastAsia="仿宋_GB2312"/>
          <w:color w:val="auto"/>
          <w:sz w:val="24"/>
          <w:highlight w:val="none"/>
          <w:lang w:val="en-US" w:eastAsia="zh-CN"/>
        </w:rPr>
        <w:t>66</w:t>
      </w:r>
    </w:p>
    <w:p w14:paraId="1476E049">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14:paraId="2CEB2BC9">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14:paraId="0E4ECD4E">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14:paraId="6AC27C4E">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刘先生 </w:t>
      </w:r>
    </w:p>
    <w:p w14:paraId="42C6530C">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p>
    <w:p w14:paraId="7942E5E2">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14:paraId="64DAA639">
      <w:pPr>
        <w:spacing w:line="360" w:lineRule="auto"/>
        <w:ind w:firstLine="480" w:firstLineChars="200"/>
        <w:rPr>
          <w:rFonts w:ascii="仿宋_GB2312" w:hAnsi="仿宋" w:eastAsia="仿宋_GB2312"/>
          <w:color w:val="auto"/>
          <w:sz w:val="24"/>
          <w:highlight w:val="none"/>
        </w:rPr>
        <w:sectPr>
          <w:footerReference r:id="rId9" w:type="first"/>
          <w:footerReference r:id="rId8" w:type="default"/>
          <w:pgSz w:w="11906" w:h="16838"/>
          <w:pgMar w:top="680" w:right="1418" w:bottom="468" w:left="1418" w:header="851" w:footer="992" w:gutter="0"/>
          <w:pgNumType w:fmt="decimal"/>
          <w:cols w:space="720" w:num="1"/>
          <w:titlePg/>
          <w:docGrid w:linePitch="312" w:charSpace="0"/>
        </w:sect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14:paraId="42944E30">
      <w:pPr>
        <w:numPr>
          <w:ilvl w:val="0"/>
          <w:numId w:val="1"/>
        </w:numPr>
        <w:adjustRightInd/>
        <w:spacing w:line="336"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招标需求</w:t>
      </w:r>
    </w:p>
    <w:p w14:paraId="1AD12B31">
      <w:pPr>
        <w:pStyle w:val="35"/>
        <w:snapToGrid w:val="0"/>
        <w:spacing w:before="0" w:beforeLines="0" w:after="0" w:afterLines="0" w:line="360" w:lineRule="auto"/>
        <w:outlineLvl w:val="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一、采购内容</w:t>
      </w:r>
    </w:p>
    <w:p w14:paraId="31035916">
      <w:pPr>
        <w:pStyle w:val="35"/>
        <w:snapToGrid w:val="0"/>
        <w:spacing w:before="0" w:beforeLines="0" w:after="0" w:afterLines="0"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为</w:t>
      </w:r>
      <w:r>
        <w:rPr>
          <w:rFonts w:hint="eastAsia" w:asciiTheme="minorEastAsia" w:hAnsiTheme="minorEastAsia" w:eastAsiaTheme="minorEastAsia" w:cstheme="minorEastAsia"/>
          <w:color w:val="auto"/>
          <w:sz w:val="24"/>
          <w:szCs w:val="24"/>
          <w:highlight w:val="none"/>
          <w:lang w:eastAsia="zh-CN"/>
        </w:rPr>
        <w:t>嘉善县妇幼保健院</w:t>
      </w: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val="en-US" w:eastAsia="zh-CN"/>
        </w:rPr>
        <w:t>收费等岗位服务事项</w:t>
      </w:r>
      <w:r>
        <w:rPr>
          <w:rFonts w:hint="eastAsia" w:asciiTheme="minorEastAsia" w:hAnsiTheme="minorEastAsia" w:eastAsiaTheme="minorEastAsia" w:cstheme="minorEastAsia"/>
          <w:color w:val="auto"/>
          <w:sz w:val="24"/>
          <w:szCs w:val="24"/>
          <w:highlight w:val="none"/>
        </w:rPr>
        <w:t>。</w:t>
      </w:r>
    </w:p>
    <w:p w14:paraId="4E22C0AA">
      <w:pPr>
        <w:pStyle w:val="35"/>
        <w:numPr>
          <w:ilvl w:val="0"/>
          <w:numId w:val="0"/>
        </w:numPr>
        <w:snapToGrid w:val="0"/>
        <w:spacing w:before="0" w:beforeLines="0" w:after="0" w:afterLines="0" w:line="360" w:lineRule="auto"/>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服务期限</w:t>
      </w:r>
    </w:p>
    <w:p w14:paraId="43D4F1FA">
      <w:pPr>
        <w:pStyle w:val="35"/>
        <w:snapToGrid w:val="0"/>
        <w:spacing w:before="0" w:beforeLines="0" w:after="0" w:afterLines="0" w:line="360" w:lineRule="auto"/>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自合同签订之日起一年,若中标供应商操作规范、服务优良，经采购人、县财政部门同意后，可延长采购服务有效期一次，续签服务合同一年。</w:t>
      </w:r>
    </w:p>
    <w:p w14:paraId="4053865C">
      <w:pPr>
        <w:pStyle w:val="35"/>
        <w:numPr>
          <w:ilvl w:val="0"/>
          <w:numId w:val="0"/>
        </w:numPr>
        <w:snapToGrid w:val="0"/>
        <w:spacing w:before="0" w:beforeLines="0" w:after="0" w:afterLines="0" w:line="360" w:lineRule="auto"/>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三、</w:t>
      </w:r>
      <w:r>
        <w:rPr>
          <w:rFonts w:hint="eastAsia" w:asciiTheme="minorEastAsia" w:hAnsiTheme="minorEastAsia" w:eastAsiaTheme="minorEastAsia" w:cstheme="minorEastAsia"/>
          <w:b/>
          <w:bCs/>
          <w:color w:val="auto"/>
          <w:sz w:val="24"/>
          <w:szCs w:val="24"/>
          <w:highlight w:val="none"/>
        </w:rPr>
        <w:t>岗位人数及要求</w:t>
      </w:r>
    </w:p>
    <w:p w14:paraId="6CCB43FF">
      <w:pPr>
        <w:pStyle w:val="262"/>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单位应根据采购单位服务岗位的要求提供服务人员，身体健康，品德端正、遵章守纪，无违法违纪行为，工作细致，有耐心、服务态度亲切，服务意识强，有责任心，善于沟通，服从管理，具有良好的团队合作精神。服务人员基本培训由中标单位负责实施，业务培训由采购单位统一实施。</w:t>
      </w:r>
    </w:p>
    <w:p w14:paraId="51FE02D0">
      <w:pPr>
        <w:pStyle w:val="262"/>
        <w:spacing w:line="360" w:lineRule="auto"/>
        <w:ind w:left="0" w:leftChars="0" w:firstLine="0" w:firstLineChars="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嘉善县妇幼保健院</w:t>
      </w:r>
      <w:r>
        <w:rPr>
          <w:rFonts w:hint="eastAsia" w:asciiTheme="minorEastAsia" w:hAnsiTheme="minorEastAsia" w:eastAsiaTheme="minorEastAsia" w:cstheme="minorEastAsia"/>
          <w:b/>
          <w:bCs/>
          <w:color w:val="auto"/>
          <w:sz w:val="24"/>
          <w:szCs w:val="24"/>
          <w:highlight w:val="none"/>
          <w:lang w:eastAsia="zh-CN"/>
        </w:rPr>
        <w:t>收费等岗位</w:t>
      </w:r>
      <w:r>
        <w:rPr>
          <w:rFonts w:hint="eastAsia" w:asciiTheme="minorEastAsia" w:hAnsiTheme="minorEastAsia" w:eastAsiaTheme="minorEastAsia" w:cstheme="minorEastAsia"/>
          <w:b/>
          <w:bCs/>
          <w:color w:val="auto"/>
          <w:sz w:val="24"/>
          <w:szCs w:val="24"/>
          <w:highlight w:val="none"/>
        </w:rPr>
        <w:t>服务岗位数及要求</w:t>
      </w:r>
    </w:p>
    <w:tbl>
      <w:tblPr>
        <w:tblStyle w:val="65"/>
        <w:tblW w:w="4996" w:type="pct"/>
        <w:tblInd w:w="0" w:type="dxa"/>
        <w:tblLayout w:type="autofit"/>
        <w:tblCellMar>
          <w:top w:w="0" w:type="dxa"/>
          <w:left w:w="108" w:type="dxa"/>
          <w:bottom w:w="0" w:type="dxa"/>
          <w:right w:w="108" w:type="dxa"/>
        </w:tblCellMar>
      </w:tblPr>
      <w:tblGrid>
        <w:gridCol w:w="880"/>
        <w:gridCol w:w="878"/>
        <w:gridCol w:w="3477"/>
        <w:gridCol w:w="2001"/>
        <w:gridCol w:w="2043"/>
      </w:tblGrid>
      <w:tr w14:paraId="6B2963C2">
        <w:tblPrEx>
          <w:tblCellMar>
            <w:top w:w="0" w:type="dxa"/>
            <w:left w:w="108" w:type="dxa"/>
            <w:bottom w:w="0" w:type="dxa"/>
            <w:right w:w="108" w:type="dxa"/>
          </w:tblCellMar>
        </w:tblPrEx>
        <w:trPr>
          <w:trHeight w:val="874"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48548FF3">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sz w:val="24"/>
                <w:szCs w:val="24"/>
                <w:highlight w:val="none"/>
                <w:u w:val="none"/>
                <w:lang w:val="en-US"/>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岗位类别</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14:paraId="1A0F67B0">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lang w:val="en-US" w:eastAsia="zh-CN"/>
              </w:rPr>
              <w:t>岗位数</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479F52A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基础要求招聘要求</w:t>
            </w:r>
          </w:p>
        </w:tc>
        <w:tc>
          <w:tcPr>
            <w:tcW w:w="1078" w:type="pct"/>
            <w:tcBorders>
              <w:top w:val="single" w:color="000000" w:sz="4" w:space="0"/>
              <w:left w:val="single" w:color="000000" w:sz="4" w:space="0"/>
              <w:bottom w:val="single" w:color="000000" w:sz="4" w:space="0"/>
              <w:right w:val="single" w:color="000000" w:sz="4" w:space="0"/>
            </w:tcBorders>
            <w:noWrap w:val="0"/>
            <w:vAlign w:val="center"/>
          </w:tcPr>
          <w:p w14:paraId="2C2CD262">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专业要求</w:t>
            </w:r>
          </w:p>
        </w:tc>
        <w:tc>
          <w:tcPr>
            <w:tcW w:w="1100" w:type="pct"/>
            <w:tcBorders>
              <w:top w:val="single" w:color="000000" w:sz="4" w:space="0"/>
              <w:left w:val="single" w:color="000000" w:sz="4" w:space="0"/>
              <w:bottom w:val="single" w:color="000000" w:sz="4" w:space="0"/>
              <w:right w:val="single" w:color="000000" w:sz="4" w:space="0"/>
            </w:tcBorders>
            <w:noWrap w:val="0"/>
            <w:vAlign w:val="center"/>
          </w:tcPr>
          <w:p w14:paraId="7C4F5096">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sz w:val="24"/>
                <w:szCs w:val="24"/>
                <w:highlight w:val="none"/>
                <w:u w:val="none"/>
                <w:lang w:val="en-US"/>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服务内容</w:t>
            </w:r>
          </w:p>
        </w:tc>
      </w:tr>
      <w:tr w14:paraId="6C96D895">
        <w:tblPrEx>
          <w:tblCellMar>
            <w:top w:w="0" w:type="dxa"/>
            <w:left w:w="108" w:type="dxa"/>
            <w:bottom w:w="0" w:type="dxa"/>
            <w:right w:w="108" w:type="dxa"/>
          </w:tblCellMar>
        </w:tblPrEx>
        <w:trPr>
          <w:trHeight w:val="2814"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6DB94E63">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收费等岗位</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14:paraId="028FBB04">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1B88CE9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大专及以上学历；</w:t>
            </w:r>
          </w:p>
          <w:p w14:paraId="6667EE2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年龄35周岁以下；</w:t>
            </w:r>
          </w:p>
          <w:p w14:paraId="347BE8E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有良好的政治思想素质；</w:t>
            </w:r>
          </w:p>
          <w:p w14:paraId="1504CA8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品行端正、遵纪守法，勤奋好学，热爱本职工作；</w:t>
            </w:r>
          </w:p>
          <w:p w14:paraId="7AB0F9E3">
            <w:pPr>
              <w:keepNext w:val="0"/>
              <w:keepLines w:val="0"/>
              <w:widowControl/>
              <w:suppressLineNumbers w:val="0"/>
              <w:jc w:val="left"/>
              <w:textAlignment w:val="center"/>
              <w:rPr>
                <w:rFonts w:hint="default"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身体健康，具备履行岗位职责的技术条件。</w:t>
            </w:r>
          </w:p>
        </w:tc>
        <w:tc>
          <w:tcPr>
            <w:tcW w:w="1078" w:type="pct"/>
            <w:tcBorders>
              <w:top w:val="single" w:color="000000" w:sz="4" w:space="0"/>
              <w:left w:val="single" w:color="000000" w:sz="4" w:space="0"/>
              <w:bottom w:val="single" w:color="000000" w:sz="4" w:space="0"/>
              <w:right w:val="single" w:color="000000" w:sz="4" w:space="0"/>
            </w:tcBorders>
            <w:noWrap w:val="0"/>
            <w:vAlign w:val="center"/>
          </w:tcPr>
          <w:p w14:paraId="53AD629E">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按新院区开放后落实岗位的专业要求落实</w:t>
            </w:r>
          </w:p>
        </w:tc>
        <w:tc>
          <w:tcPr>
            <w:tcW w:w="1100" w:type="pct"/>
            <w:tcBorders>
              <w:top w:val="single" w:color="000000" w:sz="4" w:space="0"/>
              <w:left w:val="single" w:color="000000" w:sz="4" w:space="0"/>
              <w:bottom w:val="single" w:color="000000" w:sz="4" w:space="0"/>
              <w:right w:val="single" w:color="000000" w:sz="4" w:space="0"/>
            </w:tcBorders>
            <w:noWrap w:val="0"/>
            <w:vAlign w:val="center"/>
          </w:tcPr>
          <w:p w14:paraId="17A2F776">
            <w:pPr>
              <w:keepNext w:val="0"/>
              <w:keepLines w:val="0"/>
              <w:widowControl/>
              <w:suppressLineNumbers w:val="0"/>
              <w:jc w:val="left"/>
              <w:textAlignment w:val="center"/>
              <w:rPr>
                <w:rFonts w:hint="default"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负责行政楼清洁、药剂科送药、仓库物资运输、叫号导诊、维护就诊秩序、诊室内接待病人，病案档案协助医生完成报告单记录、行政管理、财务管理、后勤电路维修等其他服务类岗位</w:t>
            </w:r>
          </w:p>
        </w:tc>
      </w:tr>
    </w:tbl>
    <w:p w14:paraId="62702F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注：以上岗位数只是招标时暂定的数量，实际需求数量与招标要求数量有可能发生变化，变化大小也无法估计，</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有权按实际需要进行调整，最终以</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实际需求为准，请投标人在投标时把此因素考虑在投标报价中</w:t>
      </w:r>
      <w:r>
        <w:rPr>
          <w:rFonts w:hint="eastAsia" w:ascii="宋体" w:hAnsi="宋体" w:cs="宋体"/>
          <w:b/>
          <w:bCs/>
          <w:color w:val="auto"/>
          <w:sz w:val="24"/>
          <w:szCs w:val="24"/>
          <w:highlight w:val="none"/>
          <w:lang w:eastAsia="zh-CN"/>
        </w:rPr>
        <w:t>。</w:t>
      </w:r>
    </w:p>
    <w:p w14:paraId="6BFA4CC8">
      <w:pPr>
        <w:pStyle w:val="35"/>
        <w:numPr>
          <w:ilvl w:val="0"/>
          <w:numId w:val="0"/>
        </w:numPr>
        <w:snapToGrid w:val="0"/>
        <w:spacing w:before="0" w:beforeLines="0" w:after="0" w:afterLines="0" w:line="360" w:lineRule="auto"/>
        <w:outlineLvl w:val="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四、</w:t>
      </w:r>
      <w:r>
        <w:rPr>
          <w:rFonts w:hint="eastAsia" w:asciiTheme="minorEastAsia" w:hAnsiTheme="minorEastAsia" w:eastAsiaTheme="minorEastAsia" w:cstheme="minorEastAsia"/>
          <w:b/>
          <w:bCs w:val="0"/>
          <w:color w:val="auto"/>
          <w:sz w:val="24"/>
          <w:szCs w:val="24"/>
          <w:highlight w:val="none"/>
        </w:rPr>
        <w:t>服务内容</w:t>
      </w:r>
    </w:p>
    <w:p w14:paraId="5186A18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1、人员招募、组织面试、背景调查、入职体检等</w:t>
      </w:r>
      <w:r>
        <w:rPr>
          <w:rFonts w:hint="eastAsia" w:asciiTheme="minorEastAsia" w:hAnsiTheme="minorEastAsia" w:eastAsiaTheme="minorEastAsia" w:cstheme="minorEastAsia"/>
          <w:color w:val="auto"/>
          <w:sz w:val="24"/>
          <w:szCs w:val="24"/>
          <w:highlight w:val="none"/>
          <w:lang w:val="en-US" w:eastAsia="zh-CN"/>
        </w:rPr>
        <w:t>派驻服务</w:t>
      </w:r>
      <w:r>
        <w:rPr>
          <w:rFonts w:hint="eastAsia" w:asciiTheme="minorEastAsia" w:hAnsiTheme="minorEastAsia" w:eastAsiaTheme="minorEastAsia" w:cstheme="minorEastAsia"/>
          <w:color w:val="auto"/>
          <w:sz w:val="24"/>
          <w:szCs w:val="24"/>
          <w:highlight w:val="none"/>
        </w:rPr>
        <w:t>人员的相关聘用流程，签署劳动合同。</w:t>
      </w:r>
    </w:p>
    <w:p w14:paraId="5439FA2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2、员工的考核计算，发放工资、办理社保公积金缴纳服务。</w:t>
      </w:r>
    </w:p>
    <w:p w14:paraId="62FE797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3、负责人事档案关系接转及出具各类行政证明。</w:t>
      </w:r>
    </w:p>
    <w:p w14:paraId="61B3019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4、调解劳动争议，承担相应的争议赔付费用。</w:t>
      </w:r>
    </w:p>
    <w:p w14:paraId="2FDEF76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5、调入人事档案，并做好保管和转移工作。</w:t>
      </w:r>
    </w:p>
    <w:p w14:paraId="5F2927A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6、有工会组织，关心职工：慰问与联谊（春节、中秋、端午、妇女、生日等节日慰问)。</w:t>
      </w:r>
    </w:p>
    <w:p w14:paraId="15A07D9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7、低绩效或者无法达标员工的清退及替换</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替换所产生的成本有中标方由自行承担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采购方无需承担核外的成本。</w:t>
      </w:r>
    </w:p>
    <w:p w14:paraId="4D937CC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8、工伤或女性孕期，岗位顶岗服务，</w:t>
      </w:r>
      <w:r>
        <w:rPr>
          <w:rFonts w:hint="eastAsia" w:asciiTheme="minorEastAsia" w:hAnsiTheme="minorEastAsia" w:eastAsiaTheme="minorEastAsia" w:cstheme="minorEastAsia"/>
          <w:color w:val="auto"/>
          <w:sz w:val="24"/>
          <w:szCs w:val="24"/>
          <w:highlight w:val="none"/>
          <w:lang w:val="en-US" w:eastAsia="zh-CN"/>
        </w:rPr>
        <w:t>期间产生的人员成本由中标方自行承担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采购方无需承担核外的成本。</w:t>
      </w:r>
    </w:p>
    <w:p w14:paraId="5036DBB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9、定期与员工及科室负责人沟通，做好信息反馈。</w:t>
      </w:r>
    </w:p>
    <w:p w14:paraId="6CC9062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10、因无法胜任岗位、绩效不佳、犯错导致院方声誉受损需要清退的，中标方无法提供替补岗位给员工的，造成与员工提前解除劳动合同的情况，经济赔偿费用，由中标方承担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采购方无需承担核外的成本。</w:t>
      </w:r>
    </w:p>
    <w:p w14:paraId="3C65528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11、员工的人工成本的垫资运营。先发放再开票报销，确保工资发放的及时性及社保缴纳的及时性。</w:t>
      </w:r>
    </w:p>
    <w:p w14:paraId="0F8567C5">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五、其他要求</w:t>
      </w:r>
    </w:p>
    <w:p w14:paraId="659BE8F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服务人员考核事项，根据采购单位提出的需求制定考核需求，由中标单位制定具体考核办法，并组织实施。采购单位应将服务人员日常工作表现定期反馈中标单位。服务人员应遵守采购单位各项工作制度，对违反工作制度引起的后果承担责任。采购单位根据服务人员工作表现，可以向中标单位提出更换服务人员要求，中标单位应要求安排符合上岗条件的人员接替；如中标单位需要变动人员的，须提前一个月告知采购单位。</w:t>
      </w:r>
    </w:p>
    <w:p w14:paraId="5B81E74F">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2.服务人员待遇，中标单位按《</w:t>
      </w:r>
      <w:r>
        <w:rPr>
          <w:rFonts w:hint="eastAsia" w:asciiTheme="minorEastAsia" w:hAnsiTheme="minorEastAsia" w:eastAsiaTheme="minorEastAsia" w:cstheme="minorEastAsia"/>
          <w:color w:val="auto"/>
          <w:sz w:val="24"/>
          <w:szCs w:val="24"/>
          <w:highlight w:val="none"/>
          <w:lang w:eastAsia="zh-CN"/>
        </w:rPr>
        <w:t>中华人民共和国民法典</w:t>
      </w:r>
      <w:r>
        <w:rPr>
          <w:rFonts w:hint="eastAsia" w:asciiTheme="minorEastAsia" w:hAnsiTheme="minorEastAsia" w:eastAsiaTheme="minorEastAsia" w:cstheme="minorEastAsia"/>
          <w:color w:val="auto"/>
          <w:sz w:val="24"/>
          <w:szCs w:val="24"/>
          <w:highlight w:val="none"/>
        </w:rPr>
        <w:t>》等相关规定给</w:t>
      </w:r>
      <w:r>
        <w:rPr>
          <w:rFonts w:hint="eastAsia" w:asciiTheme="minorEastAsia" w:hAnsiTheme="minorEastAsia" w:eastAsiaTheme="minorEastAsia" w:cstheme="minorEastAsia"/>
          <w:color w:val="auto"/>
          <w:sz w:val="24"/>
          <w:szCs w:val="24"/>
          <w:highlight w:val="none"/>
          <w:lang w:val="en-US" w:eastAsia="zh-CN"/>
        </w:rPr>
        <w:t>派驻服务</w:t>
      </w:r>
      <w:r>
        <w:rPr>
          <w:rFonts w:hint="eastAsia" w:asciiTheme="minorEastAsia" w:hAnsiTheme="minorEastAsia" w:eastAsiaTheme="minorEastAsia" w:cstheme="minorEastAsia"/>
          <w:color w:val="auto"/>
          <w:sz w:val="24"/>
          <w:szCs w:val="24"/>
          <w:highlight w:val="none"/>
        </w:rPr>
        <w:t>人员交纳五险一金并按月发放工资，工资标准不低于</w:t>
      </w:r>
      <w:r>
        <w:rPr>
          <w:rFonts w:hint="eastAsia" w:ascii="宋体" w:hAnsi="宋体" w:eastAsia="宋体" w:cs="宋体"/>
          <w:color w:val="auto"/>
          <w:sz w:val="24"/>
          <w:szCs w:val="24"/>
          <w:highlight w:val="none"/>
        </w:rPr>
        <w:t>《嘉兴市人民政府关于调整全市最低工资标准的通知》［嘉政发〔2024〕9号］文件</w:t>
      </w:r>
      <w:r>
        <w:rPr>
          <w:rFonts w:hint="eastAsia" w:asciiTheme="minorEastAsia" w:hAnsiTheme="minorEastAsia" w:eastAsiaTheme="minorEastAsia" w:cstheme="minorEastAsia"/>
          <w:color w:val="auto"/>
          <w:sz w:val="24"/>
          <w:szCs w:val="24"/>
          <w:highlight w:val="none"/>
        </w:rPr>
        <w:t>。中标单位必须根据采购单位每月考核结果全额发放</w:t>
      </w:r>
      <w:r>
        <w:rPr>
          <w:rFonts w:hint="eastAsia" w:asciiTheme="minorEastAsia" w:hAnsiTheme="minorEastAsia" w:eastAsiaTheme="minorEastAsia" w:cstheme="minorEastAsia"/>
          <w:color w:val="auto"/>
          <w:sz w:val="24"/>
          <w:szCs w:val="24"/>
          <w:highlight w:val="none"/>
          <w:lang w:eastAsia="zh-CN"/>
        </w:rPr>
        <w:t>派驻服务</w:t>
      </w:r>
      <w:r>
        <w:rPr>
          <w:rFonts w:hint="eastAsia" w:asciiTheme="minorEastAsia" w:hAnsiTheme="minorEastAsia" w:eastAsiaTheme="minorEastAsia" w:cstheme="minorEastAsia"/>
          <w:color w:val="auto"/>
          <w:sz w:val="24"/>
          <w:szCs w:val="24"/>
          <w:highlight w:val="none"/>
        </w:rPr>
        <w:t>人员的</w:t>
      </w:r>
      <w:r>
        <w:rPr>
          <w:rFonts w:hint="eastAsia" w:asciiTheme="minorEastAsia" w:hAnsiTheme="minorEastAsia" w:eastAsiaTheme="minorEastAsia" w:cstheme="minorEastAsia"/>
          <w:color w:val="auto"/>
          <w:sz w:val="24"/>
          <w:szCs w:val="24"/>
          <w:highlight w:val="none"/>
          <w:lang w:val="en-US" w:eastAsia="zh-CN"/>
        </w:rPr>
        <w:t>工资</w:t>
      </w:r>
      <w:r>
        <w:rPr>
          <w:rFonts w:hint="eastAsia" w:asciiTheme="minorEastAsia" w:hAnsiTheme="minorEastAsia" w:eastAsiaTheme="minorEastAsia" w:cstheme="minorEastAsia"/>
          <w:color w:val="auto"/>
          <w:sz w:val="24"/>
          <w:szCs w:val="24"/>
          <w:highlight w:val="none"/>
        </w:rPr>
        <w:t>(包含人员基本工资、个人及企业承担的社会保险费、住房公积金</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餐补、考核奖、高温费、加班费、福利、人员保险（人身意外伤害险等）等费用）</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采购单位可以在此基础上根据具体工作岗位进行相应调整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中标方不得挪用。</w:t>
      </w:r>
    </w:p>
    <w:p w14:paraId="7F613C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ascii="宋体" w:hAnsi="宋体" w:cs="宋体"/>
          <w:color w:val="auto"/>
          <w:sz w:val="24"/>
          <w:szCs w:val="24"/>
          <w:highlight w:val="none"/>
          <w:lang w:val="en-US" w:eastAsia="zh-CN"/>
        </w:rPr>
        <w:t>3.由中标供应商负责派驻服务人员的招聘、体检、入离职管理、生育、工伤的申报申领、劳动仲裁、诉讼等事宜；由中标供应商负责与派驻服务的员工签订劳动合同，确定劳动关系；由中标供应商负责派驻服务员工的档案管理、党员组织关系管理以及专业技术人员的职称申报、评定等。</w:t>
      </w:r>
    </w:p>
    <w:p w14:paraId="49C1435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.中标单位服务人员在采购单位服务期间的劳动管理、劳动争议等事项由中标单位依据《</w:t>
      </w:r>
      <w:r>
        <w:rPr>
          <w:rFonts w:hint="eastAsia" w:asciiTheme="minorEastAsia" w:hAnsiTheme="minorEastAsia" w:eastAsiaTheme="minorEastAsia" w:cstheme="minorEastAsia"/>
          <w:color w:val="auto"/>
          <w:sz w:val="24"/>
          <w:szCs w:val="24"/>
          <w:highlight w:val="none"/>
          <w:lang w:eastAsia="zh-CN"/>
        </w:rPr>
        <w:t>中华人民共和国民法典</w:t>
      </w:r>
      <w:r>
        <w:rPr>
          <w:rFonts w:hint="eastAsia" w:asciiTheme="minorEastAsia" w:hAnsiTheme="minorEastAsia" w:eastAsiaTheme="minorEastAsia" w:cstheme="minorEastAsia"/>
          <w:color w:val="auto"/>
          <w:sz w:val="24"/>
          <w:szCs w:val="24"/>
          <w:highlight w:val="none"/>
        </w:rPr>
        <w:t>》处理。中标单位服务人员与中标单位发生的劳动争议一律与采购单位无关。</w:t>
      </w:r>
    </w:p>
    <w:p w14:paraId="37A4AC2D">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注：上述1－</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条的所有要求，各投标单位必须在招标文件中予以承诺，承诺格式自拟，不承诺将被视为不响应本次招标，作无效标处理。</w:t>
      </w:r>
    </w:p>
    <w:p w14:paraId="32BEB93A">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六、质量保证及售后服务</w:t>
      </w:r>
    </w:p>
    <w:p w14:paraId="71110F4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在合同履行期间，服务人员单方面与中标单位解除合同的，中标单位应提前15日告知采购单位，并在上述人员离岗前予以补充。采购单位按规定要求中标单位调换进驻人员的，中标单位应在30日内安排符合原招聘要求的人员进行补充，中标单位新招用人员应通过采购单位考核后方可上岗。</w:t>
      </w:r>
    </w:p>
    <w:p w14:paraId="4D3904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2.中标单位服务人员在服务过程中发生违章、违纪、不服从管理等情形的，采购单位应在绩效考核中予以反映，中标单位应按考核结果给予扣发奖金等相应处罚，情节严重的，采购单位有权要求中标单位调换人员</w:t>
      </w:r>
      <w:r>
        <w:rPr>
          <w:rFonts w:hint="eastAsia" w:asciiTheme="minorEastAsia" w:hAnsiTheme="minorEastAsia" w:eastAsiaTheme="minorEastAsia" w:cstheme="minorEastAsia"/>
          <w:color w:val="auto"/>
          <w:sz w:val="24"/>
          <w:szCs w:val="24"/>
          <w:highlight w:val="none"/>
          <w:lang w:eastAsia="zh-CN"/>
        </w:rPr>
        <w:t>。</w:t>
      </w:r>
    </w:p>
    <w:p w14:paraId="59A6A72A">
      <w:pPr>
        <w:spacing w:line="560" w:lineRule="exact"/>
        <w:rPr>
          <w:rFonts w:hint="eastAsia" w:ascii="宋体" w:hAnsi="宋体" w:eastAsia="宋体" w:cs="宋体"/>
          <w:color w:val="auto"/>
          <w:sz w:val="24"/>
          <w:szCs w:val="24"/>
          <w:highlight w:val="none"/>
          <w:lang w:val="zh-CN"/>
        </w:rPr>
        <w:sectPr>
          <w:footerReference r:id="rId10" w:type="default"/>
          <w:pgSz w:w="11906" w:h="16838"/>
          <w:pgMar w:top="680" w:right="1418" w:bottom="468" w:left="1418" w:header="851" w:footer="992" w:gutter="0"/>
          <w:pgNumType w:fmt="decimal"/>
          <w:cols w:space="720" w:num="1"/>
          <w:titlePg/>
          <w:docGrid w:linePitch="312" w:charSpace="0"/>
        </w:sectPr>
      </w:pPr>
    </w:p>
    <w:p w14:paraId="5A449464">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w:t>
      </w:r>
      <w:bookmarkEnd w:id="11"/>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12"/>
    </w:p>
    <w:bookmarkEnd w:id="13"/>
    <w:p w14:paraId="0D31AA85">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14" w:name="_Toc91899903"/>
      <w:bookmarkStart w:id="15" w:name="_Toc164416483"/>
      <w:bookmarkStart w:id="16" w:name="第三部分"/>
      <w:r>
        <w:rPr>
          <w:rFonts w:hint="eastAsia" w:ascii="宋体" w:hAnsi="宋体" w:cs="宋体"/>
          <w:b/>
          <w:bCs/>
          <w:color w:val="auto"/>
          <w:sz w:val="28"/>
          <w:szCs w:val="28"/>
          <w:highlight w:val="none"/>
        </w:rPr>
        <w:t>电子交易注意事项</w:t>
      </w:r>
    </w:p>
    <w:p w14:paraId="2A0E465C">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14:paraId="16357A03">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1.采购代理机构按照招标文件规定的时间通过电子交易平台组织开标、开启投标文件，所有供应商均应当准时在线参加，直至评审结束。</w:t>
      </w:r>
    </w:p>
    <w:p w14:paraId="6075B253">
      <w:pPr>
        <w:pStyle w:val="59"/>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14:paraId="5CE475BC">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14:paraId="05E3FAD9">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14:paraId="178C0DB8">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14:paraId="59984793">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14:paraId="5E65BE0F">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14:paraId="47D7DCF5">
      <w:pPr>
        <w:pStyle w:val="59"/>
        <w:widowControl w:val="0"/>
        <w:wordWrap w:val="0"/>
        <w:overflowPunct w:val="0"/>
        <w:autoSpaceDE w:val="0"/>
        <w:autoSpaceDN w:val="0"/>
        <w:adjustRightInd/>
        <w:spacing w:before="0" w:beforeAutospacing="0" w:after="0" w:afterAutospacing="0" w:line="400" w:lineRule="exact"/>
        <w:ind w:firstLine="645"/>
        <w:rPr>
          <w:rFonts w:hint="eastAsia"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70A979BE">
      <w:pPr>
        <w:pStyle w:val="59"/>
        <w:widowControl w:val="0"/>
        <w:wordWrap w:val="0"/>
        <w:overflowPunct w:val="0"/>
        <w:autoSpaceDE w:val="0"/>
        <w:autoSpaceDN w:val="0"/>
        <w:adjustRightInd/>
        <w:spacing w:before="0" w:beforeAutospacing="0" w:after="0" w:afterAutospacing="0" w:line="400" w:lineRule="exact"/>
        <w:ind w:firstLine="645"/>
        <w:rPr>
          <w:rFonts w:hint="eastAsia" w:cs="宋体"/>
          <w:color w:val="auto"/>
          <w:kern w:val="2"/>
          <w:highlight w:val="none"/>
        </w:rPr>
      </w:pPr>
      <w:r>
        <w:rPr>
          <w:rFonts w:hint="eastAsia" w:cs="宋体"/>
          <w:color w:val="auto"/>
          <w:kern w:val="2"/>
          <w:highlight w:val="none"/>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7F2E0306">
      <w:pPr>
        <w:pStyle w:val="59"/>
        <w:widowControl w:val="0"/>
        <w:wordWrap w:val="0"/>
        <w:overflowPunct w:val="0"/>
        <w:autoSpaceDE w:val="0"/>
        <w:autoSpaceDN w:val="0"/>
        <w:adjustRightInd/>
        <w:spacing w:before="0" w:beforeAutospacing="0" w:after="0" w:afterAutospacing="0" w:line="400" w:lineRule="exact"/>
        <w:ind w:firstLine="645"/>
        <w:rPr>
          <w:rFonts w:ascii="宋体" w:hAnsi="宋体" w:cs="宋体"/>
          <w:b/>
          <w:bCs/>
          <w:color w:val="auto"/>
          <w:sz w:val="28"/>
          <w:highlight w:val="none"/>
        </w:rPr>
      </w:pPr>
      <w:r>
        <w:rPr>
          <w:rFonts w:hint="eastAsia" w:cs="宋体"/>
          <w:color w:val="auto"/>
          <w:kern w:val="2"/>
          <w:highlight w:val="none"/>
          <w:lang w:val="en-US"/>
        </w:rPr>
        <w:t>4</w:t>
      </w:r>
      <w:r>
        <w:rPr>
          <w:rFonts w:hint="eastAsia" w:cs="宋体"/>
          <w:color w:val="auto"/>
          <w:kern w:val="2"/>
          <w:highlight w:val="none"/>
        </w:rPr>
        <w:t>.供应商须在采购代理机构宣布评审结束、产生中标候选人前时刻关注，配合专家组工作，如有询标（澄清、质疑），在约定时间内（具体时间以询标函上规定的时间为准备）通过</w:t>
      </w:r>
      <w:r>
        <w:rPr>
          <w:rFonts w:hint="eastAsia" w:cs="宋体"/>
          <w:color w:val="auto"/>
          <w:kern w:val="2"/>
          <w:highlight w:val="none"/>
          <w:lang w:val="en-US"/>
        </w:rPr>
        <w:t>CA</w:t>
      </w:r>
      <w:r>
        <w:rPr>
          <w:rFonts w:hint="eastAsia" w:cs="宋体"/>
          <w:color w:val="auto"/>
          <w:kern w:val="2"/>
          <w:highlight w:val="none"/>
        </w:rPr>
        <w:t>进行回复。未按要求回复的，视为放弃澄清。</w:t>
      </w:r>
    </w:p>
    <w:p w14:paraId="37A01188">
      <w:pPr>
        <w:wordWrap w:val="0"/>
        <w:overflowPunct w:val="0"/>
        <w:autoSpaceDE w:val="0"/>
        <w:autoSpaceDN w:val="0"/>
        <w:snapToGrid w:val="0"/>
        <w:spacing w:line="360" w:lineRule="auto"/>
        <w:jc w:val="center"/>
        <w:rPr>
          <w:rFonts w:ascii="宋体" w:hAnsi="宋体" w:cs="宋体"/>
          <w:b/>
          <w:bCs/>
          <w:color w:val="auto"/>
          <w:sz w:val="28"/>
          <w:highlight w:val="none"/>
        </w:rPr>
      </w:pPr>
    </w:p>
    <w:p w14:paraId="1157A688">
      <w:pPr>
        <w:wordWrap w:val="0"/>
        <w:overflowPunct w:val="0"/>
        <w:autoSpaceDE w:val="0"/>
        <w:autoSpaceDN w:val="0"/>
        <w:snapToGrid w:val="0"/>
        <w:spacing w:line="360" w:lineRule="auto"/>
        <w:jc w:val="center"/>
        <w:rPr>
          <w:rFonts w:ascii="宋体" w:hAnsi="宋体" w:cs="宋体"/>
          <w:b/>
          <w:bCs/>
          <w:color w:val="auto"/>
          <w:sz w:val="28"/>
          <w:highlight w:val="none"/>
        </w:rPr>
      </w:pPr>
    </w:p>
    <w:p w14:paraId="330E16C3">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5"/>
        <w:tblW w:w="9143" w:type="dxa"/>
        <w:tblInd w:w="142" w:type="dxa"/>
        <w:tblLayout w:type="fixed"/>
        <w:tblCellMar>
          <w:top w:w="0" w:type="dxa"/>
          <w:left w:w="108" w:type="dxa"/>
          <w:bottom w:w="0" w:type="dxa"/>
          <w:right w:w="108" w:type="dxa"/>
        </w:tblCellMar>
      </w:tblPr>
      <w:tblGrid>
        <w:gridCol w:w="744"/>
        <w:gridCol w:w="8399"/>
      </w:tblGrid>
      <w:tr w14:paraId="7927D023">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14:paraId="4D9CEF04">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14:paraId="17107608">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14:paraId="3911C855">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14:paraId="5BD8D266">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14:paraId="34D5EDAE">
            <w:pPr>
              <w:pStyle w:val="35"/>
              <w:wordWrap w:val="0"/>
              <w:overflowPunct w:val="0"/>
              <w:autoSpaceDE w:val="0"/>
              <w:autoSpaceDN w:val="0"/>
              <w:adjustRightInd/>
              <w:snapToGrid w:val="0"/>
              <w:spacing w:before="24" w:beforeLines="10" w:after="24" w:afterLines="10"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项目名称：</w:t>
            </w:r>
            <w:r>
              <w:rPr>
                <w:rFonts w:hint="eastAsia" w:hAnsi="宋体" w:cs="宋体"/>
                <w:color w:val="auto"/>
                <w:sz w:val="24"/>
                <w:szCs w:val="24"/>
                <w:highlight w:val="none"/>
                <w:lang w:eastAsia="zh-CN"/>
              </w:rPr>
              <w:t>嘉善县妇幼保健院收费等岗位服务项目</w:t>
            </w:r>
          </w:p>
        </w:tc>
      </w:tr>
      <w:tr w14:paraId="0BB18409">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14:paraId="0137A13C">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14:paraId="12C39095">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14:paraId="177AF921">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14:paraId="51C8BE61">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14:paraId="18C33727">
            <w:pPr>
              <w:pStyle w:val="59"/>
              <w:widowControl w:val="0"/>
              <w:overflowPunct w:val="0"/>
              <w:topLinePunct/>
              <w:autoSpaceDE w:val="0"/>
              <w:autoSpaceDN w:val="0"/>
              <w:spacing w:before="24" w:beforeLines="10" w:beforeAutospacing="0" w:after="24" w:afterLines="10" w:afterAutospacing="0" w:line="400" w:lineRule="exact"/>
              <w:ind w:firstLine="480" w:firstLineChars="200"/>
              <w:rPr>
                <w:rFonts w:hint="eastAsia" w:eastAsia="宋体" w:cs="宋体"/>
                <w:color w:val="auto"/>
                <w:highlight w:val="none"/>
                <w:lang w:eastAsia="zh-CN"/>
              </w:rPr>
            </w:pPr>
            <w:r>
              <w:rPr>
                <w:rFonts w:hint="eastAsia" w:cs="宋体"/>
                <w:color w:val="auto"/>
                <w:highlight w:val="none"/>
              </w:rPr>
              <w:t>项目预算：</w:t>
            </w:r>
            <w:r>
              <w:rPr>
                <w:rFonts w:hint="eastAsia" w:cs="宋体"/>
                <w:color w:val="auto"/>
                <w:highlight w:val="none"/>
                <w:u w:val="single"/>
                <w:lang w:eastAsia="zh-CN"/>
              </w:rPr>
              <w:t>250.00</w:t>
            </w:r>
            <w:r>
              <w:rPr>
                <w:rFonts w:hint="eastAsia" w:cs="宋体"/>
                <w:color w:val="auto"/>
                <w:highlight w:val="none"/>
                <w:u w:val="single"/>
              </w:rPr>
              <w:t>万元</w:t>
            </w:r>
            <w:r>
              <w:rPr>
                <w:rFonts w:hint="eastAsia" w:cs="宋体"/>
                <w:color w:val="auto"/>
                <w:highlight w:val="none"/>
              </w:rPr>
              <w:t>。</w:t>
            </w:r>
          </w:p>
          <w:p w14:paraId="180FC821">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最高限价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124.00</w:t>
            </w:r>
            <w:r>
              <w:rPr>
                <w:rFonts w:hint="eastAsia" w:ascii="宋体" w:hAnsi="宋体" w:cs="宋体"/>
                <w:color w:val="auto"/>
                <w:sz w:val="24"/>
                <w:highlight w:val="none"/>
                <w:u w:val="single"/>
                <w:lang w:eastAsia="zh-CN"/>
              </w:rPr>
              <w:t>万元</w:t>
            </w:r>
            <w:r>
              <w:rPr>
                <w:rFonts w:hint="eastAsia" w:ascii="宋体" w:hAnsi="宋体" w:cs="宋体"/>
                <w:color w:val="auto"/>
                <w:sz w:val="24"/>
                <w:highlight w:val="none"/>
              </w:rPr>
              <w:t>，超最高限价的投标文件无效。</w:t>
            </w:r>
          </w:p>
        </w:tc>
      </w:tr>
      <w:tr w14:paraId="109FC694">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14:paraId="07F567BA">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14:paraId="07DA4F53">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14:paraId="50C1FE6C">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14:paraId="3FEDA9D1">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14:paraId="7FC98A4A">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7D44B855">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14:paraId="6914028B">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14:paraId="476ED5BE">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14:paraId="68D1CEA3">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14:paraId="1D69D2B6">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14:paraId="6AE5FF5B">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14:paraId="61CBD6D7">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14:paraId="2A277E00">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14:paraId="0D1B1DDC">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14:paraId="4E709E5C">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14:paraId="3475B886">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14:paraId="193775ED">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14:paraId="522713A1">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14:paraId="04C2470C">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14:paraId="688294F7">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14:paraId="672F317D">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14:paraId="2D0313F3">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14:paraId="1AFC833C">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14:paraId="381994E1">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auto"/>
                <w:sz w:val="24"/>
                <w:highlight w:val="none"/>
                <w:u w:val="single"/>
                <w:lang w:eastAsia="zh-CN"/>
              </w:rPr>
              <w:t>2024年8月27日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p>
          <w:p w14:paraId="29D17338">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14:paraId="78B53F0A">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14:paraId="3ED93ED9">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14:paraId="643364E4">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768E671E">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14:paraId="259383BF">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14:paraId="3A4FFA33">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auto"/>
                <w:sz w:val="24"/>
                <w:highlight w:val="none"/>
                <w:u w:val="single"/>
                <w:lang w:eastAsia="zh-CN"/>
              </w:rPr>
              <w:t>2024年8月27日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p>
          <w:p w14:paraId="4167EC21">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14:paraId="075DAE6B">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14:paraId="419CDA14">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14:paraId="706D2055">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14:paraId="0E99263B">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14:paraId="05DDF52A">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2D7A5332">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14:paraId="7BD9DF0C">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在公告中标结果的同时，向中标人发出中标通知书</w:t>
            </w:r>
          </w:p>
        </w:tc>
      </w:tr>
      <w:tr w14:paraId="6885AF47">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14:paraId="11CE57B1">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14:paraId="2072B5A6">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14:paraId="346CD587">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14:paraId="478484BB">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14:paraId="0FE3F54B">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履约保证金:签订合同前中标人应向采购人交纳合同金额的1%作为履约保证金，履约保证金在合同履行完毕后一个月内无息退还。</w:t>
            </w:r>
          </w:p>
        </w:tc>
      </w:tr>
      <w:tr w14:paraId="41232583">
        <w:tblPrEx>
          <w:tblCellMar>
            <w:top w:w="0" w:type="dxa"/>
            <w:left w:w="108" w:type="dxa"/>
            <w:bottom w:w="0" w:type="dxa"/>
            <w:right w:w="108" w:type="dxa"/>
          </w:tblCellMar>
        </w:tblPrEx>
        <w:trPr>
          <w:trHeight w:val="1042" w:hRule="atLeast"/>
        </w:trPr>
        <w:tc>
          <w:tcPr>
            <w:tcW w:w="744" w:type="dxa"/>
            <w:tcBorders>
              <w:top w:val="single" w:color="auto" w:sz="4" w:space="0"/>
              <w:left w:val="single" w:color="auto" w:sz="4" w:space="0"/>
              <w:bottom w:val="single" w:color="auto" w:sz="4" w:space="0"/>
              <w:right w:val="single" w:color="auto" w:sz="4" w:space="0"/>
            </w:tcBorders>
            <w:vAlign w:val="center"/>
          </w:tcPr>
          <w:p w14:paraId="5431D32F">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14:paraId="4E1FA297">
            <w:pPr>
              <w:wordWrap w:val="0"/>
              <w:overflowPunct w:val="0"/>
              <w:autoSpaceDE w:val="0"/>
              <w:autoSpaceDN w:val="0"/>
              <w:adjustRightInd/>
              <w:snapToGrid w:val="0"/>
              <w:spacing w:before="24" w:beforeLines="10" w:after="24" w:afterLines="10" w:line="400" w:lineRule="exact"/>
              <w:ind w:firstLine="420"/>
              <w:rPr>
                <w:rFonts w:hint="default" w:ascii="宋体" w:hAnsi="宋体" w:cs="宋体"/>
                <w:color w:val="auto"/>
                <w:sz w:val="24"/>
                <w:highlight w:val="none"/>
                <w:lang w:val="en-US"/>
              </w:rPr>
            </w:pPr>
            <w:r>
              <w:rPr>
                <w:rFonts w:hint="eastAsia" w:ascii="宋体" w:hAnsi="宋体" w:cs="宋体"/>
                <w:color w:val="auto"/>
                <w:sz w:val="24"/>
                <w:highlight w:val="none"/>
              </w:rPr>
              <w:t>付款方式：结算付款必须按照医院支付管理办法及相关规定执行，依据《考核标准》对服务提供商进行考核结算，原则上以一个月为结算单位</w:t>
            </w:r>
            <w:r>
              <w:rPr>
                <w:rFonts w:hint="eastAsia" w:ascii="宋体" w:hAnsi="宋体" w:cs="宋体"/>
                <w:color w:val="auto"/>
                <w:sz w:val="24"/>
                <w:highlight w:val="none"/>
                <w:lang w:val="en-US" w:eastAsia="zh-CN"/>
              </w:rPr>
              <w:t>支付前一个月的员工工资及管理费。（付款前中标单位应按规定向采购人开具正规发票，</w:t>
            </w:r>
            <w:r>
              <w:rPr>
                <w:rFonts w:hint="eastAsia" w:ascii="宋体" w:hAnsi="宋体" w:eastAsia="宋体" w:cs="宋体"/>
                <w:color w:val="auto"/>
                <w:sz w:val="24"/>
                <w:highlight w:val="none"/>
                <w:lang w:val="en-US" w:eastAsia="zh-CN"/>
              </w:rPr>
              <w:t>并承担开票产生的所有税收费）</w:t>
            </w:r>
          </w:p>
        </w:tc>
      </w:tr>
      <w:tr w14:paraId="2E38664A">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7F29BB81">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8399" w:type="dxa"/>
            <w:tcBorders>
              <w:top w:val="single" w:color="auto" w:sz="4" w:space="0"/>
              <w:left w:val="nil"/>
              <w:bottom w:val="single" w:color="auto" w:sz="4" w:space="0"/>
              <w:right w:val="single" w:color="auto" w:sz="4" w:space="0"/>
            </w:tcBorders>
            <w:vAlign w:val="center"/>
          </w:tcPr>
          <w:p w14:paraId="3DD31F3F">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14:paraId="1830BF98">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15D68130">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18</w:t>
            </w:r>
          </w:p>
        </w:tc>
        <w:tc>
          <w:tcPr>
            <w:tcW w:w="8399" w:type="dxa"/>
            <w:tcBorders>
              <w:top w:val="single" w:color="auto" w:sz="4" w:space="0"/>
              <w:left w:val="nil"/>
              <w:bottom w:val="single" w:color="auto" w:sz="4" w:space="0"/>
              <w:right w:val="single" w:color="auto" w:sz="4" w:space="0"/>
            </w:tcBorders>
            <w:vAlign w:val="center"/>
          </w:tcPr>
          <w:p w14:paraId="2FF58189">
            <w:pPr>
              <w:pStyle w:val="35"/>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14:paraId="4A306CED">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14:paraId="4157EF8B">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8399" w:type="dxa"/>
            <w:tcBorders>
              <w:top w:val="single" w:color="auto" w:sz="4" w:space="0"/>
              <w:left w:val="nil"/>
              <w:bottom w:val="single" w:color="auto" w:sz="4" w:space="0"/>
              <w:right w:val="single" w:color="auto" w:sz="4" w:space="0"/>
            </w:tcBorders>
            <w:vAlign w:val="center"/>
          </w:tcPr>
          <w:p w14:paraId="45435B78">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解释：本招标文件的解释权属于采购单位和嘉兴市银建工程咨询评估有限公司。</w:t>
            </w:r>
          </w:p>
        </w:tc>
      </w:tr>
    </w:tbl>
    <w:p w14:paraId="6ABFC207">
      <w:pPr>
        <w:pStyle w:val="26"/>
        <w:ind w:left="0" w:leftChars="0" w:firstLine="0" w:firstLineChars="0"/>
        <w:rPr>
          <w:color w:val="auto"/>
          <w:highlight w:val="none"/>
        </w:rPr>
      </w:pPr>
    </w:p>
    <w:p w14:paraId="1D3A8A4E">
      <w:pPr>
        <w:pStyle w:val="35"/>
        <w:numPr>
          <w:ilvl w:val="0"/>
          <w:numId w:val="2"/>
        </w:numPr>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总  则</w:t>
      </w:r>
    </w:p>
    <w:p w14:paraId="60F8DAD5">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（一）适用范围</w:t>
      </w:r>
    </w:p>
    <w:p w14:paraId="76A5E39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14:paraId="4B9C6973">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（二）定义</w:t>
      </w:r>
    </w:p>
    <w:p w14:paraId="2B48E97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”）和采购单位。</w:t>
      </w:r>
    </w:p>
    <w:p w14:paraId="23AFE0D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0E5B1994">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14:paraId="5A5173F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14:paraId="409A984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576D32C0">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069A8A8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7.“▲”系指实质性要求条款。不满足实质性要求条款的投标文件无效</w:t>
      </w:r>
    </w:p>
    <w:p w14:paraId="52EE24C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8.“★”系指核心产品。</w:t>
      </w:r>
    </w:p>
    <w:p w14:paraId="368D5330">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（三）招标方式</w:t>
      </w:r>
    </w:p>
    <w:p w14:paraId="462D896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6A816561">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（四）投标委托</w:t>
      </w:r>
    </w:p>
    <w:p w14:paraId="64B370E1">
      <w:pPr>
        <w:pStyle w:val="26"/>
        <w:wordWrap w:val="0"/>
        <w:overflowPunct w:val="0"/>
        <w:autoSpaceDE w:val="0"/>
        <w:autoSpaceDN w:val="0"/>
        <w:snapToGrid w:val="0"/>
        <w:spacing w:line="360" w:lineRule="auto"/>
        <w:jc w:val="left"/>
        <w:rPr>
          <w:rFonts w:cs="宋体"/>
          <w:color w:val="auto"/>
          <w:highlight w:val="none"/>
        </w:rPr>
      </w:pPr>
      <w:r>
        <w:rPr>
          <w:rFonts w:hint="eastAsia" w:cs="宋体"/>
          <w:color w:val="auto"/>
          <w:highlight w:val="none"/>
        </w:rPr>
        <w:t>供应商无需到开标现场，但须准时在线参加，直至评审结束。</w:t>
      </w:r>
    </w:p>
    <w:p w14:paraId="61B786B4">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（五）投标费用</w:t>
      </w:r>
    </w:p>
    <w:p w14:paraId="32AB5FB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14:paraId="59040FB5">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（六）联合体投标</w:t>
      </w:r>
    </w:p>
    <w:p w14:paraId="7B0FA28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本项目不接受联合体投标。</w:t>
      </w:r>
    </w:p>
    <w:p w14:paraId="34FE908C">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（七）转包与分包</w:t>
      </w:r>
    </w:p>
    <w:p w14:paraId="35E32BD8">
      <w:pPr>
        <w:wordWrap w:val="0"/>
        <w:overflowPunct w:val="0"/>
        <w:autoSpaceDE w:val="0"/>
        <w:autoSpaceDN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553DA413">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2.本项目不可以分包。</w:t>
      </w:r>
    </w:p>
    <w:p w14:paraId="171A3E9F">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（八）是否允许采购进口产品</w:t>
      </w:r>
    </w:p>
    <w:p w14:paraId="4BA9CCE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本项目不允许采购进口产品。</w:t>
      </w:r>
    </w:p>
    <w:p w14:paraId="03EBD3E6">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 ▲（九）特别说明：</w:t>
      </w:r>
    </w:p>
    <w:p w14:paraId="6986C8E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2D52BA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DAD36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14:paraId="2DE3E1C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14:paraId="2D54A0A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7E9A254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70DDA335">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（十）质疑和投诉</w:t>
      </w:r>
    </w:p>
    <w:p w14:paraId="0B503885">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1F8B047D">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91940C">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99D09C7">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14:paraId="6F9C69A8">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4.供应商认为采购代理机构在质疑答复程序中启用的调查和复评等程序，在该程序操作过程未明显违反法律禁止性规定时，不得提出疑义。</w:t>
      </w:r>
    </w:p>
    <w:p w14:paraId="09563B0E">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14:paraId="28CBC4A7">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282D0808">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14:paraId="2451CB02">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8.在线或者邮寄政府采购投诉材料当日下班时间点后收到的视为下一个工作日收到。</w:t>
      </w:r>
    </w:p>
    <w:p w14:paraId="63B5EDFD">
      <w:pPr>
        <w:pStyle w:val="35"/>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二、招标文件</w:t>
      </w:r>
    </w:p>
    <w:p w14:paraId="71F4A6E0">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（一）招标文件的构成。本招标文件由以下部份组成：</w:t>
      </w:r>
    </w:p>
    <w:p w14:paraId="4310A43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14:paraId="4C08C5B8">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2.招标需求</w:t>
      </w:r>
    </w:p>
    <w:p w14:paraId="67A5B66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14:paraId="756FE2F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14:paraId="58D6CC40">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14:paraId="4979582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14:paraId="052E41AB">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7352028E">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（二）投标人的风险</w:t>
      </w:r>
    </w:p>
    <w:p w14:paraId="1AB5F570">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14:paraId="257AF437">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（三）招标文件的澄清与修改 </w:t>
      </w:r>
    </w:p>
    <w:p w14:paraId="33FFAC6E">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14:paraId="69CA3A9F">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14:paraId="7DD9A117">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14:paraId="6D58CEE3">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14:paraId="3542A53E">
      <w:pPr>
        <w:pStyle w:val="35"/>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三、投标文件的编制</w:t>
      </w:r>
    </w:p>
    <w:p w14:paraId="34FCAFCA">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(一)总体要求</w:t>
      </w:r>
    </w:p>
    <w:p w14:paraId="6D293137">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14:paraId="155E3FCD">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14:paraId="57E25A1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14:paraId="665D81DE">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（二）投标文件的组成</w:t>
      </w:r>
    </w:p>
    <w:p w14:paraId="01426853">
      <w:pPr>
        <w:pStyle w:val="35"/>
        <w:wordWrap w:val="0"/>
        <w:overflowPunct w:val="0"/>
        <w:autoSpaceDE w:val="0"/>
        <w:autoSpaceDN w:val="0"/>
        <w:snapToGrid w:val="0"/>
        <w:spacing w:line="360" w:lineRule="auto"/>
        <w:ind w:firstLine="482" w:firstLineChars="200"/>
        <w:outlineLvl w:val="0"/>
        <w:rPr>
          <w:rFonts w:hAnsi="宋体" w:cs="宋体"/>
          <w:b/>
          <w:color w:val="auto"/>
          <w:sz w:val="24"/>
          <w:szCs w:val="24"/>
          <w:highlight w:val="none"/>
        </w:rPr>
      </w:pPr>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14:paraId="53D96B76">
      <w:pPr>
        <w:pStyle w:val="35"/>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14:paraId="46344525">
      <w:pPr>
        <w:pStyle w:val="35"/>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1.资格文件（资格文件所需的证明材料均需加盖供应商公章）：</w:t>
      </w:r>
    </w:p>
    <w:p w14:paraId="0CCAAE69">
      <w:pPr>
        <w:numPr>
          <w:ilvl w:val="0"/>
          <w:numId w:val="3"/>
        </w:numPr>
        <w:tabs>
          <w:tab w:val="left" w:pos="1418"/>
        </w:tabs>
        <w:snapToGrid w:val="0"/>
        <w:spacing w:line="360" w:lineRule="auto"/>
        <w:ind w:left="0" w:firstLine="705" w:firstLineChars="294"/>
        <w:jc w:val="left"/>
        <w:rPr>
          <w:rFonts w:ascii="宋体" w:hAnsi="宋体"/>
          <w:color w:val="auto"/>
          <w:sz w:val="24"/>
          <w:highlight w:val="none"/>
        </w:rPr>
      </w:pPr>
      <w:r>
        <w:rPr>
          <w:rFonts w:hint="eastAsia" w:cs="宋体"/>
          <w:color w:val="auto"/>
          <w:sz w:val="24"/>
          <w:highlight w:val="none"/>
        </w:rPr>
        <w:t>营业执照</w:t>
      </w:r>
    </w:p>
    <w:p w14:paraId="2E776CA5">
      <w:pPr>
        <w:numPr>
          <w:ilvl w:val="0"/>
          <w:numId w:val="3"/>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符合参加政府采购活动应当具备的一般条件的承诺函（格式见第六章）</w:t>
      </w:r>
    </w:p>
    <w:p w14:paraId="05CFB04A">
      <w:pPr>
        <w:numPr>
          <w:ilvl w:val="0"/>
          <w:numId w:val="3"/>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中小企业声明函或监狱和戒毒企业企业证明材料或残疾人福利性单位声明函（格式见第六章）</w:t>
      </w:r>
    </w:p>
    <w:p w14:paraId="2A739107">
      <w:pPr>
        <w:pStyle w:val="59"/>
        <w:widowControl w:val="0"/>
        <w:overflowPunct w:val="0"/>
        <w:autoSpaceDE w:val="0"/>
        <w:autoSpaceDN w:val="0"/>
        <w:adjustRightInd/>
        <w:spacing w:before="0" w:beforeAutospacing="0" w:after="0" w:afterAutospacing="0" w:line="360" w:lineRule="auto"/>
        <w:ind w:firstLine="481"/>
        <w:rPr>
          <w:rFonts w:cs="宋体"/>
          <w:b/>
          <w:bCs/>
          <w:color w:val="auto"/>
          <w:highlight w:val="none"/>
        </w:rPr>
      </w:pPr>
      <w:r>
        <w:rPr>
          <w:rFonts w:hint="eastAsia" w:cs="宋体"/>
          <w:b/>
          <w:bCs/>
          <w:color w:val="auto"/>
          <w:highlight w:val="none"/>
        </w:rPr>
        <w:t>2.商务技术文件</w:t>
      </w:r>
    </w:p>
    <w:p w14:paraId="756569AE">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自评表（格式见第六章）</w:t>
      </w:r>
    </w:p>
    <w:p w14:paraId="56E2F567">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投标声明书（格式见第六章）</w:t>
      </w:r>
    </w:p>
    <w:p w14:paraId="41AF0456">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法定代表人授权委托书（格式见第六章）</w:t>
      </w:r>
    </w:p>
    <w:p w14:paraId="11060E7E">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诚信承诺书（格式见第六章）</w:t>
      </w:r>
    </w:p>
    <w:p w14:paraId="7453D52E">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投标人基本情况表（格式见第六章）</w:t>
      </w:r>
    </w:p>
    <w:p w14:paraId="549B58AA">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项目实施人员表（格式见第六章）</w:t>
      </w:r>
    </w:p>
    <w:p w14:paraId="63933ECD">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同类业绩（格式见第六章同类项目业绩一览表）</w:t>
      </w:r>
    </w:p>
    <w:p w14:paraId="0914B028">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优惠条件</w:t>
      </w:r>
    </w:p>
    <w:p w14:paraId="769BFCB8">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总体服务方案</w:t>
      </w:r>
    </w:p>
    <w:p w14:paraId="46E433F4">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本项目重点、难点分析</w:t>
      </w:r>
    </w:p>
    <w:p w14:paraId="6E10F3F1">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项目实施方案</w:t>
      </w:r>
    </w:p>
    <w:p w14:paraId="368B0A61">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管理制度</w:t>
      </w:r>
    </w:p>
    <w:p w14:paraId="279D5F2D">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投诉处理方案</w:t>
      </w:r>
    </w:p>
    <w:p w14:paraId="7F5EA938">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培训方案</w:t>
      </w:r>
    </w:p>
    <w:p w14:paraId="3F00090A">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稳定员工队伍方案</w:t>
      </w:r>
    </w:p>
    <w:p w14:paraId="213EF234">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投入本项目人员</w:t>
      </w:r>
    </w:p>
    <w:p w14:paraId="52EEC19B">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处理过劳资纠纷</w:t>
      </w:r>
    </w:p>
    <w:p w14:paraId="61F7AE5E">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应急方案及措施</w:t>
      </w:r>
    </w:p>
    <w:p w14:paraId="51BDA219">
      <w:pPr>
        <w:numPr>
          <w:ilvl w:val="0"/>
          <w:numId w:val="4"/>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投标人根据评标办法及采购需求需要提供的其他资料（如有）</w:t>
      </w:r>
    </w:p>
    <w:p w14:paraId="2CB31CC9">
      <w:pPr>
        <w:pStyle w:val="35"/>
        <w:wordWrap w:val="0"/>
        <w:overflowPunct w:val="0"/>
        <w:autoSpaceDE w:val="0"/>
        <w:autoSpaceDN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3.报价文件：</w:t>
      </w:r>
    </w:p>
    <w:p w14:paraId="16923E44">
      <w:pPr>
        <w:numPr>
          <w:ilvl w:val="0"/>
          <w:numId w:val="5"/>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投标函（格式见第六章）</w:t>
      </w:r>
    </w:p>
    <w:p w14:paraId="635DD35C">
      <w:pPr>
        <w:numPr>
          <w:ilvl w:val="0"/>
          <w:numId w:val="5"/>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开标一览表（格式见第六章）</w:t>
      </w:r>
    </w:p>
    <w:p w14:paraId="1BB6D469">
      <w:pPr>
        <w:numPr>
          <w:ilvl w:val="0"/>
          <w:numId w:val="5"/>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投标报价明细表（</w:t>
      </w:r>
      <w:r>
        <w:rPr>
          <w:rFonts w:hint="eastAsia" w:hAnsi="宋体" w:cs="宋体"/>
          <w:color w:val="auto"/>
          <w:sz w:val="24"/>
          <w:highlight w:val="none"/>
        </w:rPr>
        <w:t>格式见第六章）</w:t>
      </w:r>
    </w:p>
    <w:p w14:paraId="6F63B747">
      <w:pPr>
        <w:spacing w:line="360" w:lineRule="auto"/>
        <w:ind w:firstLine="480" w:firstLineChars="200"/>
        <w:rPr>
          <w:color w:val="auto"/>
          <w:highlight w:val="none"/>
        </w:rPr>
      </w:pPr>
      <w:r>
        <w:rPr>
          <w:rFonts w:hint="eastAsia" w:ascii="宋体" w:hAnsi="宋体" w:cs="宋体"/>
          <w:color w:val="auto"/>
          <w:sz w:val="24"/>
          <w:highlight w:val="none"/>
        </w:rPr>
        <w:t>投标人针对报价需要说明的其他文件和说明（如有）</w:t>
      </w:r>
    </w:p>
    <w:p w14:paraId="71D11970">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4.投标文件内容填写说明 </w:t>
      </w:r>
    </w:p>
    <w:p w14:paraId="4B470C3D">
      <w:pPr>
        <w:wordWrap w:val="0"/>
        <w:overflowPunct w:val="0"/>
        <w:autoSpaceDE w:val="0"/>
        <w:autoSpaceDN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14:paraId="2813B782">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w:t>
      </w:r>
    </w:p>
    <w:p w14:paraId="131E4B63">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对其中任何资料进一步审查的要求。</w:t>
      </w:r>
    </w:p>
    <w:p w14:paraId="2F120D75">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14:paraId="328A3C1B">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14:paraId="1132C906">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可以拒绝其投标文件。</w:t>
      </w:r>
    </w:p>
    <w:p w14:paraId="65774ADC">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14:paraId="28FC9264">
      <w:pPr>
        <w:wordWrap w:val="0"/>
        <w:overflowPunct w:val="0"/>
        <w:autoSpaceDE w:val="0"/>
        <w:autoSpaceDN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14:paraId="7E8ED61B">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（三）投标文件的语言及计量</w:t>
      </w:r>
    </w:p>
    <w:p w14:paraId="40C47C4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5742B99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0273C81B">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（四）投标报价</w:t>
      </w:r>
    </w:p>
    <w:p w14:paraId="033864F8">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2AF74EB4">
      <w:pPr>
        <w:wordWrap w:val="0"/>
        <w:overflowPunct w:val="0"/>
        <w:autoSpaceDE w:val="0"/>
        <w:autoSpaceDN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▲2.投标报价是履行合同的最终价格，投标报价采用固定单价方式进行报价，按每月实际岗位数量进行结算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人员工资</w:t>
      </w:r>
      <w:r>
        <w:rPr>
          <w:rFonts w:hint="eastAsia" w:ascii="宋体" w:hAnsi="宋体" w:eastAsia="宋体" w:cs="宋体"/>
          <w:color w:val="auto"/>
          <w:sz w:val="24"/>
          <w:highlight w:val="none"/>
        </w:rPr>
        <w:t>包含人员基本工资、个人及企业承担的社会保险费、住房公积金、餐补、考核奖、高温费、加班费、福利、人员保险（人身意外伤害险等）等费用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管理费用中包含企业的管理服务费、招聘费、入职体检费、本项目全部的税收费用、本次招标所产生的相关费用、企业风险费、垫资成本及利润等</w:t>
      </w:r>
      <w:r>
        <w:rPr>
          <w:rFonts w:hint="eastAsia" w:ascii="宋体" w:hAnsi="宋体" w:eastAsia="宋体" w:cs="宋体"/>
          <w:color w:val="auto"/>
          <w:sz w:val="24"/>
          <w:highlight w:val="none"/>
        </w:rPr>
        <w:t>。各投标人所填写的投标报价在合同实施期间不因市场因素而变动，投标人发生差错遗漏的费用均不再调整（除采购文件另有说明外）。</w:t>
      </w:r>
    </w:p>
    <w:p w14:paraId="4E37EB6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14:paraId="6DC7B1D3">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（五）投标文件的有效期</w:t>
      </w:r>
    </w:p>
    <w:p w14:paraId="332D52D4">
      <w:pPr>
        <w:pStyle w:val="16"/>
        <w:widowControl w:val="0"/>
        <w:tabs>
          <w:tab w:val="left" w:pos="720"/>
          <w:tab w:val="clear" w:pos="390"/>
        </w:tabs>
        <w:wordWrap w:val="0"/>
        <w:overflowPunct w:val="0"/>
        <w:autoSpaceDE w:val="0"/>
        <w:autoSpaceDN w:val="0"/>
        <w:snapToGrid w:val="0"/>
        <w:spacing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 xml:space="preserve"> 90</w:t>
      </w:r>
      <w:r>
        <w:rPr>
          <w:rFonts w:hint="eastAsia" w:ascii="宋体" w:hAnsi="宋体" w:cs="宋体"/>
          <w:color w:val="auto"/>
          <w:szCs w:val="24"/>
          <w:highlight w:val="none"/>
        </w:rPr>
        <w:t>天投标文件应保持有效。有效期不足的投标文件将被拒绝。</w:t>
      </w:r>
    </w:p>
    <w:p w14:paraId="4D2556E0">
      <w:pPr>
        <w:pStyle w:val="16"/>
        <w:widowControl w:val="0"/>
        <w:tabs>
          <w:tab w:val="left" w:pos="720"/>
          <w:tab w:val="clear" w:pos="390"/>
        </w:tabs>
        <w:wordWrap w:val="0"/>
        <w:overflowPunct w:val="0"/>
        <w:autoSpaceDE w:val="0"/>
        <w:autoSpaceDN w:val="0"/>
        <w:snapToGrid w:val="0"/>
        <w:spacing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可与投标人协商延长投标书的有效期，这种要求和答复均以书面形式进行。</w:t>
      </w:r>
    </w:p>
    <w:p w14:paraId="59744E63">
      <w:pPr>
        <w:wordWrap w:val="0"/>
        <w:overflowPunct w:val="0"/>
        <w:autoSpaceDE w:val="0"/>
        <w:autoSpaceDN w:val="0"/>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14:paraId="33A99C6F">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（六）投标保证金：无</w:t>
      </w:r>
    </w:p>
    <w:p w14:paraId="18459FE5">
      <w:pPr>
        <w:pStyle w:val="35"/>
        <w:wordWrap w:val="0"/>
        <w:overflowPunct w:val="0"/>
        <w:autoSpaceDE w:val="0"/>
        <w:autoSpaceDN w:val="0"/>
        <w:snapToGrid w:val="0"/>
        <w:spacing w:line="360" w:lineRule="auto"/>
        <w:outlineLvl w:val="0"/>
        <w:rPr>
          <w:rFonts w:hAnsi="宋体" w:cs="宋体"/>
          <w:b/>
          <w:color w:val="auto"/>
          <w:sz w:val="24"/>
          <w:szCs w:val="24"/>
          <w:highlight w:val="none"/>
        </w:rPr>
      </w:pPr>
      <w:bookmarkStart w:id="17" w:name="_Toc359856802"/>
      <w:r>
        <w:rPr>
          <w:rFonts w:hint="eastAsia" w:hAnsi="宋体" w:cs="宋体"/>
          <w:b/>
          <w:color w:val="auto"/>
          <w:sz w:val="24"/>
          <w:szCs w:val="24"/>
          <w:highlight w:val="none"/>
        </w:rPr>
        <w:t>（七）投标文件的签署及规定</w:t>
      </w:r>
      <w:bookmarkEnd w:id="17"/>
    </w:p>
    <w:p w14:paraId="2E290453">
      <w:pPr>
        <w:wordWrap w:val="0"/>
        <w:overflowPunct w:val="0"/>
        <w:autoSpaceDE w:val="0"/>
        <w:autoSpaceDN w:val="0"/>
        <w:snapToGrid w:val="0"/>
        <w:spacing w:line="360" w:lineRule="auto"/>
        <w:ind w:firstLine="480" w:firstLineChars="200"/>
        <w:jc w:val="left"/>
        <w:outlineLvl w:val="1"/>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79"/>
          <w:rFonts w:hint="eastAsia" w:ascii="宋体" w:hAnsi="宋体" w:cs="宋体"/>
          <w:bCs/>
          <w:color w:val="auto"/>
          <w:sz w:val="24"/>
          <w:highlight w:val="none"/>
        </w:rPr>
        <w:t>）及本招标文件规定的格式和顺序编制电子投标文件并进行关联定位。</w:t>
      </w:r>
      <w:r>
        <w:rPr>
          <w:rStyle w:val="79"/>
          <w:rFonts w:hint="eastAsia" w:ascii="宋体" w:hAnsi="宋体" w:cs="宋体"/>
          <w:bCs/>
          <w:color w:val="auto"/>
          <w:sz w:val="24"/>
          <w:highlight w:val="none"/>
        </w:rPr>
        <w:fldChar w:fldCharType="end"/>
      </w:r>
    </w:p>
    <w:p w14:paraId="3FA4BB90">
      <w:pPr>
        <w:pStyle w:val="35"/>
        <w:wordWrap w:val="0"/>
        <w:overflowPunct w:val="0"/>
        <w:autoSpaceDE w:val="0"/>
        <w:autoSpaceDN w:val="0"/>
        <w:snapToGrid w:val="0"/>
        <w:spacing w:line="360" w:lineRule="auto"/>
        <w:outlineLvl w:val="0"/>
        <w:rPr>
          <w:rFonts w:hAnsi="宋体" w:cs="宋体"/>
          <w:b/>
          <w:color w:val="auto"/>
          <w:sz w:val="24"/>
          <w:szCs w:val="24"/>
          <w:highlight w:val="none"/>
        </w:rPr>
      </w:pPr>
      <w:bookmarkStart w:id="18" w:name="_Toc359856803"/>
      <w:bookmarkStart w:id="19" w:name="_Toc356371437"/>
      <w:r>
        <w:rPr>
          <w:rFonts w:hint="eastAsia" w:hAnsi="宋体" w:cs="宋体"/>
          <w:b/>
          <w:color w:val="auto"/>
          <w:sz w:val="24"/>
          <w:szCs w:val="24"/>
          <w:highlight w:val="none"/>
        </w:rPr>
        <w:t>（八）投标文件的递交</w:t>
      </w:r>
      <w:bookmarkEnd w:id="18"/>
      <w:bookmarkEnd w:id="19"/>
    </w:p>
    <w:p w14:paraId="33E19B48">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1.递交投标文件截止期</w:t>
      </w:r>
    </w:p>
    <w:p w14:paraId="48B8E562">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2B3BAB34">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14:paraId="6A765B21">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14:paraId="058C1CA5">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14:paraId="4D22B4DE">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14:paraId="7D1A1FDD">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14:paraId="7F4BF93F">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14:paraId="53A317D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3.备份投标文件</w:t>
      </w:r>
    </w:p>
    <w:p w14:paraId="444EA4F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14:paraId="679CD91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w:t>
      </w:r>
      <w:r>
        <w:rPr>
          <w:rFonts w:hint="eastAsia" w:ascii="宋体" w:hAnsi="宋体" w:cs="宋体"/>
          <w:b/>
          <w:bCs/>
          <w:color w:val="auto"/>
          <w:sz w:val="24"/>
          <w:highlight w:val="none"/>
        </w:rPr>
        <w:t>（U盘）</w:t>
      </w:r>
      <w:r>
        <w:rPr>
          <w:rFonts w:hint="eastAsia" w:ascii="宋体" w:hAnsi="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7249A72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14:paraId="1750CD36">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以邮政快递方式递交备份投标文件的，投标人应先将备份投标文件按要求密封和标记，再进行邮政快递包装后邮寄。</w:t>
      </w:r>
    </w:p>
    <w:p w14:paraId="3A4AA023">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14:paraId="7A9F318B">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（九）投标无效的情形</w:t>
      </w:r>
    </w:p>
    <w:p w14:paraId="40FA867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根据《政府采购货物和服务招标投标管理办法》有下列情形之一的，视为投标人串通投标，其投标无效：</w:t>
      </w:r>
    </w:p>
    <w:p w14:paraId="7ED3A8F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14:paraId="489B8A7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14:paraId="4FB0F41E">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14:paraId="5462404B">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14:paraId="7C922E91">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14:paraId="2824C738">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(六)不同投标人的投标保证金从同一单位或者个人的账户转出。</w:t>
      </w:r>
    </w:p>
    <w:p w14:paraId="3F5DDAF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31110D9">
      <w:pPr>
        <w:numPr>
          <w:ilvl w:val="0"/>
          <w:numId w:val="6"/>
        </w:numPr>
        <w:wordWrap w:val="0"/>
        <w:overflowPunct w:val="0"/>
        <w:autoSpaceDE w:val="0"/>
        <w:autoSpaceDN w:val="0"/>
        <w:snapToGrid w:val="0"/>
        <w:spacing w:line="360" w:lineRule="auto"/>
        <w:ind w:firstLine="466" w:firstLineChars="200"/>
        <w:jc w:val="left"/>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14:paraId="468B8244">
      <w:pPr>
        <w:wordWrap w:val="0"/>
        <w:overflowPunct w:val="0"/>
        <w:autoSpaceDE w:val="0"/>
        <w:autoSpaceDN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 xml:space="preserve">    2.没有通过资格审查的，投标文件将被视为无效。</w:t>
      </w:r>
    </w:p>
    <w:p w14:paraId="467B7172">
      <w:pPr>
        <w:wordWrap w:val="0"/>
        <w:overflowPunct w:val="0"/>
        <w:autoSpaceDE w:val="0"/>
        <w:autoSpaceDN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14:paraId="527700F6">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14:paraId="2EB854C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（2）在资格文件或商务技术文件中出现报价的；</w:t>
      </w:r>
    </w:p>
    <w:p w14:paraId="27D64DA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（3）资格证明文件不全的，或者不符合招标文件标明的资格要求的；</w:t>
      </w:r>
    </w:p>
    <w:p w14:paraId="4B27861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（4）投标文件无法定代表人签字（或盖章）,或未</w:t>
      </w:r>
      <w:r>
        <w:rPr>
          <w:rFonts w:hint="eastAsia" w:ascii="宋体" w:hAnsi="宋体" w:cs="宋体"/>
          <w:bCs/>
          <w:color w:val="auto"/>
          <w:kern w:val="0"/>
          <w:sz w:val="24"/>
          <w:highlight w:val="none"/>
        </w:rPr>
        <w:t>提供法定代表人授权委托书、投标声明书或者填写项目不齐全的；</w:t>
      </w:r>
    </w:p>
    <w:p w14:paraId="126E9470">
      <w:pPr>
        <w:wordWrap w:val="0"/>
        <w:overflowPunct w:val="0"/>
        <w:autoSpaceDE w:val="0"/>
        <w:autoSpaceDN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（5）投标代表人未能出具身份证明或与法定代表人授权委托人身份不符的；</w:t>
      </w:r>
    </w:p>
    <w:p w14:paraId="2807A4D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（6）投标文件项目不齐全或者内容虚假的；</w:t>
      </w:r>
    </w:p>
    <w:p w14:paraId="249535A3">
      <w:pPr>
        <w:pStyle w:val="26"/>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7）</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14:paraId="54B3F32B">
      <w:pPr>
        <w:pStyle w:val="26"/>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（8）</w:t>
      </w:r>
      <w:r>
        <w:rPr>
          <w:rFonts w:hint="eastAsia" w:cs="宋体"/>
          <w:snapToGrid w:val="0"/>
          <w:color w:val="auto"/>
          <w:highlight w:val="none"/>
        </w:rPr>
        <w:t>投标有效期、服务期等商务条款不能满足招标文件要求的；</w:t>
      </w:r>
    </w:p>
    <w:p w14:paraId="06948733">
      <w:pPr>
        <w:pStyle w:val="26"/>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9）</w:t>
      </w:r>
      <w:r>
        <w:rPr>
          <w:rFonts w:hint="eastAsia" w:cs="宋体"/>
          <w:color w:val="auto"/>
          <w:highlight w:val="none"/>
        </w:rPr>
        <w:t>未实质性响应招标文件要求或者投标文件有招标方不能接受的附加条件的</w:t>
      </w:r>
      <w:r>
        <w:rPr>
          <w:rFonts w:hint="eastAsia" w:cs="宋体"/>
          <w:snapToGrid w:val="0"/>
          <w:color w:val="auto"/>
          <w:highlight w:val="none"/>
        </w:rPr>
        <w:t>；</w:t>
      </w:r>
    </w:p>
    <w:p w14:paraId="5058B780">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（10）不符合本采购文件中的实质性要求条款</w:t>
      </w:r>
    </w:p>
    <w:p w14:paraId="4A9B5E59">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4.在技术评审时，如发现下列情形之一的，投标文件将被视为无效：</w:t>
      </w:r>
    </w:p>
    <w:p w14:paraId="41C951E9">
      <w:pPr>
        <w:pStyle w:val="26"/>
        <w:snapToGrid w:val="0"/>
        <w:spacing w:line="360" w:lineRule="auto"/>
        <w:ind w:firstLine="470" w:firstLineChars="196"/>
        <w:rPr>
          <w:rFonts w:cs="宋体"/>
          <w:color w:val="auto"/>
          <w:highlight w:val="none"/>
        </w:rPr>
      </w:pPr>
      <w:r>
        <w:rPr>
          <w:rFonts w:hint="eastAsia" w:cs="宋体"/>
          <w:color w:val="auto"/>
          <w:highlight w:val="none"/>
        </w:rPr>
        <w:t>（1）投标文件标明的响应或偏离与事实不符或虚假投标的；</w:t>
      </w:r>
    </w:p>
    <w:p w14:paraId="4541EE6E">
      <w:pPr>
        <w:pStyle w:val="26"/>
        <w:snapToGrid w:val="0"/>
        <w:spacing w:line="360" w:lineRule="auto"/>
        <w:ind w:firstLine="470" w:firstLineChars="196"/>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14:paraId="27B1DF56">
      <w:pPr>
        <w:pStyle w:val="26"/>
        <w:snapToGrid w:val="0"/>
        <w:spacing w:line="360" w:lineRule="auto"/>
        <w:ind w:firstLine="470" w:firstLineChars="196"/>
        <w:rPr>
          <w:rFonts w:cs="宋体"/>
          <w:color w:val="auto"/>
          <w:highlight w:val="none"/>
        </w:rPr>
      </w:pPr>
      <w:r>
        <w:rPr>
          <w:rFonts w:hint="eastAsia" w:cs="宋体"/>
          <w:color w:val="auto"/>
          <w:highlight w:val="none"/>
        </w:rPr>
        <w:t>（3）投标技术方案不明确，存在一个或一个以上备选（替代）投标方案的；</w:t>
      </w:r>
    </w:p>
    <w:p w14:paraId="038177B5">
      <w:pPr>
        <w:pStyle w:val="26"/>
        <w:snapToGrid w:val="0"/>
        <w:spacing w:line="360" w:lineRule="auto"/>
        <w:ind w:firstLine="470" w:firstLineChars="196"/>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14:paraId="6D48D197">
      <w:pPr>
        <w:pStyle w:val="26"/>
        <w:wordWrap w:val="0"/>
        <w:overflowPunct w:val="0"/>
        <w:autoSpaceDE w:val="0"/>
        <w:autoSpaceDN w:val="0"/>
        <w:snapToGrid w:val="0"/>
        <w:spacing w:line="360" w:lineRule="auto"/>
        <w:rPr>
          <w:rFonts w:cs="宋体"/>
          <w:color w:val="auto"/>
          <w:highlight w:val="none"/>
        </w:rPr>
      </w:pPr>
      <w:r>
        <w:rPr>
          <w:rFonts w:hint="eastAsia"/>
          <w:color w:val="auto"/>
          <w:highlight w:val="none"/>
        </w:rPr>
        <w:t>（5）不符合本采购文件中的实质性要求条款</w:t>
      </w:r>
      <w:r>
        <w:rPr>
          <w:rFonts w:hint="eastAsia" w:cs="宋体"/>
          <w:color w:val="auto"/>
          <w:highlight w:val="none"/>
        </w:rPr>
        <w:t>；</w:t>
      </w:r>
    </w:p>
    <w:p w14:paraId="1DC57D1C">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5.在报价评审时，如发现下列情形之一的，投标文件将被视为无效：</w:t>
      </w:r>
    </w:p>
    <w:p w14:paraId="173638FE">
      <w:pPr>
        <w:pStyle w:val="26"/>
        <w:snapToGrid w:val="0"/>
        <w:spacing w:line="360" w:lineRule="auto"/>
        <w:rPr>
          <w:color w:val="auto"/>
          <w:highlight w:val="none"/>
        </w:rPr>
      </w:pPr>
      <w:r>
        <w:rPr>
          <w:rFonts w:hint="eastAsia"/>
          <w:color w:val="auto"/>
          <w:highlight w:val="none"/>
        </w:rPr>
        <w:t>（1）未采用人民币报价或者未按照采购文件标明的币种报价的；</w:t>
      </w:r>
    </w:p>
    <w:p w14:paraId="4AC1D8B3">
      <w:pPr>
        <w:pStyle w:val="26"/>
        <w:snapToGrid w:val="0"/>
        <w:spacing w:line="360" w:lineRule="auto"/>
        <w:rPr>
          <w:color w:val="auto"/>
          <w:highlight w:val="none"/>
        </w:rPr>
      </w:pPr>
      <w:r>
        <w:rPr>
          <w:rFonts w:hint="eastAsia"/>
          <w:color w:val="auto"/>
          <w:highlight w:val="none"/>
        </w:rPr>
        <w:t>（2）投标报价具有选择性，或者开标价格与投标文件承诺的优惠（折扣）价格不一致的；</w:t>
      </w:r>
    </w:p>
    <w:p w14:paraId="52425B9F">
      <w:pPr>
        <w:pStyle w:val="26"/>
        <w:snapToGrid w:val="0"/>
        <w:spacing w:line="360" w:lineRule="auto"/>
        <w:rPr>
          <w:color w:val="auto"/>
          <w:highlight w:val="none"/>
        </w:rPr>
      </w:pPr>
      <w:r>
        <w:rPr>
          <w:rFonts w:hint="eastAsia"/>
          <w:color w:val="auto"/>
          <w:highlight w:val="none"/>
        </w:rPr>
        <w:t>（3）报价文件内容与商务、技术文件内容严重不一致，评标委员会无法评审的；</w:t>
      </w:r>
    </w:p>
    <w:p w14:paraId="1BF850DD">
      <w:pPr>
        <w:pStyle w:val="26"/>
        <w:snapToGrid w:val="0"/>
        <w:spacing w:line="360" w:lineRule="auto"/>
        <w:rPr>
          <w:color w:val="auto"/>
          <w:highlight w:val="none"/>
        </w:rPr>
      </w:pPr>
      <w:r>
        <w:rPr>
          <w:rFonts w:hint="eastAsia"/>
          <w:color w:val="auto"/>
          <w:highlight w:val="none"/>
        </w:rPr>
        <w:t>（4）评标委员会认定属投标人自身原因有重大漏项的。</w:t>
      </w:r>
    </w:p>
    <w:p w14:paraId="7282E852">
      <w:pPr>
        <w:pStyle w:val="26"/>
        <w:snapToGrid w:val="0"/>
        <w:spacing w:line="360" w:lineRule="auto"/>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14:paraId="0984C786">
      <w:pPr>
        <w:pStyle w:val="26"/>
        <w:snapToGrid w:val="0"/>
        <w:spacing w:line="360" w:lineRule="auto"/>
        <w:rPr>
          <w:color w:val="auto"/>
          <w:highlight w:val="none"/>
        </w:rPr>
      </w:pPr>
      <w:r>
        <w:rPr>
          <w:rFonts w:hint="eastAsia"/>
          <w:color w:val="auto"/>
          <w:highlight w:val="none"/>
        </w:rPr>
        <w:t>（6）报价超过采购文件中规定的预算金额或者最高限价的。</w:t>
      </w:r>
    </w:p>
    <w:p w14:paraId="5C34E90C">
      <w:pPr>
        <w:pStyle w:val="26"/>
        <w:snapToGrid w:val="0"/>
        <w:spacing w:line="360" w:lineRule="auto"/>
        <w:rPr>
          <w:color w:val="auto"/>
          <w:highlight w:val="none"/>
        </w:rPr>
      </w:pPr>
      <w:r>
        <w:rPr>
          <w:rFonts w:hint="eastAsia"/>
          <w:color w:val="auto"/>
          <w:highlight w:val="none"/>
        </w:rPr>
        <w:t>（7）报价文件无法定代表人或授权代表签字（或盖章）的；</w:t>
      </w:r>
    </w:p>
    <w:p w14:paraId="669C89C2">
      <w:pPr>
        <w:pStyle w:val="26"/>
        <w:snapToGrid w:val="0"/>
        <w:spacing w:line="360" w:lineRule="auto"/>
        <w:rPr>
          <w:color w:val="auto"/>
          <w:highlight w:val="none"/>
        </w:rPr>
      </w:pPr>
      <w:r>
        <w:rPr>
          <w:rFonts w:hint="eastAsia"/>
          <w:color w:val="auto"/>
          <w:highlight w:val="none"/>
        </w:rPr>
        <w:t>（8）报价文件格式不规范、项目不齐全或者内容虚假的；</w:t>
      </w:r>
    </w:p>
    <w:p w14:paraId="54BB6B29">
      <w:pPr>
        <w:pStyle w:val="26"/>
        <w:snapToGrid w:val="0"/>
        <w:spacing w:line="360" w:lineRule="auto"/>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14:paraId="36FDF233">
      <w:pPr>
        <w:pStyle w:val="26"/>
        <w:snapToGrid w:val="0"/>
        <w:spacing w:line="360" w:lineRule="auto"/>
        <w:rPr>
          <w:color w:val="auto"/>
          <w:highlight w:val="none"/>
        </w:rPr>
      </w:pPr>
      <w:r>
        <w:rPr>
          <w:rFonts w:hint="eastAsia"/>
          <w:color w:val="auto"/>
          <w:highlight w:val="none"/>
        </w:rPr>
        <w:t>（10）未实质性响应采购文件要求或者投标文件有采购方不能接受的附加条件的。</w:t>
      </w:r>
    </w:p>
    <w:p w14:paraId="1857C31A">
      <w:pPr>
        <w:pStyle w:val="26"/>
        <w:wordWrap w:val="0"/>
        <w:overflowPunct w:val="0"/>
        <w:autoSpaceDE w:val="0"/>
        <w:autoSpaceDN w:val="0"/>
        <w:snapToGrid w:val="0"/>
        <w:spacing w:line="360" w:lineRule="auto"/>
        <w:rPr>
          <w:rFonts w:cs="宋体"/>
          <w:color w:val="auto"/>
          <w:highlight w:val="none"/>
        </w:rPr>
      </w:pPr>
      <w:r>
        <w:rPr>
          <w:rFonts w:hint="eastAsia"/>
          <w:color w:val="auto"/>
          <w:highlight w:val="none"/>
        </w:rPr>
        <w:t>（11）不符合本采购文件中的实质性要求条款</w:t>
      </w:r>
      <w:r>
        <w:rPr>
          <w:rFonts w:hint="eastAsia" w:cs="宋体"/>
          <w:color w:val="auto"/>
          <w:highlight w:val="none"/>
        </w:rPr>
        <w:t>；</w:t>
      </w:r>
    </w:p>
    <w:p w14:paraId="0B71ED50">
      <w:pPr>
        <w:pStyle w:val="26"/>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6.被拒绝的投标文件为无效；</w:t>
      </w:r>
    </w:p>
    <w:p w14:paraId="2BBA8FAE">
      <w:pPr>
        <w:pStyle w:val="26"/>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7.存在带“▲”条款的负偏离的；</w:t>
      </w:r>
    </w:p>
    <w:p w14:paraId="45A4400D">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8.本招标文件其他部分已规定为无效标的情形；</w:t>
      </w:r>
    </w:p>
    <w:p w14:paraId="17B05709">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9.评标专家认定的其他必须按无效标处理的。</w:t>
      </w:r>
    </w:p>
    <w:p w14:paraId="6EB7071B">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14:paraId="553BE5B2">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1.电子交易平台发生故障而无法登录访问的；</w:t>
      </w:r>
    </w:p>
    <w:p w14:paraId="7FB21707">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2.电子交易平台应用或数据库出现错误，不能进行正常操作的；</w:t>
      </w:r>
    </w:p>
    <w:p w14:paraId="4FBB862B">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3.电子交易平台发现严重安全漏洞，有潜在泄密危险的；</w:t>
      </w:r>
    </w:p>
    <w:p w14:paraId="00B7F1FA">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4.病毒发作导致不能进行正常操作的；</w:t>
      </w:r>
    </w:p>
    <w:p w14:paraId="11CDE882">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5.其他无法保证电子交易的公平、公正和安全的情况。</w:t>
      </w:r>
    </w:p>
    <w:p w14:paraId="3F9BACD1">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6B350EB6">
      <w:pPr>
        <w:pStyle w:val="35"/>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四、开标</w:t>
      </w:r>
    </w:p>
    <w:p w14:paraId="79C5220D">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（一）开标准备</w:t>
      </w:r>
    </w:p>
    <w:p w14:paraId="5FDCC383">
      <w:pPr>
        <w:wordWrap w:val="0"/>
        <w:overflowPunct w:val="0"/>
        <w:autoSpaceDE w:val="0"/>
        <w:autoSpaceDN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14:paraId="48AA1B6F">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 (二) 采购人或者采购代理机构职责</w:t>
      </w:r>
    </w:p>
    <w:p w14:paraId="41CD6CDC">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采购人或者采购代理机构负责组织评标工作，并履行下列职责：</w:t>
      </w:r>
    </w:p>
    <w:p w14:paraId="5EEF12C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14:paraId="21850D2D">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2.宣布评标纪律；</w:t>
      </w:r>
    </w:p>
    <w:p w14:paraId="0E262BA3">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14:paraId="030F911C">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14:paraId="49BE59C1">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14:paraId="7D079079">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14:paraId="41169AEA">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14:paraId="57FC7139">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14:paraId="33710A0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14:paraId="75DBB92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10.处理与评标有关的其他事项。</w:t>
      </w:r>
    </w:p>
    <w:p w14:paraId="603BFD7B">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（三）开标程序</w:t>
      </w:r>
    </w:p>
    <w:p w14:paraId="2CA50C7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14:paraId="7A35A20F">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14:paraId="19DD60C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14:paraId="0501CB01">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14:paraId="4F30D30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4.电子投标文件开标:</w:t>
      </w:r>
    </w:p>
    <w:p w14:paraId="429CE545">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14:paraId="740F240D">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14:paraId="12C2478F">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14:paraId="22ADD41B">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14:paraId="6CBD6336">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14:paraId="1332E5C6">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14:paraId="2300E30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14:paraId="4A27312A">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五、评标</w:t>
      </w:r>
    </w:p>
    <w:p w14:paraId="0E4FDAF5">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14:paraId="5A37534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本项目评标委员会由采购人代表和相关专业专家组成，采购人代表1名，专家评委4名，评标委员会负责具体评标事务，并独立履行下列职责：</w:t>
      </w:r>
    </w:p>
    <w:p w14:paraId="2D93A66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14:paraId="52E7F4A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14:paraId="09324744">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3.对投标文件进行比较和评价；</w:t>
      </w:r>
    </w:p>
    <w:p w14:paraId="36ECD64A">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14:paraId="1C03B72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14:paraId="45EF7103">
      <w:pPr>
        <w:wordWrap w:val="0"/>
        <w:overflowPunct w:val="0"/>
        <w:autoSpaceDE w:val="0"/>
        <w:autoSpaceDN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14:paraId="1E6C1366">
      <w:pPr>
        <w:pStyle w:val="35"/>
        <w:wordWrap w:val="0"/>
        <w:overflowPunct w:val="0"/>
        <w:autoSpaceDE w:val="0"/>
        <w:autoSpaceDN w:val="0"/>
        <w:snapToGrid w:val="0"/>
        <w:spacing w:line="360" w:lineRule="auto"/>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14:paraId="554630AB">
      <w:pPr>
        <w:pStyle w:val="35"/>
        <w:wordWrap w:val="0"/>
        <w:overflowPunct w:val="0"/>
        <w:autoSpaceDE w:val="0"/>
        <w:autoSpaceDN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14:paraId="5BB47FFF">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（三）评标程序</w:t>
      </w:r>
    </w:p>
    <w:p w14:paraId="35763CF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14:paraId="4B3250F6">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1.形式审查</w:t>
      </w:r>
    </w:p>
    <w:p w14:paraId="25CAB070">
      <w:pPr>
        <w:wordWrap w:val="0"/>
        <w:overflowPunct w:val="0"/>
        <w:autoSpaceDE w:val="0"/>
        <w:autoSpaceDN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14:paraId="715AF272">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41A4061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10BE90C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14:paraId="62747F43">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14:paraId="080D8F4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23955AD3">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（4）嘉兴市银建工程咨询评估有限公司工作人员协助评标委员会根据本项目的评分标准计算各投标人的商务报价得分。</w:t>
      </w:r>
    </w:p>
    <w:p w14:paraId="28DEFCD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14:paraId="4F56E794">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（四）澄清问题的形式</w:t>
      </w:r>
    </w:p>
    <w:p w14:paraId="0BCE42FF">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14:paraId="0463F183">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0819663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14:paraId="32A4372B">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14:paraId="59DFD8A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14:paraId="6BAA795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14:paraId="4231850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10AECD2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77DEA14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5FE4715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14:paraId="49F0A236">
      <w:pPr>
        <w:pStyle w:val="35"/>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14:paraId="77D0E10F">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14:paraId="631C67A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5D4D216">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14:paraId="6C3F61B3">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14:paraId="22869136">
      <w:pPr>
        <w:pStyle w:val="35"/>
        <w:wordWrap w:val="0"/>
        <w:overflowPunct w:val="0"/>
        <w:autoSpaceDE w:val="0"/>
        <w:autoSpaceDN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14:paraId="733FBDE8">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六、定标</w:t>
      </w:r>
    </w:p>
    <w:p w14:paraId="6F49DCF3">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确定中标人。本项目由采购人确定中标人。</w:t>
      </w:r>
    </w:p>
    <w:p w14:paraId="6AD36041">
      <w:pPr>
        <w:wordWrap w:val="0"/>
        <w:overflowPunct w:val="0"/>
        <w:autoSpaceDE w:val="0"/>
        <w:autoSpaceDN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采购代理机构应当自评审结束之日起2个工作日内将评审报告送交采购人。采购人应当自收到评审报告之日起5个工作日内在评标报告确定的中标候选人名单中按顺序确定中标人</w:t>
      </w:r>
      <w:r>
        <w:rPr>
          <w:rFonts w:hint="eastAsia" w:ascii="宋体" w:hAnsi="宋体" w:cs="宋体"/>
          <w:color w:val="auto"/>
          <w:sz w:val="24"/>
          <w:highlight w:val="none"/>
          <w:lang w:eastAsia="zh-CN"/>
        </w:rPr>
        <w:t>。</w:t>
      </w:r>
    </w:p>
    <w:p w14:paraId="58EFAC32">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14:paraId="39763B3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采购人或者采购代理机构应当自中标供应商确定之日起2个工作日内，发出中标通知书，并在省级以上人民政府财政部门指定的媒体上公告中标结果。</w:t>
      </w:r>
    </w:p>
    <w:p w14:paraId="0C36D694">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七、合同授予</w:t>
      </w:r>
    </w:p>
    <w:p w14:paraId="7DD00C71">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（一）签订合同</w:t>
      </w:r>
    </w:p>
    <w:p w14:paraId="23CEB29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1.采购人与中标人应当在《中标通知书》发出之日起30日内签订政府采购合同。同时，采购代理机构对合同内容进行审查，如发现与采购结果和投标承诺内容不一致的，将予以纠正。</w:t>
      </w:r>
    </w:p>
    <w:p w14:paraId="128C952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2.中标人拖延、拒签合同的,将被列入不良行为记录或黑名单，由此产生的一切不利后果由中标人自行承担。</w:t>
      </w:r>
    </w:p>
    <w:p w14:paraId="73B1450A">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（二）履约保证金</w:t>
      </w:r>
    </w:p>
    <w:p w14:paraId="26BEE67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1.中标人应按照与采购人约定的履约保证金金额，向采购人交纳履约保证金，否则，由此产生的一切不利后果由中标人自行承担。</w:t>
      </w:r>
    </w:p>
    <w:p w14:paraId="283D74E0">
      <w:pPr>
        <w:pStyle w:val="35"/>
        <w:snapToGrid w:val="0"/>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2.签订合同后，如中标人不按双方合同约定履约，则没收其全部履约保证金，履约保证金不足以赔偿损失的，按实际损失赔偿</w:t>
      </w:r>
    </w:p>
    <w:p w14:paraId="3EE1C273">
      <w:pPr>
        <w:pStyle w:val="3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八、终止招标</w:t>
      </w:r>
    </w:p>
    <w:p w14:paraId="17FDB174">
      <w:pPr>
        <w:pStyle w:val="35"/>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0" w:name="_Toc2572"/>
    </w:p>
    <w:p w14:paraId="4DE8F9EA">
      <w:pPr>
        <w:pStyle w:val="3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九、招标代理费</w:t>
      </w:r>
    </w:p>
    <w:bookmarkEnd w:id="14"/>
    <w:bookmarkEnd w:id="20"/>
    <w:p w14:paraId="282731E5">
      <w:pPr>
        <w:tabs>
          <w:tab w:val="left" w:pos="1862"/>
        </w:tabs>
        <w:snapToGrid w:val="0"/>
        <w:spacing w:line="360" w:lineRule="auto"/>
        <w:jc w:val="left"/>
        <w:rPr>
          <w:rFonts w:hint="eastAsia" w:ascii="宋体" w:hAnsi="宋体"/>
          <w:color w:val="auto"/>
          <w:sz w:val="24"/>
          <w:highlight w:val="none"/>
        </w:rPr>
      </w:pPr>
      <w:bookmarkStart w:id="21" w:name="_Hlt74707468"/>
      <w:bookmarkEnd w:id="21"/>
      <w:bookmarkStart w:id="22" w:name="_Hlt74730295"/>
      <w:bookmarkEnd w:id="22"/>
      <w:bookmarkStart w:id="23" w:name="_Hlt74729768"/>
      <w:bookmarkEnd w:id="23"/>
      <w:bookmarkStart w:id="24" w:name="_Hlt68072990"/>
      <w:bookmarkEnd w:id="24"/>
      <w:bookmarkStart w:id="25" w:name="_Hlt68072998"/>
      <w:bookmarkEnd w:id="25"/>
      <w:bookmarkStart w:id="26" w:name="_Hlt68073093"/>
      <w:bookmarkEnd w:id="26"/>
      <w:bookmarkStart w:id="27" w:name="_Hlt74714665"/>
      <w:bookmarkEnd w:id="27"/>
      <w:bookmarkStart w:id="28" w:name="_Hlt68403820"/>
      <w:bookmarkEnd w:id="28"/>
      <w:bookmarkStart w:id="29" w:name="_Hlt75236101"/>
      <w:bookmarkEnd w:id="29"/>
      <w:bookmarkStart w:id="30" w:name="_Hlt68057669"/>
      <w:bookmarkEnd w:id="30"/>
      <w:bookmarkStart w:id="31" w:name="_Hlt75236290"/>
      <w:bookmarkEnd w:id="31"/>
      <w:bookmarkStart w:id="32" w:name="_Hlt75236011"/>
      <w:bookmarkEnd w:id="32"/>
      <w:r>
        <w:rPr>
          <w:rFonts w:hint="eastAsia" w:ascii="宋体" w:hAnsi="宋体"/>
          <w:color w:val="auto"/>
          <w:sz w:val="24"/>
          <w:highlight w:val="none"/>
          <w:lang w:val="en-US" w:eastAsia="zh-CN"/>
        </w:rPr>
        <w:t>1、</w:t>
      </w:r>
      <w:r>
        <w:rPr>
          <w:rFonts w:hint="eastAsia" w:ascii="宋体" w:hAnsi="宋体"/>
          <w:color w:val="auto"/>
          <w:sz w:val="24"/>
          <w:highlight w:val="none"/>
        </w:rPr>
        <w:t>本项目招标代理费由中标单位在领取中标通知书前支付给招标代理机构，招标代理费共</w:t>
      </w:r>
      <w:r>
        <w:rPr>
          <w:rFonts w:hint="eastAsia" w:ascii="宋体" w:hAnsi="宋体"/>
          <w:color w:val="auto"/>
          <w:sz w:val="24"/>
          <w:highlight w:val="none"/>
          <w:lang w:val="en-US" w:eastAsia="zh-CN"/>
        </w:rPr>
        <w:t>13000</w:t>
      </w:r>
      <w:r>
        <w:rPr>
          <w:rFonts w:hint="eastAsia" w:ascii="宋体" w:hAnsi="宋体"/>
          <w:color w:val="auto"/>
          <w:sz w:val="24"/>
          <w:highlight w:val="none"/>
        </w:rPr>
        <w:t>元整；</w:t>
      </w:r>
    </w:p>
    <w:p w14:paraId="590CA5CC">
      <w:pPr>
        <w:tabs>
          <w:tab w:val="left" w:pos="1862"/>
        </w:tabs>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2、服务费支付方式：一次性以银行划账、电汇、汇票或支票的形式支付；</w:t>
      </w:r>
    </w:p>
    <w:p w14:paraId="33119FEC">
      <w:pPr>
        <w:tabs>
          <w:tab w:val="left" w:pos="1862"/>
        </w:tabs>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3、服务费以银行划账方式按下列要求提交：</w:t>
      </w:r>
    </w:p>
    <w:p w14:paraId="7892752F">
      <w:pPr>
        <w:tabs>
          <w:tab w:val="left" w:pos="1862"/>
        </w:tabs>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户名：嘉兴市银建工程咨询评估有限公司嘉善大云分公司</w:t>
      </w:r>
    </w:p>
    <w:p w14:paraId="5FF7110F">
      <w:pPr>
        <w:tabs>
          <w:tab w:val="left" w:pos="1862"/>
        </w:tabs>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开户行：嘉兴银行股份有限公司长三角一体化示范区（浙江嘉善）支行</w:t>
      </w:r>
    </w:p>
    <w:p w14:paraId="2EEAE2B3">
      <w:pPr>
        <w:tabs>
          <w:tab w:val="left" w:pos="1862"/>
        </w:tabs>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账号：8010000013852</w:t>
      </w:r>
    </w:p>
    <w:p w14:paraId="574987EC">
      <w:pPr>
        <w:tabs>
          <w:tab w:val="left" w:pos="1862"/>
        </w:tabs>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4、服务费支付时间：服务费必须在中标人领取《中标通知书》前一次性付清，如果中标人未能按时交纳服务费，招标代理机构/</w:t>
      </w:r>
      <w:r>
        <w:rPr>
          <w:rFonts w:hint="eastAsia" w:ascii="宋体" w:hAnsi="宋体"/>
          <w:color w:val="auto"/>
          <w:sz w:val="24"/>
          <w:highlight w:val="none"/>
          <w:lang w:eastAsia="zh-CN"/>
        </w:rPr>
        <w:t>采购人</w:t>
      </w:r>
      <w:r>
        <w:rPr>
          <w:rFonts w:hint="eastAsia" w:ascii="宋体" w:hAnsi="宋体"/>
          <w:color w:val="auto"/>
          <w:sz w:val="24"/>
          <w:highlight w:val="none"/>
        </w:rPr>
        <w:t>有权取消其中标资格。</w:t>
      </w:r>
    </w:p>
    <w:p w14:paraId="114B2797">
      <w:pPr>
        <w:keepNext w:val="0"/>
        <w:keepLines w:val="0"/>
        <w:pageBreakBefore w:val="0"/>
        <w:tabs>
          <w:tab w:val="left" w:pos="0"/>
        </w:tabs>
        <w:kinsoku/>
        <w:wordWrap/>
        <w:overflowPunct/>
        <w:topLinePunct w:val="0"/>
        <w:autoSpaceDE/>
        <w:autoSpaceDN/>
        <w:bidi w:val="0"/>
        <w:adjustRightInd w:val="0"/>
        <w:spacing w:line="312" w:lineRule="auto"/>
        <w:rPr>
          <w:rFonts w:ascii="仿宋_GB2312" w:hAnsi="仿宋" w:eastAsia="仿宋_GB2312" w:cs="Helvetica"/>
          <w:color w:val="auto"/>
          <w:kern w:val="0"/>
          <w:sz w:val="24"/>
          <w:highlight w:val="none"/>
        </w:rPr>
        <w:sectPr>
          <w:pgSz w:w="11906" w:h="16838"/>
          <w:pgMar w:top="680" w:right="1418" w:bottom="468" w:left="1418" w:header="851" w:footer="992" w:gutter="0"/>
          <w:pgNumType w:fmt="decimal"/>
          <w:cols w:space="720" w:num="1"/>
          <w:titlePg/>
          <w:docGrid w:linePitch="312" w:charSpace="0"/>
        </w:sectPr>
      </w:pPr>
    </w:p>
    <w:bookmarkEnd w:id="15"/>
    <w:bookmarkEnd w:id="16"/>
    <w:p w14:paraId="1604F8DA">
      <w:pPr>
        <w:snapToGrid w:val="0"/>
        <w:spacing w:line="360" w:lineRule="auto"/>
        <w:jc w:val="center"/>
        <w:rPr>
          <w:rFonts w:ascii="仿宋" w:hAnsi="仿宋" w:eastAsia="仿宋" w:cs="仿宋_GB2312"/>
          <w:b/>
          <w:color w:val="auto"/>
          <w:sz w:val="36"/>
          <w:szCs w:val="36"/>
          <w:highlight w:val="none"/>
        </w:rPr>
      </w:pPr>
      <w:bookmarkStart w:id="33" w:name="第四部分"/>
      <w:r>
        <w:rPr>
          <w:rFonts w:hint="eastAsia" w:ascii="仿宋" w:hAnsi="仿宋" w:eastAsia="仿宋" w:cs="仿宋_GB2312"/>
          <w:b/>
          <w:color w:val="auto"/>
          <w:sz w:val="36"/>
          <w:szCs w:val="36"/>
          <w:highlight w:val="none"/>
        </w:rPr>
        <w:t>第四章 评标办法及评分标准</w:t>
      </w:r>
    </w:p>
    <w:bookmarkEnd w:id="33"/>
    <w:p w14:paraId="2F114E2C">
      <w:pPr>
        <w:spacing w:line="480" w:lineRule="exact"/>
        <w:ind w:firstLine="420"/>
        <w:rPr>
          <w:rFonts w:ascii="宋体" w:hAnsi="宋体" w:cs="宋体"/>
          <w:color w:val="auto"/>
          <w:sz w:val="24"/>
          <w:highlight w:val="none"/>
        </w:rPr>
      </w:pPr>
      <w:bookmarkStart w:id="34"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7A26BC28">
      <w:pPr>
        <w:pStyle w:val="36"/>
        <w:spacing w:line="480" w:lineRule="exact"/>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嘉善县妇幼保健院收费等岗位服务项目</w:t>
      </w:r>
      <w:r>
        <w:rPr>
          <w:rFonts w:hint="eastAsia" w:ascii="宋体" w:hAnsi="宋体" w:cs="宋体"/>
          <w:color w:val="auto"/>
          <w:sz w:val="24"/>
          <w:highlight w:val="none"/>
        </w:rPr>
        <w:t>的评标。</w:t>
      </w:r>
    </w:p>
    <w:p w14:paraId="48FDFCD7">
      <w:pPr>
        <w:spacing w:line="480" w:lineRule="exact"/>
        <w:rPr>
          <w:rFonts w:ascii="宋体" w:hAnsi="宋体" w:cs="宋体"/>
          <w:b/>
          <w:color w:val="auto"/>
          <w:sz w:val="24"/>
          <w:highlight w:val="none"/>
        </w:rPr>
      </w:pPr>
      <w:r>
        <w:rPr>
          <w:rFonts w:hint="eastAsia" w:ascii="宋体" w:hAnsi="宋体" w:cs="宋体"/>
          <w:b/>
          <w:color w:val="auto"/>
          <w:sz w:val="24"/>
          <w:highlight w:val="none"/>
        </w:rPr>
        <w:t>一 、总则</w:t>
      </w:r>
    </w:p>
    <w:p w14:paraId="1A38ADD5">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本次评标采用综合评分法，总分为100分，其中价格分</w:t>
      </w:r>
      <w:r>
        <w:rPr>
          <w:rFonts w:hint="eastAsia" w:ascii="宋体" w:hAnsi="宋体"/>
          <w:color w:val="auto"/>
          <w:sz w:val="24"/>
          <w:highlight w:val="none"/>
          <w:lang w:val="en-US" w:eastAsia="zh-CN"/>
        </w:rPr>
        <w:t>10</w:t>
      </w:r>
      <w:r>
        <w:rPr>
          <w:rFonts w:hint="eastAsia" w:ascii="宋体" w:hAnsi="宋体"/>
          <w:color w:val="auto"/>
          <w:sz w:val="24"/>
          <w:highlight w:val="none"/>
        </w:rPr>
        <w:t>分、商务技术</w:t>
      </w:r>
      <w:r>
        <w:rPr>
          <w:rFonts w:hint="eastAsia" w:ascii="宋体" w:hAnsi="宋体"/>
          <w:color w:val="auto"/>
          <w:sz w:val="24"/>
          <w:highlight w:val="none"/>
          <w:lang w:val="en-US" w:eastAsia="zh-CN"/>
        </w:rPr>
        <w:t>90</w:t>
      </w:r>
      <w:r>
        <w:rPr>
          <w:rFonts w:hint="eastAsia" w:ascii="宋体" w:hAnsi="宋体"/>
          <w:color w:val="auto"/>
          <w:sz w:val="24"/>
          <w:highlight w:val="none"/>
        </w:rPr>
        <w:t>分（其中：商务资信分</w:t>
      </w:r>
      <w:r>
        <w:rPr>
          <w:rFonts w:hint="eastAsia" w:ascii="宋体" w:hAnsi="宋体"/>
          <w:color w:val="auto"/>
          <w:sz w:val="24"/>
          <w:highlight w:val="none"/>
          <w:lang w:val="en-US" w:eastAsia="zh-CN"/>
        </w:rPr>
        <w:t>3</w:t>
      </w:r>
      <w:r>
        <w:rPr>
          <w:rFonts w:hint="eastAsia" w:ascii="宋体" w:hAnsi="宋体"/>
          <w:color w:val="auto"/>
          <w:sz w:val="24"/>
          <w:highlight w:val="none"/>
        </w:rPr>
        <w:t>分，技术分</w:t>
      </w:r>
      <w:r>
        <w:rPr>
          <w:rFonts w:hint="eastAsia" w:ascii="宋体" w:hAnsi="宋体"/>
          <w:color w:val="auto"/>
          <w:sz w:val="24"/>
          <w:highlight w:val="none"/>
          <w:lang w:val="en-US" w:eastAsia="zh-CN"/>
        </w:rPr>
        <w:t>87</w:t>
      </w:r>
      <w:r>
        <w:rPr>
          <w:rFonts w:hint="eastAsia" w:ascii="宋体" w:hAnsi="宋体"/>
          <w:color w:val="auto"/>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并保留小数 2 位。中标人拒绝与采购人签订合同的，采购人可以按照评审报告推荐的中标候选人名单顺序，确定下一候选人为中标人，也可以重新开展政府采购活动。</w:t>
      </w:r>
    </w:p>
    <w:p w14:paraId="416EA075">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投标人评标综合得分=价格分+商务技术分</w:t>
      </w:r>
    </w:p>
    <w:p w14:paraId="03504282">
      <w:pPr>
        <w:spacing w:line="480" w:lineRule="exact"/>
        <w:rPr>
          <w:rFonts w:ascii="宋体" w:hAnsi="宋体"/>
          <w:b/>
          <w:color w:val="auto"/>
          <w:sz w:val="24"/>
          <w:highlight w:val="none"/>
        </w:rPr>
      </w:pPr>
      <w:r>
        <w:rPr>
          <w:rFonts w:hint="eastAsia" w:ascii="宋体" w:hAnsi="宋体"/>
          <w:b/>
          <w:color w:val="auto"/>
          <w:sz w:val="24"/>
          <w:highlight w:val="none"/>
        </w:rPr>
        <w:t>二、评标内容及标准</w:t>
      </w:r>
    </w:p>
    <w:p w14:paraId="65937C49">
      <w:pPr>
        <w:pStyle w:val="26"/>
        <w:ind w:firstLine="482"/>
        <w:rPr>
          <w:b/>
          <w:bCs/>
          <w:color w:val="auto"/>
          <w:highlight w:val="none"/>
        </w:rPr>
      </w:pPr>
      <w:r>
        <w:rPr>
          <w:b/>
          <w:color w:val="auto"/>
          <w:highlight w:val="none"/>
        </w:rPr>
        <w:t>（一）</w:t>
      </w:r>
      <w:r>
        <w:rPr>
          <w:b/>
          <w:bCs/>
          <w:color w:val="auto"/>
          <w:highlight w:val="none"/>
        </w:rPr>
        <w:t>价格分（</w:t>
      </w:r>
      <w:r>
        <w:rPr>
          <w:rFonts w:hint="eastAsia"/>
          <w:b/>
          <w:bCs/>
          <w:color w:val="auto"/>
          <w:highlight w:val="none"/>
          <w:lang w:val="en-US" w:eastAsia="zh-CN"/>
        </w:rPr>
        <w:t>10</w:t>
      </w:r>
      <w:r>
        <w:rPr>
          <w:rFonts w:hint="eastAsia"/>
          <w:b/>
          <w:bCs/>
          <w:color w:val="auto"/>
          <w:highlight w:val="none"/>
        </w:rPr>
        <w:t>分）</w:t>
      </w:r>
    </w:p>
    <w:p w14:paraId="01207037">
      <w:pPr>
        <w:pStyle w:val="26"/>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14:paraId="398C630E">
      <w:pPr>
        <w:spacing w:line="480" w:lineRule="exact"/>
        <w:ind w:firstLine="480" w:firstLineChars="200"/>
        <w:rPr>
          <w:rFonts w:hAnsi="宋体"/>
          <w:bCs/>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10</w:t>
      </w:r>
      <w:r>
        <w:rPr>
          <w:rFonts w:hint="eastAsia" w:ascii="宋体" w:hAnsi="宋体"/>
          <w:color w:val="auto"/>
          <w:sz w:val="24"/>
          <w:highlight w:val="none"/>
        </w:rPr>
        <w:t>%×100</w:t>
      </w:r>
    </w:p>
    <w:p w14:paraId="08ABAE32">
      <w:pPr>
        <w:spacing w:line="480" w:lineRule="exact"/>
        <w:ind w:firstLine="480" w:firstLineChars="200"/>
        <w:rPr>
          <w:rFonts w:hAnsi="宋体"/>
          <w:bCs/>
          <w:color w:val="auto"/>
          <w:sz w:val="24"/>
          <w:highlight w:val="none"/>
        </w:rPr>
      </w:pPr>
      <w:r>
        <w:rPr>
          <w:rFonts w:hint="eastAsia" w:hAnsi="宋体"/>
          <w:b w:val="0"/>
          <w:bCs/>
          <w:color w:val="auto"/>
          <w:sz w:val="24"/>
          <w:highlight w:val="none"/>
        </w:rPr>
        <w:t>2.</w:t>
      </w:r>
      <w:r>
        <w:rPr>
          <w:rFonts w:hint="eastAsia" w:hAnsi="宋体"/>
          <w:bCs/>
          <w:color w:val="auto"/>
          <w:sz w:val="24"/>
          <w:highlight w:val="none"/>
        </w:rPr>
        <w:t>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07CEAC">
      <w:pPr>
        <w:pStyle w:val="26"/>
        <w:spacing w:before="120" w:beforeLines="50" w:after="120" w:afterLines="50" w:line="360" w:lineRule="auto"/>
        <w:ind w:firstLine="482"/>
        <w:rPr>
          <w:rFonts w:cs="宋体"/>
          <w:b/>
          <w:color w:val="auto"/>
          <w:highlight w:val="none"/>
        </w:rPr>
      </w:pPr>
      <w:r>
        <w:rPr>
          <w:rFonts w:hint="eastAsia" w:cs="宋体"/>
          <w:b/>
          <w:color w:val="auto"/>
          <w:highlight w:val="none"/>
        </w:rPr>
        <w:t>（二）商务资信分（</w:t>
      </w:r>
      <w:r>
        <w:rPr>
          <w:rFonts w:hint="eastAsia" w:cs="宋体"/>
          <w:b/>
          <w:color w:val="auto"/>
          <w:highlight w:val="none"/>
          <w:lang w:val="en-US" w:eastAsia="zh-CN"/>
        </w:rPr>
        <w:t>3</w:t>
      </w:r>
      <w:r>
        <w:rPr>
          <w:rFonts w:hint="eastAsia" w:cs="宋体"/>
          <w:b/>
          <w:color w:val="auto"/>
          <w:highlight w:val="none"/>
        </w:rPr>
        <w:t>分）</w:t>
      </w:r>
    </w:p>
    <w:tbl>
      <w:tblPr>
        <w:tblStyle w:val="65"/>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25"/>
        <w:gridCol w:w="6862"/>
        <w:gridCol w:w="927"/>
      </w:tblGrid>
      <w:tr w14:paraId="3970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52" w:type="dxa"/>
            <w:vMerge w:val="restart"/>
            <w:vAlign w:val="center"/>
          </w:tcPr>
          <w:p w14:paraId="1F9F7B35">
            <w:pPr>
              <w:widowControl/>
              <w:snapToGrid w:val="0"/>
              <w:jc w:val="center"/>
              <w:rPr>
                <w:rFonts w:ascii="宋体" w:hAnsi="宋体" w:cs="宋体"/>
                <w:bCs/>
                <w:color w:val="auto"/>
                <w:sz w:val="22"/>
                <w:szCs w:val="22"/>
                <w:highlight w:val="none"/>
              </w:rPr>
            </w:pPr>
            <w:r>
              <w:rPr>
                <w:rFonts w:hint="eastAsia" w:ascii="宋体" w:hAnsi="宋体" w:cs="宋体"/>
                <w:bCs/>
                <w:color w:val="auto"/>
                <w:sz w:val="22"/>
                <w:szCs w:val="22"/>
                <w:highlight w:val="none"/>
              </w:rPr>
              <w:t>资信</w:t>
            </w:r>
            <w:r>
              <w:rPr>
                <w:rFonts w:hint="eastAsia" w:ascii="宋体" w:hAnsi="宋体" w:cs="宋体"/>
                <w:color w:val="auto"/>
                <w:sz w:val="22"/>
                <w:szCs w:val="22"/>
                <w:highlight w:val="none"/>
              </w:rPr>
              <w:t>商务</w:t>
            </w:r>
          </w:p>
          <w:p w14:paraId="1EB99571">
            <w:pPr>
              <w:widowControl/>
              <w:snapToGrid w:val="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p w14:paraId="38636E86">
            <w:pPr>
              <w:widowControl/>
              <w:snapToGrid w:val="0"/>
              <w:jc w:val="center"/>
              <w:rPr>
                <w:rFonts w:ascii="宋体" w:hAnsi="宋体" w:cs="宋体"/>
                <w:bCs/>
                <w:color w:val="auto"/>
                <w:sz w:val="22"/>
                <w:szCs w:val="22"/>
                <w:highlight w:val="none"/>
              </w:rPr>
            </w:pPr>
            <w:r>
              <w:rPr>
                <w:rFonts w:hint="eastAsia" w:ascii="宋体" w:hAnsi="宋体" w:cs="宋体"/>
                <w:color w:val="auto"/>
                <w:sz w:val="22"/>
                <w:szCs w:val="22"/>
                <w:highlight w:val="none"/>
              </w:rPr>
              <w:t>分</w:t>
            </w:r>
          </w:p>
        </w:tc>
        <w:tc>
          <w:tcPr>
            <w:tcW w:w="925" w:type="dxa"/>
            <w:vAlign w:val="center"/>
          </w:tcPr>
          <w:p w14:paraId="60C678DB">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同类业绩</w:t>
            </w:r>
          </w:p>
        </w:tc>
        <w:tc>
          <w:tcPr>
            <w:tcW w:w="6862" w:type="dxa"/>
            <w:vAlign w:val="center"/>
          </w:tcPr>
          <w:p w14:paraId="58A6902F">
            <w:pPr>
              <w:snapToGrid w:val="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投标人</w:t>
            </w:r>
            <w:r>
              <w:rPr>
                <w:rFonts w:hint="eastAsia" w:ascii="宋体" w:hAnsi="宋体" w:cs="宋体"/>
                <w:color w:val="auto"/>
                <w:kern w:val="0"/>
                <w:sz w:val="22"/>
                <w:szCs w:val="22"/>
                <w:highlight w:val="none"/>
              </w:rPr>
              <w:t>近三年（自投标截止日起往前追</w:t>
            </w:r>
            <w:r>
              <w:rPr>
                <w:rFonts w:hint="eastAsia" w:ascii="宋体" w:hAnsi="宋体" w:eastAsia="宋体" w:cs="宋体"/>
                <w:color w:val="auto"/>
                <w:kern w:val="0"/>
                <w:sz w:val="22"/>
                <w:szCs w:val="22"/>
                <w:highlight w:val="none"/>
              </w:rPr>
              <w:t>溯3年，以合同签订时间为准）以来具有同类项目业绩的，每提供一份得</w:t>
            </w:r>
            <w:r>
              <w:rPr>
                <w:rFonts w:hint="eastAsia" w:ascii="宋体" w:hAnsi="宋体" w:eastAsia="宋体" w:cs="宋体"/>
                <w:color w:val="auto"/>
                <w:kern w:val="0"/>
                <w:sz w:val="22"/>
                <w:szCs w:val="22"/>
                <w:highlight w:val="none"/>
                <w:lang w:val="en-US" w:eastAsia="zh-CN"/>
              </w:rPr>
              <w:t>0.5</w:t>
            </w:r>
            <w:r>
              <w:rPr>
                <w:rFonts w:hint="eastAsia" w:ascii="宋体" w:hAnsi="宋体" w:eastAsia="宋体" w:cs="宋体"/>
                <w:color w:val="auto"/>
                <w:kern w:val="0"/>
                <w:sz w:val="22"/>
                <w:szCs w:val="22"/>
                <w:highlight w:val="none"/>
              </w:rPr>
              <w:t>分，最高得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分；（提供合同原件扫描件</w:t>
            </w:r>
            <w:r>
              <w:rPr>
                <w:rFonts w:hint="eastAsia" w:ascii="宋体" w:hAnsi="宋体" w:eastAsia="宋体" w:cs="宋体"/>
                <w:color w:val="auto"/>
                <w:kern w:val="0"/>
                <w:sz w:val="22"/>
                <w:szCs w:val="22"/>
                <w:highlight w:val="none"/>
                <w:lang w:eastAsia="zh-CN"/>
              </w:rPr>
              <w:t>或复印件并加盖公章</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CN"/>
              </w:rPr>
              <w:t>要求清晰可辨，</w:t>
            </w:r>
            <w:r>
              <w:rPr>
                <w:rFonts w:hint="eastAsia" w:ascii="宋体" w:hAnsi="宋体" w:eastAsia="宋体" w:cs="宋体"/>
                <w:color w:val="auto"/>
                <w:kern w:val="0"/>
                <w:sz w:val="22"/>
                <w:szCs w:val="22"/>
                <w:highlight w:val="none"/>
              </w:rPr>
              <w:t>否则不得分）</w:t>
            </w:r>
          </w:p>
        </w:tc>
        <w:tc>
          <w:tcPr>
            <w:tcW w:w="927" w:type="dxa"/>
            <w:vAlign w:val="center"/>
          </w:tcPr>
          <w:p w14:paraId="4E628E4C">
            <w:pPr>
              <w:snapToGrid w:val="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1分</w:t>
            </w:r>
          </w:p>
        </w:tc>
      </w:tr>
      <w:tr w14:paraId="7121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52" w:type="dxa"/>
            <w:vMerge w:val="continue"/>
            <w:vAlign w:val="center"/>
          </w:tcPr>
          <w:p w14:paraId="071EAFD0">
            <w:pPr>
              <w:widowControl/>
              <w:snapToGrid w:val="0"/>
              <w:jc w:val="center"/>
              <w:rPr>
                <w:rFonts w:ascii="宋体" w:hAnsi="宋体" w:cs="宋体"/>
                <w:bCs/>
                <w:color w:val="auto"/>
                <w:sz w:val="22"/>
                <w:szCs w:val="22"/>
                <w:highlight w:val="none"/>
              </w:rPr>
            </w:pPr>
          </w:p>
        </w:tc>
        <w:tc>
          <w:tcPr>
            <w:tcW w:w="925" w:type="dxa"/>
            <w:vAlign w:val="center"/>
          </w:tcPr>
          <w:p w14:paraId="143D648E">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优惠条件</w:t>
            </w:r>
          </w:p>
        </w:tc>
        <w:tc>
          <w:tcPr>
            <w:tcW w:w="6862" w:type="dxa"/>
            <w:vAlign w:val="center"/>
          </w:tcPr>
          <w:p w14:paraId="4559523F">
            <w:pPr>
              <w:snapToGrid w:val="0"/>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本次投标单位对最终用户的实质性优惠条件（以投标</w:t>
            </w:r>
            <w:r>
              <w:rPr>
                <w:rFonts w:hint="eastAsia" w:ascii="宋体" w:hAnsi="宋体" w:cs="宋体"/>
                <w:color w:val="auto"/>
                <w:kern w:val="0"/>
                <w:sz w:val="22"/>
                <w:szCs w:val="22"/>
                <w:highlight w:val="none"/>
                <w:lang w:eastAsia="zh-CN"/>
              </w:rPr>
              <w:t>文件</w:t>
            </w:r>
            <w:r>
              <w:rPr>
                <w:rFonts w:hint="eastAsia" w:ascii="宋体" w:hAnsi="宋体" w:cs="宋体"/>
                <w:color w:val="auto"/>
                <w:kern w:val="0"/>
                <w:sz w:val="22"/>
                <w:szCs w:val="22"/>
                <w:highlight w:val="none"/>
              </w:rPr>
              <w:t>内文字明确为准），</w:t>
            </w:r>
            <w:r>
              <w:rPr>
                <w:rStyle w:val="971"/>
                <w:rFonts w:hint="eastAsia" w:ascii="宋体" w:hAnsi="宋体"/>
                <w:color w:val="auto"/>
                <w:kern w:val="0"/>
                <w:sz w:val="22"/>
                <w:szCs w:val="22"/>
                <w:highlight w:val="none"/>
              </w:rPr>
              <w:t>得到专家认可且有实际意义的，</w:t>
            </w:r>
            <w:r>
              <w:rPr>
                <w:rFonts w:hint="eastAsia" w:ascii="宋体" w:hAnsi="宋体" w:cs="宋体"/>
                <w:color w:val="auto"/>
                <w:kern w:val="0"/>
                <w:sz w:val="22"/>
                <w:szCs w:val="22"/>
                <w:highlight w:val="none"/>
              </w:rPr>
              <w:t>每有1条得</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本项最多得2分</w:t>
            </w:r>
            <w:r>
              <w:rPr>
                <w:rStyle w:val="971"/>
                <w:rFonts w:hint="eastAsia" w:ascii="宋体" w:hAnsi="宋体"/>
                <w:color w:val="auto"/>
                <w:kern w:val="0"/>
                <w:sz w:val="22"/>
                <w:szCs w:val="22"/>
                <w:highlight w:val="none"/>
              </w:rPr>
              <w:t>（应与本项目相关）</w:t>
            </w:r>
          </w:p>
        </w:tc>
        <w:tc>
          <w:tcPr>
            <w:tcW w:w="927" w:type="dxa"/>
            <w:vAlign w:val="center"/>
          </w:tcPr>
          <w:p w14:paraId="326CBB83">
            <w:pPr>
              <w:snapToGrid w:val="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2分</w:t>
            </w:r>
          </w:p>
        </w:tc>
      </w:tr>
    </w:tbl>
    <w:p w14:paraId="4FFE4B42">
      <w:pPr>
        <w:pStyle w:val="63"/>
        <w:ind w:left="0" w:leftChars="0" w:firstLine="0" w:firstLineChars="0"/>
        <w:rPr>
          <w:color w:val="auto"/>
          <w:highlight w:val="none"/>
        </w:rPr>
      </w:pPr>
    </w:p>
    <w:p w14:paraId="79759A29">
      <w:pPr>
        <w:snapToGrid w:val="0"/>
        <w:spacing w:before="72" w:beforeLines="30" w:line="400" w:lineRule="exact"/>
        <w:jc w:val="left"/>
        <w:outlineLvl w:val="1"/>
        <w:rPr>
          <w:rFonts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87</w:t>
      </w:r>
      <w:r>
        <w:rPr>
          <w:rFonts w:hint="eastAsia" w:ascii="宋体" w:hAnsi="宋体" w:cs="宋体"/>
          <w:b/>
          <w:color w:val="auto"/>
          <w:sz w:val="24"/>
          <w:highlight w:val="none"/>
        </w:rPr>
        <w:t>分）</w:t>
      </w:r>
    </w:p>
    <w:tbl>
      <w:tblPr>
        <w:tblStyle w:val="65"/>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12"/>
        <w:gridCol w:w="6888"/>
        <w:gridCol w:w="914"/>
      </w:tblGrid>
      <w:tr w14:paraId="3AF4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Merge w:val="restart"/>
            <w:vAlign w:val="center"/>
          </w:tcPr>
          <w:p w14:paraId="4FC7158B">
            <w:pPr>
              <w:snapToGri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技术</w:t>
            </w:r>
            <w:r>
              <w:rPr>
                <w:rFonts w:hint="eastAsia" w:ascii="宋体" w:hAnsi="宋体" w:cs="宋体"/>
                <w:color w:val="auto"/>
                <w:kern w:val="0"/>
                <w:sz w:val="22"/>
                <w:szCs w:val="22"/>
                <w:highlight w:val="none"/>
                <w:lang w:val="en-US" w:eastAsia="zh-CN"/>
              </w:rPr>
              <w:t>87</w:t>
            </w:r>
            <w:r>
              <w:rPr>
                <w:rFonts w:hint="eastAsia" w:ascii="宋体" w:hAnsi="宋体" w:eastAsia="宋体" w:cs="宋体"/>
                <w:color w:val="auto"/>
                <w:kern w:val="0"/>
                <w:sz w:val="22"/>
                <w:szCs w:val="22"/>
                <w:highlight w:val="none"/>
              </w:rPr>
              <w:t>分</w:t>
            </w:r>
          </w:p>
        </w:tc>
        <w:tc>
          <w:tcPr>
            <w:tcW w:w="912" w:type="dxa"/>
            <w:vAlign w:val="center"/>
          </w:tcPr>
          <w:p w14:paraId="6297EF75">
            <w:pPr>
              <w:widowControl/>
              <w:spacing w:line="320" w:lineRule="exact"/>
              <w:jc w:val="center"/>
              <w:textAlignment w:val="center"/>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总体服务方案</w:t>
            </w:r>
          </w:p>
        </w:tc>
        <w:tc>
          <w:tcPr>
            <w:tcW w:w="6888" w:type="dxa"/>
            <w:vAlign w:val="center"/>
          </w:tcPr>
          <w:p w14:paraId="3BE5A36A">
            <w:pPr>
              <w:jc w:val="left"/>
              <w:rPr>
                <w:rFonts w:hint="default" w:ascii="宋体" w:hAnsi="宋体" w:cs="宋体" w:eastAsiaTheme="minorEastAsia"/>
                <w:color w:val="auto"/>
                <w:kern w:val="0"/>
                <w:sz w:val="22"/>
                <w:szCs w:val="22"/>
                <w:highlight w:val="none"/>
                <w:lang w:val="en-US" w:eastAsia="zh-CN"/>
              </w:rPr>
            </w:pPr>
            <w:r>
              <w:rPr>
                <w:rFonts w:hint="default" w:ascii="宋体" w:hAnsi="宋体" w:cs="宋体" w:eastAsiaTheme="minorEastAsia"/>
                <w:color w:val="auto"/>
                <w:kern w:val="0"/>
                <w:sz w:val="22"/>
                <w:szCs w:val="22"/>
                <w:highlight w:val="none"/>
                <w:lang w:val="en-US" w:eastAsia="zh-CN"/>
              </w:rPr>
              <w:t>总体服务方案完整，无缺漏项，充分考虑用户需求，方案具备高度针对性及可行性得</w:t>
            </w:r>
            <w:r>
              <w:rPr>
                <w:rFonts w:hint="eastAsia" w:ascii="宋体" w:hAnsi="宋体" w:cs="宋体" w:eastAsiaTheme="minorEastAsia"/>
                <w:color w:val="auto"/>
                <w:kern w:val="0"/>
                <w:sz w:val="22"/>
                <w:szCs w:val="22"/>
                <w:highlight w:val="none"/>
                <w:lang w:val="en-US" w:eastAsia="zh-CN"/>
              </w:rPr>
              <w:t>10</w:t>
            </w:r>
            <w:r>
              <w:rPr>
                <w:rFonts w:hint="default" w:ascii="宋体" w:hAnsi="宋体" w:cs="宋体" w:eastAsiaTheme="minorEastAsia"/>
                <w:color w:val="auto"/>
                <w:kern w:val="0"/>
                <w:sz w:val="22"/>
                <w:szCs w:val="22"/>
                <w:highlight w:val="none"/>
                <w:lang w:val="en-US" w:eastAsia="zh-CN"/>
              </w:rPr>
              <w:t>分；总体服务方案较详细全面，充分考虑用户需求，方案具有一定的针对性及可行性较可行性，能够满足采购需求得</w:t>
            </w:r>
            <w:r>
              <w:rPr>
                <w:rFonts w:hint="eastAsia" w:ascii="宋体" w:hAnsi="宋体" w:cs="宋体" w:eastAsiaTheme="minorEastAsia"/>
                <w:color w:val="auto"/>
                <w:kern w:val="0"/>
                <w:sz w:val="22"/>
                <w:szCs w:val="22"/>
                <w:highlight w:val="none"/>
                <w:lang w:val="en-US" w:eastAsia="zh-CN"/>
              </w:rPr>
              <w:t>9</w:t>
            </w:r>
            <w:r>
              <w:rPr>
                <w:rFonts w:hint="default" w:ascii="宋体" w:hAnsi="宋体" w:cs="宋体" w:eastAsiaTheme="minorEastAsia"/>
                <w:color w:val="auto"/>
                <w:kern w:val="0"/>
                <w:sz w:val="22"/>
                <w:szCs w:val="22"/>
                <w:highlight w:val="none"/>
                <w:lang w:val="en-US" w:eastAsia="zh-CN"/>
              </w:rPr>
              <w:t>分；总体服务方案比较完整，方案具有一定的针对性及可行性，基本能满足采购需求得</w:t>
            </w:r>
            <w:r>
              <w:rPr>
                <w:rFonts w:hint="eastAsia" w:ascii="宋体" w:hAnsi="宋体" w:cs="宋体" w:eastAsiaTheme="minorEastAsia"/>
                <w:color w:val="auto"/>
                <w:kern w:val="0"/>
                <w:sz w:val="22"/>
                <w:szCs w:val="22"/>
                <w:highlight w:val="none"/>
                <w:lang w:val="en-US" w:eastAsia="zh-CN"/>
              </w:rPr>
              <w:t>8</w:t>
            </w:r>
            <w:r>
              <w:rPr>
                <w:rFonts w:hint="default" w:ascii="宋体" w:hAnsi="宋体" w:cs="宋体" w:eastAsiaTheme="minorEastAsia"/>
                <w:color w:val="auto"/>
                <w:kern w:val="0"/>
                <w:sz w:val="22"/>
                <w:szCs w:val="22"/>
                <w:highlight w:val="none"/>
                <w:lang w:val="en-US" w:eastAsia="zh-CN"/>
              </w:rPr>
              <w:t>分；总体服务方案不够完整，有缺漏项，针对性不强，不能完全满足采购需求得</w:t>
            </w:r>
            <w:r>
              <w:rPr>
                <w:rFonts w:hint="eastAsia" w:ascii="宋体" w:hAnsi="宋体" w:cs="宋体" w:eastAsiaTheme="minorEastAsia"/>
                <w:color w:val="auto"/>
                <w:kern w:val="0"/>
                <w:sz w:val="22"/>
                <w:szCs w:val="22"/>
                <w:highlight w:val="none"/>
                <w:lang w:val="en-US" w:eastAsia="zh-CN"/>
              </w:rPr>
              <w:t>7</w:t>
            </w:r>
            <w:r>
              <w:rPr>
                <w:rFonts w:hint="default" w:ascii="宋体" w:hAnsi="宋体" w:cs="宋体" w:eastAsiaTheme="minorEastAsia"/>
                <w:color w:val="auto"/>
                <w:kern w:val="0"/>
                <w:sz w:val="22"/>
                <w:szCs w:val="22"/>
                <w:highlight w:val="none"/>
                <w:lang w:val="en-US" w:eastAsia="zh-CN"/>
              </w:rPr>
              <w:t>分；总体服务方案有瑕疵，存在较多不满足采购需求得</w:t>
            </w:r>
            <w:r>
              <w:rPr>
                <w:rFonts w:hint="eastAsia" w:ascii="宋体" w:hAnsi="宋体" w:cs="宋体" w:eastAsiaTheme="minorEastAsia"/>
                <w:color w:val="auto"/>
                <w:kern w:val="0"/>
                <w:sz w:val="22"/>
                <w:szCs w:val="22"/>
                <w:highlight w:val="none"/>
                <w:lang w:val="en-US" w:eastAsia="zh-CN"/>
              </w:rPr>
              <w:t>6</w:t>
            </w:r>
            <w:r>
              <w:rPr>
                <w:rFonts w:hint="default" w:ascii="宋体" w:hAnsi="宋体" w:cs="宋体" w:eastAsiaTheme="minorEastAsia"/>
                <w:color w:val="auto"/>
                <w:kern w:val="0"/>
                <w:sz w:val="22"/>
                <w:szCs w:val="22"/>
                <w:highlight w:val="none"/>
                <w:lang w:val="en-US" w:eastAsia="zh-CN"/>
              </w:rPr>
              <w:t>分；未提供方案不得分</w:t>
            </w:r>
          </w:p>
        </w:tc>
        <w:tc>
          <w:tcPr>
            <w:tcW w:w="914" w:type="dxa"/>
            <w:vAlign w:val="center"/>
          </w:tcPr>
          <w:p w14:paraId="4BB82A2D">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10分</w:t>
            </w:r>
          </w:p>
        </w:tc>
      </w:tr>
      <w:tr w14:paraId="7F9A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52" w:type="dxa"/>
            <w:vMerge w:val="continue"/>
            <w:vAlign w:val="center"/>
          </w:tcPr>
          <w:p w14:paraId="71C07BDE">
            <w:pPr>
              <w:snapToGrid w:val="0"/>
              <w:jc w:val="center"/>
              <w:rPr>
                <w:rFonts w:hint="eastAsia" w:ascii="宋体" w:hAnsi="宋体" w:eastAsia="宋体" w:cs="宋体"/>
                <w:color w:val="auto"/>
                <w:kern w:val="0"/>
                <w:sz w:val="22"/>
                <w:szCs w:val="22"/>
                <w:highlight w:val="none"/>
              </w:rPr>
            </w:pPr>
          </w:p>
        </w:tc>
        <w:tc>
          <w:tcPr>
            <w:tcW w:w="912" w:type="dxa"/>
            <w:vAlign w:val="center"/>
          </w:tcPr>
          <w:p w14:paraId="770F1B1F">
            <w:pPr>
              <w:widowControl/>
              <w:spacing w:line="320" w:lineRule="exact"/>
              <w:jc w:val="center"/>
              <w:textAlignment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本项目重点、难点分析</w:t>
            </w:r>
          </w:p>
        </w:tc>
        <w:tc>
          <w:tcPr>
            <w:tcW w:w="6888" w:type="dxa"/>
            <w:vAlign w:val="center"/>
          </w:tcPr>
          <w:p w14:paraId="382108D4">
            <w:pPr>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投标人对项目现状、存在的问题和服务的难点、要点等问题进行调查剖析，评委根据投标人的提出克服难点和要点技术措施进行给分，技术重点、难点分析到位，应对措施合理可行的得</w:t>
            </w:r>
            <w:r>
              <w:rPr>
                <w:rFonts w:hint="eastAsia" w:ascii="宋体" w:hAnsi="宋体" w:cs="宋体"/>
                <w:bCs/>
                <w:color w:val="auto"/>
                <w:sz w:val="22"/>
                <w:szCs w:val="22"/>
                <w:highlight w:val="none"/>
                <w:lang w:val="en-US" w:eastAsia="zh-CN"/>
              </w:rPr>
              <w:t>10</w:t>
            </w:r>
            <w:r>
              <w:rPr>
                <w:rFonts w:hint="eastAsia" w:ascii="宋体" w:hAnsi="宋体" w:eastAsia="宋体" w:cs="宋体"/>
                <w:bCs/>
                <w:color w:val="auto"/>
                <w:sz w:val="22"/>
                <w:szCs w:val="22"/>
                <w:highlight w:val="none"/>
                <w:lang w:val="en-US" w:eastAsia="zh-CN"/>
              </w:rPr>
              <w:t>分；技术重点、难点分析较到位，应对措施较合理可行的得</w:t>
            </w:r>
            <w:r>
              <w:rPr>
                <w:rFonts w:hint="eastAsia" w:ascii="宋体" w:hAnsi="宋体" w:cs="宋体"/>
                <w:bCs/>
                <w:color w:val="auto"/>
                <w:sz w:val="22"/>
                <w:szCs w:val="22"/>
                <w:highlight w:val="none"/>
                <w:lang w:val="en-US" w:eastAsia="zh-CN"/>
              </w:rPr>
              <w:t>9</w:t>
            </w:r>
            <w:r>
              <w:rPr>
                <w:rFonts w:hint="eastAsia" w:ascii="宋体" w:hAnsi="宋体" w:eastAsia="宋体" w:cs="宋体"/>
                <w:bCs/>
                <w:color w:val="auto"/>
                <w:sz w:val="22"/>
                <w:szCs w:val="22"/>
                <w:highlight w:val="none"/>
                <w:lang w:val="en-US" w:eastAsia="zh-CN"/>
              </w:rPr>
              <w:t>分；技术重点、难点分析一般，应对措施较有欠缺的得</w:t>
            </w:r>
            <w:r>
              <w:rPr>
                <w:rFonts w:hint="eastAsia" w:ascii="宋体" w:hAnsi="宋体" w:cs="宋体"/>
                <w:bCs/>
                <w:color w:val="auto"/>
                <w:sz w:val="22"/>
                <w:szCs w:val="22"/>
                <w:highlight w:val="none"/>
                <w:lang w:val="en-US" w:eastAsia="zh-CN"/>
              </w:rPr>
              <w:t>8</w:t>
            </w:r>
            <w:r>
              <w:rPr>
                <w:rFonts w:hint="eastAsia" w:ascii="宋体" w:hAnsi="宋体" w:eastAsia="宋体" w:cs="宋体"/>
                <w:bCs/>
                <w:color w:val="auto"/>
                <w:sz w:val="22"/>
                <w:szCs w:val="22"/>
                <w:highlight w:val="none"/>
                <w:lang w:val="en-US" w:eastAsia="zh-CN"/>
              </w:rPr>
              <w:t>分；技术重点、难点分析一般，应对措施匹配性差的得</w:t>
            </w:r>
            <w:r>
              <w:rPr>
                <w:rFonts w:hint="eastAsia" w:ascii="宋体" w:hAnsi="宋体" w:cs="宋体"/>
                <w:bCs/>
                <w:color w:val="auto"/>
                <w:sz w:val="22"/>
                <w:szCs w:val="22"/>
                <w:highlight w:val="none"/>
                <w:lang w:val="en-US" w:eastAsia="zh-CN"/>
              </w:rPr>
              <w:t>7</w:t>
            </w:r>
            <w:r>
              <w:rPr>
                <w:rFonts w:hint="eastAsia" w:ascii="宋体" w:hAnsi="宋体" w:eastAsia="宋体" w:cs="宋体"/>
                <w:bCs/>
                <w:color w:val="auto"/>
                <w:sz w:val="22"/>
                <w:szCs w:val="22"/>
                <w:highlight w:val="none"/>
                <w:lang w:val="en-US" w:eastAsia="zh-CN"/>
              </w:rPr>
              <w:t>分；技术重点、难点分析针对性差，应对措施匹配性差的得</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eastAsia="zh-CN"/>
              </w:rPr>
              <w:t>分；方案内容缺失严重或与项目不匹配的不得分</w:t>
            </w:r>
          </w:p>
        </w:tc>
        <w:tc>
          <w:tcPr>
            <w:tcW w:w="914" w:type="dxa"/>
            <w:vAlign w:val="center"/>
          </w:tcPr>
          <w:p w14:paraId="03A2CD56">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10分</w:t>
            </w:r>
          </w:p>
        </w:tc>
      </w:tr>
      <w:tr w14:paraId="587B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52" w:type="dxa"/>
            <w:vMerge w:val="continue"/>
            <w:vAlign w:val="center"/>
          </w:tcPr>
          <w:p w14:paraId="4ADDD757">
            <w:pPr>
              <w:snapToGrid w:val="0"/>
              <w:jc w:val="center"/>
              <w:rPr>
                <w:rFonts w:hint="eastAsia" w:ascii="宋体" w:hAnsi="宋体" w:eastAsia="宋体" w:cs="宋体"/>
                <w:color w:val="auto"/>
                <w:kern w:val="0"/>
                <w:sz w:val="22"/>
                <w:szCs w:val="22"/>
                <w:highlight w:val="none"/>
              </w:rPr>
            </w:pPr>
          </w:p>
        </w:tc>
        <w:tc>
          <w:tcPr>
            <w:tcW w:w="912" w:type="dxa"/>
            <w:vAlign w:val="center"/>
          </w:tcPr>
          <w:p w14:paraId="5EDDB7B8">
            <w:pPr>
              <w:widowControl/>
              <w:spacing w:line="320" w:lineRule="exact"/>
              <w:jc w:val="center"/>
              <w:textAlignment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项目实施方案</w:t>
            </w:r>
          </w:p>
        </w:tc>
        <w:tc>
          <w:tcPr>
            <w:tcW w:w="6888" w:type="dxa"/>
            <w:vAlign w:val="center"/>
          </w:tcPr>
          <w:p w14:paraId="762CB776">
            <w:pPr>
              <w:jc w:val="left"/>
              <w:rPr>
                <w:rFonts w:hint="eastAsia"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lang w:val="en-US"/>
              </w:rPr>
              <w:t>根据项目实施方案（包括服务内容、工作流程、详细的服务标准及实施方案等）的内容的完整性、方案的可行性以及重点是否突出进行评审。方案考虑周全、内容全面可行、重点突出的得</w:t>
            </w:r>
            <w:r>
              <w:rPr>
                <w:rFonts w:hint="eastAsia" w:ascii="宋体" w:hAnsi="宋体" w:cs="宋体"/>
                <w:bCs/>
                <w:color w:val="auto"/>
                <w:sz w:val="22"/>
                <w:szCs w:val="22"/>
                <w:highlight w:val="none"/>
                <w:lang w:val="en-US" w:eastAsia="zh-CN"/>
              </w:rPr>
              <w:t>10</w:t>
            </w:r>
            <w:r>
              <w:rPr>
                <w:rFonts w:hint="eastAsia" w:ascii="宋体" w:hAnsi="宋体" w:eastAsia="宋体" w:cs="宋体"/>
                <w:bCs/>
                <w:color w:val="auto"/>
                <w:sz w:val="22"/>
                <w:szCs w:val="22"/>
                <w:highlight w:val="none"/>
                <w:lang w:val="en-US"/>
              </w:rPr>
              <w:t>分；方案合理、可行得</w:t>
            </w:r>
            <w:r>
              <w:rPr>
                <w:rFonts w:hint="eastAsia" w:ascii="宋体" w:hAnsi="宋体" w:cs="宋体"/>
                <w:bCs/>
                <w:color w:val="auto"/>
                <w:sz w:val="22"/>
                <w:szCs w:val="22"/>
                <w:highlight w:val="none"/>
                <w:lang w:val="en-US" w:eastAsia="zh-CN"/>
              </w:rPr>
              <w:t>9</w:t>
            </w:r>
            <w:r>
              <w:rPr>
                <w:rFonts w:hint="eastAsia" w:ascii="宋体" w:hAnsi="宋体" w:eastAsia="宋体" w:cs="宋体"/>
                <w:bCs/>
                <w:color w:val="auto"/>
                <w:sz w:val="22"/>
                <w:szCs w:val="22"/>
                <w:highlight w:val="none"/>
                <w:lang w:val="en-US"/>
              </w:rPr>
              <w:t>分；方案基本合理得</w:t>
            </w:r>
            <w:r>
              <w:rPr>
                <w:rFonts w:hint="eastAsia" w:ascii="宋体" w:hAnsi="宋体" w:cs="宋体"/>
                <w:bCs/>
                <w:color w:val="auto"/>
                <w:sz w:val="22"/>
                <w:szCs w:val="22"/>
                <w:highlight w:val="none"/>
                <w:lang w:val="en-US" w:eastAsia="zh-CN"/>
              </w:rPr>
              <w:t>8</w:t>
            </w:r>
            <w:r>
              <w:rPr>
                <w:rFonts w:hint="eastAsia" w:ascii="宋体" w:hAnsi="宋体" w:eastAsia="宋体" w:cs="宋体"/>
                <w:bCs/>
                <w:color w:val="auto"/>
                <w:sz w:val="22"/>
                <w:szCs w:val="22"/>
                <w:highlight w:val="none"/>
                <w:lang w:val="en-US"/>
              </w:rPr>
              <w:t>分；方案描述笼统不清晰得</w:t>
            </w:r>
            <w:r>
              <w:rPr>
                <w:rFonts w:hint="eastAsia" w:ascii="宋体" w:hAnsi="宋体" w:cs="宋体"/>
                <w:bCs/>
                <w:color w:val="auto"/>
                <w:sz w:val="22"/>
                <w:szCs w:val="22"/>
                <w:highlight w:val="none"/>
                <w:lang w:val="en-US" w:eastAsia="zh-CN"/>
              </w:rPr>
              <w:t>7</w:t>
            </w:r>
            <w:r>
              <w:rPr>
                <w:rFonts w:hint="eastAsia" w:ascii="宋体" w:hAnsi="宋体" w:eastAsia="宋体" w:cs="宋体"/>
                <w:bCs/>
                <w:color w:val="auto"/>
                <w:sz w:val="22"/>
                <w:szCs w:val="22"/>
                <w:highlight w:val="none"/>
                <w:lang w:val="en-US"/>
              </w:rPr>
              <w:t>分；方案内容不全得</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rPr>
              <w:t>分；未提供方案不得分</w:t>
            </w:r>
          </w:p>
        </w:tc>
        <w:tc>
          <w:tcPr>
            <w:tcW w:w="914" w:type="dxa"/>
            <w:vAlign w:val="center"/>
          </w:tcPr>
          <w:p w14:paraId="02260AF1">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10分</w:t>
            </w:r>
          </w:p>
        </w:tc>
      </w:tr>
      <w:tr w14:paraId="78F3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2" w:type="dxa"/>
            <w:vMerge w:val="continue"/>
            <w:vAlign w:val="center"/>
          </w:tcPr>
          <w:p w14:paraId="5E7702EF">
            <w:pPr>
              <w:snapToGrid w:val="0"/>
              <w:jc w:val="center"/>
              <w:rPr>
                <w:rFonts w:hint="eastAsia" w:ascii="宋体" w:hAnsi="宋体" w:eastAsia="宋体" w:cs="宋体"/>
                <w:color w:val="auto"/>
                <w:kern w:val="0"/>
                <w:sz w:val="22"/>
                <w:szCs w:val="22"/>
                <w:highlight w:val="none"/>
              </w:rPr>
            </w:pPr>
          </w:p>
        </w:tc>
        <w:tc>
          <w:tcPr>
            <w:tcW w:w="912" w:type="dxa"/>
            <w:vAlign w:val="center"/>
          </w:tcPr>
          <w:p w14:paraId="08EFE106">
            <w:pPr>
              <w:widowControl/>
              <w:spacing w:line="320" w:lineRule="exact"/>
              <w:jc w:val="center"/>
              <w:textAlignment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管理制度</w:t>
            </w:r>
          </w:p>
        </w:tc>
        <w:tc>
          <w:tcPr>
            <w:tcW w:w="6888" w:type="dxa"/>
            <w:vAlign w:val="center"/>
          </w:tcPr>
          <w:p w14:paraId="40D5376D">
            <w:pPr>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投标人具备完善的企业管理制度的得</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分、工作人员管理制度的得</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分、岗位职责分工明确的得</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分、具备质量考核办法的得</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分，投标文件未体现相关内容的不得分</w:t>
            </w:r>
          </w:p>
        </w:tc>
        <w:tc>
          <w:tcPr>
            <w:tcW w:w="914" w:type="dxa"/>
            <w:vAlign w:val="center"/>
          </w:tcPr>
          <w:p w14:paraId="167BBE08">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8分</w:t>
            </w:r>
          </w:p>
        </w:tc>
      </w:tr>
      <w:tr w14:paraId="539D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52" w:type="dxa"/>
            <w:vMerge w:val="continue"/>
            <w:vAlign w:val="center"/>
          </w:tcPr>
          <w:p w14:paraId="49BADA7E">
            <w:pPr>
              <w:snapToGrid w:val="0"/>
              <w:jc w:val="center"/>
              <w:rPr>
                <w:rFonts w:hint="eastAsia" w:ascii="宋体" w:hAnsi="宋体" w:eastAsia="宋体" w:cs="宋体"/>
                <w:color w:val="auto"/>
                <w:kern w:val="0"/>
                <w:sz w:val="22"/>
                <w:szCs w:val="22"/>
                <w:highlight w:val="none"/>
              </w:rPr>
            </w:pPr>
          </w:p>
        </w:tc>
        <w:tc>
          <w:tcPr>
            <w:tcW w:w="912" w:type="dxa"/>
            <w:vAlign w:val="center"/>
          </w:tcPr>
          <w:p w14:paraId="6C5786E2">
            <w:pPr>
              <w:widowControl/>
              <w:spacing w:line="320" w:lineRule="exact"/>
              <w:jc w:val="center"/>
              <w:textAlignment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投诉处理方案</w:t>
            </w:r>
          </w:p>
        </w:tc>
        <w:tc>
          <w:tcPr>
            <w:tcW w:w="6888" w:type="dxa"/>
            <w:vAlign w:val="center"/>
          </w:tcPr>
          <w:p w14:paraId="6DBF17A6">
            <w:pPr>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根据投诉处理方案内容的完整性、方案的可行性以及重点是否突出进行评审。方案考虑周全、内容全面可行、重点突出的得</w:t>
            </w:r>
            <w:r>
              <w:rPr>
                <w:rFonts w:hint="eastAsia" w:ascii="宋体" w:hAnsi="宋体" w:cs="宋体"/>
                <w:bCs/>
                <w:color w:val="auto"/>
                <w:sz w:val="22"/>
                <w:szCs w:val="22"/>
                <w:highlight w:val="none"/>
                <w:lang w:val="en-US" w:eastAsia="zh-CN"/>
              </w:rPr>
              <w:t>8</w:t>
            </w:r>
            <w:r>
              <w:rPr>
                <w:rFonts w:hint="eastAsia" w:ascii="宋体" w:hAnsi="宋体" w:eastAsia="宋体" w:cs="宋体"/>
                <w:bCs/>
                <w:color w:val="auto"/>
                <w:sz w:val="22"/>
                <w:szCs w:val="22"/>
                <w:highlight w:val="none"/>
                <w:lang w:val="en-US" w:eastAsia="zh-CN"/>
              </w:rPr>
              <w:t>分；方案合理、可行得</w:t>
            </w:r>
            <w:r>
              <w:rPr>
                <w:rFonts w:hint="eastAsia" w:ascii="宋体" w:hAnsi="宋体" w:cs="宋体"/>
                <w:bCs/>
                <w:color w:val="auto"/>
                <w:sz w:val="22"/>
                <w:szCs w:val="22"/>
                <w:highlight w:val="none"/>
                <w:lang w:val="en-US" w:eastAsia="zh-CN"/>
              </w:rPr>
              <w:t>7</w:t>
            </w:r>
            <w:r>
              <w:rPr>
                <w:rFonts w:hint="eastAsia" w:ascii="宋体" w:hAnsi="宋体" w:eastAsia="宋体" w:cs="宋体"/>
                <w:bCs/>
                <w:color w:val="auto"/>
                <w:sz w:val="22"/>
                <w:szCs w:val="22"/>
                <w:highlight w:val="none"/>
                <w:lang w:val="en-US" w:eastAsia="zh-CN"/>
              </w:rPr>
              <w:t>分</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lang w:val="en-US" w:eastAsia="zh-CN"/>
              </w:rPr>
              <w:t>方案描述笼统不清晰得</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eastAsia="zh-CN"/>
              </w:rPr>
              <w:t>分；方案内容不全得</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分；未提供方案不得分</w:t>
            </w:r>
          </w:p>
        </w:tc>
        <w:tc>
          <w:tcPr>
            <w:tcW w:w="914" w:type="dxa"/>
            <w:vAlign w:val="center"/>
          </w:tcPr>
          <w:p w14:paraId="6C0175CA">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8分</w:t>
            </w:r>
          </w:p>
        </w:tc>
      </w:tr>
      <w:tr w14:paraId="354A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52" w:type="dxa"/>
            <w:vMerge w:val="continue"/>
            <w:vAlign w:val="center"/>
          </w:tcPr>
          <w:p w14:paraId="3F207085">
            <w:pPr>
              <w:snapToGrid w:val="0"/>
              <w:jc w:val="center"/>
              <w:rPr>
                <w:rFonts w:hint="eastAsia" w:ascii="宋体" w:hAnsi="宋体" w:eastAsia="宋体" w:cs="宋体"/>
                <w:color w:val="auto"/>
                <w:kern w:val="0"/>
                <w:sz w:val="22"/>
                <w:szCs w:val="22"/>
                <w:highlight w:val="none"/>
              </w:rPr>
            </w:pPr>
          </w:p>
        </w:tc>
        <w:tc>
          <w:tcPr>
            <w:tcW w:w="912" w:type="dxa"/>
            <w:vAlign w:val="center"/>
          </w:tcPr>
          <w:p w14:paraId="6784EB2F">
            <w:pPr>
              <w:widowControl/>
              <w:spacing w:line="320" w:lineRule="exact"/>
              <w:jc w:val="center"/>
              <w:textAlignment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培训方案</w:t>
            </w:r>
          </w:p>
        </w:tc>
        <w:tc>
          <w:tcPr>
            <w:tcW w:w="6888" w:type="dxa"/>
            <w:vAlign w:val="center"/>
          </w:tcPr>
          <w:p w14:paraId="4798A0EA">
            <w:pPr>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根据投标人提供的培训方案（包括但不限于培训计划、培训对象、培训内容）内容的完整性、时间的合理性及人员安排的可行性进行评审。培训内容完整、培训时间合理、人员安排可行的得</w:t>
            </w:r>
            <w:r>
              <w:rPr>
                <w:rFonts w:hint="eastAsia" w:ascii="宋体" w:hAnsi="宋体" w:cs="宋体"/>
                <w:bCs/>
                <w:color w:val="auto"/>
                <w:sz w:val="22"/>
                <w:szCs w:val="22"/>
                <w:highlight w:val="none"/>
                <w:lang w:val="en-US" w:eastAsia="zh-CN"/>
              </w:rPr>
              <w:t>7</w:t>
            </w:r>
            <w:r>
              <w:rPr>
                <w:rFonts w:hint="eastAsia" w:ascii="宋体" w:hAnsi="宋体" w:eastAsia="宋体" w:cs="宋体"/>
                <w:bCs/>
                <w:color w:val="auto"/>
                <w:sz w:val="22"/>
                <w:szCs w:val="22"/>
                <w:highlight w:val="none"/>
                <w:lang w:val="en-US" w:eastAsia="zh-CN"/>
              </w:rPr>
              <w:t>分；培训内容较完整、培训时间较合理、人员安排较可行得</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eastAsia="zh-CN"/>
              </w:rPr>
              <w:t>分；培训方案安排笼统不清晰</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lang w:val="en-US" w:eastAsia="zh-CN"/>
              </w:rPr>
              <w:t>内容不全得</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分；未提供方案不得分</w:t>
            </w:r>
          </w:p>
        </w:tc>
        <w:tc>
          <w:tcPr>
            <w:tcW w:w="914" w:type="dxa"/>
            <w:vAlign w:val="center"/>
          </w:tcPr>
          <w:p w14:paraId="2CCE851B">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7分</w:t>
            </w:r>
          </w:p>
        </w:tc>
      </w:tr>
      <w:tr w14:paraId="6821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652" w:type="dxa"/>
            <w:vMerge w:val="continue"/>
            <w:vAlign w:val="center"/>
          </w:tcPr>
          <w:p w14:paraId="1D68EB04">
            <w:pPr>
              <w:snapToGrid w:val="0"/>
              <w:jc w:val="center"/>
              <w:rPr>
                <w:rFonts w:hint="eastAsia" w:ascii="宋体" w:hAnsi="宋体" w:eastAsia="宋体" w:cs="宋体"/>
                <w:color w:val="auto"/>
                <w:kern w:val="0"/>
                <w:sz w:val="22"/>
                <w:szCs w:val="22"/>
                <w:highlight w:val="none"/>
              </w:rPr>
            </w:pPr>
          </w:p>
        </w:tc>
        <w:tc>
          <w:tcPr>
            <w:tcW w:w="912" w:type="dxa"/>
            <w:vAlign w:val="center"/>
          </w:tcPr>
          <w:p w14:paraId="284606F6">
            <w:pPr>
              <w:spacing w:line="32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稳定员工队伍</w:t>
            </w:r>
            <w:r>
              <w:rPr>
                <w:rFonts w:hint="eastAsia" w:ascii="宋体" w:hAnsi="宋体" w:cs="宋体"/>
                <w:color w:val="auto"/>
                <w:kern w:val="0"/>
                <w:sz w:val="22"/>
                <w:szCs w:val="22"/>
                <w:highlight w:val="none"/>
                <w:lang w:val="zh-CN"/>
              </w:rPr>
              <w:t>方案</w:t>
            </w:r>
          </w:p>
        </w:tc>
        <w:tc>
          <w:tcPr>
            <w:tcW w:w="6888" w:type="dxa"/>
            <w:vAlign w:val="center"/>
          </w:tcPr>
          <w:p w14:paraId="1D8A955D">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根据投标人稳定员工队伍解决方案（提升员工福利待遇方案和激励方案）进行评审。方案考虑周全、内容全面可行、重点突出的得</w:t>
            </w:r>
            <w:r>
              <w:rPr>
                <w:rFonts w:hint="eastAsia" w:ascii="宋体" w:hAnsi="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rPr>
              <w:t>分；方案合理、可行得</w:t>
            </w:r>
            <w:r>
              <w:rPr>
                <w:rFonts w:hint="eastAsia" w:ascii="宋体" w:hAnsi="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分；方案基本合理得</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分；方案描述笼统不清晰</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内容不全得</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分；未提供方案不得分。</w:t>
            </w:r>
          </w:p>
        </w:tc>
        <w:tc>
          <w:tcPr>
            <w:tcW w:w="914" w:type="dxa"/>
            <w:vAlign w:val="center"/>
          </w:tcPr>
          <w:p w14:paraId="03841614">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8分</w:t>
            </w:r>
          </w:p>
        </w:tc>
      </w:tr>
      <w:tr w14:paraId="437B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652" w:type="dxa"/>
            <w:vMerge w:val="continue"/>
            <w:vAlign w:val="center"/>
          </w:tcPr>
          <w:p w14:paraId="34790B1C">
            <w:pPr>
              <w:snapToGrid w:val="0"/>
              <w:jc w:val="center"/>
              <w:rPr>
                <w:rFonts w:hint="eastAsia" w:ascii="宋体" w:hAnsi="宋体" w:eastAsia="宋体" w:cs="宋体"/>
                <w:color w:val="auto"/>
                <w:kern w:val="0"/>
                <w:sz w:val="22"/>
                <w:szCs w:val="22"/>
                <w:highlight w:val="none"/>
              </w:rPr>
            </w:pPr>
          </w:p>
        </w:tc>
        <w:tc>
          <w:tcPr>
            <w:tcW w:w="912" w:type="dxa"/>
            <w:vAlign w:val="center"/>
          </w:tcPr>
          <w:p w14:paraId="2911D2D9">
            <w:pPr>
              <w:autoSpaceDE w:val="0"/>
              <w:autoSpaceDN w:val="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投入本项目人员</w:t>
            </w:r>
          </w:p>
        </w:tc>
        <w:tc>
          <w:tcPr>
            <w:tcW w:w="6888" w:type="dxa"/>
            <w:vAlign w:val="center"/>
          </w:tcPr>
          <w:p w14:paraId="3A8D642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根据投标人拟派项目人员配备方案进行打分，包括①实施人员数量是否充足、②专业素质及技术能力、③是否具有类似工作经验等情况、④配置是否合理。人员配备方案合理性、针对性强的得</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分；人员配备方案合理性、针对性较强的得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分；人员配备方案合理性、针对性一般的得</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分。</w:t>
            </w:r>
          </w:p>
        </w:tc>
        <w:tc>
          <w:tcPr>
            <w:tcW w:w="914" w:type="dxa"/>
            <w:vAlign w:val="center"/>
          </w:tcPr>
          <w:p w14:paraId="4213E710">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10分</w:t>
            </w:r>
          </w:p>
        </w:tc>
      </w:tr>
      <w:tr w14:paraId="37AF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52" w:type="dxa"/>
            <w:vMerge w:val="continue"/>
            <w:vAlign w:val="center"/>
          </w:tcPr>
          <w:p w14:paraId="32A54ADD">
            <w:pPr>
              <w:snapToGrid w:val="0"/>
              <w:jc w:val="center"/>
              <w:rPr>
                <w:rFonts w:hint="eastAsia" w:ascii="宋体" w:hAnsi="宋体" w:eastAsia="宋体" w:cs="宋体"/>
                <w:color w:val="auto"/>
                <w:kern w:val="0"/>
                <w:sz w:val="22"/>
                <w:szCs w:val="22"/>
                <w:highlight w:val="none"/>
              </w:rPr>
            </w:pPr>
          </w:p>
        </w:tc>
        <w:tc>
          <w:tcPr>
            <w:tcW w:w="912" w:type="dxa"/>
            <w:vAlign w:val="center"/>
          </w:tcPr>
          <w:p w14:paraId="0EF03B5B">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处理过劳资纠纷</w:t>
            </w:r>
          </w:p>
        </w:tc>
        <w:tc>
          <w:tcPr>
            <w:tcW w:w="6888" w:type="dxa"/>
            <w:vAlign w:val="center"/>
          </w:tcPr>
          <w:p w14:paraId="55C7062F">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根据投标人处理劳资纠纷防范措施进行评审。措施考虑周全、内容全面可行、重点突出的得</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分；措施合理、可行得</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分；措施基本合理得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分；措施笼统不清晰</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内容不全得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分；未提供方案不得分</w:t>
            </w:r>
          </w:p>
        </w:tc>
        <w:tc>
          <w:tcPr>
            <w:tcW w:w="914" w:type="dxa"/>
            <w:vAlign w:val="center"/>
          </w:tcPr>
          <w:p w14:paraId="6909CDD8">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8分</w:t>
            </w:r>
          </w:p>
        </w:tc>
      </w:tr>
      <w:tr w14:paraId="1AE9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52" w:type="dxa"/>
            <w:vMerge w:val="continue"/>
            <w:vAlign w:val="center"/>
          </w:tcPr>
          <w:p w14:paraId="2D049BE7">
            <w:pPr>
              <w:snapToGrid w:val="0"/>
              <w:jc w:val="center"/>
              <w:rPr>
                <w:rFonts w:hint="eastAsia" w:ascii="宋体" w:hAnsi="宋体" w:eastAsia="宋体" w:cs="宋体"/>
                <w:color w:val="auto"/>
                <w:kern w:val="0"/>
                <w:sz w:val="22"/>
                <w:szCs w:val="22"/>
                <w:highlight w:val="none"/>
              </w:rPr>
            </w:pPr>
          </w:p>
        </w:tc>
        <w:tc>
          <w:tcPr>
            <w:tcW w:w="912" w:type="dxa"/>
            <w:vAlign w:val="center"/>
          </w:tcPr>
          <w:p w14:paraId="3A32B711">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应急方案及措施</w:t>
            </w:r>
          </w:p>
        </w:tc>
        <w:tc>
          <w:tcPr>
            <w:tcW w:w="6888" w:type="dxa"/>
            <w:vAlign w:val="center"/>
          </w:tcPr>
          <w:p w14:paraId="4790C0C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春节员工缺岗解决方案的可行性、可操作性及针对性进行评分。内容完整、合理、规范且可行的得</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分；内容较完整、较合理、较规范且较可行的得</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分；内容普通存在瑕疵的得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分；内容存在较多瑕疵不明确、多处不足的得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分；未提供得0分</w:t>
            </w:r>
          </w:p>
        </w:tc>
        <w:tc>
          <w:tcPr>
            <w:tcW w:w="914" w:type="dxa"/>
            <w:vAlign w:val="center"/>
          </w:tcPr>
          <w:p w14:paraId="1A3141CA">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8分</w:t>
            </w:r>
          </w:p>
        </w:tc>
      </w:tr>
    </w:tbl>
    <w:p w14:paraId="11EA980D">
      <w:pPr>
        <w:rPr>
          <w:color w:val="auto"/>
          <w:sz w:val="24"/>
          <w:highlight w:val="none"/>
        </w:rPr>
      </w:pPr>
    </w:p>
    <w:p w14:paraId="7509A0F9">
      <w:pPr>
        <w:rPr>
          <w:rFonts w:ascii="仿宋" w:hAnsi="仿宋" w:eastAsia="仿宋" w:cs="仿宋_GB2312"/>
          <w:b/>
          <w:bCs/>
          <w:color w:val="auto"/>
          <w:sz w:val="36"/>
          <w:szCs w:val="36"/>
          <w:highlight w:val="none"/>
        </w:rPr>
      </w:pPr>
      <w:r>
        <w:rPr>
          <w:rFonts w:hint="eastAsia"/>
          <w:b/>
          <w:bCs/>
          <w:color w:val="auto"/>
          <w:sz w:val="24"/>
          <w:highlight w:val="none"/>
        </w:rPr>
        <w:t>注：以上项目若缺项，则该项得0分</w:t>
      </w:r>
    </w:p>
    <w:p w14:paraId="09CB4498">
      <w:pPr>
        <w:spacing w:before="120" w:beforeLines="50" w:line="360" w:lineRule="auto"/>
        <w:jc w:val="center"/>
        <w:rPr>
          <w:rFonts w:hint="eastAsia" w:ascii="仿宋" w:hAnsi="仿宋" w:eastAsia="仿宋" w:cs="仿宋_GB2312"/>
          <w:b/>
          <w:color w:val="auto"/>
          <w:sz w:val="36"/>
          <w:szCs w:val="36"/>
          <w:highlight w:val="none"/>
        </w:rPr>
      </w:pPr>
    </w:p>
    <w:p w14:paraId="5041BFB7">
      <w:pPr>
        <w:spacing w:before="120" w:beforeLines="50" w:line="360" w:lineRule="auto"/>
        <w:jc w:val="center"/>
        <w:rPr>
          <w:rFonts w:hint="eastAsia" w:ascii="仿宋" w:hAnsi="仿宋" w:eastAsia="仿宋" w:cs="仿宋_GB2312"/>
          <w:b/>
          <w:color w:val="auto"/>
          <w:sz w:val="36"/>
          <w:szCs w:val="36"/>
          <w:highlight w:val="none"/>
        </w:rPr>
      </w:pPr>
    </w:p>
    <w:p w14:paraId="26BDD21F">
      <w:pPr>
        <w:spacing w:before="120" w:beforeLines="50" w:line="360" w:lineRule="auto"/>
        <w:jc w:val="both"/>
        <w:rPr>
          <w:rFonts w:hint="eastAsia" w:ascii="仿宋" w:hAnsi="仿宋" w:eastAsia="仿宋" w:cs="仿宋_GB2312"/>
          <w:b/>
          <w:color w:val="auto"/>
          <w:sz w:val="36"/>
          <w:szCs w:val="36"/>
          <w:highlight w:val="none"/>
        </w:rPr>
      </w:pPr>
    </w:p>
    <w:p w14:paraId="26A38CA7">
      <w:pPr>
        <w:spacing w:before="120" w:beforeLines="50" w:line="360" w:lineRule="auto"/>
        <w:jc w:val="center"/>
        <w:rPr>
          <w:rFonts w:hint="eastAsia" w:ascii="仿宋" w:hAnsi="仿宋" w:eastAsia="仿宋" w:cs="仿宋_GB2312"/>
          <w:b/>
          <w:color w:val="auto"/>
          <w:sz w:val="36"/>
          <w:szCs w:val="36"/>
          <w:highlight w:val="none"/>
        </w:rPr>
      </w:pPr>
    </w:p>
    <w:p w14:paraId="2EC3B416">
      <w:pPr>
        <w:spacing w:before="120" w:beforeLines="50" w:line="360" w:lineRule="auto"/>
        <w:jc w:val="center"/>
        <w:rPr>
          <w:rFonts w:hint="eastAsia" w:ascii="仿宋" w:hAnsi="仿宋" w:eastAsia="仿宋" w:cs="仿宋_GB2312"/>
          <w:b/>
          <w:color w:val="auto"/>
          <w:sz w:val="36"/>
          <w:szCs w:val="36"/>
          <w:highlight w:val="none"/>
        </w:rPr>
      </w:pPr>
    </w:p>
    <w:p w14:paraId="22D58C08">
      <w:pPr>
        <w:spacing w:before="120" w:beforeLines="50" w:line="360" w:lineRule="auto"/>
        <w:jc w:val="center"/>
        <w:rPr>
          <w:rFonts w:hint="eastAsia" w:ascii="仿宋" w:hAnsi="仿宋" w:eastAsia="仿宋" w:cs="仿宋_GB2312"/>
          <w:b/>
          <w:color w:val="auto"/>
          <w:sz w:val="36"/>
          <w:szCs w:val="36"/>
          <w:highlight w:val="none"/>
        </w:rPr>
      </w:pPr>
    </w:p>
    <w:p w14:paraId="0DF8809D">
      <w:pPr>
        <w:spacing w:before="120" w:beforeLines="50" w:line="360" w:lineRule="auto"/>
        <w:jc w:val="center"/>
        <w:rPr>
          <w:rFonts w:hint="eastAsia" w:ascii="仿宋" w:hAnsi="仿宋" w:eastAsia="仿宋" w:cs="仿宋_GB2312"/>
          <w:b/>
          <w:color w:val="auto"/>
          <w:sz w:val="36"/>
          <w:szCs w:val="36"/>
          <w:highlight w:val="none"/>
        </w:rPr>
      </w:pPr>
    </w:p>
    <w:p w14:paraId="0C4169E1">
      <w:pPr>
        <w:pStyle w:val="2"/>
        <w:rPr>
          <w:rFonts w:hint="eastAsia" w:ascii="仿宋" w:hAnsi="仿宋" w:eastAsia="仿宋" w:cs="仿宋_GB2312"/>
          <w:b/>
          <w:color w:val="auto"/>
          <w:sz w:val="36"/>
          <w:szCs w:val="36"/>
          <w:highlight w:val="none"/>
        </w:rPr>
      </w:pPr>
    </w:p>
    <w:p w14:paraId="677E3E51">
      <w:pPr>
        <w:pStyle w:val="2"/>
        <w:rPr>
          <w:rFonts w:hint="eastAsia" w:ascii="仿宋" w:hAnsi="仿宋" w:eastAsia="仿宋" w:cs="仿宋_GB2312"/>
          <w:b/>
          <w:color w:val="auto"/>
          <w:sz w:val="36"/>
          <w:szCs w:val="36"/>
          <w:highlight w:val="none"/>
        </w:rPr>
      </w:pPr>
    </w:p>
    <w:p w14:paraId="2148905A">
      <w:pPr>
        <w:pStyle w:val="2"/>
        <w:rPr>
          <w:rFonts w:hint="eastAsia" w:ascii="仿宋" w:hAnsi="仿宋" w:eastAsia="仿宋" w:cs="仿宋_GB2312"/>
          <w:b/>
          <w:color w:val="auto"/>
          <w:sz w:val="36"/>
          <w:szCs w:val="36"/>
          <w:highlight w:val="none"/>
        </w:rPr>
      </w:pPr>
    </w:p>
    <w:p w14:paraId="56E03B9D">
      <w:pPr>
        <w:pStyle w:val="2"/>
        <w:rPr>
          <w:rFonts w:hint="eastAsia" w:ascii="仿宋" w:hAnsi="仿宋" w:eastAsia="仿宋" w:cs="仿宋_GB2312"/>
          <w:b/>
          <w:color w:val="auto"/>
          <w:sz w:val="36"/>
          <w:szCs w:val="36"/>
          <w:highlight w:val="none"/>
        </w:rPr>
      </w:pPr>
    </w:p>
    <w:p w14:paraId="5E3EF2E2">
      <w:pPr>
        <w:pStyle w:val="2"/>
        <w:rPr>
          <w:rFonts w:hint="eastAsia" w:ascii="仿宋" w:hAnsi="仿宋" w:eastAsia="仿宋" w:cs="仿宋_GB2312"/>
          <w:b/>
          <w:color w:val="auto"/>
          <w:sz w:val="36"/>
          <w:szCs w:val="36"/>
          <w:highlight w:val="none"/>
        </w:rPr>
      </w:pPr>
    </w:p>
    <w:p w14:paraId="6A2258FF">
      <w:pPr>
        <w:pStyle w:val="2"/>
        <w:rPr>
          <w:rFonts w:hint="eastAsia" w:ascii="仿宋" w:hAnsi="仿宋" w:eastAsia="仿宋" w:cs="仿宋_GB2312"/>
          <w:b/>
          <w:color w:val="auto"/>
          <w:sz w:val="36"/>
          <w:szCs w:val="36"/>
          <w:highlight w:val="none"/>
        </w:rPr>
      </w:pPr>
    </w:p>
    <w:p w14:paraId="64D0C5E4">
      <w:pPr>
        <w:spacing w:before="120" w:beforeLines="50" w:line="360" w:lineRule="auto"/>
        <w:jc w:val="center"/>
        <w:rPr>
          <w:rFonts w:hint="eastAsia" w:ascii="仿宋" w:hAnsi="仿宋" w:eastAsia="仿宋" w:cs="仿宋_GB2312"/>
          <w:b/>
          <w:color w:val="auto"/>
          <w:sz w:val="36"/>
          <w:szCs w:val="36"/>
          <w:highlight w:val="none"/>
        </w:rPr>
      </w:pPr>
    </w:p>
    <w:p w14:paraId="7573BF6D">
      <w:pPr>
        <w:spacing w:before="120" w:beforeLines="50" w:line="360" w:lineRule="auto"/>
        <w:jc w:val="center"/>
        <w:rPr>
          <w:color w:val="auto"/>
          <w:highlight w:val="none"/>
        </w:rPr>
      </w:pPr>
      <w:r>
        <w:rPr>
          <w:rFonts w:hint="eastAsia" w:ascii="仿宋" w:hAnsi="仿宋" w:eastAsia="仿宋" w:cs="仿宋_GB2312"/>
          <w:b/>
          <w:color w:val="auto"/>
          <w:sz w:val="36"/>
          <w:szCs w:val="36"/>
          <w:highlight w:val="none"/>
        </w:rPr>
        <w:t>第五章  嘉善县政府采购合同（指引）</w:t>
      </w:r>
    </w:p>
    <w:p w14:paraId="20187B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14:paraId="5EC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p w14:paraId="002B6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r>
        <w:rPr>
          <w:rFonts w:hint="eastAsia" w:ascii="宋体" w:hAnsi="宋体" w:cs="Arial"/>
          <w:color w:val="auto"/>
          <w:kern w:val="0"/>
          <w:sz w:val="24"/>
          <w:highlight w:val="none"/>
        </w:rPr>
        <w:t>善财采确临[</w:t>
      </w:r>
      <w:r>
        <w:rPr>
          <w:rFonts w:hint="eastAsia" w:ascii="宋体" w:hAnsi="宋体" w:cs="Arial"/>
          <w:color w:val="auto"/>
          <w:kern w:val="0"/>
          <w:sz w:val="24"/>
          <w:highlight w:val="none"/>
          <w:lang w:eastAsia="zh-CN"/>
        </w:rPr>
        <w:t>202</w:t>
      </w:r>
      <w:r>
        <w:rPr>
          <w:rFonts w:hint="eastAsia" w:ascii="宋体" w:hAnsi="宋体" w:cs="Arial"/>
          <w:color w:val="auto"/>
          <w:kern w:val="0"/>
          <w:sz w:val="24"/>
          <w:highlight w:val="none"/>
          <w:lang w:val="en-US" w:eastAsia="zh-CN"/>
        </w:rPr>
        <w:t>4</w:t>
      </w:r>
      <w:r>
        <w:rPr>
          <w:rFonts w:hint="eastAsia" w:ascii="宋体" w:hAnsi="宋体" w:cs="Arial"/>
          <w:color w:val="auto"/>
          <w:kern w:val="0"/>
          <w:sz w:val="24"/>
          <w:highlight w:val="none"/>
        </w:rPr>
        <w:t>]1753号</w:t>
      </w:r>
    </w:p>
    <w:p w14:paraId="4DCCF2E0">
      <w:pPr>
        <w:tabs>
          <w:tab w:val="left" w:pos="916"/>
          <w:tab w:val="left" w:pos="1832"/>
          <w:tab w:val="left" w:pos="3664"/>
          <w:tab w:val="left" w:pos="5496"/>
          <w:tab w:val="left" w:pos="6301"/>
          <w:tab w:val="left" w:pos="7328"/>
          <w:tab w:val="left" w:pos="9160"/>
          <w:tab w:val="left" w:pos="10992"/>
          <w:tab w:val="left" w:pos="12824"/>
          <w:tab w:val="left" w:pos="14656"/>
        </w:tabs>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预算金额：</w:t>
      </w:r>
      <w:r>
        <w:rPr>
          <w:rFonts w:hint="eastAsia" w:ascii="宋体" w:hAnsi="宋体" w:cs="宋体"/>
          <w:color w:val="auto"/>
          <w:kern w:val="0"/>
          <w:sz w:val="24"/>
          <w:highlight w:val="none"/>
          <w:lang w:eastAsia="zh-CN"/>
        </w:rPr>
        <w:t>250.00</w:t>
      </w:r>
      <w:r>
        <w:rPr>
          <w:rFonts w:hint="eastAsia" w:ascii="宋体" w:hAnsi="宋体" w:cs="Arial"/>
          <w:color w:val="auto"/>
          <w:kern w:val="0"/>
          <w:sz w:val="24"/>
          <w:highlight w:val="none"/>
        </w:rPr>
        <w:t>万元</w:t>
      </w:r>
      <w:r>
        <w:rPr>
          <w:rFonts w:hint="eastAsia" w:ascii="宋体" w:hAnsi="宋体" w:cs="Arial"/>
          <w:color w:val="auto"/>
          <w:kern w:val="0"/>
          <w:sz w:val="24"/>
          <w:highlight w:val="none"/>
          <w:lang w:eastAsia="zh-CN"/>
        </w:rPr>
        <w:tab/>
      </w:r>
      <w:r>
        <w:rPr>
          <w:rFonts w:hint="eastAsia" w:ascii="宋体" w:hAnsi="宋体" w:cs="Arial"/>
          <w:color w:val="auto"/>
          <w:kern w:val="0"/>
          <w:sz w:val="24"/>
          <w:highlight w:val="none"/>
          <w:lang w:eastAsia="zh-CN"/>
        </w:rPr>
        <w:tab/>
      </w:r>
      <w:r>
        <w:rPr>
          <w:rFonts w:hint="eastAsia" w:ascii="宋体" w:hAnsi="宋体" w:cs="Arial"/>
          <w:color w:val="auto"/>
          <w:kern w:val="0"/>
          <w:sz w:val="24"/>
          <w:highlight w:val="none"/>
          <w:lang w:eastAsia="zh-CN"/>
        </w:rPr>
        <w:tab/>
      </w:r>
    </w:p>
    <w:p w14:paraId="675EA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采购人（以下称甲方）：</w:t>
      </w:r>
      <w:r>
        <w:rPr>
          <w:rFonts w:hint="eastAsia" w:ascii="宋体" w:hAnsi="宋体" w:cs="宋体"/>
          <w:color w:val="auto"/>
          <w:kern w:val="0"/>
          <w:sz w:val="24"/>
          <w:highlight w:val="none"/>
          <w:lang w:eastAsia="zh-CN"/>
        </w:rPr>
        <w:t>嘉善县妇幼保健院</w:t>
      </w:r>
    </w:p>
    <w:p w14:paraId="55033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供应商（以下称乙方）：</w:t>
      </w:r>
    </w:p>
    <w:p w14:paraId="0EB6D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采购代理机构：嘉兴市银建工程咨询评估有限公司</w:t>
      </w:r>
    </w:p>
    <w:p w14:paraId="5CD3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color w:val="auto"/>
          <w:kern w:val="0"/>
          <w:sz w:val="24"/>
          <w:highlight w:val="none"/>
        </w:rPr>
        <w:t>公开招标</w:t>
      </w:r>
    </w:p>
    <w:p w14:paraId="4D087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JXYJ2024027</w:t>
      </w:r>
      <w:r>
        <w:rPr>
          <w:rFonts w:hint="eastAsia" w:ascii="宋体" w:hAnsi="宋体" w:cs="宋体"/>
          <w:color w:val="auto"/>
          <w:kern w:val="0"/>
          <w:sz w:val="24"/>
          <w:highlight w:val="none"/>
        </w:rPr>
        <w:t>（G）</w:t>
      </w:r>
    </w:p>
    <w:p w14:paraId="34EAE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嘉善县妇幼保健院收费等岗位服务项目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采购结果签订本合同。</w:t>
      </w:r>
    </w:p>
    <w:p w14:paraId="1694C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14:paraId="28CB4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14:paraId="56183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14:paraId="4C02B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14:paraId="415B1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14:paraId="05EB1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14:paraId="69A45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14:paraId="2567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Arial"/>
          <w:color w:val="auto"/>
          <w:kern w:val="0"/>
          <w:sz w:val="24"/>
          <w:highlight w:val="none"/>
          <w:u w:val="single"/>
          <w:lang w:eastAsia="zh-CN"/>
        </w:rPr>
        <w:t>嘉善县妇幼保健院收费等岗位服务</w:t>
      </w:r>
      <w:r>
        <w:rPr>
          <w:rFonts w:hint="eastAsia" w:ascii="宋体" w:hAnsi="宋体" w:cs="宋体"/>
          <w:color w:val="auto"/>
          <w:kern w:val="0"/>
          <w:sz w:val="24"/>
          <w:highlight w:val="none"/>
        </w:rPr>
        <w:t>。</w:t>
      </w:r>
    </w:p>
    <w:p w14:paraId="677D9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是□否</w:t>
      </w:r>
    </w:p>
    <w:p w14:paraId="362E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14:paraId="4ED9D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14:paraId="118F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，分项价款见“投标报价明细表”（如有）”。</w:t>
      </w:r>
    </w:p>
    <w:p w14:paraId="15D67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Arial"/>
          <w:color w:val="auto"/>
          <w:kern w:val="0"/>
          <w:sz w:val="24"/>
          <w:highlight w:val="none"/>
          <w:lang w:eastAsia="zh-CN"/>
        </w:rPr>
      </w:pPr>
      <w:r>
        <w:rPr>
          <w:rFonts w:hint="eastAsia" w:ascii="宋体" w:hAnsi="宋体" w:cs="宋体"/>
          <w:color w:val="auto"/>
          <w:kern w:val="0"/>
          <w:sz w:val="24"/>
          <w:highlight w:val="none"/>
        </w:rPr>
        <w:t>2、本合同总价款含所有税费</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人员工资</w:t>
      </w:r>
      <w:r>
        <w:rPr>
          <w:rFonts w:hint="eastAsia" w:ascii="宋体" w:hAnsi="宋体" w:eastAsia="宋体" w:cs="宋体"/>
          <w:color w:val="auto"/>
          <w:sz w:val="24"/>
          <w:highlight w:val="none"/>
        </w:rPr>
        <w:t>包含人员基本工资、个人及企业承担的社会保险费、住房公积金、餐补、考核奖、高温费、加班费、福利、人员保险（人身意外伤害险等）等费用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管理费用中包含企业的管理服务费、招聘费、入职体检费、本项目全部的税收费用、本次招标所产生的相关费用、企业风险费、垫资成本及利润等</w:t>
      </w:r>
      <w:r>
        <w:rPr>
          <w:rFonts w:hint="eastAsia" w:ascii="宋体" w:hAnsi="宋体" w:eastAsia="宋体" w:cs="宋体"/>
          <w:color w:val="auto"/>
          <w:sz w:val="24"/>
          <w:highlight w:val="none"/>
        </w:rPr>
        <w:t>。各投标人所填写的投标报价在合同实施期间不因市场因素而变动，投标人发生差错遗漏的费用均不再调整（除采购文件另有说明外）</w:t>
      </w:r>
      <w:r>
        <w:rPr>
          <w:rFonts w:hint="eastAsia" w:ascii="宋体" w:hAnsi="宋体" w:cs="宋体"/>
          <w:color w:val="auto"/>
          <w:sz w:val="24"/>
          <w:highlight w:val="none"/>
          <w:lang w:eastAsia="zh-CN"/>
        </w:rPr>
        <w:t>）</w:t>
      </w:r>
    </w:p>
    <w:p w14:paraId="708AD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03FCF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（1）一般预算；（2）政府基金；（3）专户核拨的预算外资金；（4）其他财政资金；（5）</w:t>
      </w:r>
      <w:r>
        <w:rPr>
          <w:rFonts w:hint="eastAsia" w:ascii="宋体" w:hAnsi="宋体" w:cs="宋体"/>
          <w:color w:val="auto"/>
          <w:kern w:val="0"/>
          <w:sz w:val="24"/>
          <w:highlight w:val="none"/>
          <w:lang w:eastAsia="zh-CN"/>
        </w:rPr>
        <w:t>单位资金</w:t>
      </w:r>
      <w:r>
        <w:rPr>
          <w:rFonts w:hint="eastAsia" w:ascii="宋体" w:hAnsi="宋体" w:cs="宋体"/>
          <w:color w:val="auto"/>
          <w:kern w:val="0"/>
          <w:sz w:val="24"/>
          <w:highlight w:val="none"/>
        </w:rPr>
        <w:t>。</w:t>
      </w:r>
    </w:p>
    <w:p w14:paraId="7172C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117BD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Arial"/>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1B873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（2）本合同项下的采购资金采用财政授权支付，付款程序为</w:t>
      </w:r>
      <w:r>
        <w:rPr>
          <w:rFonts w:hint="eastAsia" w:ascii="宋体" w:hAnsi="宋体" w:cs="Arial"/>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531CB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p>
    <w:p w14:paraId="348A1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 xml:space="preserve"> 项支付：</w:t>
      </w:r>
    </w:p>
    <w:p w14:paraId="603DF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（1）一次性付款：乙方合同履行达到（条件）时，一次性付款；</w:t>
      </w:r>
    </w:p>
    <w:p w14:paraId="44197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（2）分期付款：</w:t>
      </w:r>
    </w:p>
    <w:p w14:paraId="3D30E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结算付款必须按照医院支付管理办法及相关规定执行，依据《考核标准》对服务提供商进行考核结算，原则上以一个月为结算单位</w:t>
      </w:r>
      <w:r>
        <w:rPr>
          <w:rFonts w:hint="eastAsia" w:ascii="宋体" w:hAnsi="宋体" w:cs="宋体"/>
          <w:color w:val="auto"/>
          <w:sz w:val="24"/>
          <w:highlight w:val="none"/>
          <w:lang w:val="en-US" w:eastAsia="zh-CN"/>
        </w:rPr>
        <w:t>支付前一个月的员工工资及管理费。（付款前中标单位应按规定向采购人开具正规发票，</w:t>
      </w:r>
      <w:r>
        <w:rPr>
          <w:rFonts w:hint="eastAsia" w:ascii="宋体" w:hAnsi="宋体" w:eastAsia="宋体" w:cs="宋体"/>
          <w:color w:val="auto"/>
          <w:sz w:val="24"/>
          <w:highlight w:val="none"/>
          <w:lang w:val="en-US" w:eastAsia="zh-CN"/>
        </w:rPr>
        <w:t>并承担开票产生的所有税收费）</w:t>
      </w:r>
      <w:r>
        <w:rPr>
          <w:rFonts w:hint="eastAsia" w:ascii="宋体" w:hAnsi="宋体" w:cs="宋体"/>
          <w:color w:val="auto"/>
          <w:sz w:val="24"/>
          <w:highlight w:val="none"/>
          <w:lang w:eastAsia="zh-CN"/>
        </w:rPr>
        <w:t>。</w:t>
      </w:r>
    </w:p>
    <w:p w14:paraId="429EC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14:paraId="3E174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rPr>
        <w:t>项处理：</w:t>
      </w:r>
    </w:p>
    <w:p w14:paraId="09013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1、本项目设置履约保证金</w:t>
      </w:r>
      <w:r>
        <w:rPr>
          <w:rFonts w:hint="eastAsia" w:ascii="宋体" w:hAnsi="宋体" w:cs="宋体"/>
          <w:color w:val="auto"/>
          <w:kern w:val="0"/>
          <w:sz w:val="24"/>
          <w:highlight w:val="none"/>
          <w:lang w:eastAsia="zh-CN"/>
        </w:rPr>
        <w:t>，签订合同前中标人应向采购人交纳合同金额的1%作为履约保证金，履约保证金在合同履行完毕后一个月内无息退还。</w:t>
      </w:r>
    </w:p>
    <w:p w14:paraId="765AE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2、本项目不设置履约保证金</w:t>
      </w:r>
    </w:p>
    <w:p w14:paraId="11243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第五条 合同的变更和终止</w:t>
      </w:r>
    </w:p>
    <w:p w14:paraId="3684C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7A0C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第六条 合同的转让与分包</w:t>
      </w:r>
    </w:p>
    <w:p w14:paraId="6C13F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本项目不允许转包和分包</w:t>
      </w:r>
      <w:r>
        <w:rPr>
          <w:rFonts w:hint="eastAsia" w:ascii="宋体" w:hAnsi="宋体" w:cs="宋体"/>
          <w:color w:val="auto"/>
          <w:kern w:val="0"/>
          <w:sz w:val="24"/>
          <w:highlight w:val="none"/>
        </w:rPr>
        <w:t>。</w:t>
      </w:r>
    </w:p>
    <w:p w14:paraId="19F6B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第七条 争议的解决</w:t>
      </w:r>
    </w:p>
    <w:p w14:paraId="3673A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种方式解决争议：</w:t>
      </w:r>
    </w:p>
    <w:p w14:paraId="1E41A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14:paraId="3D20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Arial"/>
          <w:color w:val="auto"/>
          <w:kern w:val="0"/>
          <w:sz w:val="24"/>
          <w:highlight w:val="none"/>
          <w:u w:val="single"/>
          <w:lang w:eastAsia="zh-CN"/>
        </w:rPr>
        <w:t>项目所在地</w:t>
      </w:r>
      <w:r>
        <w:rPr>
          <w:rFonts w:hint="eastAsia" w:ascii="宋体" w:hAnsi="宋体" w:cs="宋体"/>
          <w:color w:val="auto"/>
          <w:kern w:val="0"/>
          <w:sz w:val="24"/>
          <w:highlight w:val="none"/>
        </w:rPr>
        <w:t>仲裁委员申请仲裁。</w:t>
      </w:r>
    </w:p>
    <w:p w14:paraId="5125D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第八条 合同备案及其他</w:t>
      </w:r>
    </w:p>
    <w:p w14:paraId="33F41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本合同一式</w:t>
      </w:r>
      <w:r>
        <w:rPr>
          <w:rFonts w:hint="eastAsia" w:ascii="宋体" w:hAnsi="宋体" w:cs="Arial"/>
          <w:color w:val="auto"/>
          <w:kern w:val="0"/>
          <w:sz w:val="24"/>
          <w:highlight w:val="none"/>
          <w:lang w:eastAsia="zh-CN"/>
        </w:rPr>
        <w:t>四</w:t>
      </w:r>
      <w:r>
        <w:rPr>
          <w:rFonts w:hint="eastAsia" w:ascii="宋体" w:hAnsi="宋体" w:cs="Arial"/>
          <w:color w:val="auto"/>
          <w:kern w:val="0"/>
          <w:sz w:val="24"/>
          <w:highlight w:val="none"/>
        </w:rPr>
        <w:t>份，甲乙双方各2份</w:t>
      </w:r>
      <w:r>
        <w:rPr>
          <w:rFonts w:hint="eastAsia" w:ascii="宋体" w:hAnsi="宋体" w:cs="宋体"/>
          <w:color w:val="auto"/>
          <w:kern w:val="0"/>
          <w:sz w:val="24"/>
          <w:highlight w:val="none"/>
        </w:rPr>
        <w:t>。</w:t>
      </w:r>
    </w:p>
    <w:p w14:paraId="0B7F0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p>
    <w:p w14:paraId="71940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14:paraId="6FF796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color w:val="auto"/>
          <w:highlight w:val="none"/>
        </w:rPr>
      </w:pPr>
    </w:p>
    <w:p w14:paraId="62471A68">
      <w:pPr>
        <w:pStyle w:val="26"/>
        <w:rPr>
          <w:color w:val="auto"/>
          <w:highlight w:val="none"/>
        </w:rPr>
      </w:pPr>
    </w:p>
    <w:p w14:paraId="53298F99">
      <w:pPr>
        <w:rPr>
          <w:color w:val="auto"/>
          <w:highlight w:val="none"/>
        </w:rPr>
      </w:pPr>
    </w:p>
    <w:p w14:paraId="38BBD085">
      <w:pPr>
        <w:rPr>
          <w:color w:val="auto"/>
          <w:highlight w:val="none"/>
        </w:rPr>
      </w:pPr>
    </w:p>
    <w:p w14:paraId="43CD94FE">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14:paraId="15DDBC8B">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14:paraId="6BFF5B0D">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14:paraId="67D0BD26">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电话：                                电话：  </w:t>
      </w:r>
    </w:p>
    <w:p w14:paraId="3105578C">
      <w:pPr>
        <w:spacing w:line="480" w:lineRule="exact"/>
        <w:ind w:right="480" w:firstLine="2160" w:firstLineChars="900"/>
        <w:jc w:val="center"/>
        <w:rPr>
          <w:rFonts w:ascii="宋体" w:hAnsi="宋体" w:cs="宋体"/>
          <w:color w:val="auto"/>
          <w:sz w:val="24"/>
          <w:highlight w:val="none"/>
        </w:rPr>
      </w:pPr>
    </w:p>
    <w:p w14:paraId="4F8306E1">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14:paraId="57A9FCE4">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签约地点：</w:t>
      </w:r>
    </w:p>
    <w:p w14:paraId="5C9B0205">
      <w:pPr>
        <w:spacing w:line="460" w:lineRule="exact"/>
        <w:rPr>
          <w:rFonts w:hint="eastAsia" w:ascii="宋体" w:hAnsi="宋体" w:cs="Tahoma"/>
          <w:color w:val="auto"/>
          <w:kern w:val="0"/>
          <w:sz w:val="24"/>
          <w:highlight w:val="none"/>
        </w:rPr>
        <w:sectPr>
          <w:footerReference r:id="rId11" w:type="default"/>
          <w:pgSz w:w="11906" w:h="16838"/>
          <w:pgMar w:top="1134" w:right="1134" w:bottom="1417" w:left="1134" w:header="851" w:footer="851" w:gutter="0"/>
          <w:pgNumType w:fmt="decimal"/>
          <w:cols w:space="720" w:num="1"/>
          <w:docGrid w:linePitch="312" w:charSpace="0"/>
        </w:sectPr>
      </w:pPr>
    </w:p>
    <w:p w14:paraId="7AAA30E1">
      <w:pPr>
        <w:spacing w:line="460" w:lineRule="exact"/>
        <w:rPr>
          <w:rFonts w:ascii="宋体" w:hAnsi="宋体"/>
          <w:color w:val="auto"/>
          <w:sz w:val="24"/>
          <w:highlight w:val="none"/>
        </w:rPr>
      </w:pPr>
    </w:p>
    <w:p w14:paraId="269FED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宋体" w:hAnsi="宋体" w:cs="宋体"/>
          <w:color w:val="auto"/>
          <w:kern w:val="0"/>
          <w:sz w:val="24"/>
          <w:highlight w:val="none"/>
        </w:rPr>
      </w:pPr>
    </w:p>
    <w:tbl>
      <w:tblPr>
        <w:tblStyle w:val="65"/>
        <w:tblW w:w="14436" w:type="dxa"/>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2B7E2500">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14:paraId="2E418362">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嘉 善 县 政 府 采 购 商 品 验 收 单</w:t>
            </w:r>
          </w:p>
        </w:tc>
      </w:tr>
      <w:tr w14:paraId="64E2A334">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14:paraId="2A0C14B9">
            <w:pPr>
              <w:widowControl/>
              <w:jc w:val="left"/>
              <w:rPr>
                <w:rFonts w:ascii="宋体" w:hAnsi="宋体" w:cs="宋体"/>
                <w:color w:val="auto"/>
                <w:kern w:val="0"/>
                <w:sz w:val="24"/>
                <w:highlight w:val="none"/>
              </w:rPr>
            </w:pPr>
          </w:p>
        </w:tc>
        <w:tc>
          <w:tcPr>
            <w:tcW w:w="3021" w:type="dxa"/>
            <w:tcBorders>
              <w:top w:val="nil"/>
              <w:left w:val="nil"/>
              <w:bottom w:val="nil"/>
              <w:right w:val="nil"/>
            </w:tcBorders>
            <w:vAlign w:val="bottom"/>
          </w:tcPr>
          <w:p w14:paraId="7EBDB1B4">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6E0EA9FC">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6E34C8E8">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42ADA6D3">
            <w:pPr>
              <w:widowControl/>
              <w:jc w:val="left"/>
              <w:rPr>
                <w:rFonts w:ascii="宋体" w:hAnsi="宋体" w:cs="宋体"/>
                <w:color w:val="auto"/>
                <w:kern w:val="0"/>
                <w:sz w:val="24"/>
                <w:highlight w:val="none"/>
              </w:rPr>
            </w:pPr>
          </w:p>
        </w:tc>
        <w:tc>
          <w:tcPr>
            <w:tcW w:w="2081" w:type="dxa"/>
            <w:tcBorders>
              <w:top w:val="nil"/>
              <w:left w:val="nil"/>
              <w:bottom w:val="nil"/>
              <w:right w:val="nil"/>
            </w:tcBorders>
            <w:vAlign w:val="bottom"/>
          </w:tcPr>
          <w:p w14:paraId="6854A50B">
            <w:pPr>
              <w:widowControl/>
              <w:jc w:val="left"/>
              <w:rPr>
                <w:rFonts w:ascii="宋体" w:hAnsi="宋体" w:cs="宋体"/>
                <w:color w:val="auto"/>
                <w:kern w:val="0"/>
                <w:sz w:val="24"/>
                <w:highlight w:val="none"/>
              </w:rPr>
            </w:pPr>
          </w:p>
        </w:tc>
      </w:tr>
      <w:tr w14:paraId="02FE71E7">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14:paraId="55FFCC4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采购申请编号:</w:t>
            </w:r>
          </w:p>
        </w:tc>
        <w:tc>
          <w:tcPr>
            <w:tcW w:w="3021" w:type="dxa"/>
            <w:tcBorders>
              <w:top w:val="nil"/>
              <w:left w:val="nil"/>
              <w:bottom w:val="nil"/>
              <w:right w:val="nil"/>
            </w:tcBorders>
            <w:vAlign w:val="bottom"/>
          </w:tcPr>
          <w:p w14:paraId="0E389CF2">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5E040015">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5D0FA15F">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767A1C8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tc>
        <w:tc>
          <w:tcPr>
            <w:tcW w:w="2081" w:type="dxa"/>
            <w:tcBorders>
              <w:top w:val="nil"/>
              <w:left w:val="nil"/>
              <w:bottom w:val="nil"/>
              <w:right w:val="nil"/>
            </w:tcBorders>
            <w:vAlign w:val="bottom"/>
          </w:tcPr>
          <w:p w14:paraId="2610D6C7">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号</w:t>
            </w:r>
          </w:p>
        </w:tc>
      </w:tr>
      <w:tr w14:paraId="125A9637">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14:paraId="23B2C24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14:paraId="14F3112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14:paraId="7B83934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14:paraId="679DF4F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14:paraId="7DDC056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14:paraId="620B7C0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02AE4AC">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14:paraId="1F4A574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供应商（供方）</w:t>
            </w:r>
          </w:p>
        </w:tc>
        <w:tc>
          <w:tcPr>
            <w:tcW w:w="3021" w:type="dxa"/>
            <w:tcBorders>
              <w:top w:val="nil"/>
              <w:left w:val="nil"/>
              <w:bottom w:val="single" w:color="auto" w:sz="4" w:space="0"/>
              <w:right w:val="single" w:color="auto" w:sz="4" w:space="0"/>
            </w:tcBorders>
            <w:vAlign w:val="center"/>
          </w:tcPr>
          <w:p w14:paraId="5DB57CA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703730D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nil"/>
              <w:left w:val="nil"/>
              <w:bottom w:val="single" w:color="auto" w:sz="4" w:space="0"/>
              <w:right w:val="single" w:color="auto" w:sz="4" w:space="0"/>
            </w:tcBorders>
            <w:vAlign w:val="center"/>
          </w:tcPr>
          <w:p w14:paraId="7F832C9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7765DCF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nil"/>
              <w:left w:val="nil"/>
              <w:bottom w:val="single" w:color="auto" w:sz="4" w:space="0"/>
              <w:right w:val="single" w:color="auto" w:sz="4" w:space="0"/>
            </w:tcBorders>
            <w:vAlign w:val="center"/>
          </w:tcPr>
          <w:p w14:paraId="4E5B6F5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0447B5A">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26E6E8F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商品名称</w:t>
            </w:r>
          </w:p>
        </w:tc>
        <w:tc>
          <w:tcPr>
            <w:tcW w:w="3021" w:type="dxa"/>
            <w:tcBorders>
              <w:top w:val="nil"/>
              <w:left w:val="nil"/>
              <w:bottom w:val="single" w:color="auto" w:sz="4" w:space="0"/>
              <w:right w:val="single" w:color="auto" w:sz="4" w:space="0"/>
            </w:tcBorders>
            <w:vAlign w:val="center"/>
          </w:tcPr>
          <w:p w14:paraId="4F370AE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vAlign w:val="center"/>
          </w:tcPr>
          <w:p w14:paraId="124ADC4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745" w:type="dxa"/>
            <w:tcBorders>
              <w:top w:val="nil"/>
              <w:left w:val="nil"/>
              <w:bottom w:val="single" w:color="auto" w:sz="4" w:space="0"/>
              <w:right w:val="single" w:color="auto" w:sz="4" w:space="0"/>
            </w:tcBorders>
            <w:vAlign w:val="center"/>
          </w:tcPr>
          <w:p w14:paraId="1DF0962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2080" w:type="dxa"/>
            <w:tcBorders>
              <w:top w:val="nil"/>
              <w:left w:val="nil"/>
              <w:bottom w:val="single" w:color="auto" w:sz="4" w:space="0"/>
              <w:right w:val="single" w:color="auto" w:sz="4" w:space="0"/>
            </w:tcBorders>
            <w:vAlign w:val="center"/>
          </w:tcPr>
          <w:p w14:paraId="6E0F263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2081" w:type="dxa"/>
            <w:tcBorders>
              <w:top w:val="nil"/>
              <w:left w:val="nil"/>
              <w:bottom w:val="single" w:color="auto" w:sz="4" w:space="0"/>
              <w:right w:val="single" w:color="auto" w:sz="4" w:space="0"/>
            </w:tcBorders>
            <w:vAlign w:val="center"/>
          </w:tcPr>
          <w:p w14:paraId="36A72E9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 (元)</w:t>
            </w:r>
          </w:p>
        </w:tc>
      </w:tr>
      <w:tr w14:paraId="7C3A43C9">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38BA9DE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7080C39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0F6FE84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1D9580D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3BC6DAA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3210BED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2FA82FD">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7F82CAE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69BBE39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20D24CA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295E783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7DAF85E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105A075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A7D9861">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3974887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3021" w:type="dxa"/>
            <w:tcBorders>
              <w:top w:val="nil"/>
              <w:left w:val="nil"/>
              <w:bottom w:val="single" w:color="auto" w:sz="4" w:space="0"/>
              <w:right w:val="single" w:color="auto" w:sz="4" w:space="0"/>
            </w:tcBorders>
            <w:vAlign w:val="center"/>
          </w:tcPr>
          <w:p w14:paraId="296FAD0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1A32A0B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75DC77E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53457DA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3CEA47C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C57FB54">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14:paraId="1D62B7A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合计人民币(大写):</w:t>
            </w:r>
          </w:p>
        </w:tc>
      </w:tr>
      <w:tr w14:paraId="45BCB650">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14:paraId="5B251B0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详细设备清单见装箱单</w:t>
            </w:r>
          </w:p>
        </w:tc>
      </w:tr>
      <w:tr w14:paraId="724DC50D">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14:paraId="23556EE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14:paraId="18949B6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采购单位付款意见:</w:t>
            </w:r>
          </w:p>
        </w:tc>
      </w:tr>
      <w:tr w14:paraId="01496ECC">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14:paraId="2C6606B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nil"/>
            </w:tcBorders>
            <w:vAlign w:val="bottom"/>
          </w:tcPr>
          <w:p w14:paraId="6277A800">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验收人（签字）:</w:t>
            </w:r>
          </w:p>
        </w:tc>
        <w:tc>
          <w:tcPr>
            <w:tcW w:w="1855" w:type="dxa"/>
            <w:tcBorders>
              <w:top w:val="nil"/>
              <w:left w:val="nil"/>
              <w:bottom w:val="single" w:color="auto" w:sz="4" w:space="0"/>
              <w:right w:val="nil"/>
            </w:tcBorders>
            <w:vAlign w:val="bottom"/>
          </w:tcPr>
          <w:p w14:paraId="26FA1B8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14:paraId="5D9F275C">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10351D41">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14:paraId="2BF6E18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14:paraId="09C049E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县公共资源交易中心意见:</w:t>
            </w:r>
          </w:p>
        </w:tc>
      </w:tr>
      <w:tr w14:paraId="4E37088F">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14:paraId="3CE772C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经办人（签字）:</w:t>
            </w:r>
          </w:p>
        </w:tc>
        <w:tc>
          <w:tcPr>
            <w:tcW w:w="1745" w:type="dxa"/>
            <w:tcBorders>
              <w:top w:val="nil"/>
              <w:left w:val="nil"/>
              <w:bottom w:val="nil"/>
              <w:right w:val="nil"/>
            </w:tcBorders>
            <w:vAlign w:val="bottom"/>
          </w:tcPr>
          <w:p w14:paraId="3B0A468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nil"/>
              <w:right w:val="nil"/>
            </w:tcBorders>
            <w:vAlign w:val="bottom"/>
          </w:tcPr>
          <w:p w14:paraId="2A11F4DA">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2081" w:type="dxa"/>
            <w:tcBorders>
              <w:top w:val="nil"/>
              <w:left w:val="nil"/>
              <w:bottom w:val="nil"/>
              <w:right w:val="single" w:color="auto" w:sz="4" w:space="0"/>
            </w:tcBorders>
            <w:vAlign w:val="bottom"/>
          </w:tcPr>
          <w:p w14:paraId="6A7DC72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276CD96">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14:paraId="210D82FE">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14:paraId="11A477B4">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309EB48A">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14:paraId="729BF96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注：1、表内各项必须填写完整，根据实际需求可增加或删除行，不得改动格式；</w:t>
            </w:r>
          </w:p>
        </w:tc>
      </w:tr>
      <w:tr w14:paraId="0BF6C3FD">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14:paraId="653770C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2、本表一式五份，经供需双方签字盖章后由采购单位、供应商、财政支付（核算）中心、财政局、公共资源交易中心各自留存。</w:t>
            </w:r>
          </w:p>
        </w:tc>
      </w:tr>
    </w:tbl>
    <w:p w14:paraId="191012FE">
      <w:pPr>
        <w:pStyle w:val="35"/>
        <w:spacing w:before="120" w:after="120" w:line="420" w:lineRule="exact"/>
        <w:rPr>
          <w:rFonts w:hAnsi="宋体"/>
          <w:bCs/>
          <w:color w:val="auto"/>
          <w:highlight w:val="none"/>
        </w:rPr>
        <w:sectPr>
          <w:pgSz w:w="16838" w:h="11906" w:orient="landscape"/>
          <w:pgMar w:top="1134" w:right="1134" w:bottom="1134" w:left="1417" w:header="851" w:footer="851" w:gutter="0"/>
          <w:pgNumType w:fmt="decimal"/>
          <w:cols w:space="720" w:num="1"/>
          <w:docGrid w:linePitch="312" w:charSpace="0"/>
        </w:sectPr>
      </w:pPr>
    </w:p>
    <w:p w14:paraId="134BCACC">
      <w:pPr>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嘉善县妇幼保健院收费等岗位服务项目</w:t>
      </w:r>
      <w:r>
        <w:rPr>
          <w:rFonts w:hint="eastAsia" w:ascii="宋体" w:hAnsi="宋体" w:cs="宋体"/>
          <w:color w:val="auto"/>
          <w:sz w:val="28"/>
          <w:szCs w:val="28"/>
          <w:highlight w:val="none"/>
        </w:rPr>
        <w:t xml:space="preserve"> 验收报告</w:t>
      </w:r>
    </w:p>
    <w:p w14:paraId="4D32D513">
      <w:pPr>
        <w:jc w:val="center"/>
        <w:rPr>
          <w:rFonts w:ascii="宋体" w:hAnsi="宋体" w:cs="宋体"/>
          <w:color w:val="auto"/>
          <w:sz w:val="28"/>
          <w:szCs w:val="28"/>
          <w:highlight w:val="none"/>
        </w:rPr>
      </w:pPr>
    </w:p>
    <w:p w14:paraId="435C62AA">
      <w:pPr>
        <w:jc w:val="left"/>
        <w:rPr>
          <w:rFonts w:ascii="宋体" w:hAnsi="宋体" w:cs="宋体"/>
          <w:color w:val="auto"/>
          <w:sz w:val="28"/>
          <w:szCs w:val="28"/>
          <w:highlight w:val="none"/>
        </w:rPr>
      </w:pPr>
    </w:p>
    <w:p w14:paraId="60FA69BA">
      <w:pPr>
        <w:jc w:val="left"/>
        <w:rPr>
          <w:rFonts w:ascii="宋体" w:hAnsi="宋体" w:cs="宋体"/>
          <w:color w:val="auto"/>
          <w:sz w:val="28"/>
          <w:szCs w:val="28"/>
          <w:highlight w:val="none"/>
        </w:rPr>
      </w:pPr>
    </w:p>
    <w:p w14:paraId="0D218103">
      <w:pPr>
        <w:jc w:val="left"/>
        <w:rPr>
          <w:rFonts w:ascii="宋体" w:hAnsi="宋体" w:cs="宋体"/>
          <w:color w:val="auto"/>
          <w:sz w:val="28"/>
          <w:szCs w:val="28"/>
          <w:highlight w:val="none"/>
        </w:rPr>
      </w:pPr>
    </w:p>
    <w:p w14:paraId="602A8AFF">
      <w:pPr>
        <w:jc w:val="left"/>
        <w:rPr>
          <w:rFonts w:ascii="宋体" w:hAnsi="宋体" w:cs="宋体"/>
          <w:color w:val="auto"/>
          <w:sz w:val="28"/>
          <w:szCs w:val="28"/>
          <w:highlight w:val="none"/>
        </w:rPr>
      </w:pPr>
    </w:p>
    <w:p w14:paraId="172DE1BE">
      <w:pPr>
        <w:jc w:val="left"/>
        <w:rPr>
          <w:rFonts w:ascii="宋体" w:hAnsi="宋体" w:cs="宋体"/>
          <w:color w:val="auto"/>
          <w:sz w:val="28"/>
          <w:szCs w:val="28"/>
          <w:highlight w:val="none"/>
        </w:rPr>
      </w:pPr>
      <w:r>
        <w:rPr>
          <w:rFonts w:hint="eastAsia" w:ascii="宋体" w:hAnsi="宋体" w:cs="宋体"/>
          <w:color w:val="auto"/>
          <w:sz w:val="28"/>
          <w:szCs w:val="28"/>
          <w:highlight w:val="none"/>
        </w:rPr>
        <w:t>项目验收情况说明（由双方按验收情况填写）：</w:t>
      </w:r>
    </w:p>
    <w:p w14:paraId="18615703">
      <w:pPr>
        <w:jc w:val="left"/>
        <w:rPr>
          <w:rFonts w:ascii="宋体" w:hAnsi="宋体" w:cs="宋体"/>
          <w:color w:val="auto"/>
          <w:sz w:val="28"/>
          <w:szCs w:val="28"/>
          <w:highlight w:val="none"/>
        </w:rPr>
      </w:pPr>
    </w:p>
    <w:p w14:paraId="402C48D2">
      <w:pPr>
        <w:jc w:val="left"/>
        <w:rPr>
          <w:rFonts w:ascii="宋体" w:hAnsi="宋体" w:cs="宋体"/>
          <w:color w:val="auto"/>
          <w:sz w:val="28"/>
          <w:szCs w:val="28"/>
          <w:highlight w:val="none"/>
        </w:rPr>
      </w:pPr>
    </w:p>
    <w:p w14:paraId="72F2EC0D">
      <w:pPr>
        <w:jc w:val="left"/>
        <w:rPr>
          <w:rFonts w:ascii="宋体" w:hAnsi="宋体" w:cs="宋体"/>
          <w:color w:val="auto"/>
          <w:sz w:val="28"/>
          <w:szCs w:val="28"/>
          <w:highlight w:val="none"/>
        </w:rPr>
      </w:pPr>
    </w:p>
    <w:p w14:paraId="2E785A40">
      <w:pPr>
        <w:jc w:val="left"/>
        <w:rPr>
          <w:rFonts w:ascii="宋体" w:hAnsi="宋体" w:cs="宋体"/>
          <w:color w:val="auto"/>
          <w:sz w:val="28"/>
          <w:szCs w:val="28"/>
          <w:highlight w:val="none"/>
        </w:rPr>
      </w:pPr>
    </w:p>
    <w:p w14:paraId="270F348C">
      <w:pPr>
        <w:jc w:val="left"/>
        <w:rPr>
          <w:rFonts w:ascii="宋体" w:hAnsi="宋体" w:cs="宋体"/>
          <w:color w:val="auto"/>
          <w:sz w:val="28"/>
          <w:szCs w:val="28"/>
          <w:highlight w:val="none"/>
        </w:rPr>
      </w:pPr>
    </w:p>
    <w:p w14:paraId="74E4492B">
      <w:pPr>
        <w:jc w:val="left"/>
        <w:rPr>
          <w:rFonts w:ascii="宋体" w:hAnsi="宋体" w:cs="宋体"/>
          <w:color w:val="auto"/>
          <w:sz w:val="28"/>
          <w:szCs w:val="28"/>
          <w:highlight w:val="none"/>
        </w:rPr>
      </w:pPr>
    </w:p>
    <w:p w14:paraId="492700E8">
      <w:pPr>
        <w:jc w:val="left"/>
        <w:rPr>
          <w:rFonts w:ascii="宋体" w:hAnsi="宋体" w:cs="宋体"/>
          <w:color w:val="auto"/>
          <w:sz w:val="28"/>
          <w:szCs w:val="28"/>
          <w:highlight w:val="none"/>
        </w:rPr>
      </w:pPr>
    </w:p>
    <w:p w14:paraId="5E44DA97">
      <w:pPr>
        <w:rPr>
          <w:color w:val="auto"/>
          <w:highlight w:val="none"/>
        </w:rPr>
        <w:sectPr>
          <w:pgSz w:w="11906" w:h="16838"/>
          <w:pgMar w:top="1440" w:right="1797" w:bottom="1440" w:left="1797" w:header="851" w:footer="851" w:gutter="0"/>
          <w:pgNumType w:fmt="decimal"/>
          <w:cols w:space="720" w:num="1"/>
          <w:docGrid w:linePitch="312" w:charSpace="0"/>
        </w:sectPr>
      </w:pPr>
      <w:r>
        <w:rPr>
          <w:rFonts w:hint="eastAsia" w:ascii="宋体" w:hAnsi="宋体" w:cs="宋体"/>
          <w:color w:val="auto"/>
          <w:sz w:val="28"/>
          <w:szCs w:val="28"/>
          <w:highlight w:val="none"/>
        </w:rPr>
        <w:t>验收小组签字：（</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人以上）</w:t>
      </w:r>
    </w:p>
    <w:p w14:paraId="42C159E3">
      <w:pPr>
        <w:pStyle w:val="3"/>
        <w:numPr>
          <w:ilvl w:val="0"/>
          <w:numId w:val="7"/>
        </w:numPr>
        <w:spacing w:before="0" w:after="0" w:line="240" w:lineRule="auto"/>
        <w:ind w:left="0" w:firstLine="0"/>
        <w:jc w:val="center"/>
        <w:rPr>
          <w:rFonts w:ascii="仿宋" w:hAnsi="仿宋" w:eastAsia="仿宋" w:cs="仿宋_GB2312"/>
          <w:bCs w:val="0"/>
          <w:color w:val="auto"/>
          <w:kern w:val="2"/>
          <w:sz w:val="36"/>
          <w:szCs w:val="36"/>
          <w:highlight w:val="none"/>
        </w:rPr>
      </w:pPr>
      <w:r>
        <w:rPr>
          <w:rFonts w:hint="eastAsia" w:ascii="仿宋" w:hAnsi="仿宋" w:eastAsia="仿宋" w:cs="仿宋_GB2312"/>
          <w:bCs w:val="0"/>
          <w:color w:val="auto"/>
          <w:kern w:val="2"/>
          <w:sz w:val="36"/>
          <w:szCs w:val="36"/>
          <w:highlight w:val="none"/>
        </w:rPr>
        <w:t>投标文件格式</w:t>
      </w:r>
      <w:bookmarkEnd w:id="34"/>
    </w:p>
    <w:p w14:paraId="3859BAAB">
      <w:pPr>
        <w:spacing w:line="300" w:lineRule="auto"/>
        <w:ind w:firstLine="205" w:firstLineChars="98"/>
        <w:jc w:val="center"/>
        <w:rPr>
          <w:rFonts w:hAnsi="宋体" w:cs="宋体"/>
          <w:color w:val="auto"/>
          <w:highlight w:val="none"/>
        </w:rPr>
      </w:pPr>
    </w:p>
    <w:p w14:paraId="7AA8D4C5">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符合参加政府采购活动应当具备的一般条件的承诺函</w:t>
      </w:r>
    </w:p>
    <w:p w14:paraId="4AF87BA0">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14:paraId="0C6DDE4F">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14:paraId="19E3852F">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73903C01">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5003E832">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5C7C6584">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2245EEEE">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3D794C7A">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161E2AAC">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65E9CE7C">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14:paraId="2BDEAEB5">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7D65EF14">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78DB8875">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7D2AF1E0">
      <w:pPr>
        <w:snapToGrid w:val="0"/>
        <w:spacing w:line="360" w:lineRule="auto"/>
        <w:rPr>
          <w:rFonts w:ascii="仿宋_GB2312" w:hAnsi="仿宋" w:eastAsia="仿宋_GB2312" w:cs="仿宋_GB2312"/>
          <w:color w:val="auto"/>
          <w:kern w:val="0"/>
          <w:sz w:val="24"/>
          <w:highlight w:val="none"/>
          <w:lang w:val="zh-CN"/>
        </w:rPr>
      </w:pPr>
    </w:p>
    <w:p w14:paraId="12E87B13">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投标人名称（盖章）</w:t>
      </w:r>
      <w:r>
        <w:rPr>
          <w:rFonts w:ascii="仿宋_GB2312" w:hAnsi="仿宋" w:eastAsia="仿宋_GB2312" w:cs="仿宋_GB2312"/>
          <w:color w:val="auto"/>
          <w:kern w:val="0"/>
          <w:sz w:val="24"/>
          <w:highlight w:val="none"/>
          <w:lang w:val="zh-CN"/>
        </w:rPr>
        <w:t>：</w:t>
      </w:r>
    </w:p>
    <w:p w14:paraId="4C5F771A">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月日</w:t>
      </w:r>
    </w:p>
    <w:p w14:paraId="357C46C9">
      <w:pPr>
        <w:spacing w:line="360" w:lineRule="auto"/>
        <w:ind w:firstLine="275" w:firstLineChars="98"/>
        <w:jc w:val="center"/>
        <w:rPr>
          <w:rFonts w:ascii="宋体" w:hAnsi="宋体" w:cs="宋体"/>
          <w:b/>
          <w:bCs/>
          <w:color w:val="auto"/>
          <w:sz w:val="28"/>
          <w:szCs w:val="28"/>
          <w:highlight w:val="none"/>
        </w:rPr>
      </w:pPr>
    </w:p>
    <w:p w14:paraId="198EF306">
      <w:pPr>
        <w:spacing w:line="360" w:lineRule="auto"/>
        <w:ind w:firstLine="275" w:firstLineChars="98"/>
        <w:jc w:val="center"/>
        <w:rPr>
          <w:rFonts w:ascii="宋体" w:hAnsi="宋体" w:cs="宋体"/>
          <w:b/>
          <w:bCs/>
          <w:color w:val="auto"/>
          <w:sz w:val="28"/>
          <w:szCs w:val="28"/>
          <w:highlight w:val="none"/>
        </w:rPr>
      </w:pPr>
    </w:p>
    <w:p w14:paraId="29901BF2">
      <w:pPr>
        <w:spacing w:line="360" w:lineRule="auto"/>
        <w:ind w:firstLine="275" w:firstLineChars="98"/>
        <w:jc w:val="center"/>
        <w:rPr>
          <w:rFonts w:ascii="宋体" w:hAnsi="宋体" w:cs="宋体"/>
          <w:b/>
          <w:bCs/>
          <w:color w:val="auto"/>
          <w:sz w:val="28"/>
          <w:szCs w:val="28"/>
          <w:highlight w:val="none"/>
        </w:rPr>
      </w:pPr>
    </w:p>
    <w:p w14:paraId="737DD4D6">
      <w:pPr>
        <w:spacing w:line="360" w:lineRule="auto"/>
        <w:ind w:firstLine="275" w:firstLineChars="98"/>
        <w:jc w:val="center"/>
        <w:rPr>
          <w:rFonts w:ascii="宋体" w:hAnsi="宋体" w:cs="宋体"/>
          <w:b/>
          <w:bCs/>
          <w:color w:val="auto"/>
          <w:sz w:val="28"/>
          <w:szCs w:val="28"/>
          <w:highlight w:val="none"/>
        </w:rPr>
      </w:pPr>
    </w:p>
    <w:p w14:paraId="739426C8">
      <w:pPr>
        <w:spacing w:line="360" w:lineRule="auto"/>
        <w:ind w:firstLine="275" w:firstLineChars="98"/>
        <w:jc w:val="center"/>
        <w:rPr>
          <w:rFonts w:ascii="宋体" w:hAnsi="宋体" w:cs="宋体"/>
          <w:b/>
          <w:bCs/>
          <w:color w:val="auto"/>
          <w:sz w:val="28"/>
          <w:szCs w:val="28"/>
          <w:highlight w:val="none"/>
        </w:rPr>
      </w:pPr>
    </w:p>
    <w:p w14:paraId="7177057C">
      <w:pPr>
        <w:spacing w:line="360" w:lineRule="auto"/>
        <w:ind w:firstLine="275" w:firstLineChars="98"/>
        <w:jc w:val="center"/>
        <w:rPr>
          <w:rFonts w:ascii="宋体" w:hAnsi="宋体" w:cs="宋体"/>
          <w:b/>
          <w:bCs/>
          <w:color w:val="auto"/>
          <w:sz w:val="28"/>
          <w:szCs w:val="28"/>
          <w:highlight w:val="none"/>
        </w:rPr>
      </w:pPr>
    </w:p>
    <w:p w14:paraId="49FF34E2">
      <w:pPr>
        <w:spacing w:line="360" w:lineRule="auto"/>
        <w:ind w:firstLine="275" w:firstLineChars="98"/>
        <w:jc w:val="center"/>
        <w:rPr>
          <w:rFonts w:ascii="宋体" w:hAnsi="宋体" w:cs="宋体"/>
          <w:b/>
          <w:bCs/>
          <w:color w:val="auto"/>
          <w:sz w:val="28"/>
          <w:szCs w:val="28"/>
          <w:highlight w:val="none"/>
        </w:rPr>
      </w:pPr>
    </w:p>
    <w:p w14:paraId="0C0D97A4">
      <w:pPr>
        <w:spacing w:line="360" w:lineRule="auto"/>
        <w:ind w:firstLine="275" w:firstLineChars="98"/>
        <w:jc w:val="center"/>
        <w:rPr>
          <w:rFonts w:ascii="宋体" w:hAnsi="宋体" w:cs="宋体"/>
          <w:color w:val="auto"/>
          <w:sz w:val="22"/>
          <w:szCs w:val="22"/>
          <w:highlight w:val="none"/>
        </w:rPr>
      </w:pPr>
      <w:r>
        <w:rPr>
          <w:rFonts w:hint="eastAsia" w:ascii="宋体" w:hAnsi="宋体" w:cs="宋体"/>
          <w:b/>
          <w:bCs/>
          <w:color w:val="auto"/>
          <w:sz w:val="28"/>
          <w:szCs w:val="28"/>
          <w:highlight w:val="none"/>
        </w:rPr>
        <w:t>中小企业声明函（服务）</w:t>
      </w:r>
    </w:p>
    <w:p w14:paraId="76DD153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本公司（联合体）郑重声明，根据《政府采购促进中小企业发展管理办法》（财库﹝2020﹞46号）的规定，本公司（联合体）参加</w:t>
      </w:r>
      <w:r>
        <w:rPr>
          <w:rFonts w:ascii="宋体" w:hAnsi="宋体" w:cs="宋体"/>
          <w:color w:val="auto"/>
          <w:sz w:val="24"/>
          <w:highlight w:val="none"/>
          <w:u w:val="single"/>
        </w:rPr>
        <w:t>（单位名称）</w:t>
      </w:r>
      <w:r>
        <w:rPr>
          <w:rFonts w:ascii="宋体" w:hAnsi="宋体" w:cs="宋体"/>
          <w:color w:val="auto"/>
          <w:sz w:val="24"/>
          <w:highlight w:val="none"/>
        </w:rPr>
        <w:t>的</w:t>
      </w:r>
      <w:r>
        <w:rPr>
          <w:rFonts w:hint="eastAsia" w:ascii="宋体" w:hAnsi="宋体" w:cs="宋体"/>
          <w:color w:val="auto"/>
          <w:sz w:val="24"/>
          <w:highlight w:val="none"/>
          <w:u w:val="single"/>
          <w:lang w:eastAsia="zh-CN"/>
        </w:rPr>
        <w:t>嘉善县妇幼保健院收费等岗位服务项目</w:t>
      </w:r>
      <w:r>
        <w:rPr>
          <w:rFonts w:ascii="宋体" w:hAnsi="宋体" w:cs="宋体"/>
          <w:color w:val="auto"/>
          <w:sz w:val="24"/>
          <w:highlight w:val="none"/>
        </w:rPr>
        <w:t>采购活动，</w:t>
      </w:r>
      <w:r>
        <w:rPr>
          <w:rFonts w:hint="eastAsia" w:ascii="宋体" w:hAnsi="宋体" w:cs="宋体"/>
          <w:color w:val="auto"/>
          <w:sz w:val="24"/>
          <w:highlight w:val="none"/>
        </w:rPr>
        <w:t>服务全部由符合政策要求的中小企业承接</w:t>
      </w:r>
      <w:r>
        <w:rPr>
          <w:rFonts w:ascii="宋体" w:hAnsi="宋体" w:cs="宋体"/>
          <w:color w:val="auto"/>
          <w:sz w:val="24"/>
          <w:highlight w:val="none"/>
        </w:rPr>
        <w:t xml:space="preserve">。相关企业（含联合体中的中小企业、签订分包意向协议的中小企业）的具体情况如下： </w:t>
      </w:r>
    </w:p>
    <w:p w14:paraId="0A872EA4">
      <w:pPr>
        <w:numPr>
          <w:ilvl w:val="0"/>
          <w:numId w:val="8"/>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嘉善县妇幼保健院收费等岗位服务项目</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rPr>
        <w:t>租赁和商务服务业</w:t>
      </w:r>
      <w:r>
        <w:rPr>
          <w:rFonts w:hint="eastAsia" w:ascii="宋体" w:hAnsi="宋体" w:cs="宋体"/>
          <w:color w:val="auto"/>
          <w:sz w:val="24"/>
          <w:highlight w:val="none"/>
          <w:u w:val="single"/>
        </w:rPr>
        <w:t>）</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 ，属于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561223B6">
      <w:pPr>
        <w:pStyle w:val="968"/>
        <w:snapToGrid w:val="0"/>
        <w:spacing w:line="360" w:lineRule="auto"/>
        <w:ind w:firstLine="494"/>
        <w:rPr>
          <w:rFonts w:ascii="宋体" w:eastAsia="宋体"/>
          <w:bCs/>
          <w:color w:val="auto"/>
          <w:sz w:val="24"/>
          <w:szCs w:val="24"/>
          <w:highlight w:val="none"/>
        </w:rPr>
      </w:pPr>
    </w:p>
    <w:p w14:paraId="6D10DDF1">
      <w:pPr>
        <w:pStyle w:val="968"/>
        <w:snapToGrid w:val="0"/>
        <w:spacing w:line="360" w:lineRule="auto"/>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14:paraId="2A168865">
      <w:pPr>
        <w:pStyle w:val="968"/>
        <w:snapToGrid w:val="0"/>
        <w:spacing w:line="360" w:lineRule="auto"/>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14:paraId="29888B5F">
      <w:pPr>
        <w:pStyle w:val="968"/>
        <w:snapToGrid w:val="0"/>
        <w:ind w:firstLine="4809" w:firstLineChars="2004"/>
        <w:rPr>
          <w:rFonts w:ascii="宋体" w:eastAsia="宋体"/>
          <w:bCs/>
          <w:color w:val="auto"/>
          <w:sz w:val="24"/>
          <w:szCs w:val="24"/>
          <w:highlight w:val="none"/>
        </w:rPr>
      </w:pPr>
    </w:p>
    <w:p w14:paraId="04BB121F">
      <w:pPr>
        <w:pStyle w:val="968"/>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14:paraId="1A363392">
      <w:pPr>
        <w:pStyle w:val="968"/>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14:paraId="7DEED6B3">
      <w:pPr>
        <w:pStyle w:val="968"/>
        <w:snapToGrid w:val="0"/>
        <w:spacing w:line="240" w:lineRule="auto"/>
        <w:ind w:firstLine="0" w:firstLineChars="0"/>
        <w:rPr>
          <w:rFonts w:ascii="宋体" w:eastAsia="宋体"/>
          <w:bCs/>
          <w:color w:val="auto"/>
          <w:sz w:val="24"/>
          <w:szCs w:val="24"/>
          <w:highlight w:val="none"/>
        </w:rPr>
      </w:pPr>
    </w:p>
    <w:p w14:paraId="1BDA734E">
      <w:pPr>
        <w:pStyle w:val="968"/>
        <w:snapToGrid w:val="0"/>
        <w:spacing w:line="240" w:lineRule="auto"/>
        <w:ind w:firstLine="0" w:firstLineChars="0"/>
        <w:rPr>
          <w:rFonts w:ascii="宋体" w:eastAsia="宋体"/>
          <w:bCs/>
          <w:color w:val="auto"/>
          <w:sz w:val="24"/>
          <w:szCs w:val="24"/>
          <w:highlight w:val="none"/>
        </w:rPr>
      </w:pPr>
    </w:p>
    <w:p w14:paraId="56301947">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14:paraId="24E8B287">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14:paraId="75E47397">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bCs w:val="0"/>
          <w:color w:val="auto"/>
          <w:sz w:val="24"/>
          <w:szCs w:val="24"/>
          <w:highlight w:val="none"/>
        </w:rPr>
        <w:t>租赁和商务服务业</w:t>
      </w:r>
      <w:r>
        <w:rPr>
          <w:rFonts w:hint="eastAsia" w:ascii="宋体" w:eastAsia="宋体"/>
          <w:bCs/>
          <w:color w:val="auto"/>
          <w:sz w:val="24"/>
          <w:szCs w:val="24"/>
          <w:highlight w:val="none"/>
        </w:rPr>
        <w:t>；</w:t>
      </w:r>
    </w:p>
    <w:p w14:paraId="0EDA1019">
      <w:pPr>
        <w:pStyle w:val="968"/>
        <w:snapToGrid w:val="0"/>
        <w:spacing w:line="240" w:lineRule="auto"/>
        <w:ind w:firstLine="482" w:firstLineChars="200"/>
        <w:rPr>
          <w:rFonts w:hint="eastAsia" w:ascii="宋体" w:eastAsia="宋体"/>
          <w:b/>
          <w:bCs w:val="0"/>
          <w:color w:val="auto"/>
          <w:sz w:val="24"/>
          <w:szCs w:val="24"/>
          <w:highlight w:val="none"/>
          <w:lang w:eastAsia="zh-CN"/>
        </w:rPr>
      </w:pPr>
      <w:r>
        <w:rPr>
          <w:rFonts w:hint="eastAsia" w:ascii="宋体" w:eastAsia="宋体"/>
          <w:b/>
          <w:bCs w:val="0"/>
          <w:color w:val="auto"/>
          <w:sz w:val="24"/>
          <w:szCs w:val="24"/>
          <w:highlight w:val="none"/>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eastAsia="宋体"/>
          <w:b/>
          <w:bCs w:val="0"/>
          <w:color w:val="auto"/>
          <w:sz w:val="24"/>
          <w:szCs w:val="24"/>
          <w:highlight w:val="none"/>
          <w:lang w:eastAsia="zh-CN"/>
        </w:rPr>
        <w:t>；</w:t>
      </w:r>
    </w:p>
    <w:p w14:paraId="4CE2E07D">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14:paraId="1EDDF6BF">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14:paraId="62FD2A71">
      <w:pPr>
        <w:pStyle w:val="968"/>
        <w:snapToGrid w:val="0"/>
        <w:spacing w:line="240" w:lineRule="auto"/>
        <w:ind w:firstLine="0" w:firstLineChars="0"/>
        <w:rPr>
          <w:rFonts w:hint="eastAsia" w:asciiTheme="minorEastAsia" w:hAnsiTheme="minorEastAsia" w:eastAsiaTheme="minorEastAsia" w:cstheme="minorEastAsia"/>
          <w:bCs/>
          <w:color w:val="auto"/>
          <w:sz w:val="24"/>
          <w:szCs w:val="24"/>
          <w:highlight w:val="none"/>
        </w:rPr>
      </w:pPr>
      <w:r>
        <w:rPr>
          <w:rFonts w:hint="eastAsia" w:ascii="宋体" w:eastAsia="宋体"/>
          <w:bCs/>
          <w:color w:val="auto"/>
          <w:sz w:val="24"/>
          <w:szCs w:val="24"/>
          <w:highlight w:val="none"/>
          <w:lang w:val="en-US" w:eastAsia="zh-CN"/>
        </w:rPr>
        <w:t>5</w:t>
      </w:r>
      <w:r>
        <w:rPr>
          <w:rFonts w:hint="eastAsia" w:ascii="宋体" w:eastAsia="宋体"/>
          <w:bCs/>
          <w:color w:val="auto"/>
          <w:sz w:val="24"/>
          <w:szCs w:val="24"/>
          <w:highlight w:val="none"/>
        </w:rPr>
        <w:t>.中型企业、小型企业、微型企业等3种企业类型，结合以上数据，依据《中小企业划</w:t>
      </w:r>
      <w:r>
        <w:rPr>
          <w:rFonts w:hint="eastAsia" w:asciiTheme="minorEastAsia" w:hAnsiTheme="minorEastAsia" w:eastAsiaTheme="minorEastAsia" w:cstheme="minorEastAsia"/>
          <w:bCs/>
          <w:color w:val="auto"/>
          <w:sz w:val="24"/>
          <w:szCs w:val="24"/>
          <w:highlight w:val="none"/>
        </w:rPr>
        <w:t>型标准规定》（工信部联企业〔2011〕300号）确定。</w:t>
      </w:r>
    </w:p>
    <w:p w14:paraId="6B9DFB90">
      <w:pPr>
        <w:pStyle w:val="968"/>
        <w:snapToGrid w:val="0"/>
        <w:spacing w:line="240" w:lineRule="auto"/>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val="0"/>
          <w:bCs w:val="0"/>
          <w:color w:val="auto"/>
          <w:sz w:val="24"/>
          <w:highlight w:val="none"/>
          <w:lang w:val="en-US" w:eastAsia="zh-CN"/>
        </w:rPr>
        <w:t>6.投标人提供的《中小企业声明函》与实际情况不符的或者未按以上要求填写的，声明函无效。声明内容不实的，属于提供虚假材料谋取中标、成交的，依法承担法律责任</w:t>
      </w:r>
      <w:r>
        <w:rPr>
          <w:rFonts w:hint="eastAsia" w:asciiTheme="minorEastAsia" w:hAnsiTheme="minorEastAsia" w:eastAsiaTheme="minorEastAsia" w:cstheme="minorEastAsia"/>
          <w:bCs/>
          <w:color w:val="auto"/>
          <w:sz w:val="24"/>
          <w:szCs w:val="24"/>
          <w:highlight w:val="none"/>
        </w:rPr>
        <w:t>。</w:t>
      </w:r>
    </w:p>
    <w:p w14:paraId="0ACD2C9C">
      <w:pPr>
        <w:snapToGrid w:val="0"/>
        <w:jc w:val="both"/>
        <w:rPr>
          <w:rFonts w:ascii="宋体" w:hAnsi="宋体"/>
          <w:b/>
          <w:bCs/>
          <w:color w:val="auto"/>
          <w:sz w:val="24"/>
          <w:highlight w:val="none"/>
        </w:rPr>
      </w:pPr>
    </w:p>
    <w:p w14:paraId="29FF3BCC">
      <w:pPr>
        <w:snapToGrid w:val="0"/>
        <w:jc w:val="center"/>
        <w:rPr>
          <w:rFonts w:ascii="宋体" w:hAnsi="宋体"/>
          <w:b/>
          <w:bCs/>
          <w:color w:val="auto"/>
          <w:sz w:val="24"/>
          <w:highlight w:val="none"/>
        </w:rPr>
      </w:pPr>
    </w:p>
    <w:p w14:paraId="158E1EB2">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14:paraId="6449E1AD">
      <w:pPr>
        <w:pStyle w:val="969"/>
        <w:snapToGrid w:val="0"/>
        <w:jc w:val="center"/>
        <w:rPr>
          <w:rFonts w:ascii="宋体" w:hAnsi="宋体"/>
          <w:b/>
          <w:color w:val="auto"/>
          <w:sz w:val="24"/>
          <w:highlight w:val="none"/>
          <w:lang w:val="en-GB"/>
        </w:rPr>
      </w:pPr>
    </w:p>
    <w:p w14:paraId="26F8C707">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14:paraId="01FFFE62">
      <w:pPr>
        <w:snapToGrid w:val="0"/>
        <w:spacing w:line="480" w:lineRule="exact"/>
        <w:ind w:firstLine="480" w:firstLineChars="200"/>
        <w:rPr>
          <w:rFonts w:ascii="宋体" w:hAnsi="宋体"/>
          <w:color w:val="auto"/>
          <w:sz w:val="24"/>
          <w:highlight w:val="none"/>
        </w:rPr>
      </w:pPr>
    </w:p>
    <w:p w14:paraId="46070096">
      <w:pPr>
        <w:snapToGrid w:val="0"/>
        <w:ind w:firstLine="480" w:firstLineChars="200"/>
        <w:rPr>
          <w:rFonts w:ascii="宋体" w:hAnsi="宋体"/>
          <w:color w:val="auto"/>
          <w:sz w:val="24"/>
          <w:highlight w:val="none"/>
        </w:rPr>
      </w:pPr>
    </w:p>
    <w:p w14:paraId="57467315">
      <w:pPr>
        <w:snapToGrid w:val="0"/>
        <w:ind w:firstLine="480" w:firstLineChars="200"/>
        <w:rPr>
          <w:rFonts w:ascii="宋体" w:hAnsi="宋体"/>
          <w:color w:val="auto"/>
          <w:sz w:val="24"/>
          <w:highlight w:val="none"/>
        </w:rPr>
      </w:pPr>
    </w:p>
    <w:p w14:paraId="49438D5D">
      <w:pPr>
        <w:snapToGrid w:val="0"/>
        <w:ind w:firstLine="480" w:firstLineChars="200"/>
        <w:rPr>
          <w:rFonts w:ascii="宋体" w:hAnsi="宋体"/>
          <w:color w:val="auto"/>
          <w:sz w:val="24"/>
          <w:highlight w:val="none"/>
        </w:rPr>
      </w:pPr>
    </w:p>
    <w:p w14:paraId="3E73AAB9">
      <w:pPr>
        <w:snapToGrid w:val="0"/>
        <w:ind w:firstLine="480" w:firstLineChars="200"/>
        <w:rPr>
          <w:rFonts w:ascii="宋体" w:hAnsi="宋体"/>
          <w:color w:val="auto"/>
          <w:sz w:val="24"/>
          <w:highlight w:val="none"/>
        </w:rPr>
      </w:pPr>
    </w:p>
    <w:p w14:paraId="0368E8CE">
      <w:pPr>
        <w:snapToGrid w:val="0"/>
        <w:ind w:firstLine="480" w:firstLineChars="200"/>
        <w:rPr>
          <w:rFonts w:ascii="宋体" w:hAnsi="宋体"/>
          <w:color w:val="auto"/>
          <w:sz w:val="24"/>
          <w:highlight w:val="none"/>
        </w:rPr>
      </w:pPr>
    </w:p>
    <w:p w14:paraId="14DDA9F7">
      <w:pPr>
        <w:snapToGrid w:val="0"/>
        <w:ind w:firstLine="480" w:firstLineChars="200"/>
        <w:rPr>
          <w:rFonts w:ascii="宋体" w:hAnsi="宋体"/>
          <w:color w:val="auto"/>
          <w:sz w:val="24"/>
          <w:highlight w:val="none"/>
        </w:rPr>
      </w:pPr>
    </w:p>
    <w:p w14:paraId="433A56C0">
      <w:pPr>
        <w:snapToGrid w:val="0"/>
        <w:ind w:firstLine="480" w:firstLineChars="200"/>
        <w:rPr>
          <w:rFonts w:ascii="宋体" w:hAnsi="宋体"/>
          <w:color w:val="auto"/>
          <w:sz w:val="24"/>
          <w:highlight w:val="none"/>
        </w:rPr>
      </w:pPr>
    </w:p>
    <w:p w14:paraId="73BBC3D5">
      <w:pPr>
        <w:snapToGrid w:val="0"/>
        <w:ind w:firstLine="480" w:firstLineChars="200"/>
        <w:rPr>
          <w:rFonts w:ascii="宋体" w:hAnsi="宋体"/>
          <w:color w:val="auto"/>
          <w:sz w:val="24"/>
          <w:highlight w:val="none"/>
        </w:rPr>
      </w:pPr>
    </w:p>
    <w:p w14:paraId="0DFAE638">
      <w:pPr>
        <w:snapToGrid w:val="0"/>
        <w:ind w:firstLine="480" w:firstLineChars="200"/>
        <w:rPr>
          <w:rFonts w:ascii="宋体" w:hAnsi="宋体"/>
          <w:color w:val="auto"/>
          <w:sz w:val="24"/>
          <w:highlight w:val="none"/>
        </w:rPr>
      </w:pPr>
    </w:p>
    <w:p w14:paraId="54C4D1F4">
      <w:pPr>
        <w:snapToGrid w:val="0"/>
        <w:jc w:val="center"/>
        <w:rPr>
          <w:rFonts w:ascii="宋体" w:hAnsi="宋体"/>
          <w:b/>
          <w:color w:val="auto"/>
          <w:spacing w:val="6"/>
          <w:sz w:val="24"/>
          <w:highlight w:val="none"/>
        </w:rPr>
      </w:pPr>
    </w:p>
    <w:p w14:paraId="38A1048B">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14:paraId="22711FF5">
      <w:pPr>
        <w:snapToGrid w:val="0"/>
        <w:rPr>
          <w:rFonts w:ascii="宋体" w:hAnsi="宋体"/>
          <w:b/>
          <w:color w:val="auto"/>
          <w:spacing w:val="6"/>
          <w:sz w:val="24"/>
          <w:highlight w:val="none"/>
        </w:rPr>
      </w:pPr>
    </w:p>
    <w:p w14:paraId="266C8DF5">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2B5C0E">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2E8DE463">
      <w:pPr>
        <w:snapToGrid w:val="0"/>
        <w:spacing w:line="480" w:lineRule="exact"/>
        <w:rPr>
          <w:rFonts w:ascii="宋体" w:hAnsi="宋体"/>
          <w:color w:val="auto"/>
          <w:sz w:val="24"/>
          <w:highlight w:val="none"/>
        </w:rPr>
      </w:pPr>
    </w:p>
    <w:p w14:paraId="55336506">
      <w:pPr>
        <w:snapToGrid w:val="0"/>
        <w:rPr>
          <w:rFonts w:ascii="宋体" w:hAnsi="宋体"/>
          <w:color w:val="auto"/>
          <w:sz w:val="24"/>
          <w:highlight w:val="none"/>
        </w:rPr>
      </w:pPr>
    </w:p>
    <w:p w14:paraId="583D6BF6">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14:paraId="6EED855C">
      <w:pPr>
        <w:snapToGrid w:val="0"/>
        <w:rPr>
          <w:rFonts w:ascii="宋体" w:hAnsi="宋体"/>
          <w:color w:val="auto"/>
          <w:sz w:val="24"/>
          <w:highlight w:val="none"/>
        </w:rPr>
      </w:pPr>
    </w:p>
    <w:p w14:paraId="53E31868">
      <w:pPr>
        <w:snapToGrid w:val="0"/>
        <w:rPr>
          <w:rFonts w:ascii="宋体" w:hAnsi="宋体"/>
          <w:color w:val="auto"/>
          <w:sz w:val="24"/>
          <w:highlight w:val="none"/>
        </w:rPr>
      </w:pPr>
    </w:p>
    <w:p w14:paraId="34A53684">
      <w:pPr>
        <w:snapToGrid w:val="0"/>
        <w:ind w:firstLine="5520" w:firstLineChars="2300"/>
        <w:outlineLvl w:val="0"/>
        <w:rPr>
          <w:rFonts w:ascii="宋体" w:hAnsi="宋体"/>
          <w:color w:val="auto"/>
          <w:sz w:val="24"/>
          <w:highlight w:val="none"/>
        </w:rPr>
      </w:pPr>
      <w:r>
        <w:rPr>
          <w:rFonts w:hint="eastAsia" w:ascii="宋体" w:hAnsi="宋体"/>
          <w:color w:val="auto"/>
          <w:sz w:val="24"/>
          <w:highlight w:val="none"/>
        </w:rPr>
        <w:t>日期：年月日</w:t>
      </w:r>
    </w:p>
    <w:p w14:paraId="7EAF6499">
      <w:pPr>
        <w:pStyle w:val="35"/>
        <w:snapToGrid w:val="0"/>
        <w:spacing w:before="24" w:beforeLines="10" w:after="24" w:afterLines="10"/>
        <w:rPr>
          <w:rFonts w:ascii="仿宋" w:hAnsi="仿宋" w:eastAsia="仿宋" w:cs="仿宋"/>
          <w:b/>
          <w:bCs/>
          <w:color w:val="auto"/>
          <w:sz w:val="44"/>
          <w:szCs w:val="44"/>
          <w:highlight w:val="none"/>
        </w:rPr>
      </w:pPr>
    </w:p>
    <w:p w14:paraId="75537813">
      <w:pPr>
        <w:pStyle w:val="35"/>
        <w:snapToGrid w:val="0"/>
        <w:spacing w:before="24" w:beforeLines="10" w:after="24" w:afterLines="10"/>
        <w:rPr>
          <w:rFonts w:ascii="仿宋" w:hAnsi="仿宋" w:eastAsia="仿宋" w:cs="仿宋"/>
          <w:b/>
          <w:bCs/>
          <w:color w:val="auto"/>
          <w:sz w:val="44"/>
          <w:szCs w:val="44"/>
          <w:highlight w:val="none"/>
        </w:rPr>
      </w:pPr>
    </w:p>
    <w:p w14:paraId="5AAB720A">
      <w:pPr>
        <w:rPr>
          <w:rFonts w:ascii="仿宋" w:hAnsi="仿宋" w:eastAsia="仿宋" w:cs="仿宋"/>
          <w:b/>
          <w:bCs/>
          <w:color w:val="auto"/>
          <w:sz w:val="44"/>
          <w:szCs w:val="44"/>
          <w:highlight w:val="none"/>
        </w:rPr>
      </w:pPr>
    </w:p>
    <w:p w14:paraId="540F9700">
      <w:pPr>
        <w:snapToGrid w:val="0"/>
        <w:spacing w:before="120" w:beforeLines="50" w:after="50"/>
        <w:rPr>
          <w:b/>
          <w:color w:val="auto"/>
          <w:sz w:val="24"/>
          <w:highlight w:val="none"/>
        </w:rPr>
      </w:pPr>
    </w:p>
    <w:p w14:paraId="7CF97B61">
      <w:pPr>
        <w:snapToGrid w:val="0"/>
        <w:spacing w:before="120" w:beforeLines="50" w:after="50"/>
        <w:rPr>
          <w:b/>
          <w:color w:val="auto"/>
          <w:sz w:val="24"/>
          <w:highlight w:val="none"/>
        </w:rPr>
      </w:pPr>
    </w:p>
    <w:p w14:paraId="0A5DDF8F">
      <w:pPr>
        <w:snapToGrid w:val="0"/>
        <w:spacing w:before="120" w:beforeLines="50" w:after="50"/>
        <w:rPr>
          <w:b/>
          <w:color w:val="auto"/>
          <w:sz w:val="24"/>
          <w:highlight w:val="none"/>
        </w:rPr>
      </w:pPr>
    </w:p>
    <w:p w14:paraId="61ED9CC2">
      <w:pPr>
        <w:snapToGrid w:val="0"/>
        <w:spacing w:before="120" w:beforeLines="50" w:after="50"/>
        <w:rPr>
          <w:b/>
          <w:color w:val="auto"/>
          <w:sz w:val="24"/>
          <w:highlight w:val="none"/>
        </w:rPr>
      </w:pPr>
    </w:p>
    <w:p w14:paraId="7D1ECF47">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p>
    <w:p w14:paraId="14CE2BB3">
      <w:pPr>
        <w:snapToGrid w:val="0"/>
        <w:spacing w:before="120" w:beforeLines="50" w:after="50"/>
        <w:jc w:val="center"/>
        <w:rPr>
          <w:b/>
          <w:bCs/>
          <w:color w:val="auto"/>
          <w:sz w:val="32"/>
          <w:szCs w:val="32"/>
          <w:highlight w:val="none"/>
        </w:rPr>
      </w:pPr>
    </w:p>
    <w:p w14:paraId="40C911E0">
      <w:pPr>
        <w:snapToGrid w:val="0"/>
        <w:spacing w:before="120" w:beforeLines="50" w:after="50"/>
        <w:jc w:val="center"/>
        <w:rPr>
          <w:b/>
          <w:bCs/>
          <w:color w:val="auto"/>
          <w:sz w:val="32"/>
          <w:szCs w:val="32"/>
          <w:highlight w:val="none"/>
        </w:rPr>
      </w:pPr>
    </w:p>
    <w:p w14:paraId="673D75B1">
      <w:pPr>
        <w:snapToGrid w:val="0"/>
        <w:spacing w:before="120" w:beforeLines="50" w:after="50"/>
        <w:jc w:val="center"/>
        <w:rPr>
          <w:b/>
          <w:bCs/>
          <w:color w:val="auto"/>
          <w:sz w:val="32"/>
          <w:szCs w:val="32"/>
          <w:highlight w:val="none"/>
        </w:rPr>
      </w:pPr>
    </w:p>
    <w:p w14:paraId="77E6E09F">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14:paraId="1857D065">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2F0D8DC0">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26028500">
      <w:pPr>
        <w:pStyle w:val="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42D2F6B1">
      <w:pPr>
        <w:pStyle w:val="6"/>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1C6B6773">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55FB3751">
      <w:pPr>
        <w:snapToGrid w:val="0"/>
        <w:spacing w:before="120" w:beforeLines="50" w:after="50"/>
        <w:jc w:val="center"/>
        <w:rPr>
          <w:rFonts w:ascii="宋体" w:hAnsi="宋体" w:cs="宋体"/>
          <w:b/>
          <w:color w:val="auto"/>
          <w:sz w:val="32"/>
          <w:szCs w:val="32"/>
          <w:highlight w:val="none"/>
        </w:rPr>
      </w:pPr>
    </w:p>
    <w:p w14:paraId="3DC9F8BA">
      <w:pPr>
        <w:pStyle w:val="3"/>
        <w:rPr>
          <w:rFonts w:ascii="宋体" w:hAnsi="宋体" w:cs="宋体"/>
          <w:b w:val="0"/>
          <w:color w:val="auto"/>
          <w:szCs w:val="32"/>
          <w:highlight w:val="none"/>
        </w:rPr>
      </w:pPr>
    </w:p>
    <w:p w14:paraId="6E6FBD55">
      <w:pPr>
        <w:rPr>
          <w:color w:val="auto"/>
          <w:highlight w:val="none"/>
        </w:rPr>
      </w:pPr>
    </w:p>
    <w:p w14:paraId="35C6B128">
      <w:pPr>
        <w:rPr>
          <w:color w:val="auto"/>
          <w:highlight w:val="none"/>
        </w:rPr>
      </w:pPr>
    </w:p>
    <w:p w14:paraId="2488BE93">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14:paraId="27CA3EAB">
      <w:pPr>
        <w:snapToGrid w:val="0"/>
        <w:spacing w:before="120" w:beforeLines="50" w:after="50"/>
        <w:rPr>
          <w:b/>
          <w:bCs/>
          <w:color w:val="auto"/>
          <w:sz w:val="32"/>
          <w:szCs w:val="20"/>
          <w:highlight w:val="none"/>
        </w:rPr>
      </w:pPr>
      <w:r>
        <w:rPr>
          <w:color w:val="auto"/>
          <w:sz w:val="24"/>
          <w:highlight w:val="none"/>
        </w:rPr>
        <w:t xml:space="preserve">                                                    </w:t>
      </w:r>
    </w:p>
    <w:p w14:paraId="54967E65">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14:paraId="77806DEA">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081A3DC4">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7729D644">
      <w:pPr>
        <w:pStyle w:val="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547A9B1B">
      <w:pPr>
        <w:pStyle w:val="6"/>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2FA8E5ED">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3AFB00FA">
      <w:pPr>
        <w:spacing w:line="360" w:lineRule="auto"/>
        <w:ind w:right="420"/>
        <w:rPr>
          <w:color w:val="auto"/>
          <w:highlight w:val="none"/>
        </w:rPr>
      </w:pPr>
    </w:p>
    <w:p w14:paraId="71A1C35C">
      <w:pPr>
        <w:spacing w:line="360" w:lineRule="auto"/>
        <w:rPr>
          <w:rFonts w:ascii="仿宋" w:hAnsi="仿宋" w:eastAsia="仿宋"/>
          <w:bCs/>
          <w:color w:val="auto"/>
          <w:sz w:val="24"/>
          <w:highlight w:val="none"/>
        </w:rPr>
      </w:pPr>
    </w:p>
    <w:p w14:paraId="01DC16F8">
      <w:pPr>
        <w:spacing w:line="360" w:lineRule="auto"/>
        <w:jc w:val="center"/>
        <w:rPr>
          <w:rFonts w:ascii="宋体" w:hAnsi="宋体" w:cs="宋体"/>
          <w:b/>
          <w:color w:val="auto"/>
          <w:sz w:val="24"/>
          <w:highlight w:val="none"/>
        </w:rPr>
      </w:pPr>
      <w:bookmarkStart w:id="35" w:name="_Toc219619166"/>
    </w:p>
    <w:p w14:paraId="750DE6DF">
      <w:pPr>
        <w:spacing w:line="360" w:lineRule="auto"/>
        <w:jc w:val="center"/>
        <w:rPr>
          <w:rFonts w:ascii="宋体" w:hAnsi="宋体" w:cs="宋体"/>
          <w:b/>
          <w:color w:val="auto"/>
          <w:sz w:val="24"/>
          <w:highlight w:val="none"/>
        </w:rPr>
      </w:pPr>
    </w:p>
    <w:p w14:paraId="75DE088A">
      <w:pPr>
        <w:spacing w:line="360" w:lineRule="auto"/>
        <w:jc w:val="center"/>
        <w:rPr>
          <w:rFonts w:ascii="宋体" w:hAnsi="宋体" w:cs="宋体"/>
          <w:b/>
          <w:color w:val="auto"/>
          <w:sz w:val="24"/>
          <w:highlight w:val="none"/>
        </w:rPr>
      </w:pPr>
    </w:p>
    <w:p w14:paraId="61830D3A">
      <w:pPr>
        <w:spacing w:line="360" w:lineRule="auto"/>
        <w:jc w:val="center"/>
        <w:rPr>
          <w:rFonts w:ascii="宋体" w:hAnsi="宋体" w:cs="宋体"/>
          <w:b/>
          <w:color w:val="auto"/>
          <w:sz w:val="24"/>
          <w:highlight w:val="none"/>
        </w:rPr>
      </w:pPr>
    </w:p>
    <w:p w14:paraId="0E2B2FF0">
      <w:pPr>
        <w:spacing w:line="360" w:lineRule="auto"/>
        <w:rPr>
          <w:rFonts w:ascii="宋体" w:hAnsi="宋体" w:cs="宋体"/>
          <w:b/>
          <w:color w:val="auto"/>
          <w:sz w:val="24"/>
          <w:highlight w:val="none"/>
        </w:rPr>
      </w:pPr>
    </w:p>
    <w:p w14:paraId="111F03F1">
      <w:pPr>
        <w:spacing w:line="360" w:lineRule="auto"/>
        <w:jc w:val="center"/>
        <w:rPr>
          <w:rFonts w:ascii="宋体" w:hAnsi="宋体" w:cs="宋体"/>
          <w:b/>
          <w:color w:val="auto"/>
          <w:sz w:val="24"/>
          <w:highlight w:val="none"/>
        </w:rPr>
      </w:pPr>
    </w:p>
    <w:p w14:paraId="1045C582">
      <w:pPr>
        <w:spacing w:line="360" w:lineRule="auto"/>
        <w:jc w:val="center"/>
        <w:rPr>
          <w:rFonts w:ascii="宋体" w:hAnsi="宋体" w:cs="宋体"/>
          <w:b/>
          <w:bCs/>
          <w:color w:val="auto"/>
          <w:sz w:val="24"/>
          <w:highlight w:val="none"/>
        </w:rPr>
      </w:pPr>
      <w:r>
        <w:rPr>
          <w:rFonts w:hint="eastAsia" w:ascii="宋体" w:hAnsi="宋体" w:cs="宋体"/>
          <w:b/>
          <w:color w:val="auto"/>
          <w:sz w:val="24"/>
          <w:highlight w:val="none"/>
        </w:rPr>
        <w:t>自评表</w:t>
      </w:r>
    </w:p>
    <w:tbl>
      <w:tblPr>
        <w:tblStyle w:val="65"/>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14:paraId="575F3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14:paraId="1C0F27A7">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vAlign w:val="center"/>
          </w:tcPr>
          <w:p w14:paraId="5F2CBAE1">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供应商自评栏</w:t>
            </w:r>
          </w:p>
        </w:tc>
      </w:tr>
      <w:tr w14:paraId="509AB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14:paraId="284AF644">
            <w:pPr>
              <w:spacing w:line="360" w:lineRule="auto"/>
              <w:jc w:val="center"/>
              <w:rPr>
                <w:rFonts w:ascii="宋体" w:hAnsi="宋体" w:cs="宋体"/>
                <w:b/>
                <w:bCs/>
                <w:color w:val="auto"/>
                <w:sz w:val="24"/>
                <w:highlight w:val="none"/>
              </w:rPr>
            </w:pPr>
          </w:p>
        </w:tc>
        <w:tc>
          <w:tcPr>
            <w:tcW w:w="2145" w:type="dxa"/>
            <w:vAlign w:val="center"/>
          </w:tcPr>
          <w:p w14:paraId="26D2616F">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vAlign w:val="center"/>
          </w:tcPr>
          <w:p w14:paraId="0A389B5C">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自评依据及标书页码</w:t>
            </w:r>
          </w:p>
        </w:tc>
      </w:tr>
      <w:tr w14:paraId="35A7B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14:paraId="77686335">
            <w:pPr>
              <w:spacing w:line="360" w:lineRule="auto"/>
              <w:jc w:val="center"/>
              <w:rPr>
                <w:rFonts w:ascii="宋体" w:hAnsi="宋体" w:cs="宋体"/>
                <w:b/>
                <w:bCs/>
                <w:color w:val="auto"/>
                <w:sz w:val="24"/>
                <w:highlight w:val="none"/>
              </w:rPr>
            </w:pPr>
            <w:r>
              <w:rPr>
                <w:rFonts w:hint="eastAsia" w:ascii="宋体" w:hAnsi="宋体" w:cs="宋体"/>
                <w:b/>
                <w:bCs/>
                <w:color w:val="auto"/>
                <w:sz w:val="28"/>
                <w:szCs w:val="28"/>
                <w:highlight w:val="none"/>
              </w:rPr>
              <w:t>商务资信分（X分）</w:t>
            </w:r>
          </w:p>
        </w:tc>
        <w:tc>
          <w:tcPr>
            <w:tcW w:w="3300" w:type="dxa"/>
            <w:tcBorders>
              <w:bottom w:val="single" w:color="auto" w:sz="4" w:space="0"/>
            </w:tcBorders>
            <w:vAlign w:val="center"/>
          </w:tcPr>
          <w:p w14:paraId="73FE6638">
            <w:pPr>
              <w:widowControl/>
              <w:spacing w:line="360" w:lineRule="auto"/>
              <w:jc w:val="center"/>
              <w:rPr>
                <w:rFonts w:ascii="宋体" w:hAnsi="宋体" w:cs="宋体"/>
                <w:color w:val="auto"/>
                <w:kern w:val="0"/>
                <w:szCs w:val="21"/>
                <w:highlight w:val="none"/>
              </w:rPr>
            </w:pPr>
          </w:p>
        </w:tc>
        <w:tc>
          <w:tcPr>
            <w:tcW w:w="2145" w:type="dxa"/>
            <w:tcBorders>
              <w:bottom w:val="single" w:color="auto" w:sz="4" w:space="0"/>
            </w:tcBorders>
            <w:vAlign w:val="center"/>
          </w:tcPr>
          <w:p w14:paraId="029BBD53">
            <w:pPr>
              <w:spacing w:line="360" w:lineRule="auto"/>
              <w:jc w:val="left"/>
              <w:rPr>
                <w:rFonts w:ascii="宋体" w:hAnsi="宋体" w:cs="宋体"/>
                <w:color w:val="auto"/>
                <w:szCs w:val="21"/>
                <w:highlight w:val="none"/>
              </w:rPr>
            </w:pPr>
          </w:p>
        </w:tc>
        <w:tc>
          <w:tcPr>
            <w:tcW w:w="2109" w:type="dxa"/>
            <w:tcBorders>
              <w:bottom w:val="single" w:color="auto" w:sz="4" w:space="0"/>
            </w:tcBorders>
            <w:vAlign w:val="center"/>
          </w:tcPr>
          <w:p w14:paraId="4F8A1F2C">
            <w:pPr>
              <w:spacing w:line="360" w:lineRule="auto"/>
              <w:jc w:val="center"/>
              <w:rPr>
                <w:rFonts w:ascii="宋体" w:hAnsi="宋体" w:cs="宋体"/>
                <w:b/>
                <w:bCs/>
                <w:color w:val="auto"/>
                <w:szCs w:val="21"/>
                <w:highlight w:val="none"/>
              </w:rPr>
            </w:pPr>
          </w:p>
        </w:tc>
      </w:tr>
      <w:tr w14:paraId="38A88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78667FF6">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59AFD10D">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288ED785">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544A3AD4">
            <w:pPr>
              <w:spacing w:line="360" w:lineRule="auto"/>
              <w:jc w:val="center"/>
              <w:rPr>
                <w:rFonts w:ascii="宋体" w:hAnsi="宋体" w:cs="宋体"/>
                <w:b/>
                <w:bCs/>
                <w:color w:val="auto"/>
                <w:szCs w:val="21"/>
                <w:highlight w:val="none"/>
              </w:rPr>
            </w:pPr>
          </w:p>
        </w:tc>
      </w:tr>
      <w:tr w14:paraId="7249A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7A22048C">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6A18E9A5">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3538EE5B">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32300A7C">
            <w:pPr>
              <w:spacing w:line="360" w:lineRule="auto"/>
              <w:jc w:val="center"/>
              <w:rPr>
                <w:rFonts w:ascii="宋体" w:hAnsi="宋体" w:cs="宋体"/>
                <w:b/>
                <w:bCs/>
                <w:color w:val="auto"/>
                <w:szCs w:val="21"/>
                <w:highlight w:val="none"/>
              </w:rPr>
            </w:pPr>
          </w:p>
        </w:tc>
      </w:tr>
      <w:tr w14:paraId="55993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13CC3B9E">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6AFCFEE9">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5DFCDF0A">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0F2F41B4">
            <w:pPr>
              <w:spacing w:line="360" w:lineRule="auto"/>
              <w:jc w:val="center"/>
              <w:rPr>
                <w:rFonts w:ascii="宋体" w:hAnsi="宋体" w:cs="宋体"/>
                <w:b/>
                <w:bCs/>
                <w:color w:val="auto"/>
                <w:szCs w:val="21"/>
                <w:highlight w:val="none"/>
              </w:rPr>
            </w:pPr>
          </w:p>
        </w:tc>
      </w:tr>
      <w:tr w14:paraId="01F6D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7552F463">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03D87061">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68C6BC37">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1FFC7B55">
            <w:pPr>
              <w:spacing w:line="360" w:lineRule="auto"/>
              <w:jc w:val="center"/>
              <w:rPr>
                <w:rFonts w:ascii="宋体" w:hAnsi="宋体" w:cs="宋体"/>
                <w:b/>
                <w:bCs/>
                <w:color w:val="auto"/>
                <w:szCs w:val="21"/>
                <w:highlight w:val="none"/>
              </w:rPr>
            </w:pPr>
          </w:p>
        </w:tc>
      </w:tr>
      <w:tr w14:paraId="6D08B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6546881A">
            <w:pPr>
              <w:spacing w:line="360" w:lineRule="exact"/>
              <w:jc w:val="center"/>
              <w:rPr>
                <w:rFonts w:ascii="宋体" w:hAnsi="宋体" w:cs="宋体"/>
                <w:b/>
                <w:bCs/>
                <w:color w:val="auto"/>
                <w:sz w:val="28"/>
                <w:szCs w:val="28"/>
                <w:highlight w:val="none"/>
              </w:rPr>
            </w:pPr>
          </w:p>
        </w:tc>
        <w:tc>
          <w:tcPr>
            <w:tcW w:w="3300" w:type="dxa"/>
            <w:tcBorders>
              <w:top w:val="single" w:color="auto" w:sz="4" w:space="0"/>
            </w:tcBorders>
            <w:vAlign w:val="center"/>
          </w:tcPr>
          <w:p w14:paraId="5F2A208A">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6BB91EB2">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2DD4DB9C">
            <w:pPr>
              <w:spacing w:line="360" w:lineRule="auto"/>
              <w:jc w:val="center"/>
              <w:rPr>
                <w:rFonts w:ascii="宋体" w:hAnsi="宋体" w:cs="宋体"/>
                <w:b/>
                <w:bCs/>
                <w:color w:val="auto"/>
                <w:szCs w:val="21"/>
                <w:highlight w:val="none"/>
              </w:rPr>
            </w:pPr>
          </w:p>
        </w:tc>
      </w:tr>
      <w:tr w14:paraId="27CF2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14:paraId="6FD51624">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技术分（X分）</w:t>
            </w:r>
          </w:p>
        </w:tc>
        <w:tc>
          <w:tcPr>
            <w:tcW w:w="3300" w:type="dxa"/>
            <w:vAlign w:val="center"/>
          </w:tcPr>
          <w:p w14:paraId="7E330F05">
            <w:pPr>
              <w:widowControl/>
              <w:spacing w:line="360" w:lineRule="auto"/>
              <w:jc w:val="center"/>
              <w:rPr>
                <w:rFonts w:ascii="宋体" w:hAnsi="宋体" w:cs="宋体"/>
                <w:color w:val="auto"/>
                <w:kern w:val="0"/>
                <w:szCs w:val="21"/>
                <w:highlight w:val="none"/>
              </w:rPr>
            </w:pPr>
          </w:p>
        </w:tc>
        <w:tc>
          <w:tcPr>
            <w:tcW w:w="2145" w:type="dxa"/>
            <w:vAlign w:val="center"/>
          </w:tcPr>
          <w:p w14:paraId="2D7D43AC">
            <w:pPr>
              <w:spacing w:line="360" w:lineRule="auto"/>
              <w:jc w:val="left"/>
              <w:rPr>
                <w:rFonts w:ascii="宋体" w:hAnsi="宋体" w:cs="宋体"/>
                <w:color w:val="auto"/>
                <w:szCs w:val="21"/>
                <w:highlight w:val="none"/>
              </w:rPr>
            </w:pPr>
          </w:p>
        </w:tc>
        <w:tc>
          <w:tcPr>
            <w:tcW w:w="2109" w:type="dxa"/>
            <w:vAlign w:val="center"/>
          </w:tcPr>
          <w:p w14:paraId="455F6E88">
            <w:pPr>
              <w:spacing w:line="360" w:lineRule="auto"/>
              <w:jc w:val="center"/>
              <w:rPr>
                <w:rFonts w:ascii="宋体" w:hAnsi="宋体" w:cs="宋体"/>
                <w:b/>
                <w:bCs/>
                <w:color w:val="auto"/>
                <w:szCs w:val="21"/>
                <w:highlight w:val="none"/>
              </w:rPr>
            </w:pPr>
          </w:p>
        </w:tc>
      </w:tr>
      <w:tr w14:paraId="5F804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3AEAB2F5">
            <w:pPr>
              <w:spacing w:line="360" w:lineRule="auto"/>
              <w:rPr>
                <w:rFonts w:ascii="宋体" w:hAnsi="宋体" w:cs="宋体"/>
                <w:color w:val="auto"/>
                <w:szCs w:val="21"/>
                <w:highlight w:val="none"/>
              </w:rPr>
            </w:pPr>
          </w:p>
        </w:tc>
        <w:tc>
          <w:tcPr>
            <w:tcW w:w="3300" w:type="dxa"/>
            <w:vAlign w:val="center"/>
          </w:tcPr>
          <w:p w14:paraId="0E7D663B">
            <w:pPr>
              <w:widowControl/>
              <w:spacing w:line="360" w:lineRule="auto"/>
              <w:jc w:val="center"/>
              <w:rPr>
                <w:rFonts w:ascii="宋体" w:hAnsi="宋体" w:cs="宋体"/>
                <w:color w:val="auto"/>
                <w:kern w:val="0"/>
                <w:szCs w:val="21"/>
                <w:highlight w:val="none"/>
              </w:rPr>
            </w:pPr>
          </w:p>
        </w:tc>
        <w:tc>
          <w:tcPr>
            <w:tcW w:w="2145" w:type="dxa"/>
            <w:vAlign w:val="center"/>
          </w:tcPr>
          <w:p w14:paraId="111E901C">
            <w:pPr>
              <w:spacing w:line="360" w:lineRule="auto"/>
              <w:jc w:val="left"/>
              <w:rPr>
                <w:rFonts w:ascii="宋体" w:hAnsi="宋体" w:cs="宋体"/>
                <w:color w:val="auto"/>
                <w:szCs w:val="21"/>
                <w:highlight w:val="none"/>
              </w:rPr>
            </w:pPr>
          </w:p>
        </w:tc>
        <w:tc>
          <w:tcPr>
            <w:tcW w:w="2109" w:type="dxa"/>
            <w:vAlign w:val="center"/>
          </w:tcPr>
          <w:p w14:paraId="2B18F1DE">
            <w:pPr>
              <w:spacing w:line="360" w:lineRule="auto"/>
              <w:jc w:val="center"/>
              <w:rPr>
                <w:rFonts w:ascii="宋体" w:hAnsi="宋体" w:cs="宋体"/>
                <w:b/>
                <w:bCs/>
                <w:color w:val="auto"/>
                <w:szCs w:val="21"/>
                <w:highlight w:val="none"/>
              </w:rPr>
            </w:pPr>
          </w:p>
        </w:tc>
      </w:tr>
      <w:tr w14:paraId="0CB3D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321E4309">
            <w:pPr>
              <w:spacing w:line="360" w:lineRule="auto"/>
              <w:rPr>
                <w:rFonts w:ascii="宋体" w:hAnsi="宋体" w:cs="宋体"/>
                <w:color w:val="auto"/>
                <w:szCs w:val="21"/>
                <w:highlight w:val="none"/>
              </w:rPr>
            </w:pPr>
          </w:p>
        </w:tc>
        <w:tc>
          <w:tcPr>
            <w:tcW w:w="3300" w:type="dxa"/>
            <w:vAlign w:val="center"/>
          </w:tcPr>
          <w:p w14:paraId="63ADB835">
            <w:pPr>
              <w:widowControl/>
              <w:spacing w:line="360" w:lineRule="auto"/>
              <w:jc w:val="center"/>
              <w:rPr>
                <w:rFonts w:ascii="宋体" w:hAnsi="宋体" w:cs="宋体"/>
                <w:color w:val="auto"/>
                <w:kern w:val="0"/>
                <w:szCs w:val="21"/>
                <w:highlight w:val="none"/>
              </w:rPr>
            </w:pPr>
          </w:p>
        </w:tc>
        <w:tc>
          <w:tcPr>
            <w:tcW w:w="2145" w:type="dxa"/>
            <w:vAlign w:val="center"/>
          </w:tcPr>
          <w:p w14:paraId="162F0675">
            <w:pPr>
              <w:spacing w:line="360" w:lineRule="auto"/>
              <w:jc w:val="left"/>
              <w:rPr>
                <w:rFonts w:ascii="宋体" w:hAnsi="宋体" w:cs="宋体"/>
                <w:color w:val="auto"/>
                <w:szCs w:val="21"/>
                <w:highlight w:val="none"/>
              </w:rPr>
            </w:pPr>
          </w:p>
        </w:tc>
        <w:tc>
          <w:tcPr>
            <w:tcW w:w="2109" w:type="dxa"/>
            <w:vAlign w:val="center"/>
          </w:tcPr>
          <w:p w14:paraId="30499E46">
            <w:pPr>
              <w:spacing w:line="360" w:lineRule="auto"/>
              <w:jc w:val="center"/>
              <w:rPr>
                <w:rFonts w:ascii="宋体" w:hAnsi="宋体" w:cs="宋体"/>
                <w:b/>
                <w:bCs/>
                <w:color w:val="auto"/>
                <w:szCs w:val="21"/>
                <w:highlight w:val="none"/>
              </w:rPr>
            </w:pPr>
          </w:p>
        </w:tc>
      </w:tr>
      <w:tr w14:paraId="34327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11F208A6">
            <w:pPr>
              <w:spacing w:line="360" w:lineRule="auto"/>
              <w:rPr>
                <w:rFonts w:ascii="宋体" w:hAnsi="宋体" w:cs="宋体"/>
                <w:color w:val="auto"/>
                <w:szCs w:val="21"/>
                <w:highlight w:val="none"/>
              </w:rPr>
            </w:pPr>
          </w:p>
        </w:tc>
        <w:tc>
          <w:tcPr>
            <w:tcW w:w="3300" w:type="dxa"/>
            <w:vAlign w:val="center"/>
          </w:tcPr>
          <w:p w14:paraId="5EC089F2">
            <w:pPr>
              <w:widowControl/>
              <w:spacing w:line="360" w:lineRule="auto"/>
              <w:jc w:val="center"/>
              <w:rPr>
                <w:rFonts w:ascii="宋体" w:hAnsi="宋体" w:cs="宋体"/>
                <w:color w:val="auto"/>
                <w:kern w:val="0"/>
                <w:szCs w:val="21"/>
                <w:highlight w:val="none"/>
              </w:rPr>
            </w:pPr>
          </w:p>
        </w:tc>
        <w:tc>
          <w:tcPr>
            <w:tcW w:w="2145" w:type="dxa"/>
            <w:vAlign w:val="center"/>
          </w:tcPr>
          <w:p w14:paraId="7BFDE403">
            <w:pPr>
              <w:spacing w:line="360" w:lineRule="auto"/>
              <w:jc w:val="left"/>
              <w:rPr>
                <w:rFonts w:ascii="宋体" w:hAnsi="宋体" w:cs="宋体"/>
                <w:color w:val="auto"/>
                <w:szCs w:val="21"/>
                <w:highlight w:val="none"/>
              </w:rPr>
            </w:pPr>
          </w:p>
        </w:tc>
        <w:tc>
          <w:tcPr>
            <w:tcW w:w="2109" w:type="dxa"/>
            <w:vAlign w:val="center"/>
          </w:tcPr>
          <w:p w14:paraId="2CD2AB83">
            <w:pPr>
              <w:spacing w:line="360" w:lineRule="auto"/>
              <w:jc w:val="center"/>
              <w:rPr>
                <w:rFonts w:ascii="宋体" w:hAnsi="宋体" w:cs="宋体"/>
                <w:b/>
                <w:bCs/>
                <w:color w:val="auto"/>
                <w:szCs w:val="21"/>
                <w:highlight w:val="none"/>
              </w:rPr>
            </w:pPr>
          </w:p>
        </w:tc>
      </w:tr>
      <w:tr w14:paraId="10B43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335DB8E9">
            <w:pPr>
              <w:spacing w:line="360" w:lineRule="auto"/>
              <w:rPr>
                <w:rFonts w:ascii="宋体" w:hAnsi="宋体" w:cs="宋体"/>
                <w:color w:val="auto"/>
                <w:szCs w:val="21"/>
                <w:highlight w:val="none"/>
              </w:rPr>
            </w:pPr>
          </w:p>
        </w:tc>
        <w:tc>
          <w:tcPr>
            <w:tcW w:w="3300" w:type="dxa"/>
            <w:vAlign w:val="center"/>
          </w:tcPr>
          <w:p w14:paraId="779C2BAB">
            <w:pPr>
              <w:widowControl/>
              <w:spacing w:line="360" w:lineRule="auto"/>
              <w:jc w:val="center"/>
              <w:rPr>
                <w:rFonts w:ascii="宋体" w:hAnsi="宋体" w:cs="宋体"/>
                <w:color w:val="auto"/>
                <w:kern w:val="0"/>
                <w:szCs w:val="21"/>
                <w:highlight w:val="none"/>
              </w:rPr>
            </w:pPr>
          </w:p>
        </w:tc>
        <w:tc>
          <w:tcPr>
            <w:tcW w:w="2145" w:type="dxa"/>
            <w:vAlign w:val="center"/>
          </w:tcPr>
          <w:p w14:paraId="6C621968">
            <w:pPr>
              <w:spacing w:line="360" w:lineRule="auto"/>
              <w:jc w:val="left"/>
              <w:rPr>
                <w:rFonts w:ascii="宋体" w:hAnsi="宋体" w:cs="宋体"/>
                <w:color w:val="auto"/>
                <w:szCs w:val="21"/>
                <w:highlight w:val="none"/>
              </w:rPr>
            </w:pPr>
          </w:p>
        </w:tc>
        <w:tc>
          <w:tcPr>
            <w:tcW w:w="2109" w:type="dxa"/>
            <w:vAlign w:val="center"/>
          </w:tcPr>
          <w:p w14:paraId="096ACEC0">
            <w:pPr>
              <w:spacing w:line="360" w:lineRule="auto"/>
              <w:jc w:val="center"/>
              <w:rPr>
                <w:rFonts w:ascii="宋体" w:hAnsi="宋体" w:cs="宋体"/>
                <w:b/>
                <w:bCs/>
                <w:color w:val="auto"/>
                <w:szCs w:val="21"/>
                <w:highlight w:val="none"/>
              </w:rPr>
            </w:pPr>
          </w:p>
        </w:tc>
      </w:tr>
      <w:tr w14:paraId="66A77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2AAEFEFC">
            <w:pPr>
              <w:spacing w:line="360" w:lineRule="auto"/>
              <w:rPr>
                <w:rFonts w:ascii="宋体" w:hAnsi="宋体" w:cs="宋体"/>
                <w:color w:val="auto"/>
                <w:szCs w:val="21"/>
                <w:highlight w:val="none"/>
              </w:rPr>
            </w:pPr>
          </w:p>
        </w:tc>
        <w:tc>
          <w:tcPr>
            <w:tcW w:w="3300" w:type="dxa"/>
            <w:vAlign w:val="center"/>
          </w:tcPr>
          <w:p w14:paraId="7A1BEED9">
            <w:pPr>
              <w:widowControl/>
              <w:spacing w:line="360" w:lineRule="auto"/>
              <w:jc w:val="center"/>
              <w:rPr>
                <w:rFonts w:ascii="宋体" w:hAnsi="宋体" w:cs="宋体"/>
                <w:color w:val="auto"/>
                <w:kern w:val="0"/>
                <w:szCs w:val="21"/>
                <w:highlight w:val="none"/>
              </w:rPr>
            </w:pPr>
          </w:p>
        </w:tc>
        <w:tc>
          <w:tcPr>
            <w:tcW w:w="2145" w:type="dxa"/>
            <w:vAlign w:val="center"/>
          </w:tcPr>
          <w:p w14:paraId="3D6CBAD3">
            <w:pPr>
              <w:spacing w:line="360" w:lineRule="auto"/>
              <w:jc w:val="left"/>
              <w:rPr>
                <w:rFonts w:ascii="宋体" w:hAnsi="宋体" w:cs="宋体"/>
                <w:color w:val="auto"/>
                <w:szCs w:val="21"/>
                <w:highlight w:val="none"/>
              </w:rPr>
            </w:pPr>
          </w:p>
        </w:tc>
        <w:tc>
          <w:tcPr>
            <w:tcW w:w="2109" w:type="dxa"/>
            <w:vAlign w:val="center"/>
          </w:tcPr>
          <w:p w14:paraId="4AB17D6C">
            <w:pPr>
              <w:spacing w:line="360" w:lineRule="auto"/>
              <w:jc w:val="center"/>
              <w:rPr>
                <w:rFonts w:ascii="宋体" w:hAnsi="宋体" w:cs="宋体"/>
                <w:b/>
                <w:bCs/>
                <w:color w:val="auto"/>
                <w:szCs w:val="21"/>
                <w:highlight w:val="none"/>
              </w:rPr>
            </w:pPr>
          </w:p>
        </w:tc>
      </w:tr>
      <w:tr w14:paraId="3FD0E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14:paraId="200D3478">
            <w:pPr>
              <w:spacing w:line="380" w:lineRule="exact"/>
              <w:jc w:val="center"/>
              <w:rPr>
                <w:rFonts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vAlign w:val="center"/>
          </w:tcPr>
          <w:p w14:paraId="348F8AEA">
            <w:pPr>
              <w:spacing w:line="360" w:lineRule="auto"/>
              <w:jc w:val="center"/>
              <w:rPr>
                <w:rFonts w:ascii="宋体" w:hAnsi="宋体" w:cs="宋体"/>
                <w:b/>
                <w:bCs/>
                <w:color w:val="auto"/>
                <w:sz w:val="24"/>
                <w:highlight w:val="none"/>
              </w:rPr>
            </w:pPr>
          </w:p>
        </w:tc>
      </w:tr>
    </w:tbl>
    <w:p w14:paraId="2C2F6F09">
      <w:pPr>
        <w:snapToGrid w:val="0"/>
        <w:spacing w:before="120" w:beforeLines="50" w:after="50"/>
        <w:rPr>
          <w:rFonts w:ascii="宋体" w:hAnsi="宋体" w:cs="宋体"/>
          <w:b/>
          <w:color w:val="auto"/>
          <w:sz w:val="32"/>
          <w:szCs w:val="32"/>
          <w:highlight w:val="none"/>
        </w:rPr>
      </w:pPr>
    </w:p>
    <w:p w14:paraId="778EAB95">
      <w:pPr>
        <w:snapToGrid w:val="0"/>
        <w:spacing w:before="120" w:beforeLines="50" w:after="50"/>
        <w:jc w:val="center"/>
        <w:rPr>
          <w:rFonts w:ascii="宋体" w:hAnsi="宋体" w:cs="宋体"/>
          <w:b/>
          <w:color w:val="auto"/>
          <w:sz w:val="32"/>
          <w:szCs w:val="32"/>
          <w:highlight w:val="none"/>
        </w:rPr>
      </w:pPr>
    </w:p>
    <w:p w14:paraId="04C4E21F">
      <w:pPr>
        <w:snapToGrid w:val="0"/>
        <w:spacing w:before="120" w:beforeLines="50" w:after="50"/>
        <w:jc w:val="center"/>
        <w:rPr>
          <w:rFonts w:ascii="宋体" w:hAnsi="宋体" w:cs="宋体"/>
          <w:b/>
          <w:color w:val="auto"/>
          <w:sz w:val="32"/>
          <w:szCs w:val="32"/>
          <w:highlight w:val="none"/>
        </w:rPr>
      </w:pPr>
    </w:p>
    <w:p w14:paraId="2B8498C1">
      <w:pPr>
        <w:snapToGrid w:val="0"/>
        <w:spacing w:before="120" w:beforeLines="50" w:after="50"/>
        <w:jc w:val="center"/>
        <w:rPr>
          <w:rFonts w:ascii="宋体" w:hAnsi="宋体" w:cs="宋体"/>
          <w:b/>
          <w:color w:val="auto"/>
          <w:sz w:val="32"/>
          <w:szCs w:val="32"/>
          <w:highlight w:val="none"/>
        </w:rPr>
      </w:pPr>
    </w:p>
    <w:p w14:paraId="764EEBC9">
      <w:pPr>
        <w:snapToGrid w:val="0"/>
        <w:spacing w:before="120" w:beforeLines="50" w:after="50"/>
        <w:jc w:val="center"/>
        <w:rPr>
          <w:rFonts w:ascii="宋体" w:hAnsi="宋体" w:cs="宋体"/>
          <w:b/>
          <w:color w:val="auto"/>
          <w:sz w:val="32"/>
          <w:szCs w:val="32"/>
          <w:highlight w:val="none"/>
        </w:rPr>
      </w:pPr>
    </w:p>
    <w:p w14:paraId="30FA4FA9">
      <w:pPr>
        <w:snapToGrid w:val="0"/>
        <w:spacing w:before="120" w:beforeLines="50" w:after="50"/>
        <w:jc w:val="center"/>
        <w:rPr>
          <w:rFonts w:ascii="宋体" w:hAnsi="宋体" w:cs="宋体"/>
          <w:b/>
          <w:color w:val="auto"/>
          <w:sz w:val="32"/>
          <w:szCs w:val="32"/>
          <w:highlight w:val="none"/>
        </w:rPr>
      </w:pPr>
    </w:p>
    <w:p w14:paraId="7D663DB9">
      <w:pPr>
        <w:snapToGrid w:val="0"/>
        <w:spacing w:before="120" w:beforeLines="50" w:after="50"/>
        <w:jc w:val="center"/>
        <w:rPr>
          <w:rFonts w:ascii="宋体" w:hAnsi="宋体" w:cs="宋体"/>
          <w:b/>
          <w:color w:val="auto"/>
          <w:sz w:val="32"/>
          <w:szCs w:val="32"/>
          <w:highlight w:val="none"/>
        </w:rPr>
      </w:pPr>
    </w:p>
    <w:p w14:paraId="39EA7529">
      <w:pPr>
        <w:snapToGrid w:val="0"/>
        <w:spacing w:before="120" w:beforeLines="50" w:after="50"/>
        <w:jc w:val="center"/>
        <w:rPr>
          <w:rFonts w:ascii="宋体" w:hAnsi="宋体" w:cs="宋体"/>
          <w:b/>
          <w:color w:val="auto"/>
          <w:sz w:val="32"/>
          <w:szCs w:val="32"/>
          <w:highlight w:val="none"/>
        </w:rPr>
      </w:pPr>
    </w:p>
    <w:p w14:paraId="396106B8">
      <w:pPr>
        <w:snapToGrid w:val="0"/>
        <w:spacing w:before="120" w:beforeLines="50" w:after="50"/>
        <w:rPr>
          <w:rFonts w:ascii="宋体" w:hAnsi="宋体" w:cs="宋体"/>
          <w:b/>
          <w:color w:val="auto"/>
          <w:sz w:val="32"/>
          <w:szCs w:val="32"/>
          <w:highlight w:val="none"/>
        </w:rPr>
      </w:pPr>
    </w:p>
    <w:p w14:paraId="0DF73DAD">
      <w:pPr>
        <w:snapToGrid w:val="0"/>
        <w:spacing w:before="120" w:beforeLines="50" w:after="50"/>
        <w:jc w:val="center"/>
        <w:rPr>
          <w:rFonts w:hint="eastAsia" w:ascii="宋体" w:hAnsi="宋体" w:cs="宋体"/>
          <w:b/>
          <w:color w:val="auto"/>
          <w:sz w:val="32"/>
          <w:szCs w:val="32"/>
          <w:highlight w:val="none"/>
        </w:rPr>
      </w:pPr>
    </w:p>
    <w:p w14:paraId="23EE0B6F">
      <w:pPr>
        <w:snapToGrid w:val="0"/>
        <w:spacing w:before="120" w:beforeLines="50" w:after="50"/>
        <w:jc w:val="center"/>
        <w:rPr>
          <w:rFonts w:hint="eastAsia" w:ascii="宋体" w:hAnsi="宋体" w:cs="宋体"/>
          <w:b/>
          <w:color w:val="auto"/>
          <w:sz w:val="32"/>
          <w:szCs w:val="32"/>
          <w:highlight w:val="none"/>
        </w:rPr>
      </w:pPr>
    </w:p>
    <w:p w14:paraId="39749DCA">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投标声明书</w:t>
      </w:r>
    </w:p>
    <w:p w14:paraId="708E71F7">
      <w:pPr>
        <w:snapToGrid w:val="0"/>
        <w:spacing w:before="120" w:beforeLines="50" w:after="50" w:line="360" w:lineRule="auto"/>
        <w:rPr>
          <w:rFonts w:ascii="宋体" w:hAnsi="宋体" w:cs="宋体"/>
          <w:color w:val="auto"/>
          <w:sz w:val="24"/>
          <w:highlight w:val="none"/>
        </w:rPr>
      </w:pPr>
    </w:p>
    <w:p w14:paraId="0273B052">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5DBAA46A">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4B3B1F6">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采购项目的投标，为便于贵方公正、择优地确定中标人及其投标产品和服务，我方就本次投标有关事项郑重声明如下：</w:t>
      </w:r>
    </w:p>
    <w:p w14:paraId="28257677">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14:paraId="18F62E04">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21EB86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83AD1A4">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4.我方诚意提请贵方关注：有关该项目的重大决策和事项有：</w:t>
      </w:r>
    </w:p>
    <w:p w14:paraId="573DDA33">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3CB11FD9">
      <w:pPr>
        <w:pStyle w:val="26"/>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14:paraId="4DCAA321">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1BE7C8CE">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14:paraId="334FFDD1">
      <w:pPr>
        <w:pStyle w:val="29"/>
        <w:tabs>
          <w:tab w:val="left" w:pos="939"/>
        </w:tabs>
        <w:snapToGrid w:val="0"/>
        <w:spacing w:line="400" w:lineRule="exact"/>
        <w:ind w:left="773" w:leftChars="150" w:hanging="458" w:hangingChars="191"/>
        <w:rPr>
          <w:rFonts w:ascii="宋体" w:hAnsi="宋体" w:cs="宋体"/>
          <w:color w:val="auto"/>
          <w:sz w:val="24"/>
          <w:highlight w:val="none"/>
        </w:rPr>
      </w:pPr>
    </w:p>
    <w:p w14:paraId="05BF8FEA">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olor w:val="auto"/>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FAD3AE8">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CE53913">
      <w:pPr>
        <w:snapToGrid w:val="0"/>
        <w:spacing w:before="120" w:beforeLines="50" w:after="50" w:line="4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b/>
          <w:color w:val="auto"/>
          <w:sz w:val="24"/>
          <w:highlight w:val="none"/>
        </w:rPr>
        <w:br w:type="page"/>
      </w:r>
    </w:p>
    <w:p w14:paraId="59CD94C4">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52B98BC7">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1C525615">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政府采购项目</w:t>
      </w:r>
      <w:r>
        <w:rPr>
          <w:rFonts w:hint="eastAsia" w:ascii="宋体" w:hAnsi="宋体" w:cs="宋体"/>
          <w:color w:val="auto"/>
          <w:sz w:val="24"/>
          <w:highlight w:val="none"/>
        </w:rPr>
        <w:t>的投标活动，并代表我方全权办理针对上述项目的投标、开标、评标、签约等具体事务和签署相关文件。</w:t>
      </w:r>
    </w:p>
    <w:p w14:paraId="785E4F22">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14:paraId="2D864615">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4F6064FC">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14:paraId="50653324">
      <w:pPr>
        <w:snapToGrid w:val="0"/>
        <w:spacing w:before="120" w:beforeLines="50" w:after="50" w:line="360" w:lineRule="auto"/>
        <w:rPr>
          <w:rFonts w:ascii="宋体" w:hAnsi="宋体" w:cs="宋体"/>
          <w:color w:val="auto"/>
          <w:sz w:val="24"/>
          <w:szCs w:val="20"/>
          <w:highlight w:val="none"/>
        </w:rPr>
      </w:pPr>
    </w:p>
    <w:p w14:paraId="1B7C4C62">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14:paraId="6D04EF8D">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729FBD5B">
      <w:pPr>
        <w:snapToGrid w:val="0"/>
        <w:spacing w:before="120" w:beforeLines="50" w:after="50" w:line="360" w:lineRule="auto"/>
        <w:rPr>
          <w:rFonts w:ascii="宋体" w:hAnsi="宋体" w:cs="宋体"/>
          <w:color w:val="auto"/>
          <w:sz w:val="24"/>
          <w:szCs w:val="20"/>
          <w:highlight w:val="none"/>
        </w:rPr>
      </w:pPr>
    </w:p>
    <w:p w14:paraId="7438DEDE">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14:paraId="00F9B548">
      <w:pPr>
        <w:snapToGrid w:val="0"/>
        <w:spacing w:before="120" w:beforeLines="50" w:after="50" w:line="360" w:lineRule="auto"/>
        <w:rPr>
          <w:rFonts w:ascii="宋体" w:hAnsi="宋体" w:cs="宋体"/>
          <w:color w:val="auto"/>
          <w:sz w:val="24"/>
          <w:highlight w:val="none"/>
        </w:rPr>
      </w:pPr>
    </w:p>
    <w:p w14:paraId="6D96FD76">
      <w:pPr>
        <w:snapToGrid w:val="0"/>
        <w:spacing w:before="120" w:beforeLines="50" w:after="50" w:line="360" w:lineRule="auto"/>
        <w:rPr>
          <w:rFonts w:ascii="宋体" w:hAnsi="宋体" w:cs="宋体"/>
          <w:color w:val="auto"/>
          <w:sz w:val="24"/>
          <w:highlight w:val="none"/>
        </w:rPr>
      </w:pPr>
    </w:p>
    <w:p w14:paraId="105A4196">
      <w:pPr>
        <w:snapToGrid w:val="0"/>
        <w:spacing w:before="120" w:beforeLines="50" w:after="50" w:line="360" w:lineRule="auto"/>
        <w:rPr>
          <w:rFonts w:ascii="宋体" w:hAnsi="宋体" w:cs="宋体"/>
          <w:color w:val="auto"/>
          <w:sz w:val="24"/>
          <w:highlight w:val="none"/>
        </w:rPr>
      </w:pPr>
    </w:p>
    <w:p w14:paraId="6AA3A710">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14:paraId="57FDA345">
      <w:pPr>
        <w:snapToGrid w:val="0"/>
        <w:spacing w:before="120" w:beforeLines="50" w:after="50" w:line="360" w:lineRule="auto"/>
        <w:rPr>
          <w:rFonts w:ascii="宋体" w:hAnsi="宋体" w:cs="宋体"/>
          <w:color w:val="auto"/>
          <w:sz w:val="24"/>
          <w:szCs w:val="20"/>
          <w:highlight w:val="none"/>
        </w:rPr>
      </w:pPr>
    </w:p>
    <w:p w14:paraId="2F8581CA">
      <w:pPr>
        <w:snapToGrid w:val="0"/>
        <w:spacing w:before="120" w:beforeLines="50" w:after="50" w:line="360" w:lineRule="auto"/>
        <w:rPr>
          <w:rFonts w:ascii="宋体" w:hAnsi="宋体" w:cs="宋体"/>
          <w:color w:val="auto"/>
          <w:sz w:val="24"/>
          <w:szCs w:val="20"/>
          <w:highlight w:val="none"/>
        </w:rPr>
      </w:pPr>
    </w:p>
    <w:p w14:paraId="3239882E">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4C9DD555">
      <w:pPr>
        <w:pStyle w:val="967"/>
        <w:spacing w:line="360" w:lineRule="auto"/>
        <w:rPr>
          <w:rFonts w:hAnsi="宋体" w:eastAsia="宋体" w:cs="宋体"/>
          <w:color w:val="auto"/>
          <w:sz w:val="24"/>
          <w:highlight w:val="none"/>
        </w:rPr>
      </w:pPr>
    </w:p>
    <w:p w14:paraId="4436D0D1">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14:paraId="504EF901">
      <w:pPr>
        <w:spacing w:line="360" w:lineRule="auto"/>
        <w:jc w:val="left"/>
        <w:rPr>
          <w:rFonts w:ascii="宋体" w:hAnsi="宋体" w:cs="宋体"/>
          <w:b/>
          <w:color w:val="auto"/>
          <w:sz w:val="24"/>
          <w:highlight w:val="none"/>
        </w:rPr>
      </w:pPr>
    </w:p>
    <w:p w14:paraId="68599948">
      <w:pPr>
        <w:spacing w:line="360" w:lineRule="auto"/>
        <w:jc w:val="center"/>
        <w:rPr>
          <w:rFonts w:ascii="宋体" w:hAnsi="宋体" w:cs="宋体"/>
          <w:b/>
          <w:color w:val="auto"/>
          <w:sz w:val="24"/>
          <w:highlight w:val="none"/>
        </w:rPr>
      </w:pPr>
    </w:p>
    <w:p w14:paraId="146493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诚信承诺书</w:t>
      </w:r>
    </w:p>
    <w:p w14:paraId="6F31EA75">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14:paraId="0495D0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14:paraId="28A260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14:paraId="4CD2E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14:paraId="42BA11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14:paraId="11D37B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14:paraId="0B4DA8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14:paraId="221B40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14:paraId="09BFB5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6E608D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6B00E079">
      <w:pPr>
        <w:spacing w:line="360" w:lineRule="auto"/>
        <w:ind w:firstLine="480" w:firstLineChars="200"/>
        <w:rPr>
          <w:rFonts w:ascii="宋体" w:hAnsi="宋体" w:cs="宋体"/>
          <w:color w:val="auto"/>
          <w:sz w:val="24"/>
          <w:highlight w:val="none"/>
        </w:rPr>
      </w:pPr>
    </w:p>
    <w:p w14:paraId="6C112F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14:paraId="3C3222BE">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245D7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0DD0890">
      <w:pPr>
        <w:pStyle w:val="967"/>
        <w:spacing w:line="360" w:lineRule="auto"/>
        <w:rPr>
          <w:rFonts w:hAnsi="宋体" w:eastAsia="宋体" w:cs="宋体"/>
          <w:color w:val="auto"/>
          <w:sz w:val="24"/>
          <w:highlight w:val="none"/>
        </w:rPr>
      </w:pPr>
    </w:p>
    <w:p w14:paraId="7AE191A1">
      <w:pPr>
        <w:pStyle w:val="967"/>
        <w:spacing w:line="360" w:lineRule="auto"/>
        <w:rPr>
          <w:rFonts w:hAnsi="宋体" w:eastAsia="宋体" w:cs="宋体"/>
          <w:color w:val="auto"/>
          <w:sz w:val="24"/>
          <w:highlight w:val="none"/>
        </w:rPr>
      </w:pPr>
    </w:p>
    <w:p w14:paraId="1DDAE139">
      <w:pPr>
        <w:pStyle w:val="967"/>
        <w:spacing w:line="360" w:lineRule="auto"/>
        <w:rPr>
          <w:rFonts w:hAnsi="宋体" w:eastAsia="宋体" w:cs="宋体"/>
          <w:color w:val="auto"/>
          <w:sz w:val="24"/>
          <w:highlight w:val="none"/>
        </w:rPr>
      </w:pPr>
    </w:p>
    <w:p w14:paraId="429CE8CE">
      <w:pPr>
        <w:pStyle w:val="967"/>
        <w:spacing w:line="360" w:lineRule="auto"/>
        <w:rPr>
          <w:rFonts w:hAnsi="宋体" w:eastAsia="宋体" w:cs="宋体"/>
          <w:color w:val="auto"/>
          <w:sz w:val="24"/>
          <w:highlight w:val="none"/>
        </w:rPr>
      </w:pPr>
    </w:p>
    <w:p w14:paraId="089804CB">
      <w:pPr>
        <w:pStyle w:val="967"/>
        <w:spacing w:line="360" w:lineRule="auto"/>
        <w:rPr>
          <w:rFonts w:hAnsi="宋体" w:eastAsia="宋体" w:cs="宋体"/>
          <w:color w:val="auto"/>
          <w:sz w:val="24"/>
          <w:highlight w:val="none"/>
        </w:rPr>
      </w:pPr>
    </w:p>
    <w:p w14:paraId="1C8FF715">
      <w:pPr>
        <w:pStyle w:val="967"/>
        <w:spacing w:line="360" w:lineRule="auto"/>
        <w:rPr>
          <w:rFonts w:hAnsi="宋体" w:eastAsia="宋体" w:cs="宋体"/>
          <w:color w:val="auto"/>
          <w:sz w:val="24"/>
          <w:highlight w:val="none"/>
        </w:rPr>
      </w:pPr>
    </w:p>
    <w:p w14:paraId="65D3CF83">
      <w:pPr>
        <w:pStyle w:val="967"/>
        <w:spacing w:line="360" w:lineRule="auto"/>
        <w:rPr>
          <w:rFonts w:hAnsi="宋体" w:eastAsia="宋体" w:cs="宋体"/>
          <w:color w:val="auto"/>
          <w:sz w:val="24"/>
          <w:highlight w:val="none"/>
        </w:rPr>
      </w:pPr>
    </w:p>
    <w:p w14:paraId="0753C94C">
      <w:pPr>
        <w:pStyle w:val="967"/>
        <w:spacing w:line="360" w:lineRule="auto"/>
        <w:rPr>
          <w:rFonts w:hAnsi="宋体" w:eastAsia="宋体" w:cs="宋体"/>
          <w:color w:val="auto"/>
          <w:sz w:val="24"/>
          <w:highlight w:val="none"/>
        </w:rPr>
      </w:pPr>
    </w:p>
    <w:p w14:paraId="1EA2CF00">
      <w:pPr>
        <w:wordWrap w:val="0"/>
        <w:spacing w:before="120" w:beforeLines="50" w:line="360" w:lineRule="auto"/>
        <w:rPr>
          <w:rFonts w:ascii="宋体" w:hAnsi="宋体" w:cs="宋体"/>
          <w:b/>
          <w:color w:val="auto"/>
          <w:sz w:val="28"/>
          <w:szCs w:val="30"/>
          <w:highlight w:val="none"/>
        </w:rPr>
      </w:pPr>
    </w:p>
    <w:p w14:paraId="33DB77ED">
      <w:pPr>
        <w:wordWrap w:val="0"/>
        <w:spacing w:before="120" w:beforeLines="50" w:line="360" w:lineRule="auto"/>
        <w:ind w:firstLine="562"/>
        <w:jc w:val="center"/>
        <w:rPr>
          <w:rFonts w:ascii="宋体" w:hAnsi="宋体" w:cs="宋体"/>
          <w:b/>
          <w:color w:val="auto"/>
          <w:sz w:val="28"/>
          <w:szCs w:val="30"/>
          <w:highlight w:val="none"/>
        </w:rPr>
      </w:pPr>
      <w:r>
        <w:rPr>
          <w:rFonts w:hint="eastAsia" w:ascii="宋体" w:hAnsi="宋体" w:cs="宋体"/>
          <w:b/>
          <w:color w:val="auto"/>
          <w:sz w:val="28"/>
          <w:szCs w:val="30"/>
          <w:highlight w:val="none"/>
        </w:rPr>
        <w:t>投标人基本情况表</w:t>
      </w:r>
    </w:p>
    <w:tbl>
      <w:tblPr>
        <w:tblStyle w:val="65"/>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14:paraId="7824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1FEF546">
            <w:pPr>
              <w:rPr>
                <w:rFonts w:ascii="宋体" w:hAnsi="宋体" w:cs="宋体"/>
                <w:color w:val="auto"/>
                <w:sz w:val="22"/>
                <w:szCs w:val="28"/>
                <w:highlight w:val="none"/>
              </w:rPr>
            </w:pPr>
            <w:r>
              <w:rPr>
                <w:rFonts w:hint="eastAsia" w:ascii="宋体" w:hAnsi="宋体" w:cs="宋体"/>
                <w:color w:val="auto"/>
                <w:sz w:val="22"/>
                <w:szCs w:val="28"/>
                <w:highlight w:val="none"/>
              </w:rPr>
              <w:t>投标人名称</w:t>
            </w:r>
          </w:p>
        </w:tc>
        <w:tc>
          <w:tcPr>
            <w:tcW w:w="6339" w:type="dxa"/>
            <w:gridSpan w:val="3"/>
            <w:vAlign w:val="center"/>
          </w:tcPr>
          <w:p w14:paraId="58545295">
            <w:pPr>
              <w:ind w:firstLine="480"/>
              <w:rPr>
                <w:rFonts w:ascii="宋体" w:hAnsi="宋体" w:cs="宋体"/>
                <w:color w:val="auto"/>
                <w:sz w:val="22"/>
                <w:szCs w:val="28"/>
                <w:highlight w:val="none"/>
              </w:rPr>
            </w:pPr>
          </w:p>
        </w:tc>
      </w:tr>
      <w:tr w14:paraId="4C9D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832814C">
            <w:pPr>
              <w:rPr>
                <w:rFonts w:ascii="宋体" w:hAnsi="宋体" w:cs="宋体"/>
                <w:color w:val="auto"/>
                <w:sz w:val="22"/>
                <w:szCs w:val="28"/>
                <w:highlight w:val="none"/>
              </w:rPr>
            </w:pPr>
            <w:r>
              <w:rPr>
                <w:rFonts w:hint="eastAsia" w:ascii="宋体" w:hAnsi="宋体" w:cs="宋体"/>
                <w:color w:val="auto"/>
                <w:sz w:val="22"/>
                <w:szCs w:val="28"/>
                <w:highlight w:val="none"/>
              </w:rPr>
              <w:t>地址</w:t>
            </w:r>
          </w:p>
        </w:tc>
        <w:tc>
          <w:tcPr>
            <w:tcW w:w="6339" w:type="dxa"/>
            <w:gridSpan w:val="3"/>
            <w:vAlign w:val="center"/>
          </w:tcPr>
          <w:p w14:paraId="49B0268B">
            <w:pPr>
              <w:ind w:firstLine="480"/>
              <w:rPr>
                <w:rFonts w:ascii="宋体" w:hAnsi="宋体" w:cs="宋体"/>
                <w:color w:val="auto"/>
                <w:sz w:val="22"/>
                <w:szCs w:val="28"/>
                <w:highlight w:val="none"/>
              </w:rPr>
            </w:pPr>
          </w:p>
        </w:tc>
      </w:tr>
      <w:tr w14:paraId="4706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14:paraId="2375626F">
            <w:pPr>
              <w:rPr>
                <w:rFonts w:ascii="宋体" w:hAnsi="宋体" w:cs="宋体"/>
                <w:color w:val="auto"/>
                <w:sz w:val="22"/>
                <w:szCs w:val="28"/>
                <w:highlight w:val="none"/>
              </w:rPr>
            </w:pPr>
            <w:r>
              <w:rPr>
                <w:rFonts w:hint="eastAsia" w:ascii="宋体" w:hAnsi="宋体" w:cs="宋体"/>
                <w:color w:val="auto"/>
                <w:sz w:val="22"/>
                <w:szCs w:val="28"/>
                <w:highlight w:val="none"/>
              </w:rPr>
              <w:t>业务（经营）范围</w:t>
            </w:r>
          </w:p>
        </w:tc>
        <w:tc>
          <w:tcPr>
            <w:tcW w:w="2118" w:type="dxa"/>
            <w:vAlign w:val="center"/>
          </w:tcPr>
          <w:p w14:paraId="53C5073F">
            <w:pPr>
              <w:rPr>
                <w:rFonts w:ascii="宋体" w:hAnsi="宋体" w:cs="宋体"/>
                <w:color w:val="auto"/>
                <w:sz w:val="22"/>
                <w:szCs w:val="28"/>
                <w:highlight w:val="none"/>
              </w:rPr>
            </w:pPr>
          </w:p>
        </w:tc>
        <w:tc>
          <w:tcPr>
            <w:tcW w:w="1980" w:type="dxa"/>
            <w:vAlign w:val="center"/>
          </w:tcPr>
          <w:p w14:paraId="2C9F8318">
            <w:pPr>
              <w:rPr>
                <w:rFonts w:ascii="宋体" w:hAnsi="宋体" w:cs="宋体"/>
                <w:color w:val="auto"/>
                <w:sz w:val="22"/>
                <w:szCs w:val="28"/>
                <w:highlight w:val="none"/>
              </w:rPr>
            </w:pPr>
            <w:r>
              <w:rPr>
                <w:rFonts w:hint="eastAsia" w:ascii="宋体" w:hAnsi="宋体" w:cs="宋体"/>
                <w:color w:val="auto"/>
                <w:sz w:val="22"/>
                <w:szCs w:val="28"/>
                <w:highlight w:val="none"/>
              </w:rPr>
              <w:t>机构类型</w:t>
            </w:r>
          </w:p>
        </w:tc>
        <w:tc>
          <w:tcPr>
            <w:tcW w:w="2241" w:type="dxa"/>
            <w:vAlign w:val="center"/>
          </w:tcPr>
          <w:p w14:paraId="04ED24C9">
            <w:pPr>
              <w:rPr>
                <w:rFonts w:ascii="宋体" w:hAnsi="宋体" w:cs="宋体"/>
                <w:color w:val="auto"/>
                <w:sz w:val="22"/>
                <w:szCs w:val="28"/>
                <w:highlight w:val="none"/>
              </w:rPr>
            </w:pPr>
          </w:p>
        </w:tc>
      </w:tr>
      <w:tr w14:paraId="08E1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1BDCDE3">
            <w:pPr>
              <w:rPr>
                <w:rFonts w:ascii="宋体" w:hAnsi="宋体" w:cs="宋体"/>
                <w:color w:val="auto"/>
                <w:sz w:val="22"/>
                <w:szCs w:val="28"/>
                <w:highlight w:val="none"/>
              </w:rPr>
            </w:pPr>
            <w:r>
              <w:rPr>
                <w:rFonts w:hint="eastAsia" w:ascii="宋体" w:hAnsi="宋体" w:cs="宋体"/>
                <w:color w:val="auto"/>
                <w:sz w:val="22"/>
                <w:szCs w:val="28"/>
                <w:highlight w:val="none"/>
              </w:rPr>
              <w:t>成立时间</w:t>
            </w:r>
          </w:p>
        </w:tc>
        <w:tc>
          <w:tcPr>
            <w:tcW w:w="2118" w:type="dxa"/>
            <w:vAlign w:val="center"/>
          </w:tcPr>
          <w:p w14:paraId="12C0ACC5">
            <w:pPr>
              <w:rPr>
                <w:rFonts w:ascii="宋体" w:hAnsi="宋体" w:cs="宋体"/>
                <w:color w:val="auto"/>
                <w:sz w:val="22"/>
                <w:szCs w:val="28"/>
                <w:highlight w:val="none"/>
              </w:rPr>
            </w:pPr>
          </w:p>
        </w:tc>
        <w:tc>
          <w:tcPr>
            <w:tcW w:w="1980" w:type="dxa"/>
            <w:vAlign w:val="center"/>
          </w:tcPr>
          <w:p w14:paraId="583B5BB6">
            <w:pPr>
              <w:rPr>
                <w:rFonts w:ascii="宋体" w:hAnsi="宋体" w:cs="宋体"/>
                <w:color w:val="auto"/>
                <w:sz w:val="22"/>
                <w:szCs w:val="28"/>
                <w:highlight w:val="none"/>
              </w:rPr>
            </w:pPr>
          </w:p>
        </w:tc>
        <w:tc>
          <w:tcPr>
            <w:tcW w:w="2241" w:type="dxa"/>
            <w:vAlign w:val="center"/>
          </w:tcPr>
          <w:p w14:paraId="755B59D1">
            <w:pPr>
              <w:rPr>
                <w:rFonts w:ascii="宋体" w:hAnsi="宋体" w:cs="宋体"/>
                <w:color w:val="auto"/>
                <w:sz w:val="22"/>
                <w:szCs w:val="28"/>
                <w:highlight w:val="none"/>
              </w:rPr>
            </w:pPr>
          </w:p>
        </w:tc>
      </w:tr>
      <w:tr w14:paraId="12A1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0E1C251">
            <w:pPr>
              <w:rPr>
                <w:rFonts w:ascii="宋体" w:hAnsi="宋体" w:cs="宋体"/>
                <w:color w:val="auto"/>
                <w:sz w:val="22"/>
                <w:szCs w:val="28"/>
                <w:highlight w:val="none"/>
              </w:rPr>
            </w:pPr>
            <w:r>
              <w:rPr>
                <w:rFonts w:hint="eastAsia" w:ascii="宋体" w:hAnsi="宋体" w:cs="宋体"/>
                <w:color w:val="auto"/>
                <w:sz w:val="22"/>
                <w:szCs w:val="28"/>
                <w:highlight w:val="none"/>
              </w:rPr>
              <w:t>法定代表人</w:t>
            </w:r>
          </w:p>
        </w:tc>
        <w:tc>
          <w:tcPr>
            <w:tcW w:w="2118" w:type="dxa"/>
            <w:vAlign w:val="center"/>
          </w:tcPr>
          <w:p w14:paraId="02076D35">
            <w:pPr>
              <w:rPr>
                <w:rFonts w:ascii="宋体" w:hAnsi="宋体" w:cs="宋体"/>
                <w:color w:val="auto"/>
                <w:sz w:val="22"/>
                <w:szCs w:val="28"/>
                <w:highlight w:val="none"/>
              </w:rPr>
            </w:pPr>
          </w:p>
        </w:tc>
        <w:tc>
          <w:tcPr>
            <w:tcW w:w="1980" w:type="dxa"/>
            <w:vAlign w:val="center"/>
          </w:tcPr>
          <w:p w14:paraId="19505288">
            <w:pPr>
              <w:rPr>
                <w:rFonts w:ascii="宋体" w:hAnsi="宋体" w:cs="宋体"/>
                <w:color w:val="auto"/>
                <w:sz w:val="22"/>
                <w:szCs w:val="28"/>
                <w:highlight w:val="none"/>
              </w:rPr>
            </w:pPr>
            <w:r>
              <w:rPr>
                <w:rFonts w:hint="eastAsia" w:ascii="宋体" w:hAnsi="宋体" w:cs="宋体"/>
                <w:color w:val="auto"/>
                <w:sz w:val="22"/>
                <w:szCs w:val="28"/>
                <w:highlight w:val="none"/>
              </w:rPr>
              <w:t>联系电话</w:t>
            </w:r>
          </w:p>
        </w:tc>
        <w:tc>
          <w:tcPr>
            <w:tcW w:w="2241" w:type="dxa"/>
            <w:vAlign w:val="center"/>
          </w:tcPr>
          <w:p w14:paraId="61CF684F">
            <w:pPr>
              <w:rPr>
                <w:rFonts w:ascii="宋体" w:hAnsi="宋体" w:cs="宋体"/>
                <w:color w:val="auto"/>
                <w:sz w:val="22"/>
                <w:szCs w:val="28"/>
                <w:highlight w:val="none"/>
              </w:rPr>
            </w:pPr>
          </w:p>
        </w:tc>
      </w:tr>
      <w:tr w14:paraId="1C00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14:paraId="4D22AE28">
            <w:pPr>
              <w:rPr>
                <w:rFonts w:ascii="宋体" w:hAnsi="宋体" w:cs="宋体"/>
                <w:color w:val="auto"/>
                <w:sz w:val="22"/>
                <w:szCs w:val="28"/>
                <w:highlight w:val="none"/>
              </w:rPr>
            </w:pPr>
            <w:r>
              <w:rPr>
                <w:rFonts w:hint="eastAsia" w:ascii="宋体" w:hAnsi="宋体" w:cs="宋体"/>
                <w:color w:val="auto"/>
                <w:sz w:val="22"/>
                <w:szCs w:val="28"/>
                <w:highlight w:val="none"/>
              </w:rPr>
              <w:t>注册资本</w:t>
            </w:r>
          </w:p>
        </w:tc>
        <w:tc>
          <w:tcPr>
            <w:tcW w:w="2118" w:type="dxa"/>
            <w:vAlign w:val="center"/>
          </w:tcPr>
          <w:p w14:paraId="44DBA09B">
            <w:pPr>
              <w:rPr>
                <w:rFonts w:ascii="宋体" w:hAnsi="宋体" w:cs="宋体"/>
                <w:color w:val="auto"/>
                <w:sz w:val="22"/>
                <w:szCs w:val="28"/>
                <w:highlight w:val="none"/>
              </w:rPr>
            </w:pPr>
          </w:p>
        </w:tc>
        <w:tc>
          <w:tcPr>
            <w:tcW w:w="1980" w:type="dxa"/>
            <w:vAlign w:val="center"/>
          </w:tcPr>
          <w:p w14:paraId="02CD27AF">
            <w:pPr>
              <w:rPr>
                <w:rFonts w:ascii="宋体" w:hAnsi="宋体" w:cs="宋体"/>
                <w:color w:val="auto"/>
                <w:sz w:val="22"/>
                <w:szCs w:val="28"/>
                <w:highlight w:val="none"/>
              </w:rPr>
            </w:pPr>
            <w:r>
              <w:rPr>
                <w:rFonts w:hint="eastAsia" w:ascii="宋体" w:hAnsi="宋体" w:cs="宋体"/>
                <w:color w:val="auto"/>
                <w:sz w:val="22"/>
                <w:szCs w:val="28"/>
                <w:highlight w:val="none"/>
              </w:rPr>
              <w:t>技术人员数</w:t>
            </w:r>
          </w:p>
        </w:tc>
        <w:tc>
          <w:tcPr>
            <w:tcW w:w="2241" w:type="dxa"/>
            <w:vAlign w:val="center"/>
          </w:tcPr>
          <w:p w14:paraId="26715A86">
            <w:pPr>
              <w:rPr>
                <w:rFonts w:ascii="宋体" w:hAnsi="宋体" w:cs="宋体"/>
                <w:color w:val="auto"/>
                <w:sz w:val="22"/>
                <w:szCs w:val="28"/>
                <w:highlight w:val="none"/>
              </w:rPr>
            </w:pPr>
          </w:p>
        </w:tc>
      </w:tr>
      <w:tr w14:paraId="2539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A060C2F">
            <w:pPr>
              <w:rPr>
                <w:rFonts w:ascii="宋体" w:hAnsi="宋体" w:cs="宋体"/>
                <w:color w:val="auto"/>
                <w:sz w:val="22"/>
                <w:szCs w:val="28"/>
                <w:highlight w:val="none"/>
              </w:rPr>
            </w:pPr>
            <w:r>
              <w:rPr>
                <w:rFonts w:hint="eastAsia" w:ascii="宋体" w:hAnsi="宋体" w:cs="宋体"/>
                <w:color w:val="auto"/>
                <w:sz w:val="22"/>
                <w:szCs w:val="28"/>
                <w:highlight w:val="none"/>
              </w:rPr>
              <w:t>是否依法纳税</w:t>
            </w:r>
          </w:p>
        </w:tc>
        <w:tc>
          <w:tcPr>
            <w:tcW w:w="2118" w:type="dxa"/>
            <w:vAlign w:val="center"/>
          </w:tcPr>
          <w:p w14:paraId="68507559">
            <w:pPr>
              <w:rPr>
                <w:rFonts w:ascii="宋体" w:hAnsi="宋体" w:cs="宋体"/>
                <w:color w:val="auto"/>
                <w:sz w:val="22"/>
                <w:szCs w:val="28"/>
                <w:highlight w:val="none"/>
              </w:rPr>
            </w:pPr>
          </w:p>
        </w:tc>
        <w:tc>
          <w:tcPr>
            <w:tcW w:w="1980" w:type="dxa"/>
            <w:vAlign w:val="center"/>
          </w:tcPr>
          <w:p w14:paraId="69DEEC9E">
            <w:pPr>
              <w:jc w:val="center"/>
              <w:rPr>
                <w:rFonts w:ascii="宋体" w:hAnsi="宋体" w:cs="宋体"/>
                <w:color w:val="auto"/>
                <w:sz w:val="22"/>
                <w:szCs w:val="28"/>
                <w:highlight w:val="none"/>
              </w:rPr>
            </w:pPr>
            <w:r>
              <w:rPr>
                <w:rFonts w:hint="eastAsia" w:ascii="宋体" w:hAnsi="宋体" w:cs="宋体"/>
                <w:color w:val="auto"/>
                <w:sz w:val="22"/>
                <w:szCs w:val="28"/>
                <w:highlight w:val="none"/>
              </w:rPr>
              <w:t>是否参加社保</w:t>
            </w:r>
          </w:p>
        </w:tc>
        <w:tc>
          <w:tcPr>
            <w:tcW w:w="2241" w:type="dxa"/>
            <w:vAlign w:val="center"/>
          </w:tcPr>
          <w:p w14:paraId="5BF34260">
            <w:pPr>
              <w:rPr>
                <w:rFonts w:ascii="宋体" w:hAnsi="宋体" w:cs="宋体"/>
                <w:color w:val="auto"/>
                <w:sz w:val="22"/>
                <w:szCs w:val="28"/>
                <w:highlight w:val="none"/>
              </w:rPr>
            </w:pPr>
          </w:p>
        </w:tc>
      </w:tr>
      <w:tr w14:paraId="3145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77F9AFED">
            <w:pPr>
              <w:rPr>
                <w:rFonts w:ascii="宋体" w:hAnsi="宋体" w:cs="宋体"/>
                <w:color w:val="auto"/>
                <w:sz w:val="22"/>
                <w:szCs w:val="28"/>
                <w:highlight w:val="none"/>
              </w:rPr>
            </w:pPr>
            <w:r>
              <w:rPr>
                <w:rFonts w:hint="eastAsia" w:ascii="宋体" w:hAnsi="宋体" w:cs="宋体"/>
                <w:color w:val="auto"/>
                <w:sz w:val="22"/>
                <w:szCs w:val="28"/>
                <w:highlight w:val="none"/>
              </w:rPr>
              <w:t>服务机构情况</w:t>
            </w:r>
          </w:p>
        </w:tc>
        <w:tc>
          <w:tcPr>
            <w:tcW w:w="6339" w:type="dxa"/>
            <w:gridSpan w:val="3"/>
            <w:vAlign w:val="center"/>
          </w:tcPr>
          <w:p w14:paraId="08ABB6BE">
            <w:pPr>
              <w:jc w:val="left"/>
              <w:rPr>
                <w:rFonts w:ascii="宋体" w:hAnsi="宋体" w:cs="宋体"/>
                <w:color w:val="auto"/>
                <w:sz w:val="22"/>
                <w:szCs w:val="28"/>
                <w:highlight w:val="none"/>
              </w:rPr>
            </w:pPr>
            <w:r>
              <w:rPr>
                <w:rFonts w:hint="eastAsia" w:ascii="宋体" w:hAnsi="宋体" w:cs="宋体"/>
                <w:color w:val="auto"/>
                <w:sz w:val="22"/>
                <w:szCs w:val="28"/>
                <w:highlight w:val="none"/>
              </w:rPr>
              <w:t>服务机构名称：</w:t>
            </w:r>
          </w:p>
          <w:p w14:paraId="4C4E8770">
            <w:pPr>
              <w:jc w:val="left"/>
              <w:rPr>
                <w:rFonts w:ascii="宋体" w:hAnsi="宋体" w:cs="宋体"/>
                <w:color w:val="auto"/>
                <w:sz w:val="22"/>
                <w:szCs w:val="28"/>
                <w:highlight w:val="none"/>
              </w:rPr>
            </w:pPr>
            <w:r>
              <w:rPr>
                <w:rFonts w:hint="eastAsia" w:ascii="宋体" w:hAnsi="宋体" w:cs="宋体"/>
                <w:color w:val="auto"/>
                <w:sz w:val="22"/>
                <w:szCs w:val="28"/>
                <w:highlight w:val="none"/>
              </w:rPr>
              <w:t>地址：</w:t>
            </w:r>
          </w:p>
          <w:p w14:paraId="18AA1575">
            <w:pPr>
              <w:jc w:val="left"/>
              <w:rPr>
                <w:rFonts w:ascii="宋体" w:hAnsi="宋体" w:cs="宋体"/>
                <w:color w:val="auto"/>
                <w:sz w:val="22"/>
                <w:szCs w:val="28"/>
                <w:highlight w:val="none"/>
              </w:rPr>
            </w:pPr>
            <w:r>
              <w:rPr>
                <w:rFonts w:hint="eastAsia" w:ascii="宋体" w:hAnsi="宋体" w:cs="宋体"/>
                <w:color w:val="auto"/>
                <w:sz w:val="22"/>
                <w:szCs w:val="28"/>
                <w:highlight w:val="none"/>
              </w:rPr>
              <w:t>人员状况：</w:t>
            </w:r>
          </w:p>
          <w:p w14:paraId="7A743477">
            <w:pPr>
              <w:jc w:val="left"/>
              <w:rPr>
                <w:rFonts w:ascii="宋体" w:hAnsi="宋体" w:cs="宋体"/>
                <w:color w:val="auto"/>
                <w:sz w:val="22"/>
                <w:szCs w:val="28"/>
                <w:highlight w:val="none"/>
              </w:rPr>
            </w:pPr>
            <w:r>
              <w:rPr>
                <w:rFonts w:hint="eastAsia" w:ascii="宋体" w:hAnsi="宋体" w:cs="宋体"/>
                <w:color w:val="auto"/>
                <w:sz w:val="22"/>
                <w:szCs w:val="28"/>
                <w:highlight w:val="none"/>
              </w:rPr>
              <w:t>联系方式：</w:t>
            </w:r>
          </w:p>
          <w:p w14:paraId="774AACFF">
            <w:pPr>
              <w:jc w:val="left"/>
              <w:rPr>
                <w:rFonts w:ascii="宋体" w:hAnsi="宋体" w:cs="宋体"/>
                <w:color w:val="auto"/>
                <w:sz w:val="22"/>
                <w:szCs w:val="28"/>
                <w:highlight w:val="none"/>
              </w:rPr>
            </w:pPr>
            <w:r>
              <w:rPr>
                <w:rFonts w:hint="eastAsia" w:ascii="宋体" w:hAnsi="宋体" w:cs="宋体"/>
                <w:color w:val="auto"/>
                <w:sz w:val="22"/>
                <w:szCs w:val="28"/>
                <w:highlight w:val="none"/>
              </w:rPr>
              <w:t>（可另附纸说明）</w:t>
            </w:r>
          </w:p>
        </w:tc>
      </w:tr>
    </w:tbl>
    <w:p w14:paraId="3D4518A7">
      <w:pPr>
        <w:wordWrap w:val="0"/>
        <w:spacing w:before="120" w:beforeLines="50"/>
        <w:rPr>
          <w:rFonts w:ascii="宋体" w:hAnsi="宋体" w:cs="宋体"/>
          <w:b/>
          <w:bCs/>
          <w:color w:val="auto"/>
          <w:sz w:val="24"/>
          <w:highlight w:val="none"/>
        </w:rPr>
      </w:pPr>
    </w:p>
    <w:p w14:paraId="2CDCDD70">
      <w:pPr>
        <w:wordWrap w:val="0"/>
        <w:spacing w:line="360" w:lineRule="auto"/>
        <w:ind w:firstLine="480"/>
        <w:jc w:val="right"/>
        <w:rPr>
          <w:rFonts w:ascii="宋体" w:hAnsi="宋体" w:cs="宋体"/>
          <w:color w:val="auto"/>
          <w:sz w:val="24"/>
          <w:highlight w:val="none"/>
        </w:rPr>
      </w:pPr>
    </w:p>
    <w:p w14:paraId="29FBF8D0">
      <w:pPr>
        <w:spacing w:line="360" w:lineRule="auto"/>
        <w:jc w:val="left"/>
        <w:rPr>
          <w:rFonts w:ascii="宋体" w:hAnsi="宋体" w:cs="宋体"/>
          <w:color w:val="auto"/>
          <w:sz w:val="24"/>
          <w:highlight w:val="none"/>
          <w:u w:val="single"/>
          <w:lang w:bidi="ar"/>
        </w:rPr>
      </w:pPr>
      <w:r>
        <w:rPr>
          <w:rFonts w:hint="eastAsia" w:ascii="宋体" w:hAnsi="宋体" w:cs="宋体"/>
          <w:color w:val="auto"/>
          <w:sz w:val="24"/>
          <w:highlight w:val="none"/>
          <w:lang w:bidi="ar"/>
        </w:rPr>
        <w:t>投标人名称（加盖公章）：</w:t>
      </w:r>
      <w:r>
        <w:rPr>
          <w:rFonts w:hint="eastAsia" w:ascii="宋体" w:hAnsi="宋体" w:cs="宋体"/>
          <w:color w:val="auto"/>
          <w:sz w:val="24"/>
          <w:highlight w:val="none"/>
          <w:u w:val="single"/>
          <w:lang w:bidi="ar"/>
        </w:rPr>
        <w:t xml:space="preserve">                  </w:t>
      </w:r>
    </w:p>
    <w:p w14:paraId="0B705868">
      <w:pPr>
        <w:spacing w:line="360" w:lineRule="auto"/>
        <w:jc w:val="left"/>
        <w:rPr>
          <w:rFonts w:ascii="宋体" w:hAnsi="宋体" w:cs="宋体"/>
          <w:color w:val="auto"/>
          <w:sz w:val="24"/>
          <w:highlight w:val="none"/>
          <w:u w:val="single"/>
          <w:lang w:bidi="ar"/>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A05F85F">
      <w:pPr>
        <w:pStyle w:val="967"/>
        <w:spacing w:line="360" w:lineRule="auto"/>
        <w:jc w:val="left"/>
        <w:rPr>
          <w:rFonts w:hAnsi="宋体" w:eastAsia="宋体" w:cs="宋体"/>
          <w:color w:val="auto"/>
          <w:sz w:val="24"/>
          <w:szCs w:val="24"/>
          <w:highlight w:val="none"/>
        </w:rPr>
      </w:pPr>
      <w:r>
        <w:rPr>
          <w:rFonts w:hint="eastAsia" w:hAnsi="宋体" w:eastAsia="宋体" w:cs="宋体"/>
          <w:color w:val="auto"/>
          <w:sz w:val="24"/>
          <w:szCs w:val="24"/>
          <w:highlight w:val="none"/>
          <w:lang w:bidi="ar"/>
        </w:rPr>
        <w:t>日期：_____年____月____日</w:t>
      </w:r>
    </w:p>
    <w:p w14:paraId="6D5805B0">
      <w:pPr>
        <w:pStyle w:val="967"/>
        <w:spacing w:line="360" w:lineRule="auto"/>
        <w:jc w:val="center"/>
        <w:rPr>
          <w:rFonts w:hAnsi="宋体" w:eastAsia="宋体" w:cs="宋体"/>
          <w:b/>
          <w:color w:val="auto"/>
          <w:sz w:val="24"/>
          <w:szCs w:val="24"/>
          <w:highlight w:val="none"/>
        </w:rPr>
      </w:pPr>
    </w:p>
    <w:p w14:paraId="7B3FA724">
      <w:pPr>
        <w:pStyle w:val="967"/>
        <w:spacing w:line="360" w:lineRule="auto"/>
        <w:jc w:val="center"/>
        <w:rPr>
          <w:rFonts w:hAnsi="宋体" w:eastAsia="宋体" w:cs="宋体"/>
          <w:b/>
          <w:color w:val="auto"/>
          <w:sz w:val="24"/>
          <w:szCs w:val="24"/>
          <w:highlight w:val="none"/>
        </w:rPr>
      </w:pPr>
    </w:p>
    <w:p w14:paraId="36A047AC">
      <w:pPr>
        <w:pStyle w:val="967"/>
        <w:spacing w:line="360" w:lineRule="auto"/>
        <w:jc w:val="center"/>
        <w:rPr>
          <w:rFonts w:hAnsi="宋体" w:eastAsia="宋体" w:cs="宋体"/>
          <w:b/>
          <w:color w:val="auto"/>
          <w:sz w:val="24"/>
          <w:szCs w:val="24"/>
          <w:highlight w:val="none"/>
        </w:rPr>
      </w:pPr>
    </w:p>
    <w:p w14:paraId="6C2849D8">
      <w:pPr>
        <w:pStyle w:val="967"/>
        <w:spacing w:line="360" w:lineRule="auto"/>
        <w:jc w:val="center"/>
        <w:rPr>
          <w:rFonts w:hAnsi="宋体" w:eastAsia="宋体" w:cs="宋体"/>
          <w:b/>
          <w:color w:val="auto"/>
          <w:sz w:val="24"/>
          <w:szCs w:val="24"/>
          <w:highlight w:val="none"/>
        </w:rPr>
      </w:pPr>
    </w:p>
    <w:p w14:paraId="32356F5D">
      <w:pPr>
        <w:pStyle w:val="967"/>
        <w:spacing w:line="360" w:lineRule="auto"/>
        <w:jc w:val="center"/>
        <w:rPr>
          <w:rFonts w:hAnsi="宋体" w:eastAsia="宋体" w:cs="宋体"/>
          <w:b/>
          <w:color w:val="auto"/>
          <w:sz w:val="24"/>
          <w:szCs w:val="24"/>
          <w:highlight w:val="none"/>
        </w:rPr>
      </w:pPr>
    </w:p>
    <w:p w14:paraId="7CB3E4AB">
      <w:pPr>
        <w:pStyle w:val="967"/>
        <w:spacing w:line="360" w:lineRule="auto"/>
        <w:jc w:val="center"/>
        <w:rPr>
          <w:rFonts w:hAnsi="宋体" w:eastAsia="宋体" w:cs="宋体"/>
          <w:b/>
          <w:color w:val="auto"/>
          <w:sz w:val="24"/>
          <w:szCs w:val="24"/>
          <w:highlight w:val="none"/>
        </w:rPr>
      </w:pPr>
    </w:p>
    <w:p w14:paraId="4472C621">
      <w:pPr>
        <w:pStyle w:val="967"/>
        <w:spacing w:line="360" w:lineRule="auto"/>
        <w:rPr>
          <w:rFonts w:hAnsi="宋体" w:eastAsia="宋体" w:cs="宋体"/>
          <w:b/>
          <w:color w:val="auto"/>
          <w:sz w:val="24"/>
          <w:szCs w:val="24"/>
          <w:highlight w:val="none"/>
        </w:rPr>
      </w:pPr>
    </w:p>
    <w:p w14:paraId="1E7C0F51">
      <w:pPr>
        <w:pStyle w:val="967"/>
        <w:spacing w:line="360" w:lineRule="auto"/>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同类业绩一览表</w:t>
      </w:r>
    </w:p>
    <w:tbl>
      <w:tblPr>
        <w:tblStyle w:val="65"/>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14:paraId="4D63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4FC182C2">
            <w:pPr>
              <w:jc w:val="center"/>
              <w:rPr>
                <w:rFonts w:ascii="宋体" w:hAnsi="宋体"/>
                <w:bCs/>
                <w:color w:val="auto"/>
                <w:szCs w:val="21"/>
                <w:highlight w:val="none"/>
              </w:rPr>
            </w:pPr>
            <w:r>
              <w:rPr>
                <w:rFonts w:hint="eastAsia" w:ascii="宋体" w:hAnsi="宋体"/>
                <w:bCs/>
                <w:color w:val="auto"/>
                <w:szCs w:val="21"/>
                <w:highlight w:val="none"/>
              </w:rPr>
              <w:t>序号</w:t>
            </w:r>
          </w:p>
        </w:tc>
        <w:tc>
          <w:tcPr>
            <w:tcW w:w="2943" w:type="dxa"/>
            <w:vAlign w:val="center"/>
          </w:tcPr>
          <w:p w14:paraId="08A24B22">
            <w:pPr>
              <w:jc w:val="center"/>
              <w:rPr>
                <w:rFonts w:ascii="宋体" w:hAnsi="宋体"/>
                <w:bCs/>
                <w:color w:val="auto"/>
                <w:szCs w:val="21"/>
                <w:highlight w:val="none"/>
              </w:rPr>
            </w:pPr>
            <w:r>
              <w:rPr>
                <w:rFonts w:hint="eastAsia" w:ascii="宋体" w:hAnsi="宋体"/>
                <w:bCs/>
                <w:color w:val="auto"/>
                <w:szCs w:val="21"/>
                <w:highlight w:val="none"/>
              </w:rPr>
              <w:t>采购人名称</w:t>
            </w:r>
          </w:p>
        </w:tc>
        <w:tc>
          <w:tcPr>
            <w:tcW w:w="2565" w:type="dxa"/>
            <w:vAlign w:val="center"/>
          </w:tcPr>
          <w:p w14:paraId="62603BAE">
            <w:pPr>
              <w:tabs>
                <w:tab w:val="left" w:pos="6252"/>
              </w:tabs>
              <w:jc w:val="center"/>
              <w:rPr>
                <w:rFonts w:ascii="宋体" w:hAnsi="宋体"/>
                <w:bCs/>
                <w:color w:val="auto"/>
                <w:szCs w:val="21"/>
                <w:highlight w:val="none"/>
              </w:rPr>
            </w:pPr>
            <w:r>
              <w:rPr>
                <w:rFonts w:hint="eastAsia" w:ascii="宋体" w:hAnsi="宋体"/>
                <w:bCs/>
                <w:color w:val="auto"/>
                <w:szCs w:val="21"/>
                <w:highlight w:val="none"/>
              </w:rPr>
              <w:t>项目名称</w:t>
            </w:r>
          </w:p>
        </w:tc>
        <w:tc>
          <w:tcPr>
            <w:tcW w:w="1311" w:type="dxa"/>
            <w:vAlign w:val="center"/>
          </w:tcPr>
          <w:p w14:paraId="588F3653">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服务内容</w:t>
            </w:r>
          </w:p>
        </w:tc>
        <w:tc>
          <w:tcPr>
            <w:tcW w:w="1311" w:type="dxa"/>
            <w:vAlign w:val="center"/>
          </w:tcPr>
          <w:p w14:paraId="31369F07">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服务期限</w:t>
            </w:r>
          </w:p>
        </w:tc>
        <w:tc>
          <w:tcPr>
            <w:tcW w:w="1298" w:type="dxa"/>
            <w:vAlign w:val="center"/>
          </w:tcPr>
          <w:p w14:paraId="34A2D955">
            <w:pPr>
              <w:tabs>
                <w:tab w:val="left" w:pos="6252"/>
              </w:tabs>
              <w:jc w:val="center"/>
              <w:rPr>
                <w:rFonts w:ascii="宋体" w:hAnsi="宋体"/>
                <w:bCs/>
                <w:color w:val="auto"/>
                <w:szCs w:val="21"/>
                <w:highlight w:val="none"/>
              </w:rPr>
            </w:pPr>
            <w:r>
              <w:rPr>
                <w:rFonts w:hint="eastAsia"/>
                <w:bCs/>
                <w:color w:val="auto"/>
                <w:highlight w:val="none"/>
              </w:rPr>
              <w:t>合同签订时间</w:t>
            </w:r>
          </w:p>
        </w:tc>
      </w:tr>
      <w:tr w14:paraId="784C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14:paraId="23C498DC">
            <w:pPr>
              <w:jc w:val="center"/>
              <w:rPr>
                <w:rFonts w:ascii="宋体" w:hAnsi="宋体"/>
                <w:bCs/>
                <w:color w:val="auto"/>
                <w:szCs w:val="21"/>
                <w:highlight w:val="none"/>
              </w:rPr>
            </w:pPr>
            <w:r>
              <w:rPr>
                <w:rFonts w:hint="eastAsia" w:ascii="宋体" w:hAnsi="宋体"/>
                <w:bCs/>
                <w:color w:val="auto"/>
                <w:szCs w:val="21"/>
                <w:highlight w:val="none"/>
              </w:rPr>
              <w:t>1</w:t>
            </w:r>
          </w:p>
        </w:tc>
        <w:tc>
          <w:tcPr>
            <w:tcW w:w="2943" w:type="dxa"/>
            <w:vAlign w:val="center"/>
          </w:tcPr>
          <w:p w14:paraId="6BFFCB83">
            <w:pPr>
              <w:jc w:val="center"/>
              <w:rPr>
                <w:rFonts w:ascii="宋体" w:hAnsi="宋体"/>
                <w:bCs/>
                <w:color w:val="auto"/>
                <w:szCs w:val="21"/>
                <w:highlight w:val="none"/>
              </w:rPr>
            </w:pPr>
          </w:p>
        </w:tc>
        <w:tc>
          <w:tcPr>
            <w:tcW w:w="2565" w:type="dxa"/>
          </w:tcPr>
          <w:p w14:paraId="39CA0F00">
            <w:pPr>
              <w:jc w:val="center"/>
              <w:rPr>
                <w:rFonts w:ascii="宋体" w:hAnsi="宋体"/>
                <w:bCs/>
                <w:color w:val="auto"/>
                <w:szCs w:val="21"/>
                <w:highlight w:val="none"/>
              </w:rPr>
            </w:pPr>
          </w:p>
        </w:tc>
        <w:tc>
          <w:tcPr>
            <w:tcW w:w="1311" w:type="dxa"/>
          </w:tcPr>
          <w:p w14:paraId="485D6F76">
            <w:pPr>
              <w:jc w:val="center"/>
              <w:rPr>
                <w:rFonts w:ascii="宋体" w:hAnsi="宋体"/>
                <w:bCs/>
                <w:color w:val="auto"/>
                <w:szCs w:val="21"/>
                <w:highlight w:val="none"/>
              </w:rPr>
            </w:pPr>
          </w:p>
        </w:tc>
        <w:tc>
          <w:tcPr>
            <w:tcW w:w="1311" w:type="dxa"/>
            <w:vAlign w:val="center"/>
          </w:tcPr>
          <w:p w14:paraId="511E687B">
            <w:pPr>
              <w:jc w:val="center"/>
              <w:rPr>
                <w:rFonts w:ascii="宋体" w:hAnsi="宋体"/>
                <w:bCs/>
                <w:color w:val="auto"/>
                <w:szCs w:val="21"/>
                <w:highlight w:val="none"/>
              </w:rPr>
            </w:pPr>
          </w:p>
        </w:tc>
        <w:tc>
          <w:tcPr>
            <w:tcW w:w="1298" w:type="dxa"/>
            <w:vAlign w:val="center"/>
          </w:tcPr>
          <w:p w14:paraId="21900ACD">
            <w:pPr>
              <w:jc w:val="center"/>
              <w:rPr>
                <w:rFonts w:ascii="宋体" w:hAnsi="宋体"/>
                <w:bCs/>
                <w:color w:val="auto"/>
                <w:szCs w:val="21"/>
                <w:highlight w:val="none"/>
              </w:rPr>
            </w:pPr>
          </w:p>
        </w:tc>
      </w:tr>
      <w:tr w14:paraId="7723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672B244C">
            <w:pPr>
              <w:jc w:val="center"/>
              <w:rPr>
                <w:rFonts w:ascii="宋体" w:hAnsi="宋体"/>
                <w:bCs/>
                <w:color w:val="auto"/>
                <w:szCs w:val="21"/>
                <w:highlight w:val="none"/>
              </w:rPr>
            </w:pPr>
            <w:r>
              <w:rPr>
                <w:rFonts w:hint="eastAsia" w:ascii="宋体" w:hAnsi="宋体"/>
                <w:bCs/>
                <w:color w:val="auto"/>
                <w:szCs w:val="21"/>
                <w:highlight w:val="none"/>
              </w:rPr>
              <w:t>2</w:t>
            </w:r>
          </w:p>
        </w:tc>
        <w:tc>
          <w:tcPr>
            <w:tcW w:w="2943" w:type="dxa"/>
            <w:vAlign w:val="center"/>
          </w:tcPr>
          <w:p w14:paraId="7551C7BA">
            <w:pPr>
              <w:jc w:val="center"/>
              <w:rPr>
                <w:rFonts w:ascii="宋体" w:hAnsi="宋体"/>
                <w:bCs/>
                <w:color w:val="auto"/>
                <w:szCs w:val="21"/>
                <w:highlight w:val="none"/>
              </w:rPr>
            </w:pPr>
          </w:p>
        </w:tc>
        <w:tc>
          <w:tcPr>
            <w:tcW w:w="2565" w:type="dxa"/>
          </w:tcPr>
          <w:p w14:paraId="2AFC76D8">
            <w:pPr>
              <w:jc w:val="center"/>
              <w:rPr>
                <w:rFonts w:ascii="宋体" w:hAnsi="宋体"/>
                <w:bCs/>
                <w:color w:val="auto"/>
                <w:szCs w:val="21"/>
                <w:highlight w:val="none"/>
              </w:rPr>
            </w:pPr>
          </w:p>
        </w:tc>
        <w:tc>
          <w:tcPr>
            <w:tcW w:w="1311" w:type="dxa"/>
          </w:tcPr>
          <w:p w14:paraId="57CD92CE">
            <w:pPr>
              <w:jc w:val="center"/>
              <w:rPr>
                <w:rFonts w:ascii="宋体" w:hAnsi="宋体"/>
                <w:bCs/>
                <w:color w:val="auto"/>
                <w:szCs w:val="21"/>
                <w:highlight w:val="none"/>
              </w:rPr>
            </w:pPr>
          </w:p>
        </w:tc>
        <w:tc>
          <w:tcPr>
            <w:tcW w:w="1311" w:type="dxa"/>
            <w:vAlign w:val="center"/>
          </w:tcPr>
          <w:p w14:paraId="12D0A3E4">
            <w:pPr>
              <w:jc w:val="center"/>
              <w:rPr>
                <w:rFonts w:ascii="宋体" w:hAnsi="宋体"/>
                <w:bCs/>
                <w:color w:val="auto"/>
                <w:szCs w:val="21"/>
                <w:highlight w:val="none"/>
              </w:rPr>
            </w:pPr>
          </w:p>
        </w:tc>
        <w:tc>
          <w:tcPr>
            <w:tcW w:w="1298" w:type="dxa"/>
            <w:vAlign w:val="center"/>
          </w:tcPr>
          <w:p w14:paraId="5D9B35E3">
            <w:pPr>
              <w:jc w:val="center"/>
              <w:rPr>
                <w:rFonts w:ascii="宋体" w:hAnsi="宋体"/>
                <w:bCs/>
                <w:color w:val="auto"/>
                <w:szCs w:val="21"/>
                <w:highlight w:val="none"/>
              </w:rPr>
            </w:pPr>
          </w:p>
        </w:tc>
      </w:tr>
      <w:tr w14:paraId="4D77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4AA5A691">
            <w:pPr>
              <w:jc w:val="center"/>
              <w:rPr>
                <w:rFonts w:ascii="宋体" w:hAnsi="宋体"/>
                <w:bCs/>
                <w:color w:val="auto"/>
                <w:szCs w:val="21"/>
                <w:highlight w:val="none"/>
              </w:rPr>
            </w:pPr>
            <w:r>
              <w:rPr>
                <w:rFonts w:hint="eastAsia" w:ascii="宋体" w:hAnsi="宋体"/>
                <w:bCs/>
                <w:color w:val="auto"/>
                <w:szCs w:val="21"/>
                <w:highlight w:val="none"/>
              </w:rPr>
              <w:t>3</w:t>
            </w:r>
          </w:p>
        </w:tc>
        <w:tc>
          <w:tcPr>
            <w:tcW w:w="2943" w:type="dxa"/>
            <w:vAlign w:val="center"/>
          </w:tcPr>
          <w:p w14:paraId="345195A2">
            <w:pPr>
              <w:jc w:val="center"/>
              <w:rPr>
                <w:rFonts w:ascii="宋体" w:hAnsi="宋体"/>
                <w:bCs/>
                <w:color w:val="auto"/>
                <w:szCs w:val="21"/>
                <w:highlight w:val="none"/>
              </w:rPr>
            </w:pPr>
          </w:p>
        </w:tc>
        <w:tc>
          <w:tcPr>
            <w:tcW w:w="2565" w:type="dxa"/>
          </w:tcPr>
          <w:p w14:paraId="55A2B13B">
            <w:pPr>
              <w:jc w:val="center"/>
              <w:rPr>
                <w:rFonts w:ascii="宋体" w:hAnsi="宋体"/>
                <w:bCs/>
                <w:color w:val="auto"/>
                <w:szCs w:val="21"/>
                <w:highlight w:val="none"/>
              </w:rPr>
            </w:pPr>
          </w:p>
        </w:tc>
        <w:tc>
          <w:tcPr>
            <w:tcW w:w="1311" w:type="dxa"/>
          </w:tcPr>
          <w:p w14:paraId="780B970D">
            <w:pPr>
              <w:jc w:val="center"/>
              <w:rPr>
                <w:rFonts w:ascii="宋体" w:hAnsi="宋体"/>
                <w:bCs/>
                <w:color w:val="auto"/>
                <w:szCs w:val="21"/>
                <w:highlight w:val="none"/>
              </w:rPr>
            </w:pPr>
          </w:p>
        </w:tc>
        <w:tc>
          <w:tcPr>
            <w:tcW w:w="1311" w:type="dxa"/>
            <w:vAlign w:val="center"/>
          </w:tcPr>
          <w:p w14:paraId="16FA8396">
            <w:pPr>
              <w:jc w:val="center"/>
              <w:rPr>
                <w:rFonts w:ascii="宋体" w:hAnsi="宋体"/>
                <w:bCs/>
                <w:color w:val="auto"/>
                <w:szCs w:val="21"/>
                <w:highlight w:val="none"/>
              </w:rPr>
            </w:pPr>
          </w:p>
        </w:tc>
        <w:tc>
          <w:tcPr>
            <w:tcW w:w="1298" w:type="dxa"/>
            <w:vAlign w:val="center"/>
          </w:tcPr>
          <w:p w14:paraId="4D909278">
            <w:pPr>
              <w:jc w:val="center"/>
              <w:rPr>
                <w:rFonts w:ascii="宋体" w:hAnsi="宋体"/>
                <w:bCs/>
                <w:color w:val="auto"/>
                <w:szCs w:val="21"/>
                <w:highlight w:val="none"/>
              </w:rPr>
            </w:pPr>
          </w:p>
        </w:tc>
      </w:tr>
      <w:tr w14:paraId="47FE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03591473">
            <w:pPr>
              <w:jc w:val="center"/>
              <w:rPr>
                <w:rFonts w:ascii="宋体" w:hAnsi="宋体"/>
                <w:bCs/>
                <w:color w:val="auto"/>
                <w:szCs w:val="21"/>
                <w:highlight w:val="none"/>
              </w:rPr>
            </w:pPr>
            <w:r>
              <w:rPr>
                <w:rFonts w:hint="eastAsia" w:ascii="宋体" w:hAnsi="宋体"/>
                <w:bCs/>
                <w:color w:val="auto"/>
                <w:szCs w:val="21"/>
                <w:highlight w:val="none"/>
              </w:rPr>
              <w:t>4</w:t>
            </w:r>
          </w:p>
        </w:tc>
        <w:tc>
          <w:tcPr>
            <w:tcW w:w="2943" w:type="dxa"/>
            <w:vAlign w:val="center"/>
          </w:tcPr>
          <w:p w14:paraId="31CA1BA0">
            <w:pPr>
              <w:jc w:val="center"/>
              <w:rPr>
                <w:rFonts w:ascii="宋体" w:hAnsi="宋体"/>
                <w:bCs/>
                <w:color w:val="auto"/>
                <w:szCs w:val="21"/>
                <w:highlight w:val="none"/>
              </w:rPr>
            </w:pPr>
          </w:p>
        </w:tc>
        <w:tc>
          <w:tcPr>
            <w:tcW w:w="2565" w:type="dxa"/>
          </w:tcPr>
          <w:p w14:paraId="52E8ED9C">
            <w:pPr>
              <w:jc w:val="center"/>
              <w:rPr>
                <w:rFonts w:ascii="宋体" w:hAnsi="宋体"/>
                <w:bCs/>
                <w:color w:val="auto"/>
                <w:szCs w:val="21"/>
                <w:highlight w:val="none"/>
              </w:rPr>
            </w:pPr>
          </w:p>
        </w:tc>
        <w:tc>
          <w:tcPr>
            <w:tcW w:w="1311" w:type="dxa"/>
          </w:tcPr>
          <w:p w14:paraId="39264993">
            <w:pPr>
              <w:jc w:val="center"/>
              <w:rPr>
                <w:rFonts w:ascii="宋体" w:hAnsi="宋体"/>
                <w:bCs/>
                <w:color w:val="auto"/>
                <w:szCs w:val="21"/>
                <w:highlight w:val="none"/>
              </w:rPr>
            </w:pPr>
          </w:p>
        </w:tc>
        <w:tc>
          <w:tcPr>
            <w:tcW w:w="1311" w:type="dxa"/>
            <w:vAlign w:val="center"/>
          </w:tcPr>
          <w:p w14:paraId="60796DE5">
            <w:pPr>
              <w:jc w:val="center"/>
              <w:rPr>
                <w:rFonts w:ascii="宋体" w:hAnsi="宋体"/>
                <w:bCs/>
                <w:color w:val="auto"/>
                <w:szCs w:val="21"/>
                <w:highlight w:val="none"/>
              </w:rPr>
            </w:pPr>
          </w:p>
        </w:tc>
        <w:tc>
          <w:tcPr>
            <w:tcW w:w="1298" w:type="dxa"/>
            <w:vAlign w:val="center"/>
          </w:tcPr>
          <w:p w14:paraId="694F5E85">
            <w:pPr>
              <w:jc w:val="center"/>
              <w:rPr>
                <w:rFonts w:ascii="宋体" w:hAnsi="宋体"/>
                <w:bCs/>
                <w:color w:val="auto"/>
                <w:szCs w:val="21"/>
                <w:highlight w:val="none"/>
              </w:rPr>
            </w:pPr>
          </w:p>
        </w:tc>
      </w:tr>
      <w:tr w14:paraId="2895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1FFCCA31">
            <w:pPr>
              <w:jc w:val="center"/>
              <w:rPr>
                <w:rFonts w:ascii="宋体" w:hAnsi="宋体"/>
                <w:bCs/>
                <w:color w:val="auto"/>
                <w:szCs w:val="21"/>
                <w:highlight w:val="none"/>
              </w:rPr>
            </w:pPr>
            <w:r>
              <w:rPr>
                <w:rFonts w:hint="eastAsia" w:ascii="宋体" w:hAnsi="宋体"/>
                <w:bCs/>
                <w:color w:val="auto"/>
                <w:szCs w:val="21"/>
                <w:highlight w:val="none"/>
              </w:rPr>
              <w:t>5</w:t>
            </w:r>
          </w:p>
        </w:tc>
        <w:tc>
          <w:tcPr>
            <w:tcW w:w="2943" w:type="dxa"/>
            <w:vAlign w:val="center"/>
          </w:tcPr>
          <w:p w14:paraId="4D5F28F5">
            <w:pPr>
              <w:jc w:val="center"/>
              <w:rPr>
                <w:rFonts w:ascii="宋体" w:hAnsi="宋体"/>
                <w:bCs/>
                <w:color w:val="auto"/>
                <w:szCs w:val="21"/>
                <w:highlight w:val="none"/>
              </w:rPr>
            </w:pPr>
          </w:p>
        </w:tc>
        <w:tc>
          <w:tcPr>
            <w:tcW w:w="2565" w:type="dxa"/>
          </w:tcPr>
          <w:p w14:paraId="769CED65">
            <w:pPr>
              <w:jc w:val="center"/>
              <w:rPr>
                <w:rFonts w:ascii="宋体" w:hAnsi="宋体"/>
                <w:bCs/>
                <w:color w:val="auto"/>
                <w:szCs w:val="21"/>
                <w:highlight w:val="none"/>
              </w:rPr>
            </w:pPr>
          </w:p>
        </w:tc>
        <w:tc>
          <w:tcPr>
            <w:tcW w:w="1311" w:type="dxa"/>
          </w:tcPr>
          <w:p w14:paraId="36EE1B41">
            <w:pPr>
              <w:jc w:val="center"/>
              <w:rPr>
                <w:rFonts w:ascii="宋体" w:hAnsi="宋体"/>
                <w:bCs/>
                <w:color w:val="auto"/>
                <w:szCs w:val="21"/>
                <w:highlight w:val="none"/>
              </w:rPr>
            </w:pPr>
          </w:p>
        </w:tc>
        <w:tc>
          <w:tcPr>
            <w:tcW w:w="1311" w:type="dxa"/>
            <w:vAlign w:val="center"/>
          </w:tcPr>
          <w:p w14:paraId="71DF1F33">
            <w:pPr>
              <w:jc w:val="center"/>
              <w:rPr>
                <w:rFonts w:ascii="宋体" w:hAnsi="宋体"/>
                <w:bCs/>
                <w:color w:val="auto"/>
                <w:szCs w:val="21"/>
                <w:highlight w:val="none"/>
              </w:rPr>
            </w:pPr>
          </w:p>
        </w:tc>
        <w:tc>
          <w:tcPr>
            <w:tcW w:w="1298" w:type="dxa"/>
            <w:vAlign w:val="center"/>
          </w:tcPr>
          <w:p w14:paraId="40A181D6">
            <w:pPr>
              <w:jc w:val="center"/>
              <w:rPr>
                <w:rFonts w:ascii="宋体" w:hAnsi="宋体"/>
                <w:bCs/>
                <w:color w:val="auto"/>
                <w:szCs w:val="21"/>
                <w:highlight w:val="none"/>
              </w:rPr>
            </w:pPr>
          </w:p>
        </w:tc>
      </w:tr>
      <w:tr w14:paraId="74E1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6BB6BC70">
            <w:pPr>
              <w:jc w:val="center"/>
              <w:rPr>
                <w:rFonts w:ascii="宋体" w:hAnsi="宋体"/>
                <w:color w:val="auto"/>
                <w:szCs w:val="21"/>
                <w:highlight w:val="none"/>
              </w:rPr>
            </w:pPr>
            <w:r>
              <w:rPr>
                <w:rFonts w:hint="eastAsia" w:ascii="宋体" w:hAnsi="宋体"/>
                <w:color w:val="auto"/>
                <w:szCs w:val="21"/>
                <w:highlight w:val="none"/>
              </w:rPr>
              <w:t>6</w:t>
            </w:r>
          </w:p>
        </w:tc>
        <w:tc>
          <w:tcPr>
            <w:tcW w:w="2943" w:type="dxa"/>
            <w:vAlign w:val="center"/>
          </w:tcPr>
          <w:p w14:paraId="27149456">
            <w:pPr>
              <w:jc w:val="center"/>
              <w:rPr>
                <w:rFonts w:ascii="宋体" w:hAnsi="宋体"/>
                <w:color w:val="auto"/>
                <w:szCs w:val="21"/>
                <w:highlight w:val="none"/>
              </w:rPr>
            </w:pPr>
          </w:p>
        </w:tc>
        <w:tc>
          <w:tcPr>
            <w:tcW w:w="2565" w:type="dxa"/>
          </w:tcPr>
          <w:p w14:paraId="7B253182">
            <w:pPr>
              <w:jc w:val="center"/>
              <w:rPr>
                <w:rFonts w:ascii="宋体" w:hAnsi="宋体"/>
                <w:color w:val="auto"/>
                <w:szCs w:val="21"/>
                <w:highlight w:val="none"/>
              </w:rPr>
            </w:pPr>
          </w:p>
        </w:tc>
        <w:tc>
          <w:tcPr>
            <w:tcW w:w="1311" w:type="dxa"/>
          </w:tcPr>
          <w:p w14:paraId="5997A372">
            <w:pPr>
              <w:jc w:val="center"/>
              <w:rPr>
                <w:rFonts w:ascii="宋体" w:hAnsi="宋体"/>
                <w:color w:val="auto"/>
                <w:szCs w:val="21"/>
                <w:highlight w:val="none"/>
              </w:rPr>
            </w:pPr>
          </w:p>
        </w:tc>
        <w:tc>
          <w:tcPr>
            <w:tcW w:w="1311" w:type="dxa"/>
            <w:vAlign w:val="center"/>
          </w:tcPr>
          <w:p w14:paraId="300F3B71">
            <w:pPr>
              <w:jc w:val="center"/>
              <w:rPr>
                <w:rFonts w:ascii="宋体" w:hAnsi="宋体"/>
                <w:color w:val="auto"/>
                <w:szCs w:val="21"/>
                <w:highlight w:val="none"/>
              </w:rPr>
            </w:pPr>
          </w:p>
        </w:tc>
        <w:tc>
          <w:tcPr>
            <w:tcW w:w="1298" w:type="dxa"/>
            <w:vAlign w:val="center"/>
          </w:tcPr>
          <w:p w14:paraId="25866938">
            <w:pPr>
              <w:jc w:val="center"/>
              <w:rPr>
                <w:rFonts w:ascii="宋体" w:hAnsi="宋体"/>
                <w:color w:val="auto"/>
                <w:szCs w:val="21"/>
                <w:highlight w:val="none"/>
              </w:rPr>
            </w:pPr>
          </w:p>
        </w:tc>
      </w:tr>
      <w:tr w14:paraId="1FC3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14:paraId="0A679443">
            <w:pPr>
              <w:jc w:val="center"/>
              <w:rPr>
                <w:rFonts w:ascii="宋体" w:hAnsi="宋体"/>
                <w:color w:val="auto"/>
                <w:szCs w:val="21"/>
                <w:highlight w:val="none"/>
              </w:rPr>
            </w:pPr>
            <w:r>
              <w:rPr>
                <w:rFonts w:hint="eastAsia" w:ascii="宋体" w:hAnsi="宋体"/>
                <w:color w:val="auto"/>
                <w:szCs w:val="21"/>
                <w:highlight w:val="none"/>
              </w:rPr>
              <w:t>…</w:t>
            </w:r>
          </w:p>
        </w:tc>
        <w:tc>
          <w:tcPr>
            <w:tcW w:w="2943" w:type="dxa"/>
            <w:vAlign w:val="center"/>
          </w:tcPr>
          <w:p w14:paraId="6A866334">
            <w:pPr>
              <w:jc w:val="center"/>
              <w:rPr>
                <w:rFonts w:ascii="宋体" w:hAnsi="宋体"/>
                <w:color w:val="auto"/>
                <w:szCs w:val="21"/>
                <w:highlight w:val="none"/>
              </w:rPr>
            </w:pPr>
          </w:p>
        </w:tc>
        <w:tc>
          <w:tcPr>
            <w:tcW w:w="2565" w:type="dxa"/>
          </w:tcPr>
          <w:p w14:paraId="75FD0E27">
            <w:pPr>
              <w:jc w:val="center"/>
              <w:rPr>
                <w:rFonts w:ascii="宋体" w:hAnsi="宋体"/>
                <w:color w:val="auto"/>
                <w:szCs w:val="21"/>
                <w:highlight w:val="none"/>
              </w:rPr>
            </w:pPr>
          </w:p>
        </w:tc>
        <w:tc>
          <w:tcPr>
            <w:tcW w:w="1311" w:type="dxa"/>
          </w:tcPr>
          <w:p w14:paraId="700B4BAD">
            <w:pPr>
              <w:jc w:val="center"/>
              <w:rPr>
                <w:rFonts w:ascii="宋体" w:hAnsi="宋体"/>
                <w:color w:val="auto"/>
                <w:szCs w:val="21"/>
                <w:highlight w:val="none"/>
              </w:rPr>
            </w:pPr>
          </w:p>
        </w:tc>
        <w:tc>
          <w:tcPr>
            <w:tcW w:w="1311" w:type="dxa"/>
            <w:vAlign w:val="center"/>
          </w:tcPr>
          <w:p w14:paraId="6B34023C">
            <w:pPr>
              <w:jc w:val="center"/>
              <w:rPr>
                <w:rFonts w:ascii="宋体" w:hAnsi="宋体"/>
                <w:color w:val="auto"/>
                <w:szCs w:val="21"/>
                <w:highlight w:val="none"/>
              </w:rPr>
            </w:pPr>
          </w:p>
        </w:tc>
        <w:tc>
          <w:tcPr>
            <w:tcW w:w="1298" w:type="dxa"/>
            <w:vAlign w:val="center"/>
          </w:tcPr>
          <w:p w14:paraId="6340E988">
            <w:pPr>
              <w:jc w:val="center"/>
              <w:rPr>
                <w:rFonts w:ascii="宋体" w:hAnsi="宋体"/>
                <w:color w:val="auto"/>
                <w:szCs w:val="21"/>
                <w:highlight w:val="none"/>
              </w:rPr>
            </w:pPr>
          </w:p>
        </w:tc>
      </w:tr>
    </w:tbl>
    <w:p w14:paraId="31411FFB">
      <w:pPr>
        <w:pStyle w:val="967"/>
        <w:spacing w:line="360" w:lineRule="auto"/>
        <w:rPr>
          <w:rFonts w:hAnsi="宋体" w:eastAsia="宋体"/>
          <w:b/>
          <w:color w:val="auto"/>
          <w:sz w:val="21"/>
          <w:szCs w:val="21"/>
          <w:highlight w:val="none"/>
        </w:rPr>
      </w:pPr>
      <w:r>
        <w:rPr>
          <w:rFonts w:hint="eastAsia" w:hAnsi="宋体" w:eastAsia="宋体"/>
          <w:b/>
          <w:color w:val="auto"/>
          <w:sz w:val="21"/>
          <w:szCs w:val="21"/>
          <w:highlight w:val="none"/>
        </w:rPr>
        <w:t>注：投标人同类项目</w:t>
      </w:r>
      <w:r>
        <w:rPr>
          <w:rFonts w:hint="eastAsia" w:hAnsi="宋体" w:eastAsia="宋体"/>
          <w:b/>
          <w:color w:val="auto"/>
          <w:sz w:val="21"/>
          <w:szCs w:val="21"/>
          <w:highlight w:val="none"/>
          <w:lang w:val="en-US" w:eastAsia="zh-CN"/>
        </w:rPr>
        <w:t>业绩</w:t>
      </w:r>
      <w:r>
        <w:rPr>
          <w:rFonts w:hint="eastAsia" w:hAnsi="宋体" w:eastAsia="宋体"/>
          <w:b/>
          <w:color w:val="auto"/>
          <w:sz w:val="21"/>
          <w:szCs w:val="21"/>
          <w:highlight w:val="none"/>
        </w:rPr>
        <w:t>得分以本表为准，后附相关证明材料，所需的证明材料要求详见评标办法。</w:t>
      </w:r>
    </w:p>
    <w:p w14:paraId="6E4BD876">
      <w:pPr>
        <w:pStyle w:val="967"/>
        <w:spacing w:line="360" w:lineRule="auto"/>
        <w:rPr>
          <w:rFonts w:hAnsi="宋体" w:eastAsia="宋体"/>
          <w:b/>
          <w:color w:val="auto"/>
          <w:sz w:val="24"/>
          <w:szCs w:val="24"/>
          <w:highlight w:val="none"/>
        </w:rPr>
      </w:pPr>
    </w:p>
    <w:p w14:paraId="2411BAA6">
      <w:pPr>
        <w:pStyle w:val="967"/>
        <w:spacing w:line="360" w:lineRule="auto"/>
        <w:rPr>
          <w:rFonts w:hAnsi="宋体" w:eastAsia="宋体"/>
          <w:b/>
          <w:color w:val="auto"/>
          <w:sz w:val="24"/>
          <w:szCs w:val="24"/>
          <w:highlight w:val="none"/>
        </w:rPr>
      </w:pPr>
    </w:p>
    <w:p w14:paraId="277F3D31">
      <w:pPr>
        <w:snapToGrid w:val="0"/>
        <w:spacing w:before="120" w:beforeLines="50" w:line="400" w:lineRule="exact"/>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14:paraId="1C40AFCB">
      <w:pPr>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94BC5E1">
      <w:pPr>
        <w:spacing w:line="480" w:lineRule="exact"/>
        <w:rPr>
          <w:rFonts w:ascii="宋体" w:hAnsi="宋体"/>
          <w:b/>
          <w:color w:val="auto"/>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CC201F6">
      <w:pPr>
        <w:spacing w:line="360" w:lineRule="auto"/>
        <w:rPr>
          <w:rFonts w:ascii="宋体" w:hAnsi="宋体" w:cs="宋体"/>
          <w:color w:val="auto"/>
          <w:sz w:val="24"/>
          <w:highlight w:val="none"/>
        </w:rPr>
      </w:pPr>
    </w:p>
    <w:p w14:paraId="5F9D3F66">
      <w:pPr>
        <w:pStyle w:val="4"/>
        <w:rPr>
          <w:rFonts w:ascii="宋体" w:hAnsi="宋体" w:cs="宋体"/>
          <w:color w:val="auto"/>
          <w:sz w:val="24"/>
          <w:highlight w:val="none"/>
        </w:rPr>
      </w:pPr>
    </w:p>
    <w:p w14:paraId="0A94C5C2">
      <w:pPr>
        <w:rPr>
          <w:color w:val="auto"/>
          <w:highlight w:val="none"/>
        </w:rPr>
      </w:pPr>
    </w:p>
    <w:p w14:paraId="663E1F18">
      <w:pPr>
        <w:pStyle w:val="86"/>
        <w:ind w:left="420" w:firstLine="480"/>
        <w:rPr>
          <w:color w:val="auto"/>
          <w:highlight w:val="none"/>
        </w:rPr>
      </w:pPr>
    </w:p>
    <w:p w14:paraId="7030F40C">
      <w:pPr>
        <w:pStyle w:val="967"/>
        <w:spacing w:line="360" w:lineRule="auto"/>
        <w:jc w:val="center"/>
        <w:rPr>
          <w:rFonts w:hAnsi="宋体" w:eastAsia="宋体"/>
          <w:b/>
          <w:color w:val="auto"/>
          <w:sz w:val="28"/>
          <w:szCs w:val="28"/>
          <w:highlight w:val="none"/>
        </w:rPr>
      </w:pPr>
    </w:p>
    <w:p w14:paraId="7EDEDA22">
      <w:pPr>
        <w:pStyle w:val="35"/>
        <w:spacing w:before="120" w:after="120" w:line="360" w:lineRule="auto"/>
        <w:jc w:val="center"/>
        <w:textAlignment w:val="baseline"/>
        <w:rPr>
          <w:rFonts w:hAnsi="宋体"/>
          <w:b/>
          <w:color w:val="auto"/>
          <w:sz w:val="28"/>
          <w:szCs w:val="28"/>
          <w:highlight w:val="none"/>
        </w:rPr>
      </w:pPr>
    </w:p>
    <w:p w14:paraId="6C0FA853">
      <w:pPr>
        <w:pStyle w:val="35"/>
        <w:spacing w:before="120" w:after="120" w:line="360" w:lineRule="auto"/>
        <w:jc w:val="center"/>
        <w:textAlignment w:val="baseline"/>
        <w:rPr>
          <w:rFonts w:hAnsi="宋体"/>
          <w:color w:val="auto"/>
          <w:sz w:val="28"/>
          <w:szCs w:val="28"/>
          <w:highlight w:val="none"/>
        </w:rPr>
      </w:pPr>
      <w:r>
        <w:rPr>
          <w:rFonts w:hint="eastAsia" w:hAnsi="宋体"/>
          <w:b/>
          <w:color w:val="auto"/>
          <w:sz w:val="28"/>
          <w:szCs w:val="28"/>
          <w:highlight w:val="none"/>
        </w:rPr>
        <w:t>项目实施人员表</w:t>
      </w:r>
    </w:p>
    <w:tbl>
      <w:tblPr>
        <w:tblStyle w:val="65"/>
        <w:tblW w:w="91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912"/>
        <w:gridCol w:w="1111"/>
        <w:gridCol w:w="767"/>
        <w:gridCol w:w="1055"/>
        <w:gridCol w:w="1557"/>
        <w:gridCol w:w="1350"/>
        <w:gridCol w:w="1638"/>
      </w:tblGrid>
      <w:tr w14:paraId="73646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14:paraId="6D7033EA">
            <w:pPr>
              <w:pStyle w:val="42"/>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912" w:type="dxa"/>
            <w:tcBorders>
              <w:top w:val="single" w:color="auto" w:sz="4" w:space="0"/>
              <w:left w:val="single" w:color="auto" w:sz="4" w:space="0"/>
              <w:bottom w:val="single" w:color="auto" w:sz="4" w:space="0"/>
              <w:right w:val="single" w:color="auto" w:sz="4" w:space="0"/>
            </w:tcBorders>
            <w:vAlign w:val="center"/>
          </w:tcPr>
          <w:p w14:paraId="03390449">
            <w:pPr>
              <w:spacing w:line="400" w:lineRule="atLeast"/>
              <w:jc w:val="center"/>
              <w:rPr>
                <w:rFonts w:ascii="宋体" w:hAnsi="宋体"/>
                <w:b w:val="0"/>
                <w:bCs w:val="0"/>
                <w:color w:val="auto"/>
                <w:sz w:val="21"/>
                <w:szCs w:val="21"/>
                <w:highlight w:val="none"/>
              </w:rPr>
            </w:pPr>
            <w:r>
              <w:rPr>
                <w:rFonts w:hint="eastAsia"/>
                <w:b w:val="0"/>
                <w:bCs w:val="0"/>
                <w:color w:val="auto"/>
                <w:highlight w:val="none"/>
              </w:rPr>
              <w:t>姓名</w:t>
            </w:r>
          </w:p>
        </w:tc>
        <w:tc>
          <w:tcPr>
            <w:tcW w:w="1111" w:type="dxa"/>
            <w:tcBorders>
              <w:top w:val="single" w:color="auto" w:sz="4" w:space="0"/>
              <w:left w:val="single" w:color="auto" w:sz="4" w:space="0"/>
              <w:bottom w:val="single" w:color="auto" w:sz="4" w:space="0"/>
              <w:right w:val="single" w:color="auto" w:sz="4" w:space="0"/>
            </w:tcBorders>
            <w:vAlign w:val="center"/>
          </w:tcPr>
          <w:p w14:paraId="703F551E">
            <w:pPr>
              <w:spacing w:line="400" w:lineRule="atLeast"/>
              <w:jc w:val="center"/>
              <w:rPr>
                <w:rFonts w:ascii="宋体" w:hAnsi="宋体"/>
                <w:b w:val="0"/>
                <w:bCs w:val="0"/>
                <w:color w:val="auto"/>
                <w:sz w:val="21"/>
                <w:szCs w:val="21"/>
                <w:highlight w:val="none"/>
              </w:rPr>
            </w:pPr>
            <w:r>
              <w:rPr>
                <w:rFonts w:hint="eastAsia"/>
                <w:b w:val="0"/>
                <w:bCs w:val="0"/>
                <w:color w:val="auto"/>
                <w:highlight w:val="none"/>
              </w:rPr>
              <w:t>拟从事本项目岗位</w:t>
            </w:r>
          </w:p>
        </w:tc>
        <w:tc>
          <w:tcPr>
            <w:tcW w:w="767" w:type="dxa"/>
            <w:tcBorders>
              <w:top w:val="single" w:color="auto" w:sz="4" w:space="0"/>
              <w:left w:val="single" w:color="auto" w:sz="4" w:space="0"/>
              <w:bottom w:val="single" w:color="auto" w:sz="4" w:space="0"/>
              <w:right w:val="single" w:color="auto" w:sz="4" w:space="0"/>
            </w:tcBorders>
            <w:vAlign w:val="center"/>
          </w:tcPr>
          <w:p w14:paraId="4350B62C">
            <w:pPr>
              <w:spacing w:line="400" w:lineRule="atLeast"/>
              <w:jc w:val="center"/>
              <w:rPr>
                <w:rFonts w:ascii="宋体" w:hAnsi="宋体"/>
                <w:b w:val="0"/>
                <w:bCs w:val="0"/>
                <w:color w:val="auto"/>
                <w:sz w:val="21"/>
                <w:szCs w:val="21"/>
                <w:highlight w:val="none"/>
              </w:rPr>
            </w:pPr>
            <w:r>
              <w:rPr>
                <w:rFonts w:hint="eastAsia"/>
                <w:b w:val="0"/>
                <w:bCs w:val="0"/>
                <w:color w:val="auto"/>
                <w:highlight w:val="none"/>
              </w:rPr>
              <w:t>年龄</w:t>
            </w:r>
          </w:p>
        </w:tc>
        <w:tc>
          <w:tcPr>
            <w:tcW w:w="1055" w:type="dxa"/>
            <w:tcBorders>
              <w:top w:val="single" w:color="auto" w:sz="4" w:space="0"/>
              <w:left w:val="single" w:color="auto" w:sz="4" w:space="0"/>
              <w:bottom w:val="single" w:color="auto" w:sz="4" w:space="0"/>
              <w:right w:val="single" w:color="auto" w:sz="4" w:space="0"/>
            </w:tcBorders>
            <w:vAlign w:val="center"/>
          </w:tcPr>
          <w:p w14:paraId="20E7F27E">
            <w:pPr>
              <w:spacing w:line="400" w:lineRule="atLeast"/>
              <w:jc w:val="center"/>
              <w:rPr>
                <w:rFonts w:ascii="宋体" w:hAnsi="宋体"/>
                <w:b w:val="0"/>
                <w:bCs w:val="0"/>
                <w:color w:val="auto"/>
                <w:sz w:val="21"/>
                <w:szCs w:val="21"/>
                <w:highlight w:val="none"/>
              </w:rPr>
            </w:pPr>
            <w:r>
              <w:rPr>
                <w:rFonts w:hint="eastAsia"/>
                <w:b w:val="0"/>
                <w:bCs w:val="0"/>
                <w:color w:val="auto"/>
                <w:highlight w:val="none"/>
              </w:rPr>
              <w:t>性别</w:t>
            </w:r>
          </w:p>
        </w:tc>
        <w:tc>
          <w:tcPr>
            <w:tcW w:w="1557" w:type="dxa"/>
            <w:tcBorders>
              <w:top w:val="single" w:color="auto" w:sz="4" w:space="0"/>
              <w:left w:val="single" w:color="auto" w:sz="4" w:space="0"/>
              <w:bottom w:val="single" w:color="auto" w:sz="4" w:space="0"/>
              <w:right w:val="single" w:color="auto" w:sz="4" w:space="0"/>
            </w:tcBorders>
            <w:vAlign w:val="center"/>
          </w:tcPr>
          <w:p w14:paraId="62BE4AAF">
            <w:pPr>
              <w:spacing w:line="400" w:lineRule="atLeast"/>
              <w:jc w:val="center"/>
              <w:rPr>
                <w:rFonts w:ascii="宋体" w:hAnsi="宋体"/>
                <w:b w:val="0"/>
                <w:bCs w:val="0"/>
                <w:color w:val="auto"/>
                <w:sz w:val="21"/>
                <w:szCs w:val="21"/>
                <w:highlight w:val="none"/>
              </w:rPr>
            </w:pPr>
            <w:r>
              <w:rPr>
                <w:rFonts w:hint="eastAsia"/>
                <w:b w:val="0"/>
                <w:bCs w:val="0"/>
                <w:color w:val="auto"/>
                <w:highlight w:val="none"/>
              </w:rPr>
              <w:t>职称/职务</w:t>
            </w:r>
          </w:p>
        </w:tc>
        <w:tc>
          <w:tcPr>
            <w:tcW w:w="1350" w:type="dxa"/>
            <w:tcBorders>
              <w:top w:val="single" w:color="auto" w:sz="4" w:space="0"/>
              <w:left w:val="single" w:color="auto" w:sz="4" w:space="0"/>
              <w:bottom w:val="single" w:color="auto" w:sz="4" w:space="0"/>
              <w:right w:val="single" w:color="auto" w:sz="4" w:space="0"/>
            </w:tcBorders>
            <w:vAlign w:val="center"/>
          </w:tcPr>
          <w:p w14:paraId="56C42595">
            <w:pPr>
              <w:spacing w:line="400" w:lineRule="atLeast"/>
              <w:jc w:val="center"/>
              <w:rPr>
                <w:b w:val="0"/>
                <w:bCs w:val="0"/>
                <w:color w:val="auto"/>
                <w:highlight w:val="none"/>
              </w:rPr>
            </w:pPr>
            <w:r>
              <w:rPr>
                <w:rFonts w:hint="eastAsia"/>
                <w:b w:val="0"/>
                <w:bCs w:val="0"/>
                <w:color w:val="auto"/>
                <w:highlight w:val="none"/>
              </w:rPr>
              <w:t>专业/</w:t>
            </w:r>
          </w:p>
          <w:p w14:paraId="130EEC7B">
            <w:pPr>
              <w:spacing w:line="400" w:lineRule="atLeast"/>
              <w:jc w:val="center"/>
              <w:rPr>
                <w:rFonts w:ascii="宋体" w:hAnsi="宋体"/>
                <w:b w:val="0"/>
                <w:bCs w:val="0"/>
                <w:color w:val="auto"/>
                <w:sz w:val="21"/>
                <w:szCs w:val="21"/>
                <w:highlight w:val="none"/>
              </w:rPr>
            </w:pPr>
            <w:r>
              <w:rPr>
                <w:rFonts w:hint="eastAsia"/>
                <w:b w:val="0"/>
                <w:bCs w:val="0"/>
                <w:color w:val="auto"/>
                <w:highlight w:val="none"/>
              </w:rPr>
              <w:t>年限</w:t>
            </w:r>
          </w:p>
        </w:tc>
        <w:tc>
          <w:tcPr>
            <w:tcW w:w="1638" w:type="dxa"/>
            <w:tcBorders>
              <w:top w:val="single" w:color="auto" w:sz="4" w:space="0"/>
              <w:left w:val="single" w:color="auto" w:sz="4" w:space="0"/>
              <w:bottom w:val="single" w:color="auto" w:sz="4" w:space="0"/>
              <w:right w:val="single" w:color="auto" w:sz="4" w:space="0"/>
            </w:tcBorders>
            <w:vAlign w:val="center"/>
          </w:tcPr>
          <w:p w14:paraId="0E26C967">
            <w:pPr>
              <w:spacing w:line="400" w:lineRule="atLeast"/>
              <w:jc w:val="center"/>
              <w:rPr>
                <w:rFonts w:ascii="宋体" w:hAnsi="宋体"/>
                <w:b w:val="0"/>
                <w:bCs w:val="0"/>
                <w:color w:val="auto"/>
                <w:sz w:val="21"/>
                <w:szCs w:val="21"/>
                <w:highlight w:val="none"/>
              </w:rPr>
            </w:pPr>
            <w:r>
              <w:rPr>
                <w:rFonts w:hint="eastAsia"/>
                <w:b w:val="0"/>
                <w:bCs w:val="0"/>
                <w:color w:val="auto"/>
                <w:highlight w:val="none"/>
              </w:rPr>
              <w:t>类似服务的经历、业绩、是否有上岗证等介绍（或另附简历）</w:t>
            </w:r>
          </w:p>
        </w:tc>
      </w:tr>
      <w:tr w14:paraId="10292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12C35312">
            <w:pPr>
              <w:pStyle w:val="42"/>
              <w:jc w:val="center"/>
              <w:rPr>
                <w:rFonts w:ascii="宋体" w:hAnsi="宋体"/>
                <w:color w:val="auto"/>
                <w:sz w:val="21"/>
                <w:szCs w:val="21"/>
                <w:highlight w:val="none"/>
              </w:rPr>
            </w:pPr>
            <w:r>
              <w:rPr>
                <w:rFonts w:hint="eastAsia" w:ascii="宋体" w:hAnsi="宋体"/>
                <w:color w:val="auto"/>
                <w:sz w:val="21"/>
                <w:szCs w:val="21"/>
                <w:highlight w:val="none"/>
              </w:rPr>
              <w:t>1</w:t>
            </w:r>
          </w:p>
        </w:tc>
        <w:tc>
          <w:tcPr>
            <w:tcW w:w="912" w:type="dxa"/>
            <w:tcBorders>
              <w:top w:val="single" w:color="auto" w:sz="4" w:space="0"/>
              <w:left w:val="single" w:color="auto" w:sz="4" w:space="0"/>
              <w:bottom w:val="single" w:color="auto" w:sz="4" w:space="0"/>
              <w:right w:val="single" w:color="auto" w:sz="4" w:space="0"/>
            </w:tcBorders>
            <w:vAlign w:val="center"/>
          </w:tcPr>
          <w:p w14:paraId="00199450">
            <w:pPr>
              <w:pStyle w:val="42"/>
              <w:jc w:val="center"/>
              <w:rPr>
                <w:rFonts w:ascii="宋体" w:hAnsi="宋体"/>
                <w:color w:val="auto"/>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14:paraId="41FDA154">
            <w:pPr>
              <w:pStyle w:val="42"/>
              <w:jc w:val="center"/>
              <w:rPr>
                <w:rFonts w:ascii="宋体" w:hAnsi="宋体"/>
                <w:color w:val="auto"/>
                <w:sz w:val="21"/>
                <w:szCs w:val="21"/>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14:paraId="6DBD165C">
            <w:pPr>
              <w:pStyle w:val="42"/>
              <w:jc w:val="center"/>
              <w:rPr>
                <w:rFonts w:ascii="宋体" w:hAnsi="宋体"/>
                <w:color w:val="auto"/>
                <w:sz w:val="21"/>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2AE682AC">
            <w:pPr>
              <w:pStyle w:val="42"/>
              <w:jc w:val="center"/>
              <w:rPr>
                <w:rFonts w:ascii="宋体" w:hAnsi="宋体"/>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tcPr>
          <w:p w14:paraId="581DAB6F">
            <w:pPr>
              <w:pStyle w:val="42"/>
              <w:jc w:val="center"/>
              <w:rPr>
                <w:rFonts w:ascii="宋体" w:hAnsi="宋体"/>
                <w:color w:val="auto"/>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3CBEC945">
            <w:pPr>
              <w:pStyle w:val="42"/>
              <w:jc w:val="center"/>
              <w:rPr>
                <w:rFonts w:ascii="宋体" w:hAnsi="宋体"/>
                <w:color w:val="auto"/>
                <w:sz w:val="21"/>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14:paraId="072700E3">
            <w:pPr>
              <w:pStyle w:val="42"/>
              <w:jc w:val="center"/>
              <w:rPr>
                <w:rFonts w:ascii="宋体" w:hAnsi="宋体"/>
                <w:color w:val="auto"/>
                <w:sz w:val="21"/>
                <w:szCs w:val="21"/>
                <w:highlight w:val="none"/>
              </w:rPr>
            </w:pPr>
          </w:p>
        </w:tc>
      </w:tr>
      <w:tr w14:paraId="423ED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159BA6DC">
            <w:pPr>
              <w:pStyle w:val="42"/>
              <w:jc w:val="center"/>
              <w:rPr>
                <w:rFonts w:ascii="宋体" w:hAnsi="宋体"/>
                <w:color w:val="auto"/>
                <w:sz w:val="21"/>
                <w:szCs w:val="21"/>
                <w:highlight w:val="none"/>
              </w:rPr>
            </w:pPr>
            <w:r>
              <w:rPr>
                <w:rFonts w:hint="eastAsia" w:ascii="宋体" w:hAnsi="宋体"/>
                <w:color w:val="auto"/>
                <w:sz w:val="21"/>
                <w:szCs w:val="21"/>
                <w:highlight w:val="none"/>
              </w:rPr>
              <w:t>2</w:t>
            </w:r>
          </w:p>
        </w:tc>
        <w:tc>
          <w:tcPr>
            <w:tcW w:w="912" w:type="dxa"/>
            <w:tcBorders>
              <w:top w:val="single" w:color="auto" w:sz="4" w:space="0"/>
              <w:left w:val="single" w:color="auto" w:sz="4" w:space="0"/>
              <w:bottom w:val="single" w:color="auto" w:sz="4" w:space="0"/>
              <w:right w:val="single" w:color="auto" w:sz="4" w:space="0"/>
            </w:tcBorders>
            <w:vAlign w:val="center"/>
          </w:tcPr>
          <w:p w14:paraId="17C99408">
            <w:pPr>
              <w:pStyle w:val="42"/>
              <w:jc w:val="center"/>
              <w:rPr>
                <w:rFonts w:ascii="宋体" w:hAnsi="宋体"/>
                <w:color w:val="auto"/>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14:paraId="5DFAE886">
            <w:pPr>
              <w:pStyle w:val="42"/>
              <w:jc w:val="center"/>
              <w:rPr>
                <w:rFonts w:ascii="宋体" w:hAnsi="宋体"/>
                <w:color w:val="auto"/>
                <w:sz w:val="21"/>
                <w:szCs w:val="21"/>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14:paraId="2756987D">
            <w:pPr>
              <w:pStyle w:val="42"/>
              <w:jc w:val="center"/>
              <w:rPr>
                <w:rFonts w:ascii="宋体" w:hAnsi="宋体"/>
                <w:color w:val="auto"/>
                <w:sz w:val="21"/>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73EE6013">
            <w:pPr>
              <w:pStyle w:val="42"/>
              <w:jc w:val="center"/>
              <w:rPr>
                <w:rFonts w:ascii="宋体" w:hAnsi="宋体"/>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tcPr>
          <w:p w14:paraId="5D6BC1DA">
            <w:pPr>
              <w:pStyle w:val="42"/>
              <w:jc w:val="center"/>
              <w:rPr>
                <w:rFonts w:ascii="宋体" w:hAnsi="宋体"/>
                <w:color w:val="auto"/>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5524B313">
            <w:pPr>
              <w:pStyle w:val="42"/>
              <w:jc w:val="center"/>
              <w:rPr>
                <w:rFonts w:ascii="宋体" w:hAnsi="宋体"/>
                <w:color w:val="auto"/>
                <w:sz w:val="21"/>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14:paraId="24B89F50">
            <w:pPr>
              <w:pStyle w:val="42"/>
              <w:jc w:val="center"/>
              <w:rPr>
                <w:rFonts w:ascii="宋体" w:hAnsi="宋体"/>
                <w:color w:val="auto"/>
                <w:sz w:val="21"/>
                <w:szCs w:val="21"/>
                <w:highlight w:val="none"/>
              </w:rPr>
            </w:pPr>
          </w:p>
        </w:tc>
      </w:tr>
      <w:tr w14:paraId="34C3B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03338B4C">
            <w:pPr>
              <w:pStyle w:val="42"/>
              <w:jc w:val="center"/>
              <w:rPr>
                <w:rFonts w:ascii="宋体" w:hAnsi="宋体"/>
                <w:color w:val="auto"/>
                <w:sz w:val="21"/>
                <w:szCs w:val="21"/>
                <w:highlight w:val="none"/>
              </w:rPr>
            </w:pPr>
            <w:r>
              <w:rPr>
                <w:rFonts w:hint="eastAsia" w:ascii="宋体" w:hAnsi="宋体"/>
                <w:color w:val="auto"/>
                <w:sz w:val="21"/>
                <w:szCs w:val="21"/>
                <w:highlight w:val="none"/>
              </w:rPr>
              <w:t>3</w:t>
            </w:r>
          </w:p>
        </w:tc>
        <w:tc>
          <w:tcPr>
            <w:tcW w:w="912" w:type="dxa"/>
            <w:tcBorders>
              <w:top w:val="single" w:color="auto" w:sz="4" w:space="0"/>
              <w:left w:val="single" w:color="auto" w:sz="4" w:space="0"/>
              <w:bottom w:val="single" w:color="auto" w:sz="4" w:space="0"/>
              <w:right w:val="single" w:color="auto" w:sz="4" w:space="0"/>
            </w:tcBorders>
            <w:vAlign w:val="center"/>
          </w:tcPr>
          <w:p w14:paraId="58A711E6">
            <w:pPr>
              <w:pStyle w:val="42"/>
              <w:jc w:val="center"/>
              <w:rPr>
                <w:rFonts w:ascii="宋体" w:hAnsi="宋体"/>
                <w:color w:val="auto"/>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14:paraId="0232B4CE">
            <w:pPr>
              <w:pStyle w:val="42"/>
              <w:jc w:val="center"/>
              <w:rPr>
                <w:rFonts w:ascii="宋体" w:hAnsi="宋体"/>
                <w:color w:val="auto"/>
                <w:sz w:val="21"/>
                <w:szCs w:val="21"/>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14:paraId="0361656C">
            <w:pPr>
              <w:pStyle w:val="42"/>
              <w:jc w:val="center"/>
              <w:rPr>
                <w:rFonts w:ascii="宋体" w:hAnsi="宋体"/>
                <w:color w:val="auto"/>
                <w:sz w:val="21"/>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4805A5E0">
            <w:pPr>
              <w:pStyle w:val="42"/>
              <w:jc w:val="center"/>
              <w:rPr>
                <w:rFonts w:ascii="宋体" w:hAnsi="宋体"/>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tcPr>
          <w:p w14:paraId="4A555B8B">
            <w:pPr>
              <w:pStyle w:val="42"/>
              <w:jc w:val="center"/>
              <w:rPr>
                <w:rFonts w:ascii="宋体" w:hAnsi="宋体"/>
                <w:color w:val="auto"/>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44FA863D">
            <w:pPr>
              <w:pStyle w:val="42"/>
              <w:jc w:val="center"/>
              <w:rPr>
                <w:rFonts w:ascii="宋体" w:hAnsi="宋体"/>
                <w:color w:val="auto"/>
                <w:sz w:val="21"/>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14:paraId="31683056">
            <w:pPr>
              <w:pStyle w:val="42"/>
              <w:jc w:val="center"/>
              <w:rPr>
                <w:rFonts w:ascii="宋体" w:hAnsi="宋体"/>
                <w:color w:val="auto"/>
                <w:sz w:val="21"/>
                <w:szCs w:val="21"/>
                <w:highlight w:val="none"/>
              </w:rPr>
            </w:pPr>
          </w:p>
        </w:tc>
      </w:tr>
      <w:tr w14:paraId="318DA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0A62CA9A">
            <w:pPr>
              <w:pStyle w:val="42"/>
              <w:jc w:val="center"/>
              <w:rPr>
                <w:rFonts w:ascii="宋体" w:hAnsi="宋体"/>
                <w:color w:val="auto"/>
                <w:sz w:val="21"/>
                <w:szCs w:val="21"/>
                <w:highlight w:val="none"/>
              </w:rPr>
            </w:pPr>
            <w:r>
              <w:rPr>
                <w:rFonts w:hint="eastAsia" w:ascii="宋体" w:hAnsi="宋体"/>
                <w:color w:val="auto"/>
                <w:sz w:val="21"/>
                <w:szCs w:val="21"/>
                <w:highlight w:val="none"/>
              </w:rPr>
              <w:t>4</w:t>
            </w:r>
          </w:p>
        </w:tc>
        <w:tc>
          <w:tcPr>
            <w:tcW w:w="912" w:type="dxa"/>
            <w:tcBorders>
              <w:top w:val="single" w:color="auto" w:sz="4" w:space="0"/>
              <w:left w:val="single" w:color="auto" w:sz="4" w:space="0"/>
              <w:bottom w:val="single" w:color="auto" w:sz="4" w:space="0"/>
              <w:right w:val="single" w:color="auto" w:sz="4" w:space="0"/>
            </w:tcBorders>
            <w:vAlign w:val="center"/>
          </w:tcPr>
          <w:p w14:paraId="58E5CEAA">
            <w:pPr>
              <w:pStyle w:val="42"/>
              <w:jc w:val="center"/>
              <w:rPr>
                <w:rFonts w:ascii="宋体" w:hAnsi="宋体"/>
                <w:color w:val="auto"/>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14:paraId="38D1D53F">
            <w:pPr>
              <w:pStyle w:val="42"/>
              <w:jc w:val="center"/>
              <w:rPr>
                <w:rFonts w:ascii="宋体" w:hAnsi="宋体"/>
                <w:color w:val="auto"/>
                <w:sz w:val="21"/>
                <w:szCs w:val="21"/>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14:paraId="01798123">
            <w:pPr>
              <w:pStyle w:val="42"/>
              <w:jc w:val="center"/>
              <w:rPr>
                <w:rFonts w:ascii="宋体" w:hAnsi="宋体"/>
                <w:color w:val="auto"/>
                <w:sz w:val="21"/>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79B93C41">
            <w:pPr>
              <w:pStyle w:val="42"/>
              <w:jc w:val="center"/>
              <w:rPr>
                <w:rFonts w:ascii="宋体" w:hAnsi="宋体"/>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tcPr>
          <w:p w14:paraId="091B68F1">
            <w:pPr>
              <w:pStyle w:val="42"/>
              <w:jc w:val="center"/>
              <w:rPr>
                <w:rFonts w:ascii="宋体" w:hAnsi="宋体"/>
                <w:color w:val="auto"/>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45268770">
            <w:pPr>
              <w:pStyle w:val="42"/>
              <w:jc w:val="center"/>
              <w:rPr>
                <w:rFonts w:ascii="宋体" w:hAnsi="宋体"/>
                <w:color w:val="auto"/>
                <w:sz w:val="21"/>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14:paraId="2CC04E97">
            <w:pPr>
              <w:pStyle w:val="42"/>
              <w:jc w:val="center"/>
              <w:rPr>
                <w:rFonts w:ascii="宋体" w:hAnsi="宋体"/>
                <w:color w:val="auto"/>
                <w:sz w:val="21"/>
                <w:szCs w:val="21"/>
                <w:highlight w:val="none"/>
              </w:rPr>
            </w:pPr>
          </w:p>
        </w:tc>
      </w:tr>
      <w:tr w14:paraId="6D85D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2451B1F0">
            <w:pPr>
              <w:pStyle w:val="42"/>
              <w:jc w:val="center"/>
              <w:rPr>
                <w:rFonts w:ascii="宋体" w:hAnsi="宋体"/>
                <w:color w:val="auto"/>
                <w:sz w:val="21"/>
                <w:szCs w:val="21"/>
                <w:highlight w:val="none"/>
              </w:rPr>
            </w:pPr>
            <w:r>
              <w:rPr>
                <w:rFonts w:hint="eastAsia" w:ascii="宋体" w:hAnsi="宋体"/>
                <w:color w:val="auto"/>
                <w:sz w:val="21"/>
                <w:szCs w:val="21"/>
                <w:highlight w:val="none"/>
              </w:rPr>
              <w:t>5</w:t>
            </w:r>
          </w:p>
        </w:tc>
        <w:tc>
          <w:tcPr>
            <w:tcW w:w="912" w:type="dxa"/>
            <w:tcBorders>
              <w:top w:val="single" w:color="auto" w:sz="4" w:space="0"/>
              <w:left w:val="single" w:color="auto" w:sz="4" w:space="0"/>
              <w:bottom w:val="single" w:color="auto" w:sz="4" w:space="0"/>
              <w:right w:val="single" w:color="auto" w:sz="4" w:space="0"/>
            </w:tcBorders>
            <w:vAlign w:val="center"/>
          </w:tcPr>
          <w:p w14:paraId="6C0613C0">
            <w:pPr>
              <w:pStyle w:val="42"/>
              <w:jc w:val="center"/>
              <w:rPr>
                <w:rFonts w:ascii="宋体" w:hAnsi="宋体"/>
                <w:color w:val="auto"/>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14:paraId="1C5244C1">
            <w:pPr>
              <w:pStyle w:val="42"/>
              <w:jc w:val="center"/>
              <w:rPr>
                <w:rFonts w:ascii="宋体" w:hAnsi="宋体"/>
                <w:color w:val="auto"/>
                <w:sz w:val="21"/>
                <w:szCs w:val="21"/>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14:paraId="0D2CBD95">
            <w:pPr>
              <w:pStyle w:val="42"/>
              <w:jc w:val="center"/>
              <w:rPr>
                <w:rFonts w:ascii="宋体" w:hAnsi="宋体"/>
                <w:color w:val="auto"/>
                <w:sz w:val="21"/>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1A513E97">
            <w:pPr>
              <w:pStyle w:val="42"/>
              <w:jc w:val="center"/>
              <w:rPr>
                <w:rFonts w:ascii="宋体" w:hAnsi="宋体"/>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tcPr>
          <w:p w14:paraId="2BECEE8E">
            <w:pPr>
              <w:pStyle w:val="42"/>
              <w:jc w:val="center"/>
              <w:rPr>
                <w:rFonts w:ascii="宋体" w:hAnsi="宋体"/>
                <w:color w:val="auto"/>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22F4B7D9">
            <w:pPr>
              <w:pStyle w:val="42"/>
              <w:jc w:val="center"/>
              <w:rPr>
                <w:rFonts w:ascii="宋体" w:hAnsi="宋体"/>
                <w:color w:val="auto"/>
                <w:sz w:val="21"/>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14:paraId="0FE8442A">
            <w:pPr>
              <w:pStyle w:val="42"/>
              <w:jc w:val="center"/>
              <w:rPr>
                <w:rFonts w:ascii="宋体" w:hAnsi="宋体"/>
                <w:color w:val="auto"/>
                <w:sz w:val="21"/>
                <w:szCs w:val="21"/>
                <w:highlight w:val="none"/>
              </w:rPr>
            </w:pPr>
          </w:p>
        </w:tc>
      </w:tr>
      <w:tr w14:paraId="74F41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35BC3001">
            <w:pPr>
              <w:rPr>
                <w:rFonts w:ascii="宋体" w:hAnsi="宋体"/>
                <w:color w:val="auto"/>
                <w:szCs w:val="21"/>
                <w:highlight w:val="none"/>
              </w:rPr>
            </w:pPr>
            <w:r>
              <w:rPr>
                <w:rFonts w:hint="eastAsia" w:ascii="宋体" w:hAnsi="宋体"/>
                <w:color w:val="auto"/>
                <w:szCs w:val="21"/>
                <w:highlight w:val="none"/>
              </w:rPr>
              <w:t>…</w:t>
            </w:r>
          </w:p>
        </w:tc>
        <w:tc>
          <w:tcPr>
            <w:tcW w:w="912" w:type="dxa"/>
            <w:tcBorders>
              <w:top w:val="single" w:color="auto" w:sz="4" w:space="0"/>
              <w:left w:val="single" w:color="auto" w:sz="4" w:space="0"/>
              <w:bottom w:val="single" w:color="auto" w:sz="4" w:space="0"/>
              <w:right w:val="single" w:color="auto" w:sz="4" w:space="0"/>
            </w:tcBorders>
            <w:vAlign w:val="center"/>
          </w:tcPr>
          <w:p w14:paraId="37174AA0">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14:paraId="4B4AFCF9">
            <w:pPr>
              <w:rPr>
                <w:rFonts w:ascii="宋体" w:hAnsi="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14:paraId="172BB31D">
            <w:pP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542B15DF">
            <w:pPr>
              <w:rPr>
                <w:rFonts w:ascii="宋体" w:hAnsi="宋体"/>
                <w:color w:val="auto"/>
                <w:szCs w:val="21"/>
                <w:highlight w:val="none"/>
              </w:rPr>
            </w:pPr>
          </w:p>
        </w:tc>
        <w:tc>
          <w:tcPr>
            <w:tcW w:w="1557" w:type="dxa"/>
            <w:tcBorders>
              <w:top w:val="single" w:color="auto" w:sz="4" w:space="0"/>
              <w:left w:val="single" w:color="auto" w:sz="4" w:space="0"/>
              <w:bottom w:val="single" w:color="auto" w:sz="4" w:space="0"/>
              <w:right w:val="single" w:color="auto" w:sz="4" w:space="0"/>
            </w:tcBorders>
          </w:tcPr>
          <w:p w14:paraId="54D41479">
            <w:pPr>
              <w:rPr>
                <w:rFonts w:ascii="宋体" w:hAnsi="宋体"/>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2D544F4D">
            <w:pPr>
              <w:rPr>
                <w:rFonts w:ascii="宋体" w:hAnsi="宋体"/>
                <w:color w:val="auto"/>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14:paraId="32481F1B">
            <w:pPr>
              <w:rPr>
                <w:rFonts w:ascii="宋体" w:hAnsi="宋体"/>
                <w:color w:val="auto"/>
                <w:szCs w:val="21"/>
                <w:highlight w:val="none"/>
              </w:rPr>
            </w:pPr>
          </w:p>
        </w:tc>
      </w:tr>
      <w:tr w14:paraId="05425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37" w:type="dxa"/>
            <w:gridSpan w:val="8"/>
            <w:tcBorders>
              <w:top w:val="single" w:color="auto" w:sz="4" w:space="0"/>
              <w:left w:val="single" w:color="auto" w:sz="4" w:space="0"/>
              <w:bottom w:val="single" w:color="auto" w:sz="4" w:space="0"/>
              <w:right w:val="single" w:color="auto" w:sz="4" w:space="0"/>
            </w:tcBorders>
            <w:vAlign w:val="center"/>
          </w:tcPr>
          <w:p w14:paraId="4E9C4E66">
            <w:pPr>
              <w:rPr>
                <w:rFonts w:ascii="宋体" w:hAnsi="宋体"/>
                <w:color w:val="auto"/>
                <w:szCs w:val="21"/>
                <w:highlight w:val="none"/>
              </w:rPr>
            </w:pPr>
            <w:r>
              <w:rPr>
                <w:rFonts w:hint="eastAsia" w:ascii="宋体" w:hAnsi="宋体"/>
                <w:color w:val="auto"/>
                <w:szCs w:val="21"/>
                <w:highlight w:val="none"/>
              </w:rPr>
              <w:t>一旦我单位中标，我方保证并配备上述项目服务人员。上述填报内容真实，若不真实，愿按有关规定接受处理。</w:t>
            </w:r>
          </w:p>
        </w:tc>
      </w:tr>
    </w:tbl>
    <w:p w14:paraId="4D686C76">
      <w:pPr>
        <w:spacing w:line="360" w:lineRule="auto"/>
        <w:ind w:firstLine="422" w:firstLineChars="200"/>
        <w:rPr>
          <w:rFonts w:ascii="宋体" w:hAnsi="宋体"/>
          <w:b/>
          <w:color w:val="auto"/>
          <w:szCs w:val="21"/>
          <w:highlight w:val="none"/>
        </w:rPr>
      </w:pPr>
    </w:p>
    <w:p w14:paraId="1102E14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注：1、相关证明材料附后。</w:t>
      </w:r>
    </w:p>
    <w:p w14:paraId="602A6B59">
      <w:pPr>
        <w:spacing w:line="360" w:lineRule="auto"/>
        <w:ind w:firstLine="422" w:firstLineChars="200"/>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2、列入本表人员如要更换，需经采购人同意；擅自更换或不到位属违约行为</w:t>
      </w:r>
    </w:p>
    <w:p w14:paraId="4EC34DF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、表格不够填写可添加。</w:t>
      </w:r>
    </w:p>
    <w:p w14:paraId="7D584745">
      <w:pPr>
        <w:snapToGrid w:val="0"/>
        <w:spacing w:before="50" w:after="50" w:line="360" w:lineRule="auto"/>
        <w:rPr>
          <w:rFonts w:ascii="宋体" w:hAnsi="宋体"/>
          <w:color w:val="auto"/>
          <w:sz w:val="24"/>
          <w:highlight w:val="none"/>
        </w:rPr>
      </w:pPr>
    </w:p>
    <w:p w14:paraId="3D8140D3">
      <w:pPr>
        <w:snapToGrid w:val="0"/>
        <w:spacing w:before="50" w:after="50" w:line="360" w:lineRule="auto"/>
        <w:rPr>
          <w:rFonts w:ascii="宋体" w:hAnsi="宋体"/>
          <w:color w:val="auto"/>
          <w:sz w:val="24"/>
          <w:highlight w:val="none"/>
        </w:rPr>
      </w:pPr>
    </w:p>
    <w:p w14:paraId="5072E55E">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46F6E6E3">
      <w:pPr>
        <w:pStyle w:val="86"/>
        <w:ind w:left="0" w:leftChars="0" w:firstLine="0" w:firstLineChars="0"/>
        <w:rPr>
          <w:rFonts w:hAnsi="宋体"/>
          <w:color w:val="auto"/>
          <w:highlight w:val="none"/>
        </w:rPr>
      </w:pPr>
      <w:r>
        <w:rPr>
          <w:rFonts w:hint="eastAsia" w:ascii="宋体" w:hAnsi="宋体" w:cs="宋体"/>
          <w:color w:val="auto"/>
          <w:highlight w:val="none"/>
        </w:rPr>
        <w:t>投标人名称（加盖公章）</w:t>
      </w:r>
      <w:r>
        <w:rPr>
          <w:rFonts w:hint="eastAsia" w:hAnsi="宋体"/>
          <w:color w:val="auto"/>
          <w:highlight w:val="none"/>
          <w:u w:val="singl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 xml:space="preserve">    </w:t>
      </w:r>
    </w:p>
    <w:p w14:paraId="48096843">
      <w:pPr>
        <w:pStyle w:val="86"/>
        <w:ind w:left="0" w:leftChars="0" w:firstLine="0" w:firstLineChars="0"/>
        <w:rPr>
          <w:rFonts w:ascii="宋体" w:hAnsi="宋体"/>
          <w:b/>
          <w:color w:val="auto"/>
          <w:sz w:val="28"/>
          <w:szCs w:val="28"/>
          <w:highlight w:val="none"/>
        </w:rPr>
      </w:pPr>
      <w:r>
        <w:rPr>
          <w:rFonts w:hint="eastAsia" w:hAnsi="宋体" w:cs="宋体"/>
          <w:color w:val="auto"/>
          <w:highlight w:val="none"/>
        </w:rPr>
        <w:t>日期：_____年____月____日</w:t>
      </w:r>
    </w:p>
    <w:p w14:paraId="3DA38649">
      <w:pPr>
        <w:pStyle w:val="86"/>
        <w:ind w:left="420" w:firstLine="0" w:firstLineChars="0"/>
        <w:rPr>
          <w:rFonts w:ascii="宋体" w:hAnsi="宋体"/>
          <w:b/>
          <w:color w:val="auto"/>
          <w:sz w:val="28"/>
          <w:szCs w:val="28"/>
          <w:highlight w:val="none"/>
        </w:rPr>
      </w:pPr>
    </w:p>
    <w:p w14:paraId="40FF8177">
      <w:pPr>
        <w:widowControl/>
        <w:jc w:val="center"/>
        <w:rPr>
          <w:rFonts w:ascii="宋体" w:hAnsi="宋体" w:cs="宋体"/>
          <w:b/>
          <w:color w:val="auto"/>
          <w:kern w:val="0"/>
          <w:sz w:val="24"/>
          <w:highlight w:val="none"/>
        </w:rPr>
      </w:pPr>
    </w:p>
    <w:p w14:paraId="505C5C6E">
      <w:pPr>
        <w:widowControl/>
        <w:jc w:val="center"/>
        <w:rPr>
          <w:rFonts w:ascii="宋体" w:hAnsi="宋体" w:cs="宋体"/>
          <w:b/>
          <w:color w:val="auto"/>
          <w:kern w:val="0"/>
          <w:sz w:val="24"/>
          <w:highlight w:val="none"/>
        </w:rPr>
      </w:pPr>
    </w:p>
    <w:p w14:paraId="5BADF9F2">
      <w:pPr>
        <w:widowControl/>
        <w:jc w:val="center"/>
        <w:rPr>
          <w:rFonts w:ascii="宋体" w:hAnsi="宋体" w:cs="宋体"/>
          <w:b/>
          <w:color w:val="auto"/>
          <w:kern w:val="0"/>
          <w:sz w:val="24"/>
          <w:highlight w:val="none"/>
        </w:rPr>
      </w:pPr>
    </w:p>
    <w:p w14:paraId="1349AD25">
      <w:pPr>
        <w:widowControl/>
        <w:jc w:val="center"/>
        <w:rPr>
          <w:rFonts w:ascii="宋体" w:hAnsi="宋体" w:cs="宋体"/>
          <w:b/>
          <w:color w:val="auto"/>
          <w:kern w:val="0"/>
          <w:sz w:val="24"/>
          <w:highlight w:val="none"/>
        </w:rPr>
      </w:pPr>
    </w:p>
    <w:p w14:paraId="06189073">
      <w:pPr>
        <w:widowControl/>
        <w:jc w:val="center"/>
        <w:rPr>
          <w:rFonts w:ascii="宋体" w:hAnsi="宋体" w:cs="宋体"/>
          <w:b/>
          <w:color w:val="auto"/>
          <w:kern w:val="0"/>
          <w:sz w:val="24"/>
          <w:highlight w:val="none"/>
        </w:rPr>
      </w:pPr>
    </w:p>
    <w:p w14:paraId="1B07B77E">
      <w:pPr>
        <w:widowControl/>
        <w:jc w:val="center"/>
        <w:rPr>
          <w:rFonts w:ascii="宋体" w:hAnsi="宋体" w:cs="宋体"/>
          <w:b/>
          <w:color w:val="auto"/>
          <w:kern w:val="0"/>
          <w:sz w:val="24"/>
          <w:highlight w:val="none"/>
        </w:rPr>
      </w:pPr>
    </w:p>
    <w:p w14:paraId="44BEA167">
      <w:pPr>
        <w:widowControl/>
        <w:jc w:val="center"/>
        <w:rPr>
          <w:rFonts w:ascii="宋体" w:hAnsi="宋体" w:cs="宋体"/>
          <w:b/>
          <w:color w:val="auto"/>
          <w:kern w:val="0"/>
          <w:sz w:val="24"/>
          <w:highlight w:val="none"/>
        </w:rPr>
      </w:pPr>
    </w:p>
    <w:p w14:paraId="4AA67665">
      <w:pPr>
        <w:pStyle w:val="26"/>
        <w:ind w:left="0" w:leftChars="0" w:firstLine="0" w:firstLineChars="0"/>
        <w:rPr>
          <w:color w:val="auto"/>
          <w:highlight w:val="none"/>
        </w:rPr>
      </w:pPr>
    </w:p>
    <w:p w14:paraId="737EE7E6">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14:paraId="767AA22C">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14:paraId="0B90E0A6">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14:paraId="2F9FFD48">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14:paraId="68D39AF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13CC231D">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00260FF8">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14:paraId="027E1D1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7ED60628">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14:paraId="77DFD625">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14:paraId="32A0B58B">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14:paraId="379ED1DC">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14:paraId="078C2A2B">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14:paraId="08C29DE9">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60DE0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投标人名称（加盖公章）：          </w:t>
      </w:r>
    </w:p>
    <w:p w14:paraId="564E7ACC">
      <w:pPr>
        <w:snapToGrid w:val="0"/>
        <w:spacing w:line="360" w:lineRule="auto"/>
        <w:ind w:firstLine="5040" w:firstLineChars="2100"/>
        <w:rPr>
          <w:rFonts w:ascii="宋体" w:hAnsi="宋体" w:cs="宋体"/>
          <w:color w:val="auto"/>
          <w:sz w:val="24"/>
          <w:highlight w:val="none"/>
        </w:rPr>
      </w:pPr>
    </w:p>
    <w:p w14:paraId="5C62D230">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14:paraId="66799DE6">
      <w:pPr>
        <w:snapToGrid w:val="0"/>
        <w:spacing w:before="50" w:after="50"/>
        <w:rPr>
          <w:rFonts w:ascii="宋体" w:hAnsi="宋体" w:cs="宋体"/>
          <w:color w:val="auto"/>
          <w:highlight w:val="none"/>
        </w:rPr>
      </w:pPr>
    </w:p>
    <w:p w14:paraId="0525BFDE">
      <w:pPr>
        <w:snapToGrid w:val="0"/>
        <w:spacing w:before="50" w:after="50"/>
        <w:rPr>
          <w:rFonts w:ascii="宋体" w:hAnsi="宋体" w:cs="宋体"/>
          <w:color w:val="auto"/>
          <w:highlight w:val="none"/>
        </w:rPr>
      </w:pPr>
    </w:p>
    <w:p w14:paraId="315B9008">
      <w:pPr>
        <w:snapToGrid w:val="0"/>
        <w:spacing w:before="50" w:after="50"/>
        <w:rPr>
          <w:rFonts w:ascii="宋体" w:hAnsi="宋体" w:cs="宋体"/>
          <w:color w:val="auto"/>
          <w:highlight w:val="none"/>
        </w:rPr>
      </w:pPr>
    </w:p>
    <w:p w14:paraId="42AF8F5D">
      <w:pPr>
        <w:snapToGrid w:val="0"/>
        <w:spacing w:before="50" w:after="50"/>
        <w:rPr>
          <w:rFonts w:ascii="宋体" w:hAnsi="宋体" w:cs="宋体"/>
          <w:color w:val="auto"/>
          <w:highlight w:val="none"/>
        </w:rPr>
      </w:pPr>
    </w:p>
    <w:p w14:paraId="09F295A0">
      <w:pPr>
        <w:snapToGrid w:val="0"/>
        <w:spacing w:before="50" w:after="50"/>
        <w:rPr>
          <w:rFonts w:ascii="宋体" w:hAnsi="宋体" w:cs="宋体"/>
          <w:color w:val="auto"/>
          <w:highlight w:val="none"/>
        </w:rPr>
      </w:pPr>
    </w:p>
    <w:p w14:paraId="59A93F5E">
      <w:pPr>
        <w:pStyle w:val="24"/>
        <w:rPr>
          <w:rFonts w:hAnsi="宋体" w:cs="宋体"/>
          <w:color w:val="auto"/>
          <w:highlight w:val="none"/>
        </w:rPr>
      </w:pPr>
    </w:p>
    <w:p w14:paraId="6BCF9F5D">
      <w:pPr>
        <w:pStyle w:val="24"/>
        <w:rPr>
          <w:rFonts w:hAnsi="宋体" w:cs="宋体"/>
          <w:color w:val="auto"/>
          <w:highlight w:val="none"/>
        </w:rPr>
      </w:pPr>
    </w:p>
    <w:bookmarkEnd w:id="35"/>
    <w:p w14:paraId="7D031B1D">
      <w:pPr>
        <w:snapToGrid w:val="0"/>
        <w:spacing w:before="50" w:after="50"/>
        <w:rPr>
          <w:rFonts w:ascii="宋体" w:hAnsi="宋体" w:cs="宋体"/>
          <w:b/>
          <w:color w:val="auto"/>
          <w:sz w:val="24"/>
          <w:highlight w:val="none"/>
        </w:rPr>
      </w:pPr>
    </w:p>
    <w:p w14:paraId="4C007551">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开标一览表</w:t>
      </w:r>
    </w:p>
    <w:p w14:paraId="603FEB6F">
      <w:pPr>
        <w:snapToGrid w:val="0"/>
        <w:spacing w:before="50" w:after="50"/>
        <w:jc w:val="center"/>
        <w:rPr>
          <w:rFonts w:ascii="宋体" w:hAnsi="宋体" w:cs="宋体"/>
          <w:b/>
          <w:color w:val="auto"/>
          <w:sz w:val="24"/>
          <w:szCs w:val="20"/>
          <w:highlight w:val="none"/>
        </w:rPr>
      </w:pPr>
    </w:p>
    <w:p w14:paraId="53D792E4">
      <w:pPr>
        <w:snapToGrid w:val="0"/>
        <w:spacing w:before="50" w:after="50"/>
        <w:ind w:right="480"/>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w:t>
      </w:r>
      <w:r>
        <w:rPr>
          <w:rFonts w:hint="eastAsia" w:ascii="宋体" w:hAnsi="宋体"/>
          <w:color w:val="auto"/>
          <w:sz w:val="24"/>
          <w:highlight w:val="none"/>
        </w:rPr>
        <w:t>人民币</w:t>
      </w:r>
      <w:r>
        <w:rPr>
          <w:rFonts w:hint="eastAsia" w:ascii="宋体" w:hAnsi="宋体" w:cs="宋体"/>
          <w:color w:val="auto"/>
          <w:sz w:val="24"/>
          <w:highlight w:val="none"/>
        </w:rPr>
        <w:t>元</w:t>
      </w:r>
    </w:p>
    <w:p w14:paraId="6362F732">
      <w:pPr>
        <w:snapToGrid w:val="0"/>
        <w:spacing w:before="50" w:after="50"/>
        <w:ind w:right="480"/>
        <w:jc w:val="right"/>
        <w:rPr>
          <w:rFonts w:ascii="宋体" w:hAnsi="宋体" w:cs="宋体"/>
          <w:color w:val="auto"/>
          <w:sz w:val="24"/>
          <w:highlight w:val="none"/>
        </w:rPr>
      </w:pPr>
    </w:p>
    <w:tbl>
      <w:tblPr>
        <w:tblStyle w:val="6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14:paraId="60B73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14:paraId="1D4E5BB9">
            <w:pPr>
              <w:snapToGrid w:val="0"/>
              <w:spacing w:before="100" w:beforeAutospacing="1" w:after="100" w:afterAutospacing="1" w:line="276" w:lineRule="auto"/>
              <w:jc w:val="center"/>
              <w:rPr>
                <w:rFonts w:eastAsia="仿宋_GB2312"/>
                <w:b/>
                <w:color w:val="auto"/>
                <w:szCs w:val="21"/>
                <w:highlight w:val="none"/>
              </w:rPr>
            </w:pPr>
            <w:r>
              <w:rPr>
                <w:rFonts w:hint="eastAsia"/>
                <w:b/>
                <w:color w:val="auto"/>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14:paraId="0B7A847C">
            <w:pPr>
              <w:snapToGrid w:val="0"/>
              <w:spacing w:before="100" w:beforeAutospacing="1" w:after="100" w:afterAutospacing="1" w:line="276" w:lineRule="auto"/>
              <w:rPr>
                <w:rFonts w:eastAsia="仿宋_GB2312"/>
                <w:b/>
                <w:color w:val="auto"/>
                <w:szCs w:val="21"/>
                <w:highlight w:val="none"/>
              </w:rPr>
            </w:pPr>
          </w:p>
        </w:tc>
      </w:tr>
      <w:tr w14:paraId="39939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2088" w:type="dxa"/>
            <w:vMerge w:val="restart"/>
            <w:tcBorders>
              <w:top w:val="single" w:color="auto" w:sz="4" w:space="0"/>
              <w:left w:val="single" w:color="auto" w:sz="4" w:space="0"/>
              <w:right w:val="single" w:color="auto" w:sz="4" w:space="0"/>
            </w:tcBorders>
            <w:vAlign w:val="center"/>
          </w:tcPr>
          <w:p w14:paraId="59C610E8">
            <w:pPr>
              <w:snapToGrid w:val="0"/>
              <w:spacing w:before="100" w:beforeAutospacing="1" w:after="100" w:afterAutospacing="1" w:line="276" w:lineRule="auto"/>
              <w:jc w:val="center"/>
              <w:rPr>
                <w:b/>
                <w:color w:val="auto"/>
                <w:szCs w:val="21"/>
                <w:highlight w:val="none"/>
              </w:rPr>
            </w:pPr>
            <w:r>
              <w:rPr>
                <w:rFonts w:hint="eastAsia"/>
                <w:b/>
                <w:color w:val="auto"/>
                <w:szCs w:val="21"/>
                <w:highlight w:val="none"/>
              </w:rPr>
              <w:t xml:space="preserve">总报价 </w:t>
            </w:r>
          </w:p>
        </w:tc>
        <w:tc>
          <w:tcPr>
            <w:tcW w:w="6440" w:type="dxa"/>
            <w:tcBorders>
              <w:top w:val="single" w:color="auto" w:sz="4" w:space="0"/>
              <w:left w:val="single" w:color="auto" w:sz="4" w:space="0"/>
              <w:bottom w:val="single" w:color="auto" w:sz="4" w:space="0"/>
              <w:right w:val="single" w:color="auto" w:sz="4" w:space="0"/>
            </w:tcBorders>
            <w:vAlign w:val="center"/>
          </w:tcPr>
          <w:p w14:paraId="375F0747">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大写</w:t>
            </w:r>
          </w:p>
        </w:tc>
      </w:tr>
      <w:tr w14:paraId="4A0E7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2088" w:type="dxa"/>
            <w:vMerge w:val="continue"/>
            <w:tcBorders>
              <w:left w:val="single" w:color="auto" w:sz="4" w:space="0"/>
              <w:bottom w:val="single" w:color="auto" w:sz="4" w:space="0"/>
              <w:right w:val="single" w:color="auto" w:sz="4" w:space="0"/>
            </w:tcBorders>
            <w:vAlign w:val="center"/>
          </w:tcPr>
          <w:p w14:paraId="1659CDC2">
            <w:pPr>
              <w:snapToGrid w:val="0"/>
              <w:spacing w:before="100" w:beforeAutospacing="1" w:after="100" w:afterAutospacing="1" w:line="276" w:lineRule="auto"/>
              <w:jc w:val="center"/>
              <w:rPr>
                <w:b/>
                <w:color w:val="auto"/>
                <w:szCs w:val="21"/>
                <w:highlight w:val="none"/>
              </w:rPr>
            </w:pPr>
          </w:p>
        </w:tc>
        <w:tc>
          <w:tcPr>
            <w:tcW w:w="6440" w:type="dxa"/>
            <w:tcBorders>
              <w:top w:val="single" w:color="auto" w:sz="4" w:space="0"/>
              <w:left w:val="single" w:color="auto" w:sz="4" w:space="0"/>
              <w:bottom w:val="single" w:color="auto" w:sz="4" w:space="0"/>
              <w:right w:val="single" w:color="auto" w:sz="4" w:space="0"/>
            </w:tcBorders>
            <w:vAlign w:val="center"/>
          </w:tcPr>
          <w:p w14:paraId="16A5BBE0">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小写</w:t>
            </w:r>
          </w:p>
        </w:tc>
      </w:tr>
    </w:tbl>
    <w:p w14:paraId="00D6CA2C">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 1、报价一经涂改，应在涂改处加盖单位公章或者由法定代表人或被授权人签字或盖章，</w:t>
      </w:r>
    </w:p>
    <w:p w14:paraId="53F70642">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否则其投标将作投标无效处理。</w:t>
      </w:r>
    </w:p>
    <w:p w14:paraId="401419F9">
      <w:pPr>
        <w:snapToGrid w:val="0"/>
        <w:spacing w:line="48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2、本页后附投标报价明细表。</w:t>
      </w:r>
    </w:p>
    <w:p w14:paraId="7667162E">
      <w:pPr>
        <w:snapToGrid w:val="0"/>
        <w:spacing w:line="480" w:lineRule="exact"/>
        <w:ind w:firstLine="440" w:firstLineChars="200"/>
        <w:jc w:val="left"/>
        <w:rPr>
          <w:rFonts w:ascii="宋体" w:hAnsi="宋体" w:cs="宋体"/>
          <w:color w:val="auto"/>
          <w:sz w:val="22"/>
          <w:szCs w:val="22"/>
          <w:highlight w:val="none"/>
        </w:rPr>
      </w:pPr>
    </w:p>
    <w:p w14:paraId="3A573EDB">
      <w:pPr>
        <w:snapToGrid w:val="0"/>
        <w:spacing w:line="480" w:lineRule="exact"/>
        <w:ind w:firstLine="440" w:firstLineChars="200"/>
        <w:jc w:val="left"/>
        <w:rPr>
          <w:rFonts w:ascii="宋体" w:hAnsi="宋体" w:cs="宋体"/>
          <w:color w:val="auto"/>
          <w:sz w:val="22"/>
          <w:szCs w:val="22"/>
          <w:highlight w:val="none"/>
        </w:rPr>
      </w:pPr>
    </w:p>
    <w:p w14:paraId="3AC11961">
      <w:pPr>
        <w:snapToGrid w:val="0"/>
        <w:spacing w:line="480" w:lineRule="exact"/>
        <w:ind w:left="-3" w:leftChars="-72" w:right="-817" w:rightChars="-389" w:hanging="148" w:hangingChars="62"/>
        <w:rPr>
          <w:rFonts w:ascii="宋体" w:hAnsi="宋体" w:cs="宋体"/>
          <w:color w:val="auto"/>
          <w:sz w:val="24"/>
          <w:highlight w:val="none"/>
        </w:rPr>
      </w:pPr>
    </w:p>
    <w:p w14:paraId="138A94CB">
      <w:pPr>
        <w:snapToGrid w:val="0"/>
        <w:spacing w:before="50" w:after="50" w:line="360" w:lineRule="auto"/>
        <w:rPr>
          <w:rFonts w:ascii="宋体" w:hAnsi="宋体"/>
          <w:color w:val="auto"/>
          <w:sz w:val="24"/>
          <w:highlight w:val="none"/>
        </w:rPr>
      </w:pPr>
    </w:p>
    <w:p w14:paraId="652C843F">
      <w:pPr>
        <w:snapToGrid w:val="0"/>
        <w:spacing w:before="50" w:after="50" w:line="360" w:lineRule="auto"/>
        <w:rPr>
          <w:rFonts w:ascii="宋体" w:hAnsi="宋体"/>
          <w:color w:val="auto"/>
          <w:sz w:val="24"/>
          <w:highlight w:val="none"/>
        </w:rPr>
      </w:pPr>
    </w:p>
    <w:p w14:paraId="5261C76A">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562E7950">
      <w:pPr>
        <w:pStyle w:val="967"/>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4764C92A">
      <w:pPr>
        <w:rPr>
          <w:rFonts w:hAnsi="宋体" w:cs="宋体"/>
          <w:color w:val="auto"/>
          <w:sz w:val="24"/>
          <w:highlight w:val="none"/>
        </w:rPr>
      </w:pPr>
      <w:r>
        <w:rPr>
          <w:rFonts w:hint="eastAsia" w:hAnsi="宋体" w:cs="宋体"/>
          <w:color w:val="auto"/>
          <w:sz w:val="24"/>
          <w:highlight w:val="none"/>
        </w:rPr>
        <w:t>日期：_____年____月____日</w:t>
      </w:r>
    </w:p>
    <w:p w14:paraId="1F3EE774">
      <w:pPr>
        <w:pStyle w:val="24"/>
        <w:rPr>
          <w:rFonts w:ascii="宋体" w:hAnsi="宋体" w:cs="宋体"/>
          <w:color w:val="auto"/>
          <w:sz w:val="24"/>
          <w:highlight w:val="none"/>
        </w:rPr>
      </w:pPr>
    </w:p>
    <w:p w14:paraId="0FC22376">
      <w:pPr>
        <w:pStyle w:val="63"/>
        <w:rPr>
          <w:rFonts w:ascii="宋体" w:hAnsi="宋体" w:cs="宋体"/>
          <w:color w:val="auto"/>
          <w:sz w:val="24"/>
          <w:highlight w:val="none"/>
        </w:rPr>
      </w:pPr>
    </w:p>
    <w:p w14:paraId="3D26A2A5">
      <w:pPr>
        <w:rPr>
          <w:rFonts w:ascii="宋体" w:hAnsi="宋体" w:cs="宋体"/>
          <w:color w:val="auto"/>
          <w:sz w:val="24"/>
          <w:highlight w:val="none"/>
        </w:rPr>
      </w:pPr>
    </w:p>
    <w:p w14:paraId="02D2FABB">
      <w:pPr>
        <w:pStyle w:val="24"/>
        <w:rPr>
          <w:rFonts w:ascii="宋体" w:hAnsi="宋体" w:cs="宋体"/>
          <w:color w:val="auto"/>
          <w:sz w:val="24"/>
          <w:highlight w:val="none"/>
        </w:rPr>
      </w:pPr>
    </w:p>
    <w:p w14:paraId="044566DE">
      <w:pPr>
        <w:pStyle w:val="63"/>
        <w:rPr>
          <w:rFonts w:ascii="宋体" w:hAnsi="宋体" w:cs="宋体"/>
          <w:color w:val="auto"/>
          <w:sz w:val="24"/>
          <w:highlight w:val="none"/>
        </w:rPr>
      </w:pPr>
    </w:p>
    <w:p w14:paraId="0AC83F7D">
      <w:pPr>
        <w:rPr>
          <w:rFonts w:ascii="宋体" w:hAnsi="宋体" w:cs="宋体"/>
          <w:color w:val="auto"/>
          <w:sz w:val="24"/>
          <w:highlight w:val="none"/>
        </w:rPr>
      </w:pPr>
    </w:p>
    <w:p w14:paraId="4845A8E9">
      <w:pPr>
        <w:pStyle w:val="24"/>
        <w:rPr>
          <w:rFonts w:ascii="宋体" w:hAnsi="宋体" w:cs="宋体"/>
          <w:color w:val="auto"/>
          <w:sz w:val="24"/>
          <w:highlight w:val="none"/>
        </w:rPr>
      </w:pPr>
    </w:p>
    <w:p w14:paraId="4065906A">
      <w:pPr>
        <w:pStyle w:val="63"/>
        <w:rPr>
          <w:color w:val="auto"/>
          <w:highlight w:val="none"/>
        </w:rPr>
      </w:pPr>
    </w:p>
    <w:p w14:paraId="543D48CE">
      <w:pPr>
        <w:rPr>
          <w:color w:val="auto"/>
          <w:highlight w:val="none"/>
        </w:rPr>
      </w:pPr>
    </w:p>
    <w:p w14:paraId="3D8F55F7">
      <w:pPr>
        <w:pStyle w:val="2"/>
        <w:rPr>
          <w:color w:val="auto"/>
          <w:highlight w:val="none"/>
        </w:rPr>
      </w:pPr>
    </w:p>
    <w:p w14:paraId="45965A49">
      <w:pPr>
        <w:pStyle w:val="2"/>
        <w:rPr>
          <w:color w:val="auto"/>
          <w:highlight w:val="none"/>
        </w:rPr>
      </w:pPr>
    </w:p>
    <w:p w14:paraId="189097FE">
      <w:pPr>
        <w:keepNext w:val="0"/>
        <w:keepLines w:val="0"/>
        <w:pageBreakBefore/>
        <w:widowControl/>
        <w:kinsoku/>
        <w:wordWrap/>
        <w:overflowPunct/>
        <w:topLinePunct w:val="0"/>
        <w:autoSpaceDE/>
        <w:autoSpaceDN/>
        <w:bidi w:val="0"/>
        <w:adjustRightInd w:val="0"/>
        <w:snapToGrid/>
        <w:spacing w:line="360" w:lineRule="auto"/>
        <w:jc w:val="center"/>
        <w:textAlignment w:val="auto"/>
        <w:rPr>
          <w:rFonts w:ascii="宋体" w:hAnsi="宋体"/>
          <w:b/>
          <w:color w:val="auto"/>
          <w:sz w:val="28"/>
          <w:szCs w:val="28"/>
          <w:highlight w:val="none"/>
        </w:rPr>
      </w:pPr>
      <w:r>
        <w:rPr>
          <w:rFonts w:hint="eastAsia" w:ascii="宋体" w:hAnsi="宋体"/>
          <w:b/>
          <w:color w:val="auto"/>
          <w:sz w:val="28"/>
          <w:szCs w:val="28"/>
          <w:highlight w:val="none"/>
        </w:rPr>
        <w:t>投标报价明细表</w:t>
      </w:r>
    </w:p>
    <w:p w14:paraId="4B6CCE54">
      <w:pPr>
        <w:pStyle w:val="2"/>
        <w:ind w:left="0" w:leftChars="0" w:firstLine="0" w:firstLineChars="0"/>
        <w:rPr>
          <w:color w:val="auto"/>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bCs/>
          <w:color w:val="auto"/>
          <w:sz w:val="24"/>
          <w:highlight w:val="none"/>
        </w:rPr>
        <w:t xml:space="preserve">                                  单位：人民币元</w:t>
      </w:r>
    </w:p>
    <w:tbl>
      <w:tblPr>
        <w:tblStyle w:val="65"/>
        <w:tblW w:w="9048"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16"/>
        <w:gridCol w:w="1274"/>
        <w:gridCol w:w="1198"/>
        <w:gridCol w:w="1092"/>
        <w:gridCol w:w="1017"/>
        <w:gridCol w:w="1151"/>
        <w:gridCol w:w="1234"/>
        <w:gridCol w:w="1066"/>
      </w:tblGrid>
      <w:tr w14:paraId="5E50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016" w:type="dxa"/>
            <w:shd w:val="clear" w:color="auto" w:fill="auto"/>
            <w:vAlign w:val="center"/>
          </w:tcPr>
          <w:p w14:paraId="1E0084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74" w:type="dxa"/>
            <w:shd w:val="clear" w:color="auto" w:fill="auto"/>
            <w:vAlign w:val="center"/>
          </w:tcPr>
          <w:p w14:paraId="4C7DB69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岗位类别</w:t>
            </w:r>
          </w:p>
        </w:tc>
        <w:tc>
          <w:tcPr>
            <w:tcW w:w="1198" w:type="dxa"/>
            <w:shd w:val="clear" w:color="auto" w:fill="auto"/>
            <w:vAlign w:val="center"/>
          </w:tcPr>
          <w:p w14:paraId="35642F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092" w:type="dxa"/>
            <w:shd w:val="clear" w:color="auto" w:fill="auto"/>
            <w:vAlign w:val="center"/>
          </w:tcPr>
          <w:p w14:paraId="1D89C1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017" w:type="dxa"/>
            <w:shd w:val="clear" w:color="auto" w:fill="auto"/>
            <w:vAlign w:val="center"/>
          </w:tcPr>
          <w:p w14:paraId="6AD785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平均</w:t>
            </w:r>
            <w:r>
              <w:rPr>
                <w:rFonts w:hint="eastAsia" w:ascii="宋体" w:hAnsi="宋体" w:eastAsia="宋体" w:cs="宋体"/>
                <w:i w:val="0"/>
                <w:iCs w:val="0"/>
                <w:color w:val="auto"/>
                <w:kern w:val="0"/>
                <w:sz w:val="21"/>
                <w:szCs w:val="21"/>
                <w:highlight w:val="none"/>
                <w:u w:val="none"/>
                <w:lang w:val="en-US" w:eastAsia="zh-CN" w:bidi="ar"/>
              </w:rPr>
              <w:t>工资（元/年/</w:t>
            </w:r>
            <w:r>
              <w:rPr>
                <w:rFonts w:hint="eastAsia" w:ascii="宋体" w:hAnsi="宋体" w:cs="宋体"/>
                <w:i w:val="0"/>
                <w:iCs w:val="0"/>
                <w:color w:val="auto"/>
                <w:kern w:val="0"/>
                <w:sz w:val="21"/>
                <w:szCs w:val="21"/>
                <w:highlight w:val="none"/>
                <w:u w:val="none"/>
                <w:lang w:val="en-US" w:eastAsia="zh-CN" w:bidi="ar"/>
              </w:rPr>
              <w:t>个</w:t>
            </w:r>
            <w:r>
              <w:rPr>
                <w:rFonts w:hint="eastAsia" w:ascii="宋体" w:hAnsi="宋体" w:eastAsia="宋体" w:cs="宋体"/>
                <w:i w:val="0"/>
                <w:iCs w:val="0"/>
                <w:color w:val="auto"/>
                <w:kern w:val="0"/>
                <w:sz w:val="21"/>
                <w:szCs w:val="21"/>
                <w:highlight w:val="none"/>
                <w:u w:val="none"/>
                <w:lang w:val="en-US" w:eastAsia="zh-CN" w:bidi="ar"/>
              </w:rPr>
              <w:t>）</w:t>
            </w:r>
          </w:p>
        </w:tc>
        <w:tc>
          <w:tcPr>
            <w:tcW w:w="1151" w:type="dxa"/>
            <w:shd w:val="clear" w:color="auto" w:fill="auto"/>
            <w:vAlign w:val="center"/>
          </w:tcPr>
          <w:p w14:paraId="706FD7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招标代理费（元）</w:t>
            </w:r>
          </w:p>
        </w:tc>
        <w:tc>
          <w:tcPr>
            <w:tcW w:w="1234" w:type="dxa"/>
            <w:shd w:val="clear" w:color="auto" w:fill="auto"/>
            <w:vAlign w:val="center"/>
          </w:tcPr>
          <w:p w14:paraId="7E3054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管理费（元/月/</w:t>
            </w:r>
            <w:r>
              <w:rPr>
                <w:rFonts w:hint="eastAsia" w:ascii="宋体" w:hAnsi="宋体" w:cs="宋体"/>
                <w:i w:val="0"/>
                <w:iCs w:val="0"/>
                <w:color w:val="auto"/>
                <w:kern w:val="0"/>
                <w:sz w:val="21"/>
                <w:szCs w:val="21"/>
                <w:highlight w:val="none"/>
                <w:u w:val="none"/>
                <w:lang w:val="en-US" w:eastAsia="zh-CN" w:bidi="ar"/>
              </w:rPr>
              <w:t>个</w:t>
            </w:r>
            <w:r>
              <w:rPr>
                <w:rFonts w:hint="eastAsia" w:ascii="宋体" w:hAnsi="宋体" w:eastAsia="宋体" w:cs="宋体"/>
                <w:i w:val="0"/>
                <w:iCs w:val="0"/>
                <w:color w:val="auto"/>
                <w:kern w:val="0"/>
                <w:sz w:val="21"/>
                <w:szCs w:val="21"/>
                <w:highlight w:val="none"/>
                <w:u w:val="none"/>
                <w:lang w:val="en-US" w:eastAsia="zh-CN" w:bidi="ar"/>
              </w:rPr>
              <w:t>）</w:t>
            </w:r>
          </w:p>
        </w:tc>
        <w:tc>
          <w:tcPr>
            <w:tcW w:w="1066" w:type="dxa"/>
            <w:shd w:val="clear" w:color="auto" w:fill="auto"/>
            <w:vAlign w:val="center"/>
          </w:tcPr>
          <w:p w14:paraId="03A4DD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年度金额</w:t>
            </w:r>
            <w:r>
              <w:rPr>
                <w:rFonts w:hint="eastAsia" w:ascii="宋体" w:hAnsi="宋体" w:cs="宋体"/>
                <w:i w:val="0"/>
                <w:iCs w:val="0"/>
                <w:color w:val="auto"/>
                <w:kern w:val="0"/>
                <w:sz w:val="21"/>
                <w:szCs w:val="21"/>
                <w:highlight w:val="none"/>
                <w:u w:val="none"/>
                <w:lang w:val="en-US" w:eastAsia="zh-CN" w:bidi="ar"/>
              </w:rPr>
              <w:t>合计</w:t>
            </w:r>
            <w:r>
              <w:rPr>
                <w:rFonts w:hint="eastAsia" w:ascii="宋体" w:hAnsi="宋体" w:eastAsia="宋体" w:cs="宋体"/>
                <w:i w:val="0"/>
                <w:iCs w:val="0"/>
                <w:color w:val="auto"/>
                <w:kern w:val="0"/>
                <w:sz w:val="21"/>
                <w:szCs w:val="21"/>
                <w:highlight w:val="none"/>
                <w:u w:val="none"/>
                <w:lang w:val="en-US" w:eastAsia="zh-CN" w:bidi="ar"/>
              </w:rPr>
              <w:t>（元）</w:t>
            </w:r>
          </w:p>
        </w:tc>
      </w:tr>
      <w:tr w14:paraId="5A6D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6" w:type="dxa"/>
            <w:shd w:val="clear" w:color="auto" w:fill="auto"/>
            <w:vAlign w:val="center"/>
          </w:tcPr>
          <w:p w14:paraId="4D42BAD4">
            <w:pPr>
              <w:snapToGrid w:val="0"/>
              <w:spacing w:line="48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1274" w:type="dxa"/>
            <w:shd w:val="clear" w:color="auto" w:fill="auto"/>
            <w:vAlign w:val="center"/>
          </w:tcPr>
          <w:p w14:paraId="7A018FE6">
            <w:pPr>
              <w:snapToGrid w:val="0"/>
              <w:spacing w:line="480" w:lineRule="exact"/>
              <w:jc w:val="center"/>
              <w:rPr>
                <w:rFonts w:hint="eastAsia" w:ascii="宋体" w:hAnsi="宋体" w:cs="宋体"/>
                <w:color w:val="auto"/>
                <w:sz w:val="22"/>
                <w:szCs w:val="22"/>
                <w:highlight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收费等岗位</w:t>
            </w:r>
          </w:p>
        </w:tc>
        <w:tc>
          <w:tcPr>
            <w:tcW w:w="1198" w:type="dxa"/>
            <w:shd w:val="clear" w:color="auto" w:fill="auto"/>
            <w:vAlign w:val="center"/>
          </w:tcPr>
          <w:p w14:paraId="0926CE23">
            <w:pPr>
              <w:snapToGrid w:val="0"/>
              <w:spacing w:line="48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092" w:type="dxa"/>
            <w:shd w:val="clear" w:color="auto" w:fill="auto"/>
            <w:vAlign w:val="center"/>
          </w:tcPr>
          <w:p w14:paraId="61B49936">
            <w:pPr>
              <w:snapToGrid w:val="0"/>
              <w:spacing w:line="48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1017" w:type="dxa"/>
            <w:shd w:val="clear" w:color="auto" w:fill="auto"/>
            <w:vAlign w:val="center"/>
          </w:tcPr>
          <w:p w14:paraId="72C4262E">
            <w:pPr>
              <w:snapToGrid w:val="0"/>
              <w:spacing w:line="48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75000</w:t>
            </w:r>
          </w:p>
        </w:tc>
        <w:tc>
          <w:tcPr>
            <w:tcW w:w="1151" w:type="dxa"/>
            <w:shd w:val="clear" w:color="auto" w:fill="auto"/>
            <w:vAlign w:val="center"/>
          </w:tcPr>
          <w:p w14:paraId="0988A0D2">
            <w:pPr>
              <w:snapToGrid w:val="0"/>
              <w:spacing w:line="48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13000</w:t>
            </w:r>
          </w:p>
        </w:tc>
        <w:tc>
          <w:tcPr>
            <w:tcW w:w="1234" w:type="dxa"/>
            <w:shd w:val="clear" w:color="auto" w:fill="auto"/>
            <w:vAlign w:val="center"/>
          </w:tcPr>
          <w:p w14:paraId="249948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66" w:type="dxa"/>
            <w:shd w:val="clear" w:color="auto" w:fill="auto"/>
            <w:vAlign w:val="center"/>
          </w:tcPr>
          <w:p w14:paraId="5A992F51">
            <w:pPr>
              <w:jc w:val="center"/>
              <w:rPr>
                <w:rFonts w:hint="eastAsia" w:ascii="宋体" w:hAnsi="宋体" w:eastAsia="宋体" w:cs="宋体"/>
                <w:i w:val="0"/>
                <w:iCs w:val="0"/>
                <w:color w:val="auto"/>
                <w:sz w:val="21"/>
                <w:szCs w:val="21"/>
                <w:highlight w:val="none"/>
                <w:u w:val="none"/>
              </w:rPr>
            </w:pPr>
          </w:p>
        </w:tc>
      </w:tr>
    </w:tbl>
    <w:p w14:paraId="78EADD5A">
      <w:pPr>
        <w:snapToGrid w:val="0"/>
        <w:spacing w:line="480" w:lineRule="exact"/>
        <w:jc w:val="lef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lang w:val="en-US" w:eastAsia="zh-CN"/>
        </w:rPr>
        <w:t>1、本次招标的岗位工资暂按人民币：平均75000元/年/个，投标时该部分报价不得上下浮动，否则作无效标处理，</w:t>
      </w:r>
      <w:r>
        <w:rPr>
          <w:rFonts w:hint="eastAsia" w:ascii="宋体" w:hAnsi="宋体" w:eastAsia="宋体" w:cs="宋体"/>
          <w:color w:val="auto"/>
          <w:sz w:val="22"/>
          <w:szCs w:val="22"/>
          <w:highlight w:val="none"/>
          <w:lang w:val="en-US" w:eastAsia="zh-CN"/>
        </w:rPr>
        <w:t>招标代理费按人民币13000元计，投标时该部分报价不得上下浮动，否则作无效标处理，具</w:t>
      </w:r>
      <w:r>
        <w:rPr>
          <w:rFonts w:hint="eastAsia" w:ascii="宋体" w:hAnsi="宋体" w:cs="宋体"/>
          <w:color w:val="auto"/>
          <w:sz w:val="22"/>
          <w:szCs w:val="22"/>
          <w:highlight w:val="none"/>
          <w:lang w:val="en-US" w:eastAsia="zh-CN"/>
        </w:rPr>
        <w:t>体各岗位工资发放数据每月根据采购人书面通知为准，由中标人先行垫款发放工资，包含人员基本工资、个人及企业承担的社会保险费、住房公积金、餐补、考核奖、高温费、加班费、福利、人员保险（人身意外伤害险等）等费用。</w:t>
      </w:r>
    </w:p>
    <w:p w14:paraId="70CC57C7">
      <w:pPr>
        <w:snapToGrid w:val="0"/>
        <w:spacing w:line="480" w:lineRule="exact"/>
        <w:ind w:firstLine="440" w:firstLineChars="200"/>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2、中标人的管理费另行报价，最终按每月实际岗位数量进行结算。管理费用中包含</w:t>
      </w:r>
      <w:bookmarkStart w:id="36" w:name="_GoBack"/>
      <w:bookmarkEnd w:id="36"/>
      <w:r>
        <w:rPr>
          <w:rFonts w:hint="eastAsia" w:ascii="宋体" w:hAnsi="宋体" w:cs="宋体"/>
          <w:color w:val="auto"/>
          <w:sz w:val="22"/>
          <w:szCs w:val="22"/>
          <w:highlight w:val="none"/>
          <w:lang w:val="en-US" w:eastAsia="zh-CN"/>
        </w:rPr>
        <w:t>企业的管理服务费、招聘费、入职体检费、本项目全部的税收费用、本次招标所产生的相关费用、企业风险费、垫资成本及利润等。管理费与工资每月发放后，中标方开具相应发票向采购方进行收款。</w:t>
      </w:r>
    </w:p>
    <w:p w14:paraId="2E41BD9E">
      <w:pPr>
        <w:snapToGrid w:val="0"/>
        <w:spacing w:before="50" w:after="50" w:line="360" w:lineRule="auto"/>
        <w:ind w:firstLine="440" w:firstLineChars="200"/>
        <w:rPr>
          <w:rFonts w:hint="eastAsia" w:ascii="宋体" w:hAnsi="宋体" w:eastAsia="宋体"/>
          <w:color w:val="auto"/>
          <w:sz w:val="24"/>
          <w:highlight w:val="none"/>
          <w:lang w:val="en-US" w:eastAsia="zh-CN"/>
        </w:rPr>
      </w:pPr>
      <w:r>
        <w:rPr>
          <w:rFonts w:hint="eastAsia" w:ascii="宋体" w:hAnsi="宋体" w:cs="宋体"/>
          <w:color w:val="auto"/>
          <w:sz w:val="22"/>
          <w:szCs w:val="22"/>
          <w:highlight w:val="none"/>
        </w:rPr>
        <w:t>3、以上</w:t>
      </w:r>
      <w:r>
        <w:rPr>
          <w:rFonts w:hint="eastAsia" w:ascii="宋体" w:hAnsi="宋体" w:cs="宋体"/>
          <w:color w:val="auto"/>
          <w:sz w:val="22"/>
          <w:szCs w:val="22"/>
          <w:highlight w:val="none"/>
          <w:lang w:eastAsia="zh-CN"/>
        </w:rPr>
        <w:t>“年度金额合计”</w:t>
      </w:r>
      <w:r>
        <w:rPr>
          <w:rFonts w:hint="eastAsia" w:ascii="宋体" w:hAnsi="宋体" w:cs="宋体"/>
          <w:color w:val="auto"/>
          <w:sz w:val="22"/>
          <w:szCs w:val="22"/>
          <w:highlight w:val="none"/>
        </w:rPr>
        <w:t>应与“开标一览表”中的“总报价”数相一致。</w:t>
      </w:r>
    </w:p>
    <w:p w14:paraId="26C628A2">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34ECB219">
      <w:pPr>
        <w:pStyle w:val="967"/>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5DF11DC6">
      <w:pPr>
        <w:rPr>
          <w:color w:val="auto"/>
          <w:highlight w:val="none"/>
        </w:rPr>
      </w:pPr>
      <w:r>
        <w:rPr>
          <w:rFonts w:hint="eastAsia" w:hAnsi="宋体" w:cs="宋体"/>
          <w:color w:val="auto"/>
          <w:sz w:val="24"/>
          <w:highlight w:val="none"/>
        </w:rPr>
        <w:t>日期：_____年____月____日</w:t>
      </w:r>
    </w:p>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A1CB9">
    <w:pPr>
      <w:pStyle w:val="43"/>
      <w:framePr w:wrap="around" w:vAnchor="text" w:hAnchor="margin" w:xAlign="right" w:y="1"/>
      <w:rPr>
        <w:rStyle w:val="75"/>
      </w:rPr>
    </w:pPr>
    <w:r>
      <w:fldChar w:fldCharType="begin"/>
    </w:r>
    <w:r>
      <w:rPr>
        <w:rStyle w:val="75"/>
      </w:rPr>
      <w:instrText xml:space="preserve">PAGE  </w:instrText>
    </w:r>
    <w:r>
      <w:fldChar w:fldCharType="end"/>
    </w:r>
  </w:p>
  <w:p w14:paraId="5A31734D">
    <w:pPr>
      <w:pStyle w:val="4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BAAE9">
    <w:pPr>
      <w:pStyle w:val="43"/>
      <w:rPr>
        <w:rFonts w:ascii="仿宋_GB2312" w:eastAsia="仿宋_GB2312"/>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9FCCCC5">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ECFEA">
    <w:pPr>
      <w:pStyle w:val="43"/>
      <w:pageBreakBefore/>
      <w:rPr>
        <w:rFonts w:ascii="仿宋_GB2312" w:eastAsia="仿宋_GB2312"/>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379FF20">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B1357">
    <w:pPr>
      <w:pStyle w:val="43"/>
      <w:rPr>
        <w:rFonts w:ascii="仿宋_GB2312" w:eastAsia="仿宋_GB2312"/>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80FE104">
                <w:pPr>
                  <w:pStyle w:val="4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9DA72">
    <w:pPr>
      <w:pStyle w:val="43"/>
      <w:pageBreakBefore/>
      <w:rPr>
        <w:rFonts w:ascii="仿宋_GB2312" w:eastAsia="仿宋_GB2312"/>
      </w:rPr>
    </w:pPr>
    <w:r>
      <w:rPr>
        <w:sz w:val="18"/>
      </w:rP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7B7B360">
                <w:pPr>
                  <w:pStyle w:val="4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70FD">
    <w:pPr>
      <w:pStyle w:val="43"/>
      <w:ind w:right="360"/>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0C6C72EE">
                <w:pPr>
                  <w:pStyle w:val="4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294D7">
    <w:pPr>
      <w:pStyle w:val="43"/>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310E54BC">
                <w:pPr>
                  <w:pStyle w:val="43"/>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p w14:paraId="168412E5">
    <w:pPr>
      <w:pStyle w:val="4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8BD9C">
    <w:pPr>
      <w:pStyle w:val="43"/>
      <w:rPr>
        <w:rFonts w:ascii="仿宋_GB2312" w:eastAsia="仿宋_GB2312"/>
        <w:szCs w:val="24"/>
      </w:rPr>
    </w:pPr>
    <w:r>
      <w:rPr>
        <w:sz w:val="18"/>
      </w:rPr>
      <w:pict>
        <v:shape id="_x0000_s4104" o:spid="_x0000_s410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5BBE2CBB">
                <w:pPr>
                  <w:pStyle w:val="43"/>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D3B41">
    <w:pPr>
      <w:pStyle w:val="43"/>
      <w:rPr>
        <w:rFonts w:ascii="仿宋_GB2312" w:eastAsia="仿宋_GB2312"/>
      </w:rPr>
    </w:pPr>
    <w:r>
      <w:rPr>
        <w:sz w:val="18"/>
      </w:rPr>
      <w:pict>
        <v:shape id="_x0000_s4103" o:spid="_x0000_s410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13251705">
                <w:pPr>
                  <w:pStyle w:val="43"/>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7A133">
    <w:pPr>
      <w:pStyle w:val="61"/>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538C5">
    <w:pPr>
      <w:pStyle w:val="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9367B">
    <w:pPr>
      <w:pStyle w:val="44"/>
      <w:pBdr>
        <w:bottom w:val="none" w:color="auto" w:sz="0" w:space="1"/>
      </w:pBdr>
      <w:tabs>
        <w:tab w:val="clear" w:pos="4153"/>
        <w:tab w:val="clear" w:pos="8306"/>
      </w:tabs>
      <w:jc w:val="both"/>
      <w:rPr>
        <w:rFonts w:ascii="仿宋_GB2312" w:eastAsia="仿宋_GB2312"/>
        <w:b/>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D777">
    <w:pPr>
      <w:pStyle w:val="44"/>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12973361"/>
    <w:multiLevelType w:val="singleLevel"/>
    <w:tmpl w:val="12973361"/>
    <w:lvl w:ilvl="0" w:tentative="0">
      <w:start w:val="1"/>
      <w:numFmt w:val="decimal"/>
      <w:suff w:val="space"/>
      <w:lvlText w:val="%1."/>
      <w:lvlJc w:val="left"/>
    </w:lvl>
  </w:abstractNum>
  <w:abstractNum w:abstractNumId="3">
    <w:nsid w:val="31C2147C"/>
    <w:multiLevelType w:val="multilevel"/>
    <w:tmpl w:val="31C2147C"/>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
    <w:nsid w:val="396403C6"/>
    <w:multiLevelType w:val="multilevel"/>
    <w:tmpl w:val="396403C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02F11D9"/>
    <w:multiLevelType w:val="multilevel"/>
    <w:tmpl w:val="402F11D9"/>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D804704"/>
    <w:multiLevelType w:val="singleLevel"/>
    <w:tmpl w:val="5D804704"/>
    <w:lvl w:ilvl="0" w:tentative="0">
      <w:start w:val="1"/>
      <w:numFmt w:val="chineseCounting"/>
      <w:suff w:val="nothing"/>
      <w:lvlText w:val="%1、"/>
      <w:lvlJc w:val="left"/>
    </w:lvl>
  </w:abstractNum>
  <w:abstractNum w:abstractNumId="7">
    <w:nsid w:val="5D804826"/>
    <w:multiLevelType w:val="singleLevel"/>
    <w:tmpl w:val="5D804826"/>
    <w:lvl w:ilvl="0" w:tentative="0">
      <w:start w:val="1"/>
      <w:numFmt w:val="decimal"/>
      <w:suff w:val="nothing"/>
      <w:lvlText w:val="%1."/>
      <w:lvlJc w:val="left"/>
    </w:lvl>
  </w:abstractNum>
  <w:num w:numId="1">
    <w:abstractNumId w:val="1"/>
  </w:num>
  <w:num w:numId="2">
    <w:abstractNumId w:val="6"/>
  </w:num>
  <w:num w:numId="3">
    <w:abstractNumId w:val="5"/>
  </w:num>
  <w:num w:numId="4">
    <w:abstractNumId w:val="3"/>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312"/>
    <w:rsid w:val="00075B15"/>
    <w:rsid w:val="00075D0E"/>
    <w:rsid w:val="00075F6A"/>
    <w:rsid w:val="00076159"/>
    <w:rsid w:val="0007616C"/>
    <w:rsid w:val="000763B5"/>
    <w:rsid w:val="000763F3"/>
    <w:rsid w:val="000766D2"/>
    <w:rsid w:val="00076801"/>
    <w:rsid w:val="00077577"/>
    <w:rsid w:val="00077607"/>
    <w:rsid w:val="00077756"/>
    <w:rsid w:val="00077B7F"/>
    <w:rsid w:val="000800CB"/>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8AB"/>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0ED"/>
    <w:rsid w:val="00173631"/>
    <w:rsid w:val="0017372D"/>
    <w:rsid w:val="00173826"/>
    <w:rsid w:val="00173C58"/>
    <w:rsid w:val="00173E59"/>
    <w:rsid w:val="001741DC"/>
    <w:rsid w:val="00174C4F"/>
    <w:rsid w:val="00174F57"/>
    <w:rsid w:val="00175078"/>
    <w:rsid w:val="001755DC"/>
    <w:rsid w:val="0017601E"/>
    <w:rsid w:val="00176AA6"/>
    <w:rsid w:val="00177063"/>
    <w:rsid w:val="001777DE"/>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2C4"/>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169"/>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F68"/>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800"/>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39C"/>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3BDF"/>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C24"/>
    <w:rsid w:val="00266DE1"/>
    <w:rsid w:val="00267A92"/>
    <w:rsid w:val="00267E43"/>
    <w:rsid w:val="00270282"/>
    <w:rsid w:val="00270780"/>
    <w:rsid w:val="00270CF6"/>
    <w:rsid w:val="00271097"/>
    <w:rsid w:val="00271C53"/>
    <w:rsid w:val="0027244F"/>
    <w:rsid w:val="00273052"/>
    <w:rsid w:val="00273574"/>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1FAF"/>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9B9"/>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108"/>
    <w:rsid w:val="002F647C"/>
    <w:rsid w:val="002F6C6B"/>
    <w:rsid w:val="002F6CB0"/>
    <w:rsid w:val="002F6EFF"/>
    <w:rsid w:val="002F7DF0"/>
    <w:rsid w:val="002F7FAF"/>
    <w:rsid w:val="00300573"/>
    <w:rsid w:val="003025FE"/>
    <w:rsid w:val="00302A27"/>
    <w:rsid w:val="00303AB6"/>
    <w:rsid w:val="00304640"/>
    <w:rsid w:val="00304AC1"/>
    <w:rsid w:val="00305090"/>
    <w:rsid w:val="00305445"/>
    <w:rsid w:val="00305454"/>
    <w:rsid w:val="00305B9F"/>
    <w:rsid w:val="00305E21"/>
    <w:rsid w:val="003066C6"/>
    <w:rsid w:val="003066FA"/>
    <w:rsid w:val="0030691D"/>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164"/>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5BF"/>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408"/>
    <w:rsid w:val="003F42FF"/>
    <w:rsid w:val="003F4B48"/>
    <w:rsid w:val="003F4DDC"/>
    <w:rsid w:val="003F56B8"/>
    <w:rsid w:val="003F5F1A"/>
    <w:rsid w:val="003F6327"/>
    <w:rsid w:val="003F7425"/>
    <w:rsid w:val="003F765B"/>
    <w:rsid w:val="003F7CB8"/>
    <w:rsid w:val="00400CB4"/>
    <w:rsid w:val="00401386"/>
    <w:rsid w:val="004013E6"/>
    <w:rsid w:val="00401E31"/>
    <w:rsid w:val="0040254B"/>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D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BBF"/>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357"/>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6E48"/>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6A2"/>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951"/>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2EC8"/>
    <w:rsid w:val="0064330A"/>
    <w:rsid w:val="00643F89"/>
    <w:rsid w:val="00644334"/>
    <w:rsid w:val="0064487C"/>
    <w:rsid w:val="00644BED"/>
    <w:rsid w:val="00644E2E"/>
    <w:rsid w:val="00645A3A"/>
    <w:rsid w:val="00645B87"/>
    <w:rsid w:val="00645CB4"/>
    <w:rsid w:val="00646084"/>
    <w:rsid w:val="006468ED"/>
    <w:rsid w:val="00646C4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AAF"/>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313"/>
    <w:rsid w:val="006C6A51"/>
    <w:rsid w:val="006C6EBD"/>
    <w:rsid w:val="006C7341"/>
    <w:rsid w:val="006C7E04"/>
    <w:rsid w:val="006C7F79"/>
    <w:rsid w:val="006D0004"/>
    <w:rsid w:val="006D015F"/>
    <w:rsid w:val="006D060E"/>
    <w:rsid w:val="006D0681"/>
    <w:rsid w:val="006D0A80"/>
    <w:rsid w:val="006D0AE8"/>
    <w:rsid w:val="006D135C"/>
    <w:rsid w:val="006D1B7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143"/>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0E8"/>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B73"/>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9FF"/>
    <w:rsid w:val="00797D73"/>
    <w:rsid w:val="007A006C"/>
    <w:rsid w:val="007A0789"/>
    <w:rsid w:val="007A130E"/>
    <w:rsid w:val="007A18B1"/>
    <w:rsid w:val="007A1BBD"/>
    <w:rsid w:val="007A1F08"/>
    <w:rsid w:val="007A2555"/>
    <w:rsid w:val="007A25FA"/>
    <w:rsid w:val="007A2C3E"/>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8AC"/>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FA5"/>
    <w:rsid w:val="007E53D5"/>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A41"/>
    <w:rsid w:val="008320D2"/>
    <w:rsid w:val="008321CE"/>
    <w:rsid w:val="0083257C"/>
    <w:rsid w:val="0083261B"/>
    <w:rsid w:val="00832B44"/>
    <w:rsid w:val="00832EC9"/>
    <w:rsid w:val="00833307"/>
    <w:rsid w:val="00833583"/>
    <w:rsid w:val="00833B5B"/>
    <w:rsid w:val="00833E9A"/>
    <w:rsid w:val="00834FEF"/>
    <w:rsid w:val="00836323"/>
    <w:rsid w:val="008379B6"/>
    <w:rsid w:val="00837D3D"/>
    <w:rsid w:val="00837E9B"/>
    <w:rsid w:val="008404AA"/>
    <w:rsid w:val="008406D7"/>
    <w:rsid w:val="0084074F"/>
    <w:rsid w:val="008407BA"/>
    <w:rsid w:val="00840AA3"/>
    <w:rsid w:val="00840AAC"/>
    <w:rsid w:val="0084101C"/>
    <w:rsid w:val="0084159B"/>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0DC"/>
    <w:rsid w:val="00853F7D"/>
    <w:rsid w:val="0085517F"/>
    <w:rsid w:val="0085562D"/>
    <w:rsid w:val="00855A78"/>
    <w:rsid w:val="008560E1"/>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C19"/>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6EA"/>
    <w:rsid w:val="00931AB8"/>
    <w:rsid w:val="00931C19"/>
    <w:rsid w:val="00931C63"/>
    <w:rsid w:val="00931D10"/>
    <w:rsid w:val="0093218A"/>
    <w:rsid w:val="009334CE"/>
    <w:rsid w:val="0093386D"/>
    <w:rsid w:val="00934C8E"/>
    <w:rsid w:val="00934DD7"/>
    <w:rsid w:val="00935194"/>
    <w:rsid w:val="00936935"/>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2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46F"/>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2DA"/>
    <w:rsid w:val="00A526CE"/>
    <w:rsid w:val="00A53CE6"/>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D91"/>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AB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E37"/>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1A"/>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AF"/>
    <w:rsid w:val="00B56ECA"/>
    <w:rsid w:val="00B57093"/>
    <w:rsid w:val="00B57B5D"/>
    <w:rsid w:val="00B60613"/>
    <w:rsid w:val="00B61AEC"/>
    <w:rsid w:val="00B622A8"/>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6FDB"/>
    <w:rsid w:val="00B9789D"/>
    <w:rsid w:val="00B97A4C"/>
    <w:rsid w:val="00BA050E"/>
    <w:rsid w:val="00BA1289"/>
    <w:rsid w:val="00BA14B2"/>
    <w:rsid w:val="00BA15DC"/>
    <w:rsid w:val="00BA1E2F"/>
    <w:rsid w:val="00BA1EB8"/>
    <w:rsid w:val="00BA2C82"/>
    <w:rsid w:val="00BA30F1"/>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5E6"/>
    <w:rsid w:val="00BB47A3"/>
    <w:rsid w:val="00BB481E"/>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353"/>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33"/>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0FF9"/>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32"/>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C9"/>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787"/>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B7C"/>
    <w:rsid w:val="00DA0175"/>
    <w:rsid w:val="00DA099C"/>
    <w:rsid w:val="00DA0F18"/>
    <w:rsid w:val="00DA2125"/>
    <w:rsid w:val="00DA21EC"/>
    <w:rsid w:val="00DA24DE"/>
    <w:rsid w:val="00DA270C"/>
    <w:rsid w:val="00DA281F"/>
    <w:rsid w:val="00DA3C5B"/>
    <w:rsid w:val="00DA3D23"/>
    <w:rsid w:val="00DA4A61"/>
    <w:rsid w:val="00DA53CC"/>
    <w:rsid w:val="00DA5AFE"/>
    <w:rsid w:val="00DA61AB"/>
    <w:rsid w:val="00DA61CD"/>
    <w:rsid w:val="00DA6EE2"/>
    <w:rsid w:val="00DA718A"/>
    <w:rsid w:val="00DA78CF"/>
    <w:rsid w:val="00DA78D5"/>
    <w:rsid w:val="00DA7A89"/>
    <w:rsid w:val="00DA7BF4"/>
    <w:rsid w:val="00DB052F"/>
    <w:rsid w:val="00DB14D3"/>
    <w:rsid w:val="00DB154B"/>
    <w:rsid w:val="00DB1969"/>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1E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239"/>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8CF"/>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E91"/>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F85"/>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C4C9F"/>
    <w:rsid w:val="013D1A7E"/>
    <w:rsid w:val="0155173E"/>
    <w:rsid w:val="019F7441"/>
    <w:rsid w:val="01A319FB"/>
    <w:rsid w:val="01B37585"/>
    <w:rsid w:val="01D55165"/>
    <w:rsid w:val="01DF6BF8"/>
    <w:rsid w:val="01EC2C57"/>
    <w:rsid w:val="02151639"/>
    <w:rsid w:val="026B2E25"/>
    <w:rsid w:val="02824D4D"/>
    <w:rsid w:val="02C46BBB"/>
    <w:rsid w:val="02CE3442"/>
    <w:rsid w:val="02D23086"/>
    <w:rsid w:val="02DC4B10"/>
    <w:rsid w:val="02DD76CE"/>
    <w:rsid w:val="02F36323"/>
    <w:rsid w:val="02F5619C"/>
    <w:rsid w:val="0326446A"/>
    <w:rsid w:val="032D5555"/>
    <w:rsid w:val="036634D2"/>
    <w:rsid w:val="037B371D"/>
    <w:rsid w:val="037B41DE"/>
    <w:rsid w:val="03B77F2C"/>
    <w:rsid w:val="03DD35E4"/>
    <w:rsid w:val="04076900"/>
    <w:rsid w:val="041A5A3B"/>
    <w:rsid w:val="042311BA"/>
    <w:rsid w:val="042B157A"/>
    <w:rsid w:val="043164D2"/>
    <w:rsid w:val="048F763B"/>
    <w:rsid w:val="049F330E"/>
    <w:rsid w:val="04AA775C"/>
    <w:rsid w:val="04AF1889"/>
    <w:rsid w:val="04CA06D2"/>
    <w:rsid w:val="04F66F48"/>
    <w:rsid w:val="05251E14"/>
    <w:rsid w:val="0533087A"/>
    <w:rsid w:val="054B2EBB"/>
    <w:rsid w:val="054F385B"/>
    <w:rsid w:val="05541A7D"/>
    <w:rsid w:val="055D43D2"/>
    <w:rsid w:val="05A16594"/>
    <w:rsid w:val="05A7762D"/>
    <w:rsid w:val="05D9472B"/>
    <w:rsid w:val="06011897"/>
    <w:rsid w:val="060E5941"/>
    <w:rsid w:val="06110FAF"/>
    <w:rsid w:val="06493CA7"/>
    <w:rsid w:val="064D357B"/>
    <w:rsid w:val="065A6178"/>
    <w:rsid w:val="066F1CF3"/>
    <w:rsid w:val="06930BB8"/>
    <w:rsid w:val="06DC1F3F"/>
    <w:rsid w:val="07022415"/>
    <w:rsid w:val="071E2D3E"/>
    <w:rsid w:val="07245D42"/>
    <w:rsid w:val="07264C62"/>
    <w:rsid w:val="075D5951"/>
    <w:rsid w:val="077855B9"/>
    <w:rsid w:val="0779354C"/>
    <w:rsid w:val="079F6195"/>
    <w:rsid w:val="07D15156"/>
    <w:rsid w:val="08045C1E"/>
    <w:rsid w:val="08061376"/>
    <w:rsid w:val="080D354F"/>
    <w:rsid w:val="082A6473"/>
    <w:rsid w:val="08452D77"/>
    <w:rsid w:val="086401F8"/>
    <w:rsid w:val="08751CAA"/>
    <w:rsid w:val="087E4C40"/>
    <w:rsid w:val="088274F0"/>
    <w:rsid w:val="08AA4CC9"/>
    <w:rsid w:val="08D66AD6"/>
    <w:rsid w:val="08DA33A3"/>
    <w:rsid w:val="08E80F13"/>
    <w:rsid w:val="092B34F0"/>
    <w:rsid w:val="09335624"/>
    <w:rsid w:val="0944690F"/>
    <w:rsid w:val="09505E60"/>
    <w:rsid w:val="09535675"/>
    <w:rsid w:val="095D7CBE"/>
    <w:rsid w:val="095F057D"/>
    <w:rsid w:val="09642282"/>
    <w:rsid w:val="09733572"/>
    <w:rsid w:val="09772C16"/>
    <w:rsid w:val="098353B5"/>
    <w:rsid w:val="09A92330"/>
    <w:rsid w:val="09B06B87"/>
    <w:rsid w:val="09C13146"/>
    <w:rsid w:val="09E04166"/>
    <w:rsid w:val="0A022E04"/>
    <w:rsid w:val="0A1C0718"/>
    <w:rsid w:val="0A2E2D1E"/>
    <w:rsid w:val="0A3E7710"/>
    <w:rsid w:val="0A5B7E63"/>
    <w:rsid w:val="0A5C3149"/>
    <w:rsid w:val="0A8A7C8B"/>
    <w:rsid w:val="0AA374A5"/>
    <w:rsid w:val="0AA51080"/>
    <w:rsid w:val="0AAB7649"/>
    <w:rsid w:val="0ABC5606"/>
    <w:rsid w:val="0AE012BD"/>
    <w:rsid w:val="0B012ED1"/>
    <w:rsid w:val="0B2E376B"/>
    <w:rsid w:val="0B30404E"/>
    <w:rsid w:val="0B4C6C14"/>
    <w:rsid w:val="0B631A88"/>
    <w:rsid w:val="0B683D45"/>
    <w:rsid w:val="0B7F3F11"/>
    <w:rsid w:val="0B7F3FC7"/>
    <w:rsid w:val="0B884417"/>
    <w:rsid w:val="0B973B9D"/>
    <w:rsid w:val="0BDE0321"/>
    <w:rsid w:val="0BF6188C"/>
    <w:rsid w:val="0BF64210"/>
    <w:rsid w:val="0BF73C91"/>
    <w:rsid w:val="0C0E5D5C"/>
    <w:rsid w:val="0C170175"/>
    <w:rsid w:val="0C5433A9"/>
    <w:rsid w:val="0C571A41"/>
    <w:rsid w:val="0C5C1171"/>
    <w:rsid w:val="0C5E1CBC"/>
    <w:rsid w:val="0C615B50"/>
    <w:rsid w:val="0C8445DA"/>
    <w:rsid w:val="0C87121B"/>
    <w:rsid w:val="0CBA4FBD"/>
    <w:rsid w:val="0CBC43C2"/>
    <w:rsid w:val="0CC007F7"/>
    <w:rsid w:val="0CD60B29"/>
    <w:rsid w:val="0CDA49FC"/>
    <w:rsid w:val="0CFE707A"/>
    <w:rsid w:val="0D063BDA"/>
    <w:rsid w:val="0D08375F"/>
    <w:rsid w:val="0D184CFB"/>
    <w:rsid w:val="0D1E7791"/>
    <w:rsid w:val="0D3C404F"/>
    <w:rsid w:val="0D4A7419"/>
    <w:rsid w:val="0D827401"/>
    <w:rsid w:val="0D84094E"/>
    <w:rsid w:val="0D8A00E9"/>
    <w:rsid w:val="0D8D589E"/>
    <w:rsid w:val="0DA01C73"/>
    <w:rsid w:val="0DD63300"/>
    <w:rsid w:val="0DF50604"/>
    <w:rsid w:val="0DF702FE"/>
    <w:rsid w:val="0E060E51"/>
    <w:rsid w:val="0E550E35"/>
    <w:rsid w:val="0E5604B2"/>
    <w:rsid w:val="0E5E6115"/>
    <w:rsid w:val="0E6D5D79"/>
    <w:rsid w:val="0E841B78"/>
    <w:rsid w:val="0E9D0089"/>
    <w:rsid w:val="0EB803EE"/>
    <w:rsid w:val="0EF94D4B"/>
    <w:rsid w:val="0F1152ED"/>
    <w:rsid w:val="0F285729"/>
    <w:rsid w:val="0F4958DC"/>
    <w:rsid w:val="0F4B0B32"/>
    <w:rsid w:val="0F515DF7"/>
    <w:rsid w:val="0F596BA8"/>
    <w:rsid w:val="0F622BA6"/>
    <w:rsid w:val="0F6248D2"/>
    <w:rsid w:val="0F693536"/>
    <w:rsid w:val="0F7554C5"/>
    <w:rsid w:val="0F7B0511"/>
    <w:rsid w:val="0F7B76D9"/>
    <w:rsid w:val="0F816ACD"/>
    <w:rsid w:val="0F9832DB"/>
    <w:rsid w:val="0FBF3FD2"/>
    <w:rsid w:val="0FBF7FF3"/>
    <w:rsid w:val="0FE73920"/>
    <w:rsid w:val="0FE73EE9"/>
    <w:rsid w:val="10043AE6"/>
    <w:rsid w:val="103F4D41"/>
    <w:rsid w:val="10646583"/>
    <w:rsid w:val="107D4B15"/>
    <w:rsid w:val="107D65A4"/>
    <w:rsid w:val="108A3C80"/>
    <w:rsid w:val="10AA73F0"/>
    <w:rsid w:val="10C26171"/>
    <w:rsid w:val="10F33360"/>
    <w:rsid w:val="10FC16EA"/>
    <w:rsid w:val="110F1D40"/>
    <w:rsid w:val="11266F33"/>
    <w:rsid w:val="1134112C"/>
    <w:rsid w:val="11507B96"/>
    <w:rsid w:val="11525A28"/>
    <w:rsid w:val="115343AE"/>
    <w:rsid w:val="117D384D"/>
    <w:rsid w:val="118963A1"/>
    <w:rsid w:val="11C6522A"/>
    <w:rsid w:val="11DC71F8"/>
    <w:rsid w:val="11E104CC"/>
    <w:rsid w:val="11E20309"/>
    <w:rsid w:val="12255233"/>
    <w:rsid w:val="122816D4"/>
    <w:rsid w:val="122D69F6"/>
    <w:rsid w:val="12530213"/>
    <w:rsid w:val="127723A9"/>
    <w:rsid w:val="12862074"/>
    <w:rsid w:val="12883966"/>
    <w:rsid w:val="128C2C5C"/>
    <w:rsid w:val="129E45B4"/>
    <w:rsid w:val="12AA761C"/>
    <w:rsid w:val="12D81596"/>
    <w:rsid w:val="13072A44"/>
    <w:rsid w:val="130F424C"/>
    <w:rsid w:val="135F4BE2"/>
    <w:rsid w:val="139B1A0A"/>
    <w:rsid w:val="139D25C7"/>
    <w:rsid w:val="13BF3CE4"/>
    <w:rsid w:val="13E23345"/>
    <w:rsid w:val="13E34051"/>
    <w:rsid w:val="14043309"/>
    <w:rsid w:val="141008D8"/>
    <w:rsid w:val="14125FE6"/>
    <w:rsid w:val="14165B51"/>
    <w:rsid w:val="14602DFB"/>
    <w:rsid w:val="146D271E"/>
    <w:rsid w:val="148E5707"/>
    <w:rsid w:val="14982588"/>
    <w:rsid w:val="14991C55"/>
    <w:rsid w:val="149A5AD9"/>
    <w:rsid w:val="14A7619D"/>
    <w:rsid w:val="14BE3364"/>
    <w:rsid w:val="14EA71B5"/>
    <w:rsid w:val="14F06FC3"/>
    <w:rsid w:val="150536C3"/>
    <w:rsid w:val="150C1963"/>
    <w:rsid w:val="151447A0"/>
    <w:rsid w:val="154A6454"/>
    <w:rsid w:val="15762120"/>
    <w:rsid w:val="163E55E1"/>
    <w:rsid w:val="166A18FC"/>
    <w:rsid w:val="169F2681"/>
    <w:rsid w:val="16A8729C"/>
    <w:rsid w:val="16B33777"/>
    <w:rsid w:val="16BC70A7"/>
    <w:rsid w:val="16C6339E"/>
    <w:rsid w:val="16EF3B2B"/>
    <w:rsid w:val="1723320B"/>
    <w:rsid w:val="172F2D79"/>
    <w:rsid w:val="17557BEF"/>
    <w:rsid w:val="17984446"/>
    <w:rsid w:val="17D349C1"/>
    <w:rsid w:val="1830729E"/>
    <w:rsid w:val="186E4F56"/>
    <w:rsid w:val="186E53E9"/>
    <w:rsid w:val="1870062C"/>
    <w:rsid w:val="187F5606"/>
    <w:rsid w:val="18817102"/>
    <w:rsid w:val="18830A15"/>
    <w:rsid w:val="18852B28"/>
    <w:rsid w:val="188B5321"/>
    <w:rsid w:val="18A94431"/>
    <w:rsid w:val="18AD308A"/>
    <w:rsid w:val="18C33745"/>
    <w:rsid w:val="18D1331B"/>
    <w:rsid w:val="18DF7E53"/>
    <w:rsid w:val="19137AFC"/>
    <w:rsid w:val="19297FBA"/>
    <w:rsid w:val="1963776C"/>
    <w:rsid w:val="19654E72"/>
    <w:rsid w:val="19932372"/>
    <w:rsid w:val="199B1288"/>
    <w:rsid w:val="19A20DD5"/>
    <w:rsid w:val="19AE03F1"/>
    <w:rsid w:val="19BE1321"/>
    <w:rsid w:val="19C73C6E"/>
    <w:rsid w:val="19C914F1"/>
    <w:rsid w:val="1A071A03"/>
    <w:rsid w:val="1A1F16AE"/>
    <w:rsid w:val="1A3B5C77"/>
    <w:rsid w:val="1A4062D0"/>
    <w:rsid w:val="1A984BAD"/>
    <w:rsid w:val="1A9A6727"/>
    <w:rsid w:val="1AA03F68"/>
    <w:rsid w:val="1AAC1FB7"/>
    <w:rsid w:val="1AB8220E"/>
    <w:rsid w:val="1AE4166C"/>
    <w:rsid w:val="1AF06CFB"/>
    <w:rsid w:val="1AF11B8D"/>
    <w:rsid w:val="1B11359C"/>
    <w:rsid w:val="1B2A271F"/>
    <w:rsid w:val="1B530544"/>
    <w:rsid w:val="1B586AD4"/>
    <w:rsid w:val="1B591FEF"/>
    <w:rsid w:val="1B713184"/>
    <w:rsid w:val="1B7D5CFD"/>
    <w:rsid w:val="1BA209CF"/>
    <w:rsid w:val="1BB20793"/>
    <w:rsid w:val="1BB4777D"/>
    <w:rsid w:val="1BD75AB8"/>
    <w:rsid w:val="1C0459C2"/>
    <w:rsid w:val="1C1B3B4A"/>
    <w:rsid w:val="1C88086E"/>
    <w:rsid w:val="1CDF3BC1"/>
    <w:rsid w:val="1CEF494F"/>
    <w:rsid w:val="1D1E7356"/>
    <w:rsid w:val="1D266CE1"/>
    <w:rsid w:val="1D2D2E8B"/>
    <w:rsid w:val="1D3963AF"/>
    <w:rsid w:val="1D396C3A"/>
    <w:rsid w:val="1D6A673C"/>
    <w:rsid w:val="1D9247AE"/>
    <w:rsid w:val="1DA33CD3"/>
    <w:rsid w:val="1DB567EC"/>
    <w:rsid w:val="1DC57B03"/>
    <w:rsid w:val="1DCA47FF"/>
    <w:rsid w:val="1DF51A98"/>
    <w:rsid w:val="1DFE0D7B"/>
    <w:rsid w:val="1E3D060F"/>
    <w:rsid w:val="1E3F7D2E"/>
    <w:rsid w:val="1E4134E4"/>
    <w:rsid w:val="1E5062B3"/>
    <w:rsid w:val="1E523514"/>
    <w:rsid w:val="1E686B46"/>
    <w:rsid w:val="1E714A66"/>
    <w:rsid w:val="1E735F33"/>
    <w:rsid w:val="1E802593"/>
    <w:rsid w:val="1EA703CC"/>
    <w:rsid w:val="1EB7330C"/>
    <w:rsid w:val="1EF93289"/>
    <w:rsid w:val="1F0A0FF3"/>
    <w:rsid w:val="1F2E17AC"/>
    <w:rsid w:val="1F5771FF"/>
    <w:rsid w:val="1F745498"/>
    <w:rsid w:val="1FB23F8C"/>
    <w:rsid w:val="1FCF36B6"/>
    <w:rsid w:val="1FD75D28"/>
    <w:rsid w:val="1FE868A9"/>
    <w:rsid w:val="20034907"/>
    <w:rsid w:val="20173E4B"/>
    <w:rsid w:val="20181590"/>
    <w:rsid w:val="201E6DFF"/>
    <w:rsid w:val="20380D25"/>
    <w:rsid w:val="204E48BC"/>
    <w:rsid w:val="20631369"/>
    <w:rsid w:val="207E2E19"/>
    <w:rsid w:val="208921B3"/>
    <w:rsid w:val="20973DEB"/>
    <w:rsid w:val="20B26522"/>
    <w:rsid w:val="20B44310"/>
    <w:rsid w:val="20E86114"/>
    <w:rsid w:val="211116EB"/>
    <w:rsid w:val="21431023"/>
    <w:rsid w:val="216133FC"/>
    <w:rsid w:val="2161415A"/>
    <w:rsid w:val="21BC2207"/>
    <w:rsid w:val="21D56769"/>
    <w:rsid w:val="21E52EF3"/>
    <w:rsid w:val="21FB5D7B"/>
    <w:rsid w:val="220B1C3D"/>
    <w:rsid w:val="220F4A7D"/>
    <w:rsid w:val="221D1D20"/>
    <w:rsid w:val="22334A87"/>
    <w:rsid w:val="22357EE6"/>
    <w:rsid w:val="22430860"/>
    <w:rsid w:val="224654C1"/>
    <w:rsid w:val="22BE6801"/>
    <w:rsid w:val="22C26C62"/>
    <w:rsid w:val="22DF450F"/>
    <w:rsid w:val="22EC428E"/>
    <w:rsid w:val="2318468D"/>
    <w:rsid w:val="233500BF"/>
    <w:rsid w:val="23377FF7"/>
    <w:rsid w:val="236B425F"/>
    <w:rsid w:val="23836192"/>
    <w:rsid w:val="23901F29"/>
    <w:rsid w:val="239C0061"/>
    <w:rsid w:val="23A91BB2"/>
    <w:rsid w:val="23B908A4"/>
    <w:rsid w:val="23E95BEF"/>
    <w:rsid w:val="23FD0064"/>
    <w:rsid w:val="245375B0"/>
    <w:rsid w:val="24642C0A"/>
    <w:rsid w:val="246D0A09"/>
    <w:rsid w:val="24B22173"/>
    <w:rsid w:val="24B95AD9"/>
    <w:rsid w:val="24BE24DA"/>
    <w:rsid w:val="24CF5825"/>
    <w:rsid w:val="24D34D10"/>
    <w:rsid w:val="24D663E6"/>
    <w:rsid w:val="24D77F2B"/>
    <w:rsid w:val="24DE5462"/>
    <w:rsid w:val="24E16027"/>
    <w:rsid w:val="25205589"/>
    <w:rsid w:val="25530F16"/>
    <w:rsid w:val="258B00E2"/>
    <w:rsid w:val="25A917A6"/>
    <w:rsid w:val="25AA793A"/>
    <w:rsid w:val="25BE27CC"/>
    <w:rsid w:val="25F74A5C"/>
    <w:rsid w:val="261C6242"/>
    <w:rsid w:val="2628662C"/>
    <w:rsid w:val="262D45DE"/>
    <w:rsid w:val="264A0EBF"/>
    <w:rsid w:val="264A61BF"/>
    <w:rsid w:val="2662090A"/>
    <w:rsid w:val="26A53EF9"/>
    <w:rsid w:val="26A94201"/>
    <w:rsid w:val="26AC274F"/>
    <w:rsid w:val="27044A29"/>
    <w:rsid w:val="27056071"/>
    <w:rsid w:val="2708260B"/>
    <w:rsid w:val="271D34C8"/>
    <w:rsid w:val="275029D6"/>
    <w:rsid w:val="276142BF"/>
    <w:rsid w:val="27783712"/>
    <w:rsid w:val="27907362"/>
    <w:rsid w:val="27B41A90"/>
    <w:rsid w:val="27E965F8"/>
    <w:rsid w:val="27EE00B2"/>
    <w:rsid w:val="28333E1D"/>
    <w:rsid w:val="283C6C0F"/>
    <w:rsid w:val="28454BD6"/>
    <w:rsid w:val="28455253"/>
    <w:rsid w:val="28527841"/>
    <w:rsid w:val="28551971"/>
    <w:rsid w:val="285B1C53"/>
    <w:rsid w:val="287750D2"/>
    <w:rsid w:val="2895356C"/>
    <w:rsid w:val="289F7086"/>
    <w:rsid w:val="28C32028"/>
    <w:rsid w:val="28CC490F"/>
    <w:rsid w:val="28DE40AA"/>
    <w:rsid w:val="291A5C26"/>
    <w:rsid w:val="291D5E98"/>
    <w:rsid w:val="29345E77"/>
    <w:rsid w:val="294B0DAC"/>
    <w:rsid w:val="294C65AD"/>
    <w:rsid w:val="29806583"/>
    <w:rsid w:val="298B3C4C"/>
    <w:rsid w:val="29A61752"/>
    <w:rsid w:val="29ED5BA4"/>
    <w:rsid w:val="29F26D24"/>
    <w:rsid w:val="2A15033F"/>
    <w:rsid w:val="2A1662C1"/>
    <w:rsid w:val="2A18617C"/>
    <w:rsid w:val="2A1C7367"/>
    <w:rsid w:val="2A2815FA"/>
    <w:rsid w:val="2A6D6092"/>
    <w:rsid w:val="2A7204D1"/>
    <w:rsid w:val="2A7711EF"/>
    <w:rsid w:val="2A7D76B4"/>
    <w:rsid w:val="2B437463"/>
    <w:rsid w:val="2B751F10"/>
    <w:rsid w:val="2B7807EE"/>
    <w:rsid w:val="2B945009"/>
    <w:rsid w:val="2BBF00EC"/>
    <w:rsid w:val="2BC37CFD"/>
    <w:rsid w:val="2BC902B3"/>
    <w:rsid w:val="2BD12DED"/>
    <w:rsid w:val="2BD5237F"/>
    <w:rsid w:val="2BE536CE"/>
    <w:rsid w:val="2BE758D9"/>
    <w:rsid w:val="2BE772F2"/>
    <w:rsid w:val="2BF95650"/>
    <w:rsid w:val="2C09049E"/>
    <w:rsid w:val="2C0A653C"/>
    <w:rsid w:val="2C191F85"/>
    <w:rsid w:val="2C4712C3"/>
    <w:rsid w:val="2C5646F4"/>
    <w:rsid w:val="2C874F6F"/>
    <w:rsid w:val="2CA32A1F"/>
    <w:rsid w:val="2CC2499E"/>
    <w:rsid w:val="2CE82D6F"/>
    <w:rsid w:val="2D194365"/>
    <w:rsid w:val="2D343236"/>
    <w:rsid w:val="2D5C086B"/>
    <w:rsid w:val="2D823314"/>
    <w:rsid w:val="2D9078D1"/>
    <w:rsid w:val="2D9214E0"/>
    <w:rsid w:val="2DD15014"/>
    <w:rsid w:val="2DF50400"/>
    <w:rsid w:val="2DF72DE4"/>
    <w:rsid w:val="2E0220AF"/>
    <w:rsid w:val="2E0E6DB8"/>
    <w:rsid w:val="2E100380"/>
    <w:rsid w:val="2E1A1DF7"/>
    <w:rsid w:val="2E1F51D1"/>
    <w:rsid w:val="2E3A0AC8"/>
    <w:rsid w:val="2E455766"/>
    <w:rsid w:val="2E4B082A"/>
    <w:rsid w:val="2E5D4E86"/>
    <w:rsid w:val="2E5D790B"/>
    <w:rsid w:val="2E9A3C18"/>
    <w:rsid w:val="2EBB0FEE"/>
    <w:rsid w:val="2EC22DD3"/>
    <w:rsid w:val="2EC63002"/>
    <w:rsid w:val="2EE364E6"/>
    <w:rsid w:val="2EE839FC"/>
    <w:rsid w:val="2EFD2AE1"/>
    <w:rsid w:val="2F0A6B38"/>
    <w:rsid w:val="2F3B2DD2"/>
    <w:rsid w:val="2F6F7335"/>
    <w:rsid w:val="2F93773A"/>
    <w:rsid w:val="2F946CCB"/>
    <w:rsid w:val="2FD25781"/>
    <w:rsid w:val="2FDB0057"/>
    <w:rsid w:val="2FDC2C0E"/>
    <w:rsid w:val="2FFD5044"/>
    <w:rsid w:val="2FFD7934"/>
    <w:rsid w:val="300F2890"/>
    <w:rsid w:val="30605945"/>
    <w:rsid w:val="30733ACD"/>
    <w:rsid w:val="3075311F"/>
    <w:rsid w:val="308C3862"/>
    <w:rsid w:val="309379D8"/>
    <w:rsid w:val="30942ED7"/>
    <w:rsid w:val="30A270F7"/>
    <w:rsid w:val="30DF1478"/>
    <w:rsid w:val="30EC586F"/>
    <w:rsid w:val="311213ED"/>
    <w:rsid w:val="31294542"/>
    <w:rsid w:val="31392E33"/>
    <w:rsid w:val="31692393"/>
    <w:rsid w:val="319C6071"/>
    <w:rsid w:val="31A863E0"/>
    <w:rsid w:val="31AC537E"/>
    <w:rsid w:val="31E3679B"/>
    <w:rsid w:val="31E732FD"/>
    <w:rsid w:val="32162851"/>
    <w:rsid w:val="32517576"/>
    <w:rsid w:val="32970153"/>
    <w:rsid w:val="32B16170"/>
    <w:rsid w:val="32BE5C2C"/>
    <w:rsid w:val="32ED07A3"/>
    <w:rsid w:val="32FB6478"/>
    <w:rsid w:val="330E2F43"/>
    <w:rsid w:val="33263B3F"/>
    <w:rsid w:val="3330481B"/>
    <w:rsid w:val="334943EF"/>
    <w:rsid w:val="336963EB"/>
    <w:rsid w:val="33816EEB"/>
    <w:rsid w:val="33854E0E"/>
    <w:rsid w:val="338F52EF"/>
    <w:rsid w:val="33A27B7A"/>
    <w:rsid w:val="33C85258"/>
    <w:rsid w:val="33EB55CD"/>
    <w:rsid w:val="33EC4C02"/>
    <w:rsid w:val="340D2360"/>
    <w:rsid w:val="3410665D"/>
    <w:rsid w:val="34211214"/>
    <w:rsid w:val="342E63AB"/>
    <w:rsid w:val="34711E4F"/>
    <w:rsid w:val="34915D87"/>
    <w:rsid w:val="34950E68"/>
    <w:rsid w:val="34986E94"/>
    <w:rsid w:val="34AF62C9"/>
    <w:rsid w:val="34CB4388"/>
    <w:rsid w:val="34FA6E12"/>
    <w:rsid w:val="34FE01D5"/>
    <w:rsid w:val="35397FFA"/>
    <w:rsid w:val="35772B1A"/>
    <w:rsid w:val="358D5588"/>
    <w:rsid w:val="35B50461"/>
    <w:rsid w:val="35C05806"/>
    <w:rsid w:val="35C42453"/>
    <w:rsid w:val="35ED2C5D"/>
    <w:rsid w:val="361B3215"/>
    <w:rsid w:val="363A3B40"/>
    <w:rsid w:val="365302AE"/>
    <w:rsid w:val="36607A0A"/>
    <w:rsid w:val="366529DF"/>
    <w:rsid w:val="366C2B5F"/>
    <w:rsid w:val="366E227C"/>
    <w:rsid w:val="366F2E0D"/>
    <w:rsid w:val="36735F09"/>
    <w:rsid w:val="367B6A5C"/>
    <w:rsid w:val="36A52284"/>
    <w:rsid w:val="36A74ADA"/>
    <w:rsid w:val="36AD60D5"/>
    <w:rsid w:val="36B224F9"/>
    <w:rsid w:val="36C3116B"/>
    <w:rsid w:val="36DB5543"/>
    <w:rsid w:val="36EC0CC9"/>
    <w:rsid w:val="372C6501"/>
    <w:rsid w:val="3734210D"/>
    <w:rsid w:val="373F410B"/>
    <w:rsid w:val="37EE7094"/>
    <w:rsid w:val="380E0217"/>
    <w:rsid w:val="38296C89"/>
    <w:rsid w:val="383002EB"/>
    <w:rsid w:val="38586797"/>
    <w:rsid w:val="38797966"/>
    <w:rsid w:val="387D48E7"/>
    <w:rsid w:val="388243AC"/>
    <w:rsid w:val="38855EC9"/>
    <w:rsid w:val="388801F5"/>
    <w:rsid w:val="388D77A1"/>
    <w:rsid w:val="3894610C"/>
    <w:rsid w:val="38B113F5"/>
    <w:rsid w:val="38BC0149"/>
    <w:rsid w:val="38D87D1C"/>
    <w:rsid w:val="38E22CFA"/>
    <w:rsid w:val="39165BBB"/>
    <w:rsid w:val="39565BF3"/>
    <w:rsid w:val="39636459"/>
    <w:rsid w:val="396B7F6C"/>
    <w:rsid w:val="39A46430"/>
    <w:rsid w:val="39AC0A66"/>
    <w:rsid w:val="39B417A9"/>
    <w:rsid w:val="39BF788E"/>
    <w:rsid w:val="39F94929"/>
    <w:rsid w:val="39FC5695"/>
    <w:rsid w:val="3A006D8E"/>
    <w:rsid w:val="3A3651E5"/>
    <w:rsid w:val="3A4C423F"/>
    <w:rsid w:val="3A6B67E3"/>
    <w:rsid w:val="3A744481"/>
    <w:rsid w:val="3A8C7BEF"/>
    <w:rsid w:val="3A906246"/>
    <w:rsid w:val="3AA83519"/>
    <w:rsid w:val="3ABE6841"/>
    <w:rsid w:val="3AE004A0"/>
    <w:rsid w:val="3B2349B7"/>
    <w:rsid w:val="3B3C7E67"/>
    <w:rsid w:val="3B3FC59C"/>
    <w:rsid w:val="3B616CFF"/>
    <w:rsid w:val="3B6259F6"/>
    <w:rsid w:val="3B720C0D"/>
    <w:rsid w:val="3B976654"/>
    <w:rsid w:val="3BAF42E8"/>
    <w:rsid w:val="3BB6355F"/>
    <w:rsid w:val="3BC01EFC"/>
    <w:rsid w:val="3BCA786A"/>
    <w:rsid w:val="3BD31E2F"/>
    <w:rsid w:val="3BF15831"/>
    <w:rsid w:val="3C105946"/>
    <w:rsid w:val="3C471448"/>
    <w:rsid w:val="3C5F759A"/>
    <w:rsid w:val="3C62784F"/>
    <w:rsid w:val="3C6C525A"/>
    <w:rsid w:val="3CAD649B"/>
    <w:rsid w:val="3CC33275"/>
    <w:rsid w:val="3CC34D87"/>
    <w:rsid w:val="3CCB5CFD"/>
    <w:rsid w:val="3CCE23CB"/>
    <w:rsid w:val="3CD17D17"/>
    <w:rsid w:val="3CE90B95"/>
    <w:rsid w:val="3D095B46"/>
    <w:rsid w:val="3D0C108D"/>
    <w:rsid w:val="3D130D7B"/>
    <w:rsid w:val="3D380D30"/>
    <w:rsid w:val="3D3C7F39"/>
    <w:rsid w:val="3D440F09"/>
    <w:rsid w:val="3D4504A0"/>
    <w:rsid w:val="3D6F6425"/>
    <w:rsid w:val="3D8734BB"/>
    <w:rsid w:val="3D9A11D4"/>
    <w:rsid w:val="3DA16D89"/>
    <w:rsid w:val="3DA364BE"/>
    <w:rsid w:val="3DA45043"/>
    <w:rsid w:val="3DDB7149"/>
    <w:rsid w:val="3DE041CB"/>
    <w:rsid w:val="3E0D48F6"/>
    <w:rsid w:val="3E1868B4"/>
    <w:rsid w:val="3E377251"/>
    <w:rsid w:val="3E42664B"/>
    <w:rsid w:val="3E4B4F87"/>
    <w:rsid w:val="3E5661DC"/>
    <w:rsid w:val="3E5A7334"/>
    <w:rsid w:val="3E7B5D6B"/>
    <w:rsid w:val="3E843E66"/>
    <w:rsid w:val="3E8F51FE"/>
    <w:rsid w:val="3E926F87"/>
    <w:rsid w:val="3E9A59DE"/>
    <w:rsid w:val="3EAF4836"/>
    <w:rsid w:val="3EC33DFA"/>
    <w:rsid w:val="3EC84D62"/>
    <w:rsid w:val="3EE85404"/>
    <w:rsid w:val="3F060E16"/>
    <w:rsid w:val="3F173D18"/>
    <w:rsid w:val="3F1C4A39"/>
    <w:rsid w:val="3F1D1096"/>
    <w:rsid w:val="3F2F0234"/>
    <w:rsid w:val="3F3C11D9"/>
    <w:rsid w:val="3F485DF7"/>
    <w:rsid w:val="3F6363FE"/>
    <w:rsid w:val="3F756B8F"/>
    <w:rsid w:val="3F8F60F8"/>
    <w:rsid w:val="3F95482B"/>
    <w:rsid w:val="3FA46AC7"/>
    <w:rsid w:val="3FA57E6B"/>
    <w:rsid w:val="3FBA4D6C"/>
    <w:rsid w:val="3FC65745"/>
    <w:rsid w:val="4019356B"/>
    <w:rsid w:val="40275AB8"/>
    <w:rsid w:val="4046605F"/>
    <w:rsid w:val="40592157"/>
    <w:rsid w:val="40674A44"/>
    <w:rsid w:val="406E1CAE"/>
    <w:rsid w:val="407A39D5"/>
    <w:rsid w:val="40817E61"/>
    <w:rsid w:val="40A0133A"/>
    <w:rsid w:val="40C31A53"/>
    <w:rsid w:val="40FF545D"/>
    <w:rsid w:val="410067C8"/>
    <w:rsid w:val="41193901"/>
    <w:rsid w:val="41543C14"/>
    <w:rsid w:val="41836C1F"/>
    <w:rsid w:val="418F0D2A"/>
    <w:rsid w:val="419929E5"/>
    <w:rsid w:val="41D01505"/>
    <w:rsid w:val="41E9396D"/>
    <w:rsid w:val="42474939"/>
    <w:rsid w:val="424C3C57"/>
    <w:rsid w:val="42613FF3"/>
    <w:rsid w:val="42654F91"/>
    <w:rsid w:val="42660D96"/>
    <w:rsid w:val="428667D2"/>
    <w:rsid w:val="429A368A"/>
    <w:rsid w:val="42CD1CE0"/>
    <w:rsid w:val="42E1381E"/>
    <w:rsid w:val="42ED6459"/>
    <w:rsid w:val="42F16C31"/>
    <w:rsid w:val="42FE58DD"/>
    <w:rsid w:val="43004C12"/>
    <w:rsid w:val="43174B3D"/>
    <w:rsid w:val="431C3DDE"/>
    <w:rsid w:val="432F1B9E"/>
    <w:rsid w:val="43354997"/>
    <w:rsid w:val="434B790E"/>
    <w:rsid w:val="4360274F"/>
    <w:rsid w:val="43972F54"/>
    <w:rsid w:val="43977AB6"/>
    <w:rsid w:val="43A3342B"/>
    <w:rsid w:val="43C77C27"/>
    <w:rsid w:val="43DE09EE"/>
    <w:rsid w:val="44002FAD"/>
    <w:rsid w:val="44594351"/>
    <w:rsid w:val="44657104"/>
    <w:rsid w:val="449101DD"/>
    <w:rsid w:val="44BA722D"/>
    <w:rsid w:val="44DE1391"/>
    <w:rsid w:val="44F96CD2"/>
    <w:rsid w:val="45106B70"/>
    <w:rsid w:val="451B225C"/>
    <w:rsid w:val="452410C9"/>
    <w:rsid w:val="45317DFB"/>
    <w:rsid w:val="456D3CE4"/>
    <w:rsid w:val="4579042C"/>
    <w:rsid w:val="457F0571"/>
    <w:rsid w:val="45851176"/>
    <w:rsid w:val="45883496"/>
    <w:rsid w:val="45C63B94"/>
    <w:rsid w:val="45D74E30"/>
    <w:rsid w:val="45E60856"/>
    <w:rsid w:val="46025BB6"/>
    <w:rsid w:val="460A332B"/>
    <w:rsid w:val="460E7DA5"/>
    <w:rsid w:val="46402205"/>
    <w:rsid w:val="46422483"/>
    <w:rsid w:val="465040A8"/>
    <w:rsid w:val="4659254A"/>
    <w:rsid w:val="465B0637"/>
    <w:rsid w:val="465E3F0D"/>
    <w:rsid w:val="466A16E6"/>
    <w:rsid w:val="466A3861"/>
    <w:rsid w:val="467B69ED"/>
    <w:rsid w:val="46893F2B"/>
    <w:rsid w:val="469D6BC0"/>
    <w:rsid w:val="46A74EE1"/>
    <w:rsid w:val="46C4686E"/>
    <w:rsid w:val="46CF35FA"/>
    <w:rsid w:val="46D060FC"/>
    <w:rsid w:val="46D2790F"/>
    <w:rsid w:val="46D85D5E"/>
    <w:rsid w:val="46DA136D"/>
    <w:rsid w:val="474178A8"/>
    <w:rsid w:val="477B778F"/>
    <w:rsid w:val="477F61D9"/>
    <w:rsid w:val="478203EC"/>
    <w:rsid w:val="47941752"/>
    <w:rsid w:val="47B025FA"/>
    <w:rsid w:val="47FE483C"/>
    <w:rsid w:val="4809698F"/>
    <w:rsid w:val="4811697D"/>
    <w:rsid w:val="487A3E25"/>
    <w:rsid w:val="488B5503"/>
    <w:rsid w:val="48937E21"/>
    <w:rsid w:val="489A0361"/>
    <w:rsid w:val="48AD6A8D"/>
    <w:rsid w:val="48B94FF3"/>
    <w:rsid w:val="48E37AAB"/>
    <w:rsid w:val="48FD4B4C"/>
    <w:rsid w:val="49061243"/>
    <w:rsid w:val="490A68E0"/>
    <w:rsid w:val="491055FE"/>
    <w:rsid w:val="49170DBF"/>
    <w:rsid w:val="4950607F"/>
    <w:rsid w:val="495A44E3"/>
    <w:rsid w:val="495F5B3E"/>
    <w:rsid w:val="496D7CED"/>
    <w:rsid w:val="496F77D7"/>
    <w:rsid w:val="497654FD"/>
    <w:rsid w:val="499765ED"/>
    <w:rsid w:val="49B64211"/>
    <w:rsid w:val="49F6167F"/>
    <w:rsid w:val="4A064FA0"/>
    <w:rsid w:val="4A0909A1"/>
    <w:rsid w:val="4A140837"/>
    <w:rsid w:val="4A16615C"/>
    <w:rsid w:val="4A4424D7"/>
    <w:rsid w:val="4A5939C6"/>
    <w:rsid w:val="4AB82D0F"/>
    <w:rsid w:val="4ABB17CB"/>
    <w:rsid w:val="4AEB7664"/>
    <w:rsid w:val="4AF13892"/>
    <w:rsid w:val="4AFD7C19"/>
    <w:rsid w:val="4B0567D1"/>
    <w:rsid w:val="4B1C363A"/>
    <w:rsid w:val="4B236AAE"/>
    <w:rsid w:val="4B50040A"/>
    <w:rsid w:val="4B707271"/>
    <w:rsid w:val="4B807AB2"/>
    <w:rsid w:val="4B9739F7"/>
    <w:rsid w:val="4BEE2503"/>
    <w:rsid w:val="4BEF5BF8"/>
    <w:rsid w:val="4C245A30"/>
    <w:rsid w:val="4C2D6C98"/>
    <w:rsid w:val="4C503B9A"/>
    <w:rsid w:val="4C736329"/>
    <w:rsid w:val="4C77015F"/>
    <w:rsid w:val="4C7C718B"/>
    <w:rsid w:val="4C83338C"/>
    <w:rsid w:val="4C9A4AA6"/>
    <w:rsid w:val="4CAD4F46"/>
    <w:rsid w:val="4CB6685F"/>
    <w:rsid w:val="4CC367FE"/>
    <w:rsid w:val="4CD670E4"/>
    <w:rsid w:val="4CF0012E"/>
    <w:rsid w:val="4D077F3C"/>
    <w:rsid w:val="4D123355"/>
    <w:rsid w:val="4D2A3B31"/>
    <w:rsid w:val="4D312C52"/>
    <w:rsid w:val="4D4B5445"/>
    <w:rsid w:val="4D73233C"/>
    <w:rsid w:val="4D844549"/>
    <w:rsid w:val="4D905305"/>
    <w:rsid w:val="4D964A72"/>
    <w:rsid w:val="4D9C1254"/>
    <w:rsid w:val="4DC36632"/>
    <w:rsid w:val="4DF55F07"/>
    <w:rsid w:val="4DFC0584"/>
    <w:rsid w:val="4E0F042C"/>
    <w:rsid w:val="4E6544E7"/>
    <w:rsid w:val="4E793892"/>
    <w:rsid w:val="4E800872"/>
    <w:rsid w:val="4EB63AF8"/>
    <w:rsid w:val="4EC569ED"/>
    <w:rsid w:val="4ED50EA1"/>
    <w:rsid w:val="4EDF24BE"/>
    <w:rsid w:val="4EE259CC"/>
    <w:rsid w:val="4EEC050C"/>
    <w:rsid w:val="4F104EC3"/>
    <w:rsid w:val="4F2C625F"/>
    <w:rsid w:val="4F47354A"/>
    <w:rsid w:val="4F710CA8"/>
    <w:rsid w:val="4F911C54"/>
    <w:rsid w:val="4FD45CB9"/>
    <w:rsid w:val="4FE625E0"/>
    <w:rsid w:val="4FE94F10"/>
    <w:rsid w:val="5019644A"/>
    <w:rsid w:val="5021480F"/>
    <w:rsid w:val="502D0EC8"/>
    <w:rsid w:val="50466676"/>
    <w:rsid w:val="505301A3"/>
    <w:rsid w:val="505A2E5A"/>
    <w:rsid w:val="506932DB"/>
    <w:rsid w:val="50962ECB"/>
    <w:rsid w:val="50A42E38"/>
    <w:rsid w:val="50A4577F"/>
    <w:rsid w:val="50B73D1F"/>
    <w:rsid w:val="50BD5BC9"/>
    <w:rsid w:val="50C11EEE"/>
    <w:rsid w:val="50E97CFC"/>
    <w:rsid w:val="50FA4028"/>
    <w:rsid w:val="510D65B7"/>
    <w:rsid w:val="511157AB"/>
    <w:rsid w:val="51363DAD"/>
    <w:rsid w:val="5142540C"/>
    <w:rsid w:val="5147420C"/>
    <w:rsid w:val="515B7CB7"/>
    <w:rsid w:val="517A1653"/>
    <w:rsid w:val="518832C8"/>
    <w:rsid w:val="51A0432A"/>
    <w:rsid w:val="51A86090"/>
    <w:rsid w:val="51AC406F"/>
    <w:rsid w:val="51B278FC"/>
    <w:rsid w:val="51B7396D"/>
    <w:rsid w:val="520E2446"/>
    <w:rsid w:val="522E4CC3"/>
    <w:rsid w:val="5244713B"/>
    <w:rsid w:val="52615633"/>
    <w:rsid w:val="52977FD4"/>
    <w:rsid w:val="52A25790"/>
    <w:rsid w:val="52A96B6F"/>
    <w:rsid w:val="52B45975"/>
    <w:rsid w:val="52D94AA4"/>
    <w:rsid w:val="52EA3A62"/>
    <w:rsid w:val="52F004D9"/>
    <w:rsid w:val="52F0391D"/>
    <w:rsid w:val="52F50BB8"/>
    <w:rsid w:val="53097272"/>
    <w:rsid w:val="53395B77"/>
    <w:rsid w:val="53513CED"/>
    <w:rsid w:val="53544462"/>
    <w:rsid w:val="53554555"/>
    <w:rsid w:val="53946913"/>
    <w:rsid w:val="5397158E"/>
    <w:rsid w:val="53AB34E5"/>
    <w:rsid w:val="53CC11E3"/>
    <w:rsid w:val="53EF7A35"/>
    <w:rsid w:val="54013861"/>
    <w:rsid w:val="54487265"/>
    <w:rsid w:val="544D6070"/>
    <w:rsid w:val="54605E1E"/>
    <w:rsid w:val="54680954"/>
    <w:rsid w:val="54A169A9"/>
    <w:rsid w:val="54B3506A"/>
    <w:rsid w:val="54B4570E"/>
    <w:rsid w:val="54CA0D16"/>
    <w:rsid w:val="54DD4057"/>
    <w:rsid w:val="54E7490F"/>
    <w:rsid w:val="54F47F43"/>
    <w:rsid w:val="550764A4"/>
    <w:rsid w:val="550B2BF6"/>
    <w:rsid w:val="55214EB5"/>
    <w:rsid w:val="55364EFD"/>
    <w:rsid w:val="555D4828"/>
    <w:rsid w:val="557A4C8B"/>
    <w:rsid w:val="558931E1"/>
    <w:rsid w:val="55923347"/>
    <w:rsid w:val="55925180"/>
    <w:rsid w:val="55983B1B"/>
    <w:rsid w:val="55A8376B"/>
    <w:rsid w:val="55DC29B6"/>
    <w:rsid w:val="55DD4241"/>
    <w:rsid w:val="560862DF"/>
    <w:rsid w:val="564B3E56"/>
    <w:rsid w:val="566B6D1E"/>
    <w:rsid w:val="569F6AC7"/>
    <w:rsid w:val="56D13209"/>
    <w:rsid w:val="57032A2C"/>
    <w:rsid w:val="570D3399"/>
    <w:rsid w:val="570F5219"/>
    <w:rsid w:val="575D12B5"/>
    <w:rsid w:val="57610A87"/>
    <w:rsid w:val="5772374D"/>
    <w:rsid w:val="577B1140"/>
    <w:rsid w:val="577B7F21"/>
    <w:rsid w:val="577F181B"/>
    <w:rsid w:val="57921984"/>
    <w:rsid w:val="579737F0"/>
    <w:rsid w:val="57AB7B30"/>
    <w:rsid w:val="57AF5251"/>
    <w:rsid w:val="57B26373"/>
    <w:rsid w:val="57B63F04"/>
    <w:rsid w:val="57CD20C2"/>
    <w:rsid w:val="57D675AB"/>
    <w:rsid w:val="57D95FDD"/>
    <w:rsid w:val="57DA5A98"/>
    <w:rsid w:val="57EA58F1"/>
    <w:rsid w:val="584A29BD"/>
    <w:rsid w:val="58917D2F"/>
    <w:rsid w:val="5894085C"/>
    <w:rsid w:val="58AE4F0C"/>
    <w:rsid w:val="58B85899"/>
    <w:rsid w:val="58E363A9"/>
    <w:rsid w:val="590E29AC"/>
    <w:rsid w:val="59126290"/>
    <w:rsid w:val="595E1678"/>
    <w:rsid w:val="596D5BD4"/>
    <w:rsid w:val="597E3DD8"/>
    <w:rsid w:val="598244D3"/>
    <w:rsid w:val="59A269BC"/>
    <w:rsid w:val="59D634DF"/>
    <w:rsid w:val="59F11E5C"/>
    <w:rsid w:val="59F80043"/>
    <w:rsid w:val="5A0904C1"/>
    <w:rsid w:val="5A09252F"/>
    <w:rsid w:val="5A0B2778"/>
    <w:rsid w:val="5A133E67"/>
    <w:rsid w:val="5A2A7C7B"/>
    <w:rsid w:val="5A3E2560"/>
    <w:rsid w:val="5A5D3B6E"/>
    <w:rsid w:val="5A637A76"/>
    <w:rsid w:val="5A6D33BA"/>
    <w:rsid w:val="5A792B1F"/>
    <w:rsid w:val="5A7D5519"/>
    <w:rsid w:val="5A874767"/>
    <w:rsid w:val="5A8C7BCC"/>
    <w:rsid w:val="5A8D7133"/>
    <w:rsid w:val="5A944CE3"/>
    <w:rsid w:val="5AAD6F28"/>
    <w:rsid w:val="5ACC3D12"/>
    <w:rsid w:val="5AD63A24"/>
    <w:rsid w:val="5AEA5EB6"/>
    <w:rsid w:val="5AEA62E5"/>
    <w:rsid w:val="5AFF3461"/>
    <w:rsid w:val="5B1511F3"/>
    <w:rsid w:val="5B167F88"/>
    <w:rsid w:val="5B2E1A1D"/>
    <w:rsid w:val="5B317CC1"/>
    <w:rsid w:val="5B6B0A58"/>
    <w:rsid w:val="5B843A1C"/>
    <w:rsid w:val="5B873E3F"/>
    <w:rsid w:val="5B897053"/>
    <w:rsid w:val="5BA83A02"/>
    <w:rsid w:val="5C02690E"/>
    <w:rsid w:val="5C196DA7"/>
    <w:rsid w:val="5C1D0043"/>
    <w:rsid w:val="5C2A048C"/>
    <w:rsid w:val="5C6043D4"/>
    <w:rsid w:val="5C80234E"/>
    <w:rsid w:val="5C8A680C"/>
    <w:rsid w:val="5CA644DC"/>
    <w:rsid w:val="5CCE43BA"/>
    <w:rsid w:val="5CE01922"/>
    <w:rsid w:val="5D0C4701"/>
    <w:rsid w:val="5D0F0395"/>
    <w:rsid w:val="5D221076"/>
    <w:rsid w:val="5D397964"/>
    <w:rsid w:val="5D5A391C"/>
    <w:rsid w:val="5D5A52C7"/>
    <w:rsid w:val="5D5F10C0"/>
    <w:rsid w:val="5D891B7B"/>
    <w:rsid w:val="5DA35AD2"/>
    <w:rsid w:val="5DAA5DD8"/>
    <w:rsid w:val="5DAD38EE"/>
    <w:rsid w:val="5DCE5EE9"/>
    <w:rsid w:val="5E006862"/>
    <w:rsid w:val="5E0207B9"/>
    <w:rsid w:val="5E0B0AD6"/>
    <w:rsid w:val="5E176F9E"/>
    <w:rsid w:val="5E1834A1"/>
    <w:rsid w:val="5E261785"/>
    <w:rsid w:val="5E4A7017"/>
    <w:rsid w:val="5E4F2952"/>
    <w:rsid w:val="5E552BBA"/>
    <w:rsid w:val="5E610D01"/>
    <w:rsid w:val="5E611C10"/>
    <w:rsid w:val="5E655CD1"/>
    <w:rsid w:val="5EA31D4C"/>
    <w:rsid w:val="5EF45E76"/>
    <w:rsid w:val="5EFC7377"/>
    <w:rsid w:val="5F06174D"/>
    <w:rsid w:val="5F3062DF"/>
    <w:rsid w:val="5F3A3602"/>
    <w:rsid w:val="5F6277C6"/>
    <w:rsid w:val="5F6D0B1D"/>
    <w:rsid w:val="5F6FF5AD"/>
    <w:rsid w:val="5F8D0B82"/>
    <w:rsid w:val="5FAC7CA9"/>
    <w:rsid w:val="5FBC4C67"/>
    <w:rsid w:val="5FCC5339"/>
    <w:rsid w:val="5FE34A5B"/>
    <w:rsid w:val="5FFE1E36"/>
    <w:rsid w:val="600502B2"/>
    <w:rsid w:val="60232584"/>
    <w:rsid w:val="602C4E9D"/>
    <w:rsid w:val="605208D2"/>
    <w:rsid w:val="6060009F"/>
    <w:rsid w:val="607330CE"/>
    <w:rsid w:val="60825176"/>
    <w:rsid w:val="609F2AC4"/>
    <w:rsid w:val="60E62C5F"/>
    <w:rsid w:val="60E824C6"/>
    <w:rsid w:val="60ED3E90"/>
    <w:rsid w:val="60FA2EE8"/>
    <w:rsid w:val="61054A27"/>
    <w:rsid w:val="610A52BC"/>
    <w:rsid w:val="611D2366"/>
    <w:rsid w:val="61401BAF"/>
    <w:rsid w:val="61421856"/>
    <w:rsid w:val="614F0BA7"/>
    <w:rsid w:val="615227C4"/>
    <w:rsid w:val="615F4C5A"/>
    <w:rsid w:val="61654E3F"/>
    <w:rsid w:val="61721216"/>
    <w:rsid w:val="6182292A"/>
    <w:rsid w:val="618D5C6B"/>
    <w:rsid w:val="619F7F92"/>
    <w:rsid w:val="61B60EF8"/>
    <w:rsid w:val="61F94C26"/>
    <w:rsid w:val="62000E56"/>
    <w:rsid w:val="620A1913"/>
    <w:rsid w:val="62330149"/>
    <w:rsid w:val="624E346D"/>
    <w:rsid w:val="624F3E49"/>
    <w:rsid w:val="62632286"/>
    <w:rsid w:val="62885958"/>
    <w:rsid w:val="628E759D"/>
    <w:rsid w:val="62B674A5"/>
    <w:rsid w:val="62BB05B6"/>
    <w:rsid w:val="62D87355"/>
    <w:rsid w:val="62F40B65"/>
    <w:rsid w:val="62FC2CFE"/>
    <w:rsid w:val="63024505"/>
    <w:rsid w:val="632C6FB1"/>
    <w:rsid w:val="633D721D"/>
    <w:rsid w:val="635B1DB5"/>
    <w:rsid w:val="636B0439"/>
    <w:rsid w:val="63711FED"/>
    <w:rsid w:val="63831DEB"/>
    <w:rsid w:val="63880DDC"/>
    <w:rsid w:val="638D750D"/>
    <w:rsid w:val="63AC6CC0"/>
    <w:rsid w:val="63D066D2"/>
    <w:rsid w:val="64055776"/>
    <w:rsid w:val="640C0875"/>
    <w:rsid w:val="641C32D6"/>
    <w:rsid w:val="64240056"/>
    <w:rsid w:val="643E143A"/>
    <w:rsid w:val="646C4E42"/>
    <w:rsid w:val="648B6EEF"/>
    <w:rsid w:val="648C1B70"/>
    <w:rsid w:val="64AB5F85"/>
    <w:rsid w:val="64C158BF"/>
    <w:rsid w:val="64C27B00"/>
    <w:rsid w:val="64CE2EAA"/>
    <w:rsid w:val="64D66A7C"/>
    <w:rsid w:val="64FA277A"/>
    <w:rsid w:val="6525440C"/>
    <w:rsid w:val="653C3090"/>
    <w:rsid w:val="65405CCA"/>
    <w:rsid w:val="654A7E87"/>
    <w:rsid w:val="655A3BEA"/>
    <w:rsid w:val="65854376"/>
    <w:rsid w:val="658767BE"/>
    <w:rsid w:val="65892531"/>
    <w:rsid w:val="65BA52F7"/>
    <w:rsid w:val="66097CE7"/>
    <w:rsid w:val="66195831"/>
    <w:rsid w:val="662B5A52"/>
    <w:rsid w:val="662D6DA8"/>
    <w:rsid w:val="662E75B1"/>
    <w:rsid w:val="66342C2E"/>
    <w:rsid w:val="663E784C"/>
    <w:rsid w:val="667A09B7"/>
    <w:rsid w:val="668B6A45"/>
    <w:rsid w:val="66A45BDC"/>
    <w:rsid w:val="66C74351"/>
    <w:rsid w:val="672F3F24"/>
    <w:rsid w:val="673E055F"/>
    <w:rsid w:val="67551CE3"/>
    <w:rsid w:val="67837EB7"/>
    <w:rsid w:val="679413D5"/>
    <w:rsid w:val="679B2025"/>
    <w:rsid w:val="67A22552"/>
    <w:rsid w:val="67B22DCC"/>
    <w:rsid w:val="67BE71AA"/>
    <w:rsid w:val="67D90273"/>
    <w:rsid w:val="67DE5875"/>
    <w:rsid w:val="67E55852"/>
    <w:rsid w:val="67EB1AB4"/>
    <w:rsid w:val="67FA1285"/>
    <w:rsid w:val="68134F6C"/>
    <w:rsid w:val="68551F4F"/>
    <w:rsid w:val="685847A6"/>
    <w:rsid w:val="687C10C9"/>
    <w:rsid w:val="68840C16"/>
    <w:rsid w:val="68876EFB"/>
    <w:rsid w:val="68884654"/>
    <w:rsid w:val="689F444F"/>
    <w:rsid w:val="68B96DBB"/>
    <w:rsid w:val="68BB37A7"/>
    <w:rsid w:val="68CA2805"/>
    <w:rsid w:val="68E937A3"/>
    <w:rsid w:val="68FC4E55"/>
    <w:rsid w:val="69196B57"/>
    <w:rsid w:val="693E15D3"/>
    <w:rsid w:val="694E7060"/>
    <w:rsid w:val="69627681"/>
    <w:rsid w:val="69701FBE"/>
    <w:rsid w:val="6977531D"/>
    <w:rsid w:val="697B1F3A"/>
    <w:rsid w:val="69A53598"/>
    <w:rsid w:val="69CC2BFF"/>
    <w:rsid w:val="69D97139"/>
    <w:rsid w:val="69FD55B8"/>
    <w:rsid w:val="6A0B1C62"/>
    <w:rsid w:val="6A2406C8"/>
    <w:rsid w:val="6A2C3AC3"/>
    <w:rsid w:val="6A4B7311"/>
    <w:rsid w:val="6A6677D9"/>
    <w:rsid w:val="6A8453C5"/>
    <w:rsid w:val="6A9A6657"/>
    <w:rsid w:val="6ADE0BD1"/>
    <w:rsid w:val="6AE96859"/>
    <w:rsid w:val="6B147746"/>
    <w:rsid w:val="6B24787C"/>
    <w:rsid w:val="6B2B7FBB"/>
    <w:rsid w:val="6B380B3D"/>
    <w:rsid w:val="6B532C57"/>
    <w:rsid w:val="6B573233"/>
    <w:rsid w:val="6B5B6274"/>
    <w:rsid w:val="6B935D53"/>
    <w:rsid w:val="6C045D31"/>
    <w:rsid w:val="6C133194"/>
    <w:rsid w:val="6C196F71"/>
    <w:rsid w:val="6C226FCB"/>
    <w:rsid w:val="6C31226F"/>
    <w:rsid w:val="6C4455E8"/>
    <w:rsid w:val="6C514E57"/>
    <w:rsid w:val="6C552F0B"/>
    <w:rsid w:val="6C8C67B7"/>
    <w:rsid w:val="6C9D744C"/>
    <w:rsid w:val="6CC03428"/>
    <w:rsid w:val="6CE94C46"/>
    <w:rsid w:val="6D167928"/>
    <w:rsid w:val="6D26299B"/>
    <w:rsid w:val="6D4772EC"/>
    <w:rsid w:val="6D9078AF"/>
    <w:rsid w:val="6DA12D43"/>
    <w:rsid w:val="6DAA3FEF"/>
    <w:rsid w:val="6DBF2DB2"/>
    <w:rsid w:val="6DC0172B"/>
    <w:rsid w:val="6DCB690C"/>
    <w:rsid w:val="6DD41A5B"/>
    <w:rsid w:val="6DF43C2E"/>
    <w:rsid w:val="6DF51CA3"/>
    <w:rsid w:val="6E0863D3"/>
    <w:rsid w:val="6E8335BD"/>
    <w:rsid w:val="6E8E12EF"/>
    <w:rsid w:val="6E972936"/>
    <w:rsid w:val="6ED446C5"/>
    <w:rsid w:val="6F0C3442"/>
    <w:rsid w:val="6F2A7D94"/>
    <w:rsid w:val="6F730377"/>
    <w:rsid w:val="6F8331F1"/>
    <w:rsid w:val="6F8A0F8C"/>
    <w:rsid w:val="6FAE1A09"/>
    <w:rsid w:val="6FD44A65"/>
    <w:rsid w:val="6FD75BF8"/>
    <w:rsid w:val="70206492"/>
    <w:rsid w:val="707723D0"/>
    <w:rsid w:val="70BF3010"/>
    <w:rsid w:val="70C40F7D"/>
    <w:rsid w:val="70E5507E"/>
    <w:rsid w:val="70ED6641"/>
    <w:rsid w:val="70F5661B"/>
    <w:rsid w:val="71084023"/>
    <w:rsid w:val="710E183A"/>
    <w:rsid w:val="71360107"/>
    <w:rsid w:val="71396E6E"/>
    <w:rsid w:val="713B688E"/>
    <w:rsid w:val="713E2ADE"/>
    <w:rsid w:val="7151750C"/>
    <w:rsid w:val="717C5785"/>
    <w:rsid w:val="71A265F4"/>
    <w:rsid w:val="71B675CD"/>
    <w:rsid w:val="71D43752"/>
    <w:rsid w:val="71F1796A"/>
    <w:rsid w:val="720C45CB"/>
    <w:rsid w:val="72132D4D"/>
    <w:rsid w:val="72154626"/>
    <w:rsid w:val="72262B5D"/>
    <w:rsid w:val="72283FF7"/>
    <w:rsid w:val="722E7212"/>
    <w:rsid w:val="723A0474"/>
    <w:rsid w:val="725923E4"/>
    <w:rsid w:val="72777EDD"/>
    <w:rsid w:val="72864BF7"/>
    <w:rsid w:val="729023FC"/>
    <w:rsid w:val="72B62B48"/>
    <w:rsid w:val="72CE1FD6"/>
    <w:rsid w:val="73286404"/>
    <w:rsid w:val="73460898"/>
    <w:rsid w:val="73B95C72"/>
    <w:rsid w:val="73C0646E"/>
    <w:rsid w:val="73D239B1"/>
    <w:rsid w:val="73D96AEE"/>
    <w:rsid w:val="73E6120B"/>
    <w:rsid w:val="740F0CE2"/>
    <w:rsid w:val="742222F5"/>
    <w:rsid w:val="74271D8C"/>
    <w:rsid w:val="74476126"/>
    <w:rsid w:val="744A77F6"/>
    <w:rsid w:val="7463243A"/>
    <w:rsid w:val="74706664"/>
    <w:rsid w:val="747C795C"/>
    <w:rsid w:val="747F3682"/>
    <w:rsid w:val="749C4185"/>
    <w:rsid w:val="74F11C15"/>
    <w:rsid w:val="75067759"/>
    <w:rsid w:val="752E6DCD"/>
    <w:rsid w:val="754405BD"/>
    <w:rsid w:val="754F2B6C"/>
    <w:rsid w:val="7551380D"/>
    <w:rsid w:val="75600BE5"/>
    <w:rsid w:val="7564475C"/>
    <w:rsid w:val="7583797F"/>
    <w:rsid w:val="75CD5DE4"/>
    <w:rsid w:val="75D20F1D"/>
    <w:rsid w:val="75DA2C18"/>
    <w:rsid w:val="75E4767D"/>
    <w:rsid w:val="75F54412"/>
    <w:rsid w:val="761D08E0"/>
    <w:rsid w:val="763A5CD8"/>
    <w:rsid w:val="765D347C"/>
    <w:rsid w:val="76826699"/>
    <w:rsid w:val="769D02A6"/>
    <w:rsid w:val="76C87133"/>
    <w:rsid w:val="76CD08D5"/>
    <w:rsid w:val="76DB4B92"/>
    <w:rsid w:val="77052AA4"/>
    <w:rsid w:val="77136511"/>
    <w:rsid w:val="77315B09"/>
    <w:rsid w:val="77340A39"/>
    <w:rsid w:val="77351FD0"/>
    <w:rsid w:val="77472422"/>
    <w:rsid w:val="77582456"/>
    <w:rsid w:val="777F31F2"/>
    <w:rsid w:val="778F3C27"/>
    <w:rsid w:val="779C6247"/>
    <w:rsid w:val="77D1700D"/>
    <w:rsid w:val="77DF044B"/>
    <w:rsid w:val="77EC04CC"/>
    <w:rsid w:val="77ED2B68"/>
    <w:rsid w:val="77FDDB5F"/>
    <w:rsid w:val="78063EE4"/>
    <w:rsid w:val="781A0520"/>
    <w:rsid w:val="78775729"/>
    <w:rsid w:val="78A42DB0"/>
    <w:rsid w:val="78A656AB"/>
    <w:rsid w:val="78B2245C"/>
    <w:rsid w:val="78C51ED0"/>
    <w:rsid w:val="78E172CC"/>
    <w:rsid w:val="78E201F2"/>
    <w:rsid w:val="78EA1D1F"/>
    <w:rsid w:val="7904172F"/>
    <w:rsid w:val="790F7E27"/>
    <w:rsid w:val="792A231A"/>
    <w:rsid w:val="79316829"/>
    <w:rsid w:val="79475498"/>
    <w:rsid w:val="79720531"/>
    <w:rsid w:val="79794365"/>
    <w:rsid w:val="797E66A9"/>
    <w:rsid w:val="79A97383"/>
    <w:rsid w:val="79B7342D"/>
    <w:rsid w:val="79D35D8D"/>
    <w:rsid w:val="79E27E8B"/>
    <w:rsid w:val="79F850CE"/>
    <w:rsid w:val="79FD443C"/>
    <w:rsid w:val="7A1D1975"/>
    <w:rsid w:val="7A307068"/>
    <w:rsid w:val="7A3E5150"/>
    <w:rsid w:val="7A4670D6"/>
    <w:rsid w:val="7A534B63"/>
    <w:rsid w:val="7A615382"/>
    <w:rsid w:val="7A67303B"/>
    <w:rsid w:val="7AAB1D04"/>
    <w:rsid w:val="7ABA4368"/>
    <w:rsid w:val="7AD05746"/>
    <w:rsid w:val="7B080600"/>
    <w:rsid w:val="7B200376"/>
    <w:rsid w:val="7B2173E8"/>
    <w:rsid w:val="7B257FFD"/>
    <w:rsid w:val="7B2935B0"/>
    <w:rsid w:val="7B343476"/>
    <w:rsid w:val="7B5A2978"/>
    <w:rsid w:val="7B5A7E4C"/>
    <w:rsid w:val="7B667AF9"/>
    <w:rsid w:val="7B7468F8"/>
    <w:rsid w:val="7B7C1ABA"/>
    <w:rsid w:val="7BC30888"/>
    <w:rsid w:val="7BEE0103"/>
    <w:rsid w:val="7BF56183"/>
    <w:rsid w:val="7C0A0FE4"/>
    <w:rsid w:val="7C1A1F01"/>
    <w:rsid w:val="7C254906"/>
    <w:rsid w:val="7C30396B"/>
    <w:rsid w:val="7C590818"/>
    <w:rsid w:val="7C6FCA9D"/>
    <w:rsid w:val="7C7C10F6"/>
    <w:rsid w:val="7C853BEA"/>
    <w:rsid w:val="7C881368"/>
    <w:rsid w:val="7CE27788"/>
    <w:rsid w:val="7CE5569E"/>
    <w:rsid w:val="7CF22EFB"/>
    <w:rsid w:val="7D0C32F1"/>
    <w:rsid w:val="7D0F408D"/>
    <w:rsid w:val="7D491C6C"/>
    <w:rsid w:val="7D5429C0"/>
    <w:rsid w:val="7D6E6D43"/>
    <w:rsid w:val="7D750AC1"/>
    <w:rsid w:val="7D7E1AD8"/>
    <w:rsid w:val="7DB57A34"/>
    <w:rsid w:val="7DE60973"/>
    <w:rsid w:val="7DEF0916"/>
    <w:rsid w:val="7DF74B1D"/>
    <w:rsid w:val="7E1E5218"/>
    <w:rsid w:val="7E290672"/>
    <w:rsid w:val="7E532133"/>
    <w:rsid w:val="7E662156"/>
    <w:rsid w:val="7E8D00FD"/>
    <w:rsid w:val="7E924985"/>
    <w:rsid w:val="7E9A4E1F"/>
    <w:rsid w:val="7EA7656B"/>
    <w:rsid w:val="7EA7723A"/>
    <w:rsid w:val="7ED02A96"/>
    <w:rsid w:val="7EF56FBB"/>
    <w:rsid w:val="7F0768EB"/>
    <w:rsid w:val="7F143BEC"/>
    <w:rsid w:val="7F28097A"/>
    <w:rsid w:val="7F5A23C9"/>
    <w:rsid w:val="7F715AF2"/>
    <w:rsid w:val="7F886E69"/>
    <w:rsid w:val="7FFA4FF3"/>
    <w:rsid w:val="BB7FA927"/>
    <w:rsid w:val="DEFFAD92"/>
    <w:rsid w:val="DF8B5375"/>
    <w:rsid w:val="F5FFD31F"/>
    <w:rsid w:val="FA47BF2E"/>
    <w:rsid w:val="FA7DB66F"/>
    <w:rsid w:val="FEEF3596"/>
    <w:rsid w:val="FFF7D97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styleId="6">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4"/>
    <w:qFormat/>
    <w:uiPriority w:val="0"/>
    <w:pPr>
      <w:autoSpaceDE w:val="0"/>
      <w:autoSpaceDN w:val="0"/>
      <w:spacing w:line="360" w:lineRule="auto"/>
    </w:pPr>
    <w:rPr>
      <w:rFonts w:ascii="宋体" w:hAnsi="Arial" w:cs="Arial"/>
      <w:snapToGrid w:val="0"/>
      <w:sz w:val="24"/>
      <w:szCs w:val="21"/>
      <w:lang w:val="zh-CN"/>
    </w:rPr>
  </w:style>
  <w:style w:type="paragraph" w:styleId="25">
    <w:name w:val="Body Text 2"/>
    <w:basedOn w:val="1"/>
    <w:next w:val="1"/>
    <w:link w:val="306"/>
    <w:qFormat/>
    <w:uiPriority w:val="0"/>
    <w:pPr>
      <w:spacing w:after="120" w:line="480" w:lineRule="auto"/>
    </w:pPr>
  </w:style>
  <w:style w:type="paragraph" w:styleId="26">
    <w:name w:val="Body Text Indent"/>
    <w:basedOn w:val="1"/>
    <w:next w:val="27"/>
    <w:link w:val="269"/>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cs="Arial"/>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30"/>
    <w:qFormat/>
    <w:uiPriority w:val="0"/>
    <w:rPr>
      <w:rFonts w:ascii="宋体" w:hAnsi="Courier New" w:cs="Arial"/>
      <w:snapToGrid w:val="0"/>
      <w:szCs w:val="21"/>
    </w:rPr>
  </w:style>
  <w:style w:type="paragraph" w:styleId="36">
    <w:name w:val="toc 2"/>
    <w:basedOn w:val="1"/>
    <w:next w:val="1"/>
    <w:qFormat/>
    <w:uiPriority w:val="0"/>
    <w:pPr>
      <w:ind w:left="420" w:leftChars="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6"/>
    <w:qFormat/>
    <w:uiPriority w:val="0"/>
    <w:pPr>
      <w:ind w:left="100" w:leftChars="2500"/>
    </w:pPr>
    <w:rPr>
      <w:rFonts w:ascii="宋体"/>
      <w:sz w:val="24"/>
      <w:szCs w:val="21"/>
      <w:lang w:val="zh-CN"/>
    </w:rPr>
  </w:style>
  <w:style w:type="paragraph" w:styleId="40">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1">
    <w:name w:val="endnote text"/>
    <w:basedOn w:val="1"/>
    <w:link w:val="934"/>
    <w:qFormat/>
    <w:uiPriority w:val="0"/>
    <w:rPr>
      <w:lang w:val="zh-CN"/>
    </w:rPr>
  </w:style>
  <w:style w:type="paragraph" w:styleId="42">
    <w:name w:val="Balloon Text"/>
    <w:basedOn w:val="1"/>
    <w:link w:val="193"/>
    <w:qFormat/>
    <w:uiPriority w:val="0"/>
    <w:rPr>
      <w:sz w:val="18"/>
      <w:szCs w:val="18"/>
    </w:rPr>
  </w:style>
  <w:style w:type="paragraph" w:styleId="43">
    <w:name w:val="footer"/>
    <w:basedOn w:val="1"/>
    <w:link w:val="387"/>
    <w:qFormat/>
    <w:uiPriority w:val="99"/>
    <w:pPr>
      <w:tabs>
        <w:tab w:val="center" w:pos="4153"/>
        <w:tab w:val="right" w:pos="8306"/>
      </w:tabs>
      <w:snapToGrid w:val="0"/>
      <w:jc w:val="left"/>
    </w:pPr>
    <w:rPr>
      <w:sz w:val="18"/>
      <w:szCs w:val="18"/>
    </w:rPr>
  </w:style>
  <w:style w:type="paragraph" w:styleId="44">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14"/>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9"/>
    <w:qFormat/>
    <w:uiPriority w:val="0"/>
    <w:pPr>
      <w:spacing w:line="360" w:lineRule="auto"/>
      <w:ind w:firstLine="420"/>
    </w:pPr>
    <w:rPr>
      <w:sz w:val="24"/>
      <w:szCs w:val="20"/>
    </w:rPr>
  </w:style>
  <w:style w:type="paragraph" w:styleId="57">
    <w:name w:val="toc 9"/>
    <w:basedOn w:val="1"/>
    <w:next w:val="1"/>
    <w:qFormat/>
    <w:uiPriority w:val="0"/>
    <w:pPr>
      <w:ind w:left="3360" w:leftChars="1600"/>
    </w:pPr>
  </w:style>
  <w:style w:type="paragraph" w:styleId="58">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next w:val="60"/>
    <w:qFormat/>
    <w:uiPriority w:val="99"/>
    <w:pPr>
      <w:widowControl/>
      <w:spacing w:before="100" w:beforeAutospacing="1" w:after="100" w:afterAutospacing="1"/>
      <w:jc w:val="left"/>
    </w:pPr>
    <w:rPr>
      <w:rFonts w:ascii="宋体" w:hAnsi="宋体"/>
      <w:kern w:val="0"/>
      <w:sz w:val="24"/>
    </w:rPr>
  </w:style>
  <w:style w:type="paragraph" w:customStyle="1" w:styleId="60">
    <w:name w:val="TOC 91"/>
    <w:next w:val="1"/>
    <w:autoRedefine/>
    <w:qFormat/>
    <w:uiPriority w:val="0"/>
    <w:pPr>
      <w:wordWrap w:val="0"/>
      <w:ind w:left="3400"/>
      <w:jc w:val="both"/>
    </w:pPr>
    <w:rPr>
      <w:rFonts w:ascii="宋体" w:hAnsi="宋体" w:cs="Times New Roman" w:eastAsiaTheme="minorEastAsia"/>
      <w:sz w:val="21"/>
      <w:lang w:val="en-US" w:eastAsia="zh-CN" w:bidi="ar-SA"/>
    </w:rPr>
  </w:style>
  <w:style w:type="paragraph" w:styleId="61">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1"/>
    <w:qFormat/>
    <w:uiPriority w:val="0"/>
    <w:rPr>
      <w:b/>
      <w:bCs/>
    </w:rPr>
  </w:style>
  <w:style w:type="paragraph" w:styleId="63">
    <w:name w:val="Body Text First Indent"/>
    <w:basedOn w:val="24"/>
    <w:next w:val="1"/>
    <w:link w:val="325"/>
    <w:qFormat/>
    <w:uiPriority w:val="0"/>
    <w:pPr>
      <w:ind w:firstLine="420"/>
    </w:pPr>
    <w:rPr>
      <w:rFonts w:hAnsi="Calibri" w:cs="Times New Roman"/>
      <w:snapToGrid/>
      <w:szCs w:val="20"/>
    </w:rPr>
  </w:style>
  <w:style w:type="paragraph" w:styleId="64">
    <w:name w:val="Body Text First Indent 2"/>
    <w:basedOn w:val="26"/>
    <w:next w:val="1"/>
    <w:link w:val="126"/>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basedOn w:val="72"/>
    <w:qFormat/>
    <w:uiPriority w:val="99"/>
    <w:rPr>
      <w:rFonts w:ascii="Times New Roman" w:hAnsi="Times New Roman" w:eastAsia="宋体" w:cs="Times New Roman"/>
      <w:kern w:val="2"/>
      <w:sz w:val="21"/>
      <w:szCs w:val="24"/>
      <w:lang w:val="en-US" w:eastAsia="zh-CN" w:bidi="ar-SA"/>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3">
    <w:name w:val="_Style 2"/>
    <w:basedOn w:val="1"/>
    <w:qFormat/>
    <w:uiPriority w:val="0"/>
    <w:pPr>
      <w:ind w:firstLine="200" w:firstLineChars="200"/>
    </w:pPr>
    <w:rPr>
      <w:rFonts w:ascii="Calibri" w:hAnsi="Calibri"/>
      <w:sz w:val="28"/>
    </w:rPr>
  </w:style>
  <w:style w:type="paragraph" w:customStyle="1" w:styleId="84">
    <w:name w:val="Default"/>
    <w:next w:val="18"/>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2"/>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4"/>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2"/>
    <w:qFormat/>
    <w:uiPriority w:val="0"/>
    <w:rPr>
      <w:rFonts w:ascii="Arial" w:hAnsi="Arial" w:eastAsia="黑体" w:cs="Arial"/>
      <w:snapToGrid w:val="0"/>
      <w:kern w:val="0"/>
      <w:szCs w:val="21"/>
    </w:rPr>
  </w:style>
  <w:style w:type="character" w:customStyle="1" w:styleId="130">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50"/>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9"/>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99"/>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9"/>
    <w:qFormat/>
    <w:uiPriority w:val="0"/>
    <w:rPr>
      <w:rFonts w:ascii="宋体"/>
      <w:kern w:val="2"/>
      <w:sz w:val="24"/>
      <w:szCs w:val="21"/>
      <w:lang w:val="zh-CN"/>
    </w:rPr>
  </w:style>
  <w:style w:type="character" w:customStyle="1" w:styleId="187">
    <w:name w:val="标题 9 Char"/>
    <w:link w:val="12"/>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2"/>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2"/>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2"/>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7"/>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4"/>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出段落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1"/>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8"/>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8"/>
    <w:qFormat/>
    <w:uiPriority w:val="0"/>
    <w:rPr>
      <w:rFonts w:ascii="黑体" w:hAnsi="Courier New" w:eastAsia="黑体"/>
    </w:rPr>
  </w:style>
  <w:style w:type="character" w:customStyle="1" w:styleId="306">
    <w:name w:val="正文文本 2 Char1"/>
    <w:link w:val="25"/>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0"/>
    <w:qFormat/>
    <w:uiPriority w:val="0"/>
    <w:rPr>
      <w:b/>
      <w:bCs/>
      <w:kern w:val="2"/>
      <w:sz w:val="24"/>
      <w:szCs w:val="24"/>
    </w:rPr>
  </w:style>
  <w:style w:type="character" w:customStyle="1" w:styleId="312">
    <w:name w:val="正文文本缩进 2 Char"/>
    <w:link w:val="40"/>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3"/>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3"/>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qFormat/>
    <w:uiPriority w:val="0"/>
    <w:rPr>
      <w:kern w:val="2"/>
      <w:sz w:val="21"/>
      <w:szCs w:val="24"/>
    </w:rPr>
  </w:style>
  <w:style w:type="character" w:customStyle="1" w:styleId="349">
    <w:name w:val="签名 Char"/>
    <w:link w:val="45"/>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1"/>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6"/>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3"/>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4"/>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2"/>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7"/>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8"/>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Lines="50"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4"/>
    <w:next w:val="84"/>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4"/>
    <w:next w:val="84"/>
    <w:qFormat/>
    <w:uiPriority w:val="0"/>
    <w:rPr>
      <w:rFonts w:ascii="宋体" w:eastAsia="宋体" w:cs="Times New Roman"/>
      <w:color w:val="auto"/>
    </w:rPr>
  </w:style>
  <w:style w:type="paragraph" w:customStyle="1" w:styleId="55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25"/>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Lines="0" w:afterLines="0"/>
      <w:ind w:left="1680"/>
      <w:outlineLvl w:val="2"/>
    </w:pPr>
  </w:style>
  <w:style w:type="paragraph" w:customStyle="1" w:styleId="662">
    <w:name w:val="章标题"/>
    <w:next w:val="64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0"/>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6"/>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1"/>
    <w:qFormat/>
    <w:uiPriority w:val="0"/>
    <w:rPr>
      <w:kern w:val="2"/>
      <w:sz w:val="21"/>
      <w:szCs w:val="24"/>
      <w:lang w:val="zh-CN"/>
    </w:rPr>
  </w:style>
  <w:style w:type="character" w:customStyle="1" w:styleId="935">
    <w:name w:val="无间隔 Char"/>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2"/>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7">
    <w:name w:val="纯文本3"/>
    <w:basedOn w:val="1"/>
    <w:qFormat/>
    <w:uiPriority w:val="0"/>
    <w:pPr>
      <w:textAlignment w:val="baseline"/>
    </w:pPr>
    <w:rPr>
      <w:rFonts w:ascii="宋体" w:hAnsi="Courier New" w:eastAsia="楷体_GB2312"/>
      <w:sz w:val="26"/>
      <w:szCs w:val="20"/>
    </w:rPr>
  </w:style>
  <w:style w:type="paragraph" w:customStyle="1" w:styleId="96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1">
    <w:name w:val="NormalCharacter"/>
    <w:qFormat/>
    <w:uiPriority w:val="0"/>
    <w:rPr>
      <w:kern w:val="2"/>
      <w:sz w:val="21"/>
      <w:szCs w:val="24"/>
      <w:lang w:val="en-US" w:eastAsia="zh-CN" w:bidi="ar-SA"/>
    </w:rPr>
  </w:style>
  <w:style w:type="character" w:customStyle="1" w:styleId="972">
    <w:name w:val="UserStyle_12"/>
    <w:qFormat/>
    <w:uiPriority w:val="0"/>
    <w:rPr>
      <w:kern w:val="2"/>
      <w:sz w:val="21"/>
      <w:szCs w:val="24"/>
      <w:lang w:val="en-US" w:eastAsia="zh-CN" w:bidi="ar-SA"/>
    </w:rPr>
  </w:style>
  <w:style w:type="paragraph" w:customStyle="1" w:styleId="973">
    <w:name w:val="BodyText"/>
    <w:basedOn w:val="1"/>
    <w:next w:val="974"/>
    <w:qFormat/>
    <w:uiPriority w:val="0"/>
    <w:pPr>
      <w:spacing w:after="120"/>
      <w:textAlignment w:val="baseline"/>
    </w:pPr>
    <w:rPr>
      <w:rFonts w:ascii="Calibri" w:hAnsi="Calibri"/>
    </w:rPr>
  </w:style>
  <w:style w:type="paragraph" w:customStyle="1" w:styleId="974">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styleId="975">
    <w:name w:val="No Spacing"/>
    <w:basedOn w:val="1"/>
    <w:qFormat/>
    <w:uiPriority w:val="1"/>
    <w:rPr>
      <w:szCs w:val="22"/>
    </w:rPr>
  </w:style>
  <w:style w:type="paragraph" w:customStyle="1" w:styleId="976">
    <w:name w:val="Plain Text"/>
    <w:basedOn w:val="1"/>
    <w:qFormat/>
    <w:uiPriority w:val="0"/>
    <w:pPr>
      <w:adjustRightInd w:val="0"/>
      <w:textAlignment w:val="baseline"/>
    </w:pPr>
    <w:rPr>
      <w:rFonts w:ascii="宋体" w:hAnsi="Courier New" w:eastAsia="楷体_GB2312"/>
      <w:sz w:val="26"/>
      <w:szCs w:val="20"/>
    </w:rPr>
  </w:style>
  <w:style w:type="paragraph" w:customStyle="1" w:styleId="977">
    <w:name w:val="List Paragraph"/>
    <w:basedOn w:val="1"/>
    <w:qFormat/>
    <w:uiPriority w:val="0"/>
    <w:pPr>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4101"/>
    <customShpInfo spid="_x0000_s4102"/>
    <customShpInfo spid="_x0000_s4104"/>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48</Pages>
  <Words>26258</Words>
  <Characters>27646</Characters>
  <Lines>124</Lines>
  <Paragraphs>136</Paragraphs>
  <TotalTime>34</TotalTime>
  <ScaleCrop>false</ScaleCrop>
  <LinksUpToDate>false</LinksUpToDate>
  <CharactersWithSpaces>29689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954</cp:lastModifiedBy>
  <cp:lastPrinted>2022-12-06T07:26:00Z</cp:lastPrinted>
  <dcterms:modified xsi:type="dcterms:W3CDTF">2024-08-06T09:03:44Z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eyJoZGlkIjoiMGMzMTVmNWQ0ZWUwMDFhMGMxMjI0ODY0ODBlMmFiN2UifQ==</vt:lpwstr>
  </property>
</Properties>
</file>